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77777777"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343793E" w14:textId="77777777"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14:paraId="4E8F038F"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14:paraId="5F885C17"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14:paraId="0D41D8B7"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14:paraId="3223AFB6"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14:paraId="1E189AAF"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14:paraId="30F2DC94"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14:paraId="7004EBA9"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14:paraId="07D1A0B1"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14:paraId="100E682A"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14:paraId="13BEE023"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14:paraId="1CA96021"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14:paraId="28D99B6B" w14:textId="77777777" w:rsidR="00F72D05" w:rsidRPr="0038253B" w:rsidRDefault="00AB0FA4"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14:paraId="3F2C3203"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r w:rsidRPr="0038253B">
              <w:lastRenderedPageBreak/>
              <w:t>Accessibility Information</w:t>
            </w:r>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r w:rsidRPr="0038253B">
              <w:t>Introduction</w:t>
            </w:r>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r>
              <w:t>Request for Other Options</w:t>
            </w:r>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r w:rsidRPr="0038253B">
              <w:t>Overview</w:t>
            </w:r>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168AAAD2" w14:textId="77777777" w:rsidR="002F32EB" w:rsidRPr="0038253B" w:rsidRDefault="002F32EB" w:rsidP="002F32EB">
      <w:pPr>
        <w:rPr>
          <w:b/>
          <w:color w:val="806000" w:themeColor="accent4" w:themeShade="80"/>
        </w:rPr>
      </w:pPr>
    </w:p>
    <w:p w14:paraId="4A035AD0" w14:textId="77777777" w:rsidR="002F32E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7DBFB513" w14:textId="77777777" w:rsidR="00E81F1D" w:rsidRDefault="00E81F1D" w:rsidP="002F32EB">
      <w:pPr>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53220F5" w:rsidR="00E81F1D" w:rsidRDefault="00E81F1D" w:rsidP="00E81F1D">
      <w:pPr>
        <w:ind w:left="0"/>
        <w:rPr>
          <w:bCs/>
        </w:rPr>
      </w:pPr>
      <w:r>
        <w:t xml:space="preserve">DEQ recommends </w:t>
      </w:r>
      <w:r w:rsidRPr="00364F8E">
        <w:rPr>
          <w:bCs/>
        </w:rPr>
        <w:t xml:space="preserve">the </w:t>
      </w:r>
      <w:r>
        <w:rPr>
          <w:bCs/>
        </w:rPr>
        <w:t>EQC</w:t>
      </w:r>
      <w:r>
        <w:rPr>
          <w:bCs/>
        </w:rPr>
        <w:t xml:space="preserve">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w:t>
      </w:r>
      <w:r w:rsidR="001F4467">
        <w:t xml:space="preserve"> in the </w:t>
      </w:r>
      <w:r>
        <w:rPr>
          <w:bCs/>
        </w:rPr>
        <w:t>Zero-Emission and Electric Vehicle R</w:t>
      </w:r>
      <w:r w:rsidRPr="00364F8E">
        <w:rPr>
          <w:bCs/>
        </w:rPr>
        <w:t>ebate program</w:t>
      </w:r>
      <w:r w:rsidR="0060635A">
        <w:rPr>
          <w:bCs/>
        </w:rPr>
        <w:t xml:space="preserve"> (EV Rebate Program)</w:t>
      </w:r>
      <w:r>
        <w:rPr>
          <w:bCs/>
        </w:rPr>
        <w:t xml:space="preserve">. </w:t>
      </w:r>
    </w:p>
    <w:p w14:paraId="29DE7233" w14:textId="77777777" w:rsidR="00E81F1D" w:rsidRDefault="00E81F1D" w:rsidP="00E81F1D">
      <w:pPr>
        <w:ind w:left="0"/>
        <w:rPr>
          <w:bCs/>
        </w:rPr>
      </w:pPr>
    </w:p>
    <w:p w14:paraId="55CFD03D" w14:textId="77777777"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w:t>
      </w:r>
      <w:r w:rsidRPr="00364F8E">
        <w:lastRenderedPageBreak/>
        <w:t>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1CD1598B"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w:t>
      </w:r>
      <w:r>
        <w:t xml:space="preserve"> These rules as adopted defined </w:t>
      </w:r>
      <w:r>
        <w:t>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 xml:space="preserve">three wheeled zero-emission vehicles. DEQ is proposing to change the definition of </w:t>
      </w:r>
      <w:r w:rsidR="00C76626">
        <w:t>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EV Rebate Program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ensure equitable application of the EV Rebate Program to all eligible vehicles</w:t>
      </w:r>
      <w:r w:rsidR="007B73B7">
        <w:t xml:space="preserve">. This change is also consistent with House Bill 2017, which </w:t>
      </w:r>
      <w:r w:rsidR="007B73B7">
        <w:t>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r w:rsidRPr="0038253B">
              <w:t>Procedural Summary</w:t>
            </w:r>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77777777" w:rsidR="00F72D05" w:rsidRPr="0038253B" w:rsidRDefault="00F72D05" w:rsidP="003F70E1">
      <w:pPr>
        <w:ind w:left="0"/>
        <w:rPr>
          <w:color w:val="BF8F00" w:themeColor="accent4" w:themeShade="BF"/>
        </w:rPr>
      </w:pPr>
      <w:r w:rsidRPr="0038253B">
        <w:t xml:space="preserve">Information about this rulemaking is on this rulemaking’s web page: </w:t>
      </w:r>
      <w:r w:rsidRPr="0038253B">
        <w:rPr>
          <w:color w:val="BF8F00" w:themeColor="accent4" w:themeShade="BF"/>
        </w:rPr>
        <w:t>LINK TO RULEMAKING WEB PAGE</w:t>
      </w:r>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77777777" w:rsidR="006E2ED0" w:rsidRPr="0038253B" w:rsidRDefault="006E2ED0" w:rsidP="006E2ED0">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11C32B90" w14:textId="77777777" w:rsidR="006E2ED0" w:rsidRPr="0038253B" w:rsidRDefault="006E2ED0" w:rsidP="006E2ED0">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076B0151" w14:textId="77777777" w:rsidR="006E2ED0" w:rsidRPr="0038253B" w:rsidRDefault="006E2ED0" w:rsidP="006E2ED0">
      <w:pPr>
        <w:pStyle w:val="ListParagraph"/>
        <w:numPr>
          <w:ilvl w:val="0"/>
          <w:numId w:val="32"/>
        </w:numPr>
        <w:ind w:right="-432"/>
      </w:pPr>
      <w:r w:rsidRPr="0038253B">
        <w:t>Webinar link:</w:t>
      </w:r>
    </w:p>
    <w:p w14:paraId="2F1E3746" w14:textId="77777777" w:rsidR="006E2ED0" w:rsidRPr="0038253B" w:rsidRDefault="006E2ED0" w:rsidP="006E2ED0">
      <w:pPr>
        <w:pStyle w:val="ListParagraph"/>
        <w:numPr>
          <w:ilvl w:val="1"/>
          <w:numId w:val="32"/>
        </w:numPr>
        <w:ind w:right="-432"/>
      </w:pPr>
      <w:r w:rsidRPr="0038253B">
        <w:t xml:space="preserve">(4734 number) = </w:t>
      </w:r>
      <w:hyperlink r:id="rId13" w:history="1">
        <w:r w:rsidRPr="0038253B">
          <w:rPr>
            <w:rStyle w:val="Hyperlink"/>
          </w:rPr>
          <w:t>888-363-4734 webinar link</w:t>
        </w:r>
      </w:hyperlink>
    </w:p>
    <w:p w14:paraId="353B50C5" w14:textId="77777777" w:rsidR="006E2ED0" w:rsidRPr="0038253B" w:rsidRDefault="006E2ED0" w:rsidP="006E2ED0">
      <w:pPr>
        <w:pStyle w:val="ListParagraph"/>
        <w:numPr>
          <w:ilvl w:val="1"/>
          <w:numId w:val="32"/>
        </w:numPr>
        <w:ind w:right="-432"/>
      </w:pPr>
      <w:r w:rsidRPr="0038253B">
        <w:rPr>
          <w:color w:val="C45911" w:themeColor="accent2" w:themeShade="BF"/>
        </w:rPr>
        <w:t>OR</w:t>
      </w:r>
    </w:p>
    <w:p w14:paraId="3F967553" w14:textId="77777777" w:rsidR="006E2ED0" w:rsidRPr="0038253B" w:rsidRDefault="006E2ED0" w:rsidP="006E2ED0">
      <w:pPr>
        <w:pStyle w:val="ListParagraph"/>
        <w:numPr>
          <w:ilvl w:val="1"/>
          <w:numId w:val="32"/>
        </w:numPr>
        <w:ind w:right="-432"/>
      </w:pPr>
      <w:r w:rsidRPr="0038253B">
        <w:t xml:space="preserve">(0296 number) = </w:t>
      </w:r>
      <w:hyperlink r:id="rId14" w:history="1">
        <w:r w:rsidRPr="0038253B">
          <w:rPr>
            <w:rStyle w:val="Hyperlink"/>
          </w:rPr>
          <w:t>888-278-0296 webinar link</w:t>
        </w:r>
      </w:hyperlink>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5"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77777777" w:rsidR="00F72D05" w:rsidRPr="0038253B" w:rsidRDefault="00F72D05" w:rsidP="003F70E1">
      <w:pPr>
        <w:ind w:left="0"/>
        <w:rPr>
          <w:bCs/>
          <w:color w:val="BF8F00" w:themeColor="accent4" w:themeShade="BF"/>
        </w:rPr>
      </w:pPr>
      <w:r w:rsidRPr="0038253B">
        <w:rPr>
          <w:bCs/>
          <w:color w:val="BF8F00" w:themeColor="accent4" w:themeShade="BF"/>
        </w:rPr>
        <w:t>LINK TO RULEMAKING COMMENT PAGE</w:t>
      </w:r>
      <w:r w:rsidR="00F3040B" w:rsidRPr="0038253B">
        <w:rPr>
          <w:bCs/>
          <w:color w:val="BF8F00" w:themeColor="accent4" w:themeShade="BF"/>
        </w:rPr>
        <w:t xml:space="preserve"> (</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Pr="0038253B">
        <w:rPr>
          <w:bCs/>
          <w:color w:val="BF8F00" w:themeColor="accent4" w:themeShade="BF"/>
        </w:rPr>
        <w:t>:</w:t>
      </w:r>
    </w:p>
    <w:p w14:paraId="687A0A04" w14:textId="77777777" w:rsidR="00F72D05" w:rsidRPr="0038253B" w:rsidRDefault="00F72D05" w:rsidP="003F70E1">
      <w:pPr>
        <w:ind w:left="0"/>
        <w:rPr>
          <w:bCs/>
        </w:rPr>
      </w:pPr>
    </w:p>
    <w:p w14:paraId="2CDF21BB" w14:textId="77777777" w:rsidR="006A7E58" w:rsidRPr="0038253B" w:rsidRDefault="006A7E58" w:rsidP="003F70E1">
      <w:pPr>
        <w:ind w:left="0"/>
        <w:rPr>
          <w:bCs/>
        </w:rPr>
      </w:pPr>
    </w:p>
    <w:p w14:paraId="071DDA74" w14:textId="77777777" w:rsidR="006A7E58" w:rsidRPr="0038253B" w:rsidRDefault="006A7E58" w:rsidP="006A7E58">
      <w:pPr>
        <w:ind w:left="0"/>
      </w:pPr>
      <w:r w:rsidRPr="0038253B">
        <w:t>http://www.oregon.gov/deq/Regulations/rulemaking/Pages/c</w:t>
      </w:r>
      <w:r w:rsidRPr="0038253B">
        <w:rPr>
          <w:b/>
          <w:color w:val="C45911" w:themeColor="accent2" w:themeShade="BF"/>
        </w:rPr>
        <w:t>RULEMAKINGNAME</w:t>
      </w:r>
      <w:r w:rsidRPr="0038253B">
        <w:t>.aspx</w:t>
      </w:r>
    </w:p>
    <w:p w14:paraId="1F524D9D" w14:textId="77777777" w:rsidR="006A7E58" w:rsidRPr="0038253B" w:rsidRDefault="006A7E58" w:rsidP="003F70E1">
      <w:pPr>
        <w:ind w:left="0"/>
        <w:rPr>
          <w:bCs/>
          <w:color w:val="BF8F00" w:themeColor="accent4" w:themeShade="BF"/>
        </w:rPr>
      </w:pPr>
    </w:p>
    <w:p w14:paraId="33783FBA" w14:textId="77777777" w:rsidR="006A7E58" w:rsidRPr="0038253B" w:rsidRDefault="006A7E58" w:rsidP="003F70E1">
      <w:pPr>
        <w:ind w:left="0"/>
        <w:rPr>
          <w:bCs/>
          <w:color w:val="BF8F00" w:themeColor="accent4" w:themeShade="BF"/>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77777777" w:rsidR="005A5041" w:rsidRPr="0038253B" w:rsidRDefault="005A5041" w:rsidP="005A5041">
      <w:pPr>
        <w:ind w:left="0"/>
      </w:pPr>
      <w:r w:rsidRPr="0038253B">
        <w:t xml:space="preserve">Teleconference call-in number: </w:t>
      </w:r>
    </w:p>
    <w:p w14:paraId="40C81D1B" w14:textId="77777777" w:rsidR="005A5041" w:rsidRPr="0038253B" w:rsidRDefault="005A5041" w:rsidP="005A5041">
      <w:pPr>
        <w:ind w:left="0"/>
      </w:pPr>
      <w:r w:rsidRPr="0038253B">
        <w:t xml:space="preserve">Participant ID: </w:t>
      </w:r>
    </w:p>
    <w:p w14:paraId="581168A7" w14:textId="77777777" w:rsidR="005A5041" w:rsidRPr="0038253B" w:rsidRDefault="005A5041" w:rsidP="005A5041">
      <w:pPr>
        <w:ind w:left="0"/>
      </w:pPr>
      <w:r w:rsidRPr="0038253B">
        <w:t xml:space="preserve">Webinar link (webinar has no audio, you must listen on the teleconference): </w:t>
      </w:r>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6"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3D2FAA1A" w14:textId="77777777" w:rsidR="00931E4B" w:rsidRPr="0038253B" w:rsidRDefault="00783B27" w:rsidP="00BC7242">
      <w:pPr>
        <w:ind w:left="0"/>
      </w:pPr>
      <w:r w:rsidRPr="0038253B">
        <w:rPr>
          <w:color w:val="BF8F00" w:themeColor="accent4" w:themeShade="BF"/>
        </w:rPr>
        <w:t xml:space="preserve">(EDIT LINK TO ADD CORRECT TOPIC NUMBER):  </w:t>
      </w:r>
      <w:hyperlink r:id="rId17" w:history="1">
        <w:r w:rsidRPr="0038253B">
          <w:rPr>
            <w:rStyle w:val="Hyperlink"/>
          </w:rPr>
          <w:t>RULEMAKING NAME Rulemaking Email List</w:t>
        </w:r>
      </w:hyperlink>
      <w:r w:rsidR="00BC7242" w:rsidRPr="0038253B">
        <w:t xml:space="preserve">; or on the rulemaking web site: </w:t>
      </w:r>
      <w:r w:rsidR="00BC7242" w:rsidRPr="0038253B">
        <w:rPr>
          <w:color w:val="BF8F00" w:themeColor="accent4" w:themeShade="BF"/>
        </w:rPr>
        <w:t xml:space="preserve">(EDIT LINK TO ADD CORRECT RULEMAKING NAME) </w:t>
      </w:r>
      <w:hyperlink r:id="rId18" w:history="1">
        <w:r w:rsidR="00931E4B" w:rsidRPr="0038253B">
          <w:rPr>
            <w:rStyle w:val="Hyperlink"/>
          </w:rPr>
          <w:t>RULEMAKING NAME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9"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77777777" w:rsidR="00CA3AB6" w:rsidRPr="0038253B" w:rsidRDefault="00CA3AB6" w:rsidP="003F70E1">
      <w:pPr>
        <w:ind w:left="0"/>
      </w:pPr>
      <w:r w:rsidRPr="0038253B">
        <w:t xml:space="preserve">Proposed rules only become effective if the Environmental Quality Commission adopts them. DEQ plans to present the proposed rules to the commission for a decision at its meeting on </w:t>
      </w:r>
      <w:r w:rsidRPr="0038253B">
        <w:rPr>
          <w:color w:val="BF8F00" w:themeColor="accent4" w:themeShade="BF"/>
        </w:rPr>
        <w:t>DATE</w:t>
      </w:r>
      <w:r w:rsidRPr="0038253B">
        <w:t xml:space="preserve">.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headerReference w:type="default" r:id="rId20"/>
          <w:footerReference w:type="default" r:id="rId21"/>
          <w:headerReference w:type="first" r:id="rId22"/>
          <w:footerReference w:type="first" r:id="rId23"/>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0" w:name="_Toc482799999"/>
            <w:r w:rsidRPr="0038253B">
              <w:rPr>
                <w:rStyle w:val="Heading1Char"/>
              </w:rPr>
              <w:t>Statement of need</w:t>
            </w:r>
            <w:bookmarkEnd w:id="0"/>
          </w:p>
          <w:p w14:paraId="31EB43F8" w14:textId="77777777" w:rsidR="00A04AFA" w:rsidRPr="0038253B" w:rsidRDefault="00D1364A" w:rsidP="00F40122">
            <w:pPr>
              <w:ind w:left="0"/>
              <w:rPr>
                <w:b/>
              </w:rPr>
            </w:pPr>
            <w:r w:rsidRPr="0038253B">
              <w:rPr>
                <w:b/>
                <w:color w:val="806000" w:themeColor="accent4" w:themeShade="80"/>
              </w:rPr>
              <w:t xml:space="preserve"> ORS 183.335(b)(C)</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w:t>
      </w:r>
      <w:r>
        <w:t xml:space="preserve">definition of rebate-eligible light duty zero emission vehicles and plug in hybrid electric vehicles </w:t>
      </w:r>
      <w:r>
        <w:t xml:space="preserve">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78EEF146" w:rsidR="0060635A" w:rsidRPr="00364F8E" w:rsidRDefault="00204633" w:rsidP="0060635A">
      <w:pPr>
        <w:ind w:left="0"/>
      </w:pPr>
      <w:r>
        <w:t>The proposed rule would change the definition of</w:t>
      </w:r>
      <w:r>
        <w:t xml:space="preserve"> rebate-eligible light duty zero emission vehicles and plug in hybrid electric vehicles </w:t>
      </w:r>
      <w:r w:rsidR="0060635A">
        <w:t xml:space="preserve">from those with “at least four wheels” to those with “at least three wheels”. This will </w:t>
      </w:r>
      <w:r w:rsidR="0060635A" w:rsidRPr="00C76626">
        <w:t>make the EV Rebate Program more inclu</w:t>
      </w:r>
      <w:r w:rsidR="0060635A">
        <w:t xml:space="preserve">sive of all eligible vehicle types, </w:t>
      </w:r>
      <w:r w:rsidR="0060635A" w:rsidRPr="00C76626">
        <w:t>expand options for businesses and consumers</w:t>
      </w:r>
      <w:r w:rsidR="0060635A">
        <w:t xml:space="preserve">, and </w:t>
      </w:r>
      <w:r w:rsidR="0060635A" w:rsidRPr="007B73B7">
        <w:t>ensure equitable application of the EV Rebate Program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1" w:name="RequestForOtherOptions"/>
    </w:p>
    <w:bookmarkEnd w:id="1"/>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2" w:name="_Toc482800000"/>
            <w:r w:rsidRPr="0038253B">
              <w:rPr>
                <w:rStyle w:val="Heading1Char"/>
              </w:rPr>
              <w:t>Rules affected, authorities, supporting documents</w:t>
            </w:r>
            <w:bookmarkEnd w:id="2"/>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735A289B"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450F71A7" w:rsidR="00671E96" w:rsidRPr="0038253B" w:rsidRDefault="00113EF8" w:rsidP="000872C2">
            <w:pPr>
              <w:ind w:left="0" w:right="0"/>
              <w:jc w:val="center"/>
            </w:pPr>
            <w:r>
              <w:t>OAR</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479FC089" w:rsidR="00671E96" w:rsidRPr="0038253B" w:rsidRDefault="00113EF8" w:rsidP="000872C2">
            <w:pPr>
              <w:ind w:left="0" w:right="0"/>
              <w:jc w:val="center"/>
            </w:pPr>
            <w:r>
              <w:t>340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50E057B7" w:rsidR="00671E96" w:rsidRPr="0038253B" w:rsidRDefault="00113EF8" w:rsidP="000872C2">
            <w:pPr>
              <w:ind w:left="0" w:right="0"/>
              <w:jc w:val="center"/>
            </w:pPr>
            <w:r>
              <w:t>270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1DF4C290" w:rsidR="00671E96" w:rsidRPr="0038253B" w:rsidRDefault="00113EF8" w:rsidP="000872C2">
            <w:pPr>
              <w:ind w:left="0" w:right="0"/>
              <w:jc w:val="center"/>
            </w:pPr>
            <w:r>
              <w:t>0030</w:t>
            </w: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6CBEC62D" w:rsidR="00671E96" w:rsidRPr="0038253B" w:rsidRDefault="00113EF8" w:rsidP="000872C2">
            <w:pPr>
              <w:ind w:left="0" w:right="0"/>
              <w:jc w:val="center"/>
            </w:pPr>
            <w:r>
              <w:t>(6)(c), (12) (i)</w:t>
            </w: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3" w:name="SupportingDocuments"/>
      <w:r w:rsidRPr="00AB558B">
        <w:rPr>
          <w:sz w:val="24"/>
        </w:rPr>
        <w:t>Documents relied on for rulemaking</w:t>
      </w:r>
      <w:r w:rsidRPr="00762E3F">
        <w:rPr>
          <w:rStyle w:val="Heading2Char"/>
          <w:rFonts w:eastAsiaTheme="majorEastAsia"/>
        </w:rPr>
        <w:t xml:space="preserve"> </w:t>
      </w:r>
      <w:bookmarkEnd w:id="3"/>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67038B">
        <w:trPr>
          <w:trHeight w:val="296"/>
          <w:jc w:val="center"/>
        </w:trPr>
        <w:tc>
          <w:tcPr>
            <w:tcW w:w="4362" w:type="dxa"/>
            <w:shd w:val="clear" w:color="auto" w:fill="C5E0B3" w:themeFill="accent6" w:themeFillTint="66"/>
          </w:tcPr>
          <w:p w14:paraId="352A0E75" w14:textId="77777777" w:rsidR="00113EF8" w:rsidRPr="005656D8" w:rsidRDefault="00113EF8" w:rsidP="0067038B">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67038B">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67038B">
        <w:trPr>
          <w:trHeight w:val="748"/>
          <w:jc w:val="center"/>
        </w:trPr>
        <w:tc>
          <w:tcPr>
            <w:tcW w:w="4362" w:type="dxa"/>
          </w:tcPr>
          <w:p w14:paraId="3F978905" w14:textId="77777777" w:rsidR="00113EF8" w:rsidRPr="00F40122" w:rsidRDefault="00113EF8" w:rsidP="0067038B">
            <w:pPr>
              <w:ind w:left="0" w:right="-360"/>
            </w:pPr>
            <w:r w:rsidRPr="00CB047D">
              <w:rPr>
                <w:color w:val="auto"/>
              </w:rPr>
              <w:t>House Bill 2017 (2017)</w:t>
            </w:r>
          </w:p>
        </w:tc>
        <w:tc>
          <w:tcPr>
            <w:tcW w:w="4442" w:type="dxa"/>
          </w:tcPr>
          <w:p w14:paraId="33705BBC" w14:textId="77777777" w:rsidR="00113EF8" w:rsidRPr="00F40122" w:rsidRDefault="00113EF8" w:rsidP="0067038B">
            <w:pPr>
              <w:ind w:left="0" w:right="154"/>
            </w:pPr>
            <w:hyperlink r:id="rId24" w:history="1">
              <w:r w:rsidRPr="004C0D28">
                <w:rPr>
                  <w:rStyle w:val="Hyperlink"/>
                </w:rPr>
                <w:t>https://olis.leg.state.or.us/liz/2017R1/Downloads/MeasureDocument/HB2017/Enrolled</w:t>
              </w:r>
            </w:hyperlink>
            <w:r>
              <w:t xml:space="preserve"> </w:t>
            </w:r>
          </w:p>
        </w:tc>
      </w:tr>
      <w:tr w:rsidR="00113EF8" w14:paraId="526C2108" w14:textId="77777777" w:rsidTr="0067038B">
        <w:trPr>
          <w:trHeight w:val="748"/>
          <w:jc w:val="center"/>
        </w:trPr>
        <w:tc>
          <w:tcPr>
            <w:tcW w:w="4362" w:type="dxa"/>
          </w:tcPr>
          <w:p w14:paraId="498EC50B" w14:textId="77777777" w:rsidR="00113EF8" w:rsidRPr="00CB047D" w:rsidRDefault="00113EF8" w:rsidP="0067038B">
            <w:pPr>
              <w:ind w:left="0" w:right="-360"/>
              <w:rPr>
                <w:color w:val="auto"/>
              </w:rPr>
            </w:pPr>
            <w:r>
              <w:rPr>
                <w:color w:val="auto"/>
              </w:rPr>
              <w:t>California Code of Regulations, 1962.1 and 1962.2</w:t>
            </w:r>
          </w:p>
        </w:tc>
        <w:tc>
          <w:tcPr>
            <w:tcW w:w="4442" w:type="dxa"/>
          </w:tcPr>
          <w:p w14:paraId="052A1D21" w14:textId="77777777" w:rsidR="00113EF8" w:rsidRDefault="00113EF8" w:rsidP="0067038B">
            <w:pPr>
              <w:ind w:left="0" w:right="64"/>
            </w:pPr>
            <w:hyperlink r:id="rId25" w:history="1">
              <w:r w:rsidRPr="0013453E">
                <w:rPr>
                  <w:rStyle w:val="Hyperlink"/>
                </w:rPr>
                <w:t>https://www.arb.ca.gov/msprog/zevprog/zevregs/1962.1_Clean.pdf</w:t>
              </w:r>
            </w:hyperlink>
            <w:r>
              <w:t xml:space="preserve"> </w:t>
            </w:r>
          </w:p>
          <w:p w14:paraId="3BAC1E35" w14:textId="77777777" w:rsidR="00113EF8" w:rsidRDefault="00113EF8" w:rsidP="0067038B">
            <w:pPr>
              <w:ind w:left="0" w:right="-360"/>
            </w:pPr>
          </w:p>
          <w:p w14:paraId="550F98F7" w14:textId="77777777" w:rsidR="00113EF8" w:rsidRDefault="00113EF8" w:rsidP="0067038B">
            <w:pPr>
              <w:ind w:left="0" w:right="154"/>
            </w:pPr>
            <w:hyperlink r:id="rId26" w:history="1">
              <w:r w:rsidRPr="0013453E">
                <w:rPr>
                  <w:rStyle w:val="Hyperlink"/>
                </w:rPr>
                <w:t>https://www.arb.ca.gov/msprog/zevprog/zevregs/1962.2_Clean.pdf</w:t>
              </w:r>
            </w:hyperlink>
            <w:r>
              <w:t xml:space="preserve"> </w:t>
            </w:r>
          </w:p>
        </w:tc>
      </w:tr>
      <w:tr w:rsidR="00113EF8" w14:paraId="7B15A679" w14:textId="77777777" w:rsidTr="0067038B">
        <w:trPr>
          <w:trHeight w:val="748"/>
          <w:jc w:val="center"/>
        </w:trPr>
        <w:tc>
          <w:tcPr>
            <w:tcW w:w="4362" w:type="dxa"/>
          </w:tcPr>
          <w:p w14:paraId="193C1FED" w14:textId="77777777" w:rsidR="00113EF8" w:rsidRPr="00CB047D" w:rsidRDefault="00113EF8" w:rsidP="0067038B">
            <w:pPr>
              <w:ind w:left="0" w:right="33"/>
              <w:rPr>
                <w:color w:val="auto"/>
              </w:rPr>
            </w:pPr>
            <w:r>
              <w:rPr>
                <w:color w:val="auto"/>
              </w:rPr>
              <w:t xml:space="preserve">40 CFR 600.116-12, Special Procedures Related to Electric Vehicles and Plug-In Hybrid Electric Vehicles </w:t>
            </w:r>
          </w:p>
        </w:tc>
        <w:tc>
          <w:tcPr>
            <w:tcW w:w="4442" w:type="dxa"/>
          </w:tcPr>
          <w:p w14:paraId="32A18FC7" w14:textId="77777777" w:rsidR="00113EF8" w:rsidRDefault="00113EF8" w:rsidP="0067038B">
            <w:pPr>
              <w:ind w:left="0" w:right="154"/>
            </w:pPr>
            <w:hyperlink r:id="rId27" w:history="1">
              <w:r w:rsidRPr="0013453E">
                <w:rPr>
                  <w:rStyle w:val="Hyperlink"/>
                </w:rPr>
                <w:t>https://www.gpo.gov/fdsys/granule/CFR-2012-title40-vol31/CFR-2012-title40-vol31-sec600-116-12</w:t>
              </w:r>
            </w:hyperlink>
            <w:r>
              <w:t xml:space="preserve"> </w:t>
            </w:r>
          </w:p>
        </w:tc>
      </w:tr>
    </w:tbl>
    <w:p w14:paraId="6738A495" w14:textId="77777777" w:rsidR="00113EF8" w:rsidRDefault="00113EF8" w:rsidP="00113EF8">
      <w:pPr>
        <w:ind w:left="0" w:right="-360"/>
        <w:sectPr w:rsidR="00113EF8" w:rsidSect="00CC521E">
          <w:pgSz w:w="12240" w:h="15840"/>
          <w:pgMar w:top="1440" w:right="1440" w:bottom="1440" w:left="1440" w:header="720" w:footer="720" w:gutter="360"/>
          <w:cols w:space="720"/>
          <w:docGrid w:linePitch="360"/>
        </w:sectPr>
      </w:pPr>
    </w:p>
    <w:p w14:paraId="34EEF6B0"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4" w:name="_Toc482800001"/>
            <w:r w:rsidRPr="0038253B">
              <w:rPr>
                <w:rStyle w:val="Heading1Char"/>
              </w:rPr>
              <w:lastRenderedPageBreak/>
              <w:t>Fee Analysis</w:t>
            </w:r>
            <w:bookmarkEnd w:id="4"/>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5" w:name="RANGE!A226:B243"/>
      <w:bookmarkEnd w:id="5"/>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6" w:name="_Toc482800002"/>
            <w:r w:rsidRPr="0038253B">
              <w:rPr>
                <w:rStyle w:val="Heading1Char"/>
              </w:rPr>
              <w:t>Statement of fiscal and economic impact</w:t>
            </w:r>
            <w:bookmarkEnd w:id="6"/>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bookmarkStart w:id="7" w:name="_GoBack"/>
            <w:bookmarkEnd w:id="7"/>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18BFB984" w14:textId="77777777"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14:paraId="0E3CC20A" w14:textId="77777777" w:rsidR="00DE6FD3" w:rsidRPr="0038253B" w:rsidRDefault="00DE6FD3" w:rsidP="00501ABB">
      <w:pPr>
        <w:ind w:left="0"/>
        <w:rPr>
          <w:rStyle w:val="Emphasis"/>
          <w:rFonts w:ascii="Arial" w:hAnsi="Arial"/>
          <w:vanish w:val="0"/>
          <w:color w:val="C45911" w:themeColor="accent2" w:themeShade="BF"/>
          <w:sz w:val="24"/>
        </w:rPr>
      </w:pPr>
    </w:p>
    <w:p w14:paraId="4BECBF3E" w14:textId="77777777"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54717D8C" w14:textId="77777777" w:rsidR="00411D93" w:rsidRPr="0038253B" w:rsidRDefault="00411D93" w:rsidP="00501ABB">
      <w:pPr>
        <w:ind w:left="0"/>
        <w:rPr>
          <w:rStyle w:val="Emphasis"/>
          <w:rFonts w:ascii="Arial" w:hAnsi="Arial"/>
          <w:vanish w:val="0"/>
          <w:color w:val="C45911" w:themeColor="accent2" w:themeShade="BF"/>
          <w:sz w:val="24"/>
        </w:rPr>
      </w:pPr>
    </w:p>
    <w:p w14:paraId="20EA3D67" w14:textId="77777777" w:rsidR="00AD7DB9" w:rsidRPr="0038253B" w:rsidRDefault="00AD7DB9" w:rsidP="00772D8F">
      <w:pPr>
        <w:pStyle w:val="Heading2"/>
        <w:ind w:left="0" w:right="-432"/>
      </w:pPr>
      <w:r w:rsidRPr="0038253B">
        <w:t>Fiscal and Economic Impact</w:t>
      </w:r>
    </w:p>
    <w:p w14:paraId="55424E37" w14:textId="77777777"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14:paraId="6BBF7DDA" w14:textId="77777777" w:rsidR="00AD7DB9" w:rsidRPr="0038253B" w:rsidRDefault="002D263C" w:rsidP="00772D8F">
      <w:pPr>
        <w:ind w:left="0" w:right="-432"/>
      </w:pPr>
      <w:r w:rsidRPr="0038253B">
        <w:t>TEXT</w:t>
      </w:r>
    </w:p>
    <w:p w14:paraId="2C4C0749" w14:textId="77777777" w:rsidR="00AD7DB9" w:rsidRPr="0038253B" w:rsidRDefault="00AD7DB9" w:rsidP="00772D8F">
      <w:pPr>
        <w:ind w:left="0" w:right="-432"/>
      </w:pPr>
    </w:p>
    <w:p w14:paraId="7BC0555B" w14:textId="77777777" w:rsidR="00AD7DB9" w:rsidRPr="0038253B" w:rsidRDefault="00AD7DB9" w:rsidP="00772D8F">
      <w:pPr>
        <w:ind w:left="0" w:right="-432"/>
        <w:rPr>
          <w:rFonts w:asciiTheme="majorHAnsi" w:hAnsiTheme="majorHAnsi" w:cstheme="majorHAnsi"/>
          <w:szCs w:val="22"/>
        </w:rPr>
      </w:pPr>
      <w:r w:rsidRPr="0038253B">
        <w:tab/>
      </w:r>
    </w:p>
    <w:p w14:paraId="1C977C19" w14:textId="77777777"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77777777"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14:paraId="60BED6BD" w14:textId="77777777" w:rsidR="00E45717" w:rsidRPr="0038253B" w:rsidRDefault="00E45717" w:rsidP="00772D8F">
      <w:pPr>
        <w:ind w:left="0" w:right="-432"/>
      </w:pPr>
    </w:p>
    <w:p w14:paraId="1440EB54" w14:textId="77777777"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t>Separately describe the impact on:</w:t>
      </w:r>
    </w:p>
    <w:p w14:paraId="1990A0C0" w14:textId="77777777" w:rsidR="00AD7DB9" w:rsidRPr="0038253B" w:rsidRDefault="00AD7DB9" w:rsidP="00772D8F">
      <w:pPr>
        <w:pStyle w:val="Heading3"/>
        <w:ind w:left="0" w:right="-432"/>
      </w:pPr>
      <w:r w:rsidRPr="0038253B">
        <w:t>Local governments</w:t>
      </w:r>
    </w:p>
    <w:p w14:paraId="5C73B82B" w14:textId="77777777" w:rsidR="00AD7DB9" w:rsidRPr="0038253B" w:rsidRDefault="00AD7DB9" w:rsidP="00772D8F">
      <w:pPr>
        <w:ind w:left="0" w:right="-432"/>
      </w:pPr>
    </w:p>
    <w:p w14:paraId="5E6D4254" w14:textId="77777777" w:rsidR="00AD7DB9" w:rsidRPr="0038253B" w:rsidRDefault="00AD7DB9" w:rsidP="00772D8F">
      <w:pPr>
        <w:pStyle w:val="Heading3"/>
        <w:ind w:left="0" w:right="-432"/>
      </w:pPr>
      <w:r w:rsidRPr="0038253B">
        <w:t>Public</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03163073" w14:textId="77777777" w:rsidR="00AD7DB9" w:rsidRPr="0038253B" w:rsidRDefault="00AD7DB9" w:rsidP="00772D8F">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03381EB5" w14:textId="77777777" w:rsidR="0007684B" w:rsidRPr="0038253B" w:rsidRDefault="0007684B" w:rsidP="00772D8F">
      <w:pPr>
        <w:ind w:left="0" w:right="-432"/>
        <w:rPr>
          <w:bCs/>
        </w:rPr>
      </w:pPr>
    </w:p>
    <w:p w14:paraId="1AFEB567" w14:textId="77777777" w:rsidR="0007684B" w:rsidRPr="0038253B" w:rsidRDefault="0007684B" w:rsidP="00772D8F">
      <w:pPr>
        <w:pStyle w:val="Heading4"/>
        <w:ind w:right="-432"/>
      </w:pPr>
      <w:r w:rsidRPr="0038253B">
        <w:t>a. Estimated number of small businesses and types of businesses and industries with small businesses subject to proposed rule.</w:t>
      </w:r>
    </w:p>
    <w:p w14:paraId="3881E8B8" w14:textId="77777777" w:rsidR="00AD7DB9" w:rsidRPr="0038253B" w:rsidRDefault="00AD7DB9" w:rsidP="00772D8F">
      <w:pPr>
        <w:ind w:left="0" w:right="-432"/>
      </w:pPr>
    </w:p>
    <w:p w14:paraId="6AC9BC8C" w14:textId="77777777"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14:paraId="585341AA" w14:textId="77777777" w:rsidR="0007684B" w:rsidRPr="0038253B" w:rsidRDefault="0007684B" w:rsidP="00501ABB">
      <w:pPr>
        <w:ind w:left="0"/>
        <w:rPr>
          <w:color w:val="C45911" w:themeColor="accent2" w:themeShade="BF"/>
        </w:rPr>
      </w:pPr>
    </w:p>
    <w:p w14:paraId="0D0B0BE0" w14:textId="77777777" w:rsidR="0007684B" w:rsidRPr="0038253B" w:rsidRDefault="0007684B" w:rsidP="00772D8F">
      <w:pPr>
        <w:ind w:left="0" w:right="-432"/>
        <w:rPr>
          <w:color w:val="C45911" w:themeColor="accent2" w:themeShade="BF"/>
        </w:rPr>
      </w:pPr>
      <w:r w:rsidRPr="0038253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4DF88078" w14:textId="77777777" w:rsidR="0007684B" w:rsidRPr="0038253B" w:rsidRDefault="0007684B" w:rsidP="00772D8F">
      <w:pPr>
        <w:ind w:left="0" w:right="-432"/>
        <w:rPr>
          <w:b/>
        </w:rPr>
      </w:pPr>
    </w:p>
    <w:p w14:paraId="516564DE"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14:paraId="39DB7A5B" w14:textId="77777777" w:rsidR="0007684B" w:rsidRPr="0038253B" w:rsidRDefault="0007684B" w:rsidP="00772D8F">
      <w:pPr>
        <w:ind w:left="0" w:right="-432"/>
      </w:pP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7C3C0554" w14:textId="77777777" w:rsidR="0007684B" w:rsidRPr="0038253B" w:rsidRDefault="0007684B" w:rsidP="00772D8F">
      <w:pPr>
        <w:ind w:left="0" w:right="-432"/>
        <w:rPr>
          <w:b/>
        </w:rPr>
      </w:pPr>
    </w:p>
    <w:p w14:paraId="25A5677F"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77777777" w:rsidR="0007684B" w:rsidRPr="0038253B" w:rsidRDefault="0007684B" w:rsidP="00772D8F">
      <w:pPr>
        <w:pStyle w:val="Heading4"/>
        <w:ind w:right="-432"/>
      </w:pPr>
      <w:r w:rsidRPr="0038253B">
        <w:t>d. Describe how DEQ involved small businesses in developing this proposed rule.</w:t>
      </w:r>
    </w:p>
    <w:p w14:paraId="5E331196" w14:textId="77777777" w:rsidR="0007684B" w:rsidRPr="0038253B" w:rsidRDefault="0007684B" w:rsidP="00772D8F">
      <w:pPr>
        <w:ind w:left="0" w:right="-432"/>
      </w:pPr>
    </w:p>
    <w:p w14:paraId="68367DCF" w14:textId="77777777"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0D8551A2" w14:textId="77777777" w:rsidR="0007684B" w:rsidRPr="0038253B" w:rsidRDefault="0007684B" w:rsidP="00772D8F">
      <w:pPr>
        <w:ind w:left="0" w:right="-432"/>
        <w:rPr>
          <w:b/>
        </w:rPr>
      </w:pPr>
    </w:p>
    <w:p w14:paraId="4E9968C0" w14:textId="77777777" w:rsidR="0007684B" w:rsidRPr="0038253B" w:rsidRDefault="0007684B" w:rsidP="00772D8F">
      <w:pPr>
        <w:ind w:left="0" w:right="-432"/>
      </w:pPr>
    </w:p>
    <w:p w14:paraId="6E5470BA" w14:textId="77777777"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14:paraId="38758DC0" w14:textId="77777777" w:rsidR="00AD7DB9" w:rsidRPr="0038253B" w:rsidRDefault="00AD7DB9" w:rsidP="00772D8F">
      <w:pPr>
        <w:pStyle w:val="Heading2"/>
        <w:ind w:left="0" w:right="-432"/>
      </w:pPr>
      <w:r w:rsidRPr="0038253B">
        <w:t>Documents relied on for fiscal and economic impact</w:t>
      </w:r>
    </w:p>
    <w:p w14:paraId="10CBD419" w14:textId="77777777"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14:paraId="76947249" w14:textId="77777777"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14:paraId="539548B5" w14:textId="77777777" w:rsidTr="00980249">
        <w:trPr>
          <w:jc w:val="center"/>
        </w:trPr>
        <w:tc>
          <w:tcPr>
            <w:tcW w:w="3870" w:type="dxa"/>
            <w:shd w:val="clear" w:color="auto" w:fill="C5E0B3" w:themeFill="accent6" w:themeFillTint="66"/>
          </w:tcPr>
          <w:p w14:paraId="37F144FE"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3DF0A275"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14:paraId="5C9171E8" w14:textId="77777777" w:rsidTr="0047393E">
        <w:trPr>
          <w:jc w:val="center"/>
          <w:hidden w:val="0"/>
        </w:trPr>
        <w:tc>
          <w:tcPr>
            <w:tcW w:w="3870" w:type="dxa"/>
          </w:tcPr>
          <w:p w14:paraId="2113184E" w14:textId="77777777" w:rsidR="00AD7DB9" w:rsidRPr="0038253B" w:rsidRDefault="00AD7DB9" w:rsidP="00501ABB">
            <w:pPr>
              <w:ind w:left="0"/>
              <w:rPr>
                <w:rStyle w:val="Emphasis"/>
                <w:vanish w:val="0"/>
                <w:color w:val="C45911" w:themeColor="accent2" w:themeShade="BF"/>
                <w:sz w:val="22"/>
                <w:szCs w:val="22"/>
              </w:rPr>
            </w:pPr>
          </w:p>
          <w:p w14:paraId="749825ED" w14:textId="77777777"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14:paraId="0BF3DAC7" w14:textId="77777777"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14:paraId="251CCA81" w14:textId="77777777"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14:paraId="0CAA48FB" w14:textId="77777777" w:rsidTr="0047393E">
        <w:trPr>
          <w:jc w:val="center"/>
        </w:trPr>
        <w:tc>
          <w:tcPr>
            <w:tcW w:w="3870" w:type="dxa"/>
          </w:tcPr>
          <w:p w14:paraId="52CBB037" w14:textId="77777777" w:rsidR="00A872BA" w:rsidRPr="0038253B" w:rsidRDefault="00A872BA" w:rsidP="00501ABB">
            <w:pPr>
              <w:ind w:left="0"/>
              <w:rPr>
                <w:szCs w:val="22"/>
              </w:rPr>
            </w:pPr>
          </w:p>
          <w:p w14:paraId="6B340D23" w14:textId="77777777" w:rsidR="00B40B6F" w:rsidRPr="0038253B" w:rsidRDefault="00B40B6F" w:rsidP="00501ABB">
            <w:pPr>
              <w:ind w:left="0"/>
              <w:rPr>
                <w:szCs w:val="22"/>
              </w:rPr>
            </w:pPr>
            <w:r w:rsidRPr="0038253B">
              <w:rPr>
                <w:szCs w:val="22"/>
              </w:rPr>
              <w:t>TEXT</w:t>
            </w:r>
          </w:p>
        </w:tc>
        <w:tc>
          <w:tcPr>
            <w:tcW w:w="4950" w:type="dxa"/>
          </w:tcPr>
          <w:p w14:paraId="46E8EBC7"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14:paraId="70AA1911"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14:paraId="489090F8" w14:textId="77777777"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14:paraId="6D16543B" w14:textId="77777777" w:rsidR="00B40B6F" w:rsidRPr="0038253B" w:rsidRDefault="00B40B6F" w:rsidP="00501ABB">
            <w:pPr>
              <w:ind w:left="0"/>
              <w:rPr>
                <w:bCs/>
                <w:szCs w:val="22"/>
              </w:rPr>
            </w:pPr>
            <w:r w:rsidRPr="0038253B">
              <w:rPr>
                <w:szCs w:val="22"/>
              </w:rPr>
              <w:t>TEXT</w:t>
            </w:r>
          </w:p>
        </w:tc>
      </w:tr>
    </w:tbl>
    <w:p w14:paraId="7BBE8E3C" w14:textId="77777777" w:rsidR="00AD7DB9" w:rsidRPr="0038253B" w:rsidRDefault="00AD7DB9" w:rsidP="00501ABB">
      <w:pPr>
        <w:ind w:left="0"/>
      </w:pPr>
      <w:r w:rsidRPr="0038253B">
        <w:t xml:space="preserve"> </w:t>
      </w: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lastRenderedPageBreak/>
        <w:t>Advisory committee</w:t>
      </w:r>
      <w:r w:rsidR="00B31F37" w:rsidRPr="0038253B">
        <w:t xml:space="preserve"> fiscal review</w:t>
      </w:r>
    </w:p>
    <w:p w14:paraId="2454990B" w14:textId="77777777"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14:paraId="5C7FEDDF" w14:textId="77777777" w:rsidR="00EC75F3" w:rsidRPr="0038253B" w:rsidRDefault="00EC75F3" w:rsidP="00772D8F">
      <w:pPr>
        <w:ind w:left="0" w:right="-432"/>
        <w:rPr>
          <w:rFonts w:ascii="Arial" w:hAnsi="Arial"/>
          <w:b/>
          <w:iCs/>
          <w:color w:val="C45911" w:themeColor="accent2" w:themeShade="BF"/>
          <w:szCs w:val="28"/>
        </w:rPr>
      </w:pPr>
    </w:p>
    <w:p w14:paraId="32D56AAA"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14:paraId="4069CFC1" w14:textId="77777777" w:rsidR="00AD7DB9" w:rsidRPr="0038253B" w:rsidRDefault="00AD7DB9" w:rsidP="00772D8F">
      <w:pPr>
        <w:ind w:left="0" w:right="-432"/>
      </w:pPr>
      <w:r w:rsidRPr="0038253B">
        <w:t>DEQ appointed an advisory committee</w:t>
      </w:r>
      <w:r w:rsidR="00EC75F3" w:rsidRPr="0038253B">
        <w:t>.</w:t>
      </w:r>
      <w:r w:rsidRPr="0038253B">
        <w:t xml:space="preserve"> </w:t>
      </w:r>
    </w:p>
    <w:p w14:paraId="3653EA58" w14:textId="77777777" w:rsidR="007F0170" w:rsidRPr="0038253B" w:rsidRDefault="007F0170" w:rsidP="00772D8F">
      <w:pPr>
        <w:ind w:left="0" w:right="-432"/>
      </w:pPr>
    </w:p>
    <w:p w14:paraId="4C51F388" w14:textId="77777777"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14:paraId="7EF87FC5" w14:textId="77777777"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14:paraId="1E4AA0D4" w14:textId="77777777"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14:paraId="3008AD06" w14:textId="77777777"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14:paraId="57E28802" w14:textId="77777777" w:rsidR="00891607" w:rsidRPr="0038253B" w:rsidRDefault="00891607" w:rsidP="00772D8F">
      <w:pPr>
        <w:shd w:val="clear" w:color="auto" w:fill="FFFFFF" w:themeFill="background1"/>
        <w:ind w:left="0" w:right="-432"/>
      </w:pPr>
    </w:p>
    <w:p w14:paraId="2888A3D9" w14:textId="77777777"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14:paraId="1D027D9F" w14:textId="77777777" w:rsidR="00DE6FD3" w:rsidRPr="0038253B" w:rsidRDefault="00DE6FD3" w:rsidP="00772D8F">
      <w:pPr>
        <w:shd w:val="clear" w:color="auto" w:fill="FFFFFF" w:themeFill="background1"/>
        <w:ind w:left="0" w:right="-432"/>
      </w:pPr>
      <w:r w:rsidRPr="0038253B">
        <w:rPr>
          <w:color w:val="C45911" w:themeColor="accent2" w:themeShade="BF"/>
        </w:rPr>
        <w:t>Choose one:</w:t>
      </w:r>
    </w:p>
    <w:p w14:paraId="039A02AD" w14:textId="77777777"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14:paraId="46654605" w14:textId="77777777"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or </w:t>
      </w:r>
    </w:p>
    <w:p w14:paraId="363BF6DF" w14:textId="77777777"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14:paraId="357AA6AC" w14:textId="77777777" w:rsidR="00AD7DB9" w:rsidRPr="0038253B" w:rsidRDefault="00AD7DB9" w:rsidP="00772D8F">
      <w:pPr>
        <w:ind w:left="0" w:right="-432"/>
      </w:pPr>
    </w:p>
    <w:p w14:paraId="3D58F046" w14:textId="77777777"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14:paraId="18067477" w14:textId="77777777" w:rsidR="00F146F0" w:rsidRPr="0038253B" w:rsidRDefault="00F146F0" w:rsidP="00772D8F">
      <w:pPr>
        <w:ind w:left="0" w:right="-432"/>
      </w:pPr>
    </w:p>
    <w:p w14:paraId="4AAEB433"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14:paraId="2B43E07F" w14:textId="77777777" w:rsidR="00F146F0" w:rsidRPr="0038253B" w:rsidRDefault="00F146F0" w:rsidP="00772D8F">
      <w:pPr>
        <w:ind w:left="0" w:right="-432"/>
      </w:pPr>
    </w:p>
    <w:p w14:paraId="6608250D" w14:textId="77777777" w:rsidR="00E36109" w:rsidRPr="0038253B" w:rsidRDefault="00E36109" w:rsidP="00772D8F">
      <w:pPr>
        <w:ind w:left="0" w:right="-432"/>
      </w:pPr>
      <w:r w:rsidRPr="0038253B">
        <w:t>As ORS 183.333 and 183.540 require, the committee considered how DEQ could reduce the rules’ fiscal impact on small business by:</w:t>
      </w:r>
    </w:p>
    <w:p w14:paraId="61825769" w14:textId="77777777" w:rsidR="00E36109" w:rsidRPr="0038253B" w:rsidRDefault="00E36109" w:rsidP="00772D8F">
      <w:pPr>
        <w:ind w:left="0" w:right="-432"/>
      </w:pPr>
    </w:p>
    <w:p w14:paraId="6060425E" w14:textId="77777777"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14:paraId="67DEE737" w14:textId="77777777"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6D59055D" w14:textId="77777777" w:rsidR="00E36109" w:rsidRPr="0038253B" w:rsidRDefault="00E36109" w:rsidP="00772D8F">
      <w:pPr>
        <w:pStyle w:val="ListParagraph"/>
        <w:numPr>
          <w:ilvl w:val="0"/>
          <w:numId w:val="11"/>
        </w:numPr>
        <w:ind w:left="0" w:right="-432" w:firstLine="0"/>
      </w:pPr>
      <w:r w:rsidRPr="0038253B">
        <w:t>Utilizing objective criteria for standards;</w:t>
      </w:r>
    </w:p>
    <w:p w14:paraId="0B2FBF91" w14:textId="77777777"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14:paraId="41D4DE0A" w14:textId="77777777"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14:paraId="1E570099" w14:textId="77777777" w:rsidR="00AD7DB9" w:rsidRPr="0038253B" w:rsidRDefault="00AD7DB9" w:rsidP="00772D8F">
      <w:pPr>
        <w:ind w:left="0" w:right="-432"/>
      </w:pPr>
    </w:p>
    <w:p w14:paraId="0ABEB4B1" w14:textId="77777777"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53AA7401"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14:paraId="4D312E04" w14:textId="77777777"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14:paraId="72BF3F9E" w14:textId="77777777" w:rsidR="00AD7DB9" w:rsidRPr="0038253B" w:rsidRDefault="00AD7DB9" w:rsidP="00772D8F">
      <w:pPr>
        <w:ind w:left="0" w:right="-432"/>
      </w:pPr>
    </w:p>
    <w:p w14:paraId="2DF88D61" w14:textId="77777777"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14:paraId="33549B2E" w14:textId="77777777" w:rsidR="00F146F0" w:rsidRPr="0038253B" w:rsidRDefault="00F146F0" w:rsidP="00772D8F">
      <w:pPr>
        <w:ind w:left="0" w:right="-432"/>
        <w:rPr>
          <w:color w:val="C45911" w:themeColor="accent2" w:themeShade="BF"/>
        </w:rPr>
      </w:pPr>
    </w:p>
    <w:p w14:paraId="4FD1FE7D" w14:textId="77777777"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14:paraId="461CE5E4" w14:textId="77777777" w:rsidR="00F146F0" w:rsidRPr="0038253B" w:rsidRDefault="00F146F0" w:rsidP="00772D8F">
      <w:pPr>
        <w:ind w:left="0" w:right="-432"/>
      </w:pPr>
    </w:p>
    <w:p w14:paraId="5DAC258E" w14:textId="77777777"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14:paraId="3029AE99" w14:textId="77777777"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4A1C00A5" w14:textId="77777777" w:rsidR="00F146F0" w:rsidRPr="0038253B" w:rsidRDefault="00F146F0" w:rsidP="00772D8F">
      <w:pPr>
        <w:pStyle w:val="ListParagraph"/>
        <w:numPr>
          <w:ilvl w:val="0"/>
          <w:numId w:val="11"/>
        </w:numPr>
        <w:ind w:left="0" w:right="-432" w:firstLine="0"/>
      </w:pPr>
      <w:r w:rsidRPr="0038253B">
        <w:t>Utilizing objective criteria for standards;</w:t>
      </w:r>
    </w:p>
    <w:p w14:paraId="2F518459" w14:textId="77777777"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14:paraId="654F0BF8" w14:textId="77777777"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14:paraId="248B076E" w14:textId="77777777" w:rsidR="00F146F0" w:rsidRPr="0038253B" w:rsidRDefault="00F146F0" w:rsidP="00772D8F">
      <w:pPr>
        <w:ind w:left="0" w:right="-432"/>
      </w:pPr>
    </w:p>
    <w:p w14:paraId="04A8D4BE"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14:paraId="5BF61EF7" w14:textId="77777777" w:rsidR="000A5647" w:rsidRPr="0038253B" w:rsidRDefault="00AD7DB9" w:rsidP="00772D8F">
      <w:pPr>
        <w:pStyle w:val="Heading2"/>
        <w:ind w:left="0" w:right="-432"/>
      </w:pPr>
      <w:r w:rsidRPr="0038253B">
        <w:t xml:space="preserve">Housing cost  </w:t>
      </w:r>
    </w:p>
    <w:p w14:paraId="0C0ECE70" w14:textId="77777777"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14:paraId="2F1256F6" w14:textId="77777777" w:rsidR="00602901" w:rsidRPr="0038253B" w:rsidRDefault="00602901" w:rsidP="00772D8F">
      <w:pPr>
        <w:ind w:left="0" w:right="-432"/>
        <w:rPr>
          <w:rStyle w:val="Emphasis"/>
          <w:rFonts w:ascii="Arial" w:hAnsi="Arial" w:cs="Arial"/>
          <w:vanish w:val="0"/>
          <w:color w:val="C45911" w:themeColor="accent2" w:themeShade="BF"/>
          <w:sz w:val="24"/>
        </w:rPr>
      </w:pPr>
    </w:p>
    <w:p w14:paraId="6D9EDEA6" w14:textId="77777777"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14:paraId="02D08ADB"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14:paraId="156BB37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14:paraId="5FD10079"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14:paraId="700C18CA"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(3) The Housing Cost Impact Statement shall include: </w:t>
      </w:r>
    </w:p>
    <w:p w14:paraId="1B2000B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14:paraId="35C8EFCF"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14:paraId="78A4A4EC"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14:paraId="5F57F1EF" w14:textId="77777777" w:rsidR="00E220F4" w:rsidRPr="0038253B" w:rsidRDefault="00E220F4" w:rsidP="00772D8F">
      <w:pPr>
        <w:ind w:left="0" w:right="-432"/>
        <w:rPr>
          <w:rStyle w:val="Emphasis"/>
          <w:rFonts w:ascii="Arial" w:hAnsi="Arial"/>
          <w:vanish w:val="0"/>
          <w:color w:val="C45911" w:themeColor="accent2" w:themeShade="BF"/>
          <w:sz w:val="24"/>
        </w:rPr>
      </w:pPr>
    </w:p>
    <w:p w14:paraId="4BE955EF" w14:textId="77777777"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14:paraId="5192922E" w14:textId="77777777" w:rsidR="00E220F4" w:rsidRPr="0038253B" w:rsidRDefault="00E220F4" w:rsidP="00772D8F">
      <w:pPr>
        <w:ind w:left="0" w:right="-432"/>
      </w:pPr>
    </w:p>
    <w:p w14:paraId="7EFEDF2D"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14:paraId="12C4B3D7" w14:textId="77777777" w:rsidR="00E220F4" w:rsidRPr="0038253B" w:rsidRDefault="00E220F4" w:rsidP="00772D8F">
      <w:pPr>
        <w:ind w:left="0" w:right="-432"/>
      </w:pPr>
    </w:p>
    <w:p w14:paraId="1F340790" w14:textId="77777777"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14:paraId="2A12EB97" w14:textId="77777777" w:rsidR="00E220F4" w:rsidRPr="0038253B" w:rsidRDefault="00E220F4" w:rsidP="00772D8F">
      <w:pPr>
        <w:ind w:left="0" w:right="-432"/>
      </w:pPr>
    </w:p>
    <w:p w14:paraId="32E4D640"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14:paraId="0FFC194A" w14:textId="77777777" w:rsidR="00E220F4" w:rsidRPr="0038253B" w:rsidRDefault="00E220F4" w:rsidP="00772D8F">
      <w:pPr>
        <w:ind w:left="0" w:right="-432"/>
      </w:pPr>
    </w:p>
    <w:p w14:paraId="5562DCA9" w14:textId="77777777"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14:paraId="4CB822C0" w14:textId="77777777" w:rsidR="00B60B1B" w:rsidRPr="0038253B" w:rsidRDefault="00B60B1B" w:rsidP="00772D8F">
      <w:pPr>
        <w:ind w:left="0" w:right="-432"/>
      </w:pP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8" w:name="_Toc482800003"/>
            <w:r w:rsidRPr="0038253B">
              <w:rPr>
                <w:rStyle w:val="Heading1Char"/>
              </w:rPr>
              <w:t>Federal relationship</w:t>
            </w:r>
            <w:bookmarkEnd w:id="8"/>
          </w:p>
          <w:p w14:paraId="0412E48C" w14:textId="77777777" w:rsidR="0078711B" w:rsidRPr="0038253B" w:rsidRDefault="0078711B" w:rsidP="0078711B">
            <w:pPr>
              <w:ind w:left="0"/>
              <w:rPr>
                <w:b/>
              </w:rPr>
            </w:pPr>
            <w:r w:rsidRPr="0038253B">
              <w:rPr>
                <w:b/>
                <w:color w:val="C45911" w:themeColor="accent2" w:themeShade="BF"/>
              </w:rPr>
              <w:t xml:space="preserve"> ORS 183.332; 468A.327; OAR 340-011-0029</w:t>
            </w:r>
            <w:hyperlink r:id="rId28" w:history="1"/>
          </w:p>
        </w:tc>
      </w:tr>
    </w:tbl>
    <w:p w14:paraId="39C592B9" w14:textId="77777777" w:rsidR="00255B02" w:rsidRPr="0038253B" w:rsidRDefault="00255B02" w:rsidP="00501ABB">
      <w:pPr>
        <w:ind w:left="0"/>
      </w:pPr>
    </w:p>
    <w:p w14:paraId="6B9A8C8F" w14:textId="77777777" w:rsidR="00255B02" w:rsidRPr="0038253B" w:rsidRDefault="00255B02" w:rsidP="00772D8F">
      <w:pPr>
        <w:pStyle w:val="Heading3"/>
        <w:ind w:left="0" w:right="-432"/>
      </w:pPr>
      <w:r w:rsidRPr="0038253B">
        <w:t xml:space="preserve">Relationship to federal requirements </w:t>
      </w:r>
    </w:p>
    <w:p w14:paraId="230F437C" w14:textId="77777777"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14:paraId="1B9CB781"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14:paraId="66387FF7"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14:paraId="20921819"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14:paraId="1FB34A1B"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14:paraId="3C2EAB2D"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14:paraId="6569AE1E"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14:paraId="2249ADC3" w14:textId="77777777" w:rsidR="00DB4041" w:rsidRPr="0038253B" w:rsidRDefault="00DB4041" w:rsidP="00772D8F">
      <w:pPr>
        <w:ind w:left="0" w:right="-432"/>
        <w:rPr>
          <w:rFonts w:asciiTheme="minorHAnsi" w:hAnsiTheme="minorHAnsi" w:cstheme="minorHAnsi"/>
          <w:color w:val="806000" w:themeColor="accent4" w:themeShade="80"/>
        </w:rPr>
      </w:pPr>
    </w:p>
    <w:p w14:paraId="7F9BC4CA" w14:textId="77777777" w:rsidR="00DB4041" w:rsidRPr="0038253B" w:rsidRDefault="00DB4041" w:rsidP="00772D8F">
      <w:pPr>
        <w:ind w:left="0" w:right="-432"/>
        <w:rPr>
          <w:rFonts w:asciiTheme="minorHAnsi" w:hAnsiTheme="minorHAnsi" w:cstheme="minorHAnsi"/>
          <w:color w:val="000000"/>
        </w:rPr>
      </w:pPr>
    </w:p>
    <w:p w14:paraId="15D96701" w14:textId="77777777"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14:paraId="50516150" w14:textId="77777777" w:rsidR="0004204A" w:rsidRPr="0038253B" w:rsidRDefault="0004204A" w:rsidP="00772D8F">
      <w:pPr>
        <w:ind w:left="0" w:right="-432"/>
        <w:rPr>
          <w:rFonts w:asciiTheme="minorHAnsi" w:hAnsiTheme="minorHAnsi" w:cstheme="minorHAnsi"/>
          <w:color w:val="000000"/>
        </w:rPr>
      </w:pPr>
    </w:p>
    <w:p w14:paraId="5D0F0CA2" w14:textId="77777777"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14:paraId="25648323" w14:textId="77777777" w:rsidR="00056F18" w:rsidRPr="0038253B" w:rsidRDefault="00056F18" w:rsidP="00772D8F">
      <w:pPr>
        <w:ind w:left="0" w:right="-432"/>
        <w:rPr>
          <w:rStyle w:val="Emphasis"/>
          <w:rFonts w:ascii="Arial" w:hAnsi="Arial"/>
          <w:vanish w:val="0"/>
          <w:color w:val="C45911" w:themeColor="accent2" w:themeShade="BF"/>
          <w:sz w:val="24"/>
        </w:rPr>
      </w:pPr>
    </w:p>
    <w:p w14:paraId="1C0798DA" w14:textId="77777777" w:rsidR="00255B02" w:rsidRPr="0038253B" w:rsidRDefault="00255B02" w:rsidP="00772D8F">
      <w:pPr>
        <w:ind w:left="0" w:right="-432"/>
      </w:pPr>
    </w:p>
    <w:p w14:paraId="6A7FB371"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14:paraId="4013E47F" w14:textId="77777777" w:rsidR="00255B02" w:rsidRPr="0038253B" w:rsidRDefault="00255B02" w:rsidP="00772D8F">
      <w:pPr>
        <w:ind w:left="0" w:right="-432"/>
        <w:rPr>
          <w:color w:val="504938"/>
        </w:rPr>
      </w:pPr>
      <w:r w:rsidRPr="0038253B">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14:paraId="5631ABEF" w14:textId="77777777" w:rsidR="00255B02" w:rsidRPr="0038253B" w:rsidRDefault="00255B02" w:rsidP="00772D8F">
      <w:pPr>
        <w:ind w:left="0" w:right="-432"/>
      </w:pPr>
    </w:p>
    <w:p w14:paraId="4A9DDAD2" w14:textId="77777777"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14:paraId="24E092D1" w14:textId="77777777"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14:paraId="566D1E50" w14:textId="77777777" w:rsidR="00644DE0" w:rsidRPr="0038253B" w:rsidRDefault="00644DE0" w:rsidP="00772D8F">
      <w:pPr>
        <w:ind w:left="0" w:right="-432"/>
      </w:pPr>
    </w:p>
    <w:p w14:paraId="3330BA5B"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14:paraId="6F69FFFC" w14:textId="77777777"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14:paraId="508E58F6" w14:textId="77777777" w:rsidR="00225B8E" w:rsidRPr="0038253B" w:rsidRDefault="00225B8E" w:rsidP="00772D8F">
      <w:pPr>
        <w:ind w:left="0" w:right="-432"/>
      </w:pPr>
    </w:p>
    <w:p w14:paraId="7FF7BD4A" w14:textId="77777777"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14:paraId="5E25BD9C" w14:textId="77777777" w:rsidR="00225B8E" w:rsidRPr="0038253B" w:rsidRDefault="00225B8E" w:rsidP="00772D8F">
      <w:pPr>
        <w:ind w:left="0" w:right="-432"/>
      </w:pPr>
    </w:p>
    <w:p w14:paraId="68E80214" w14:textId="77777777"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9" w:name="AlternativesConsidered"/>
      <w:bookmarkStart w:id="10" w:name="RANGE!C35"/>
      <w:r w:rsidR="00D40C0F" w:rsidRPr="0038253B">
        <w:rPr>
          <w:rStyle w:val="Emphasis"/>
          <w:rFonts w:ascii="Arial" w:hAnsi="Arial"/>
          <w:vanish w:val="0"/>
          <w:color w:val="C45911" w:themeColor="accent2" w:themeShade="BF"/>
          <w:sz w:val="24"/>
        </w:rPr>
        <w:t>in addition to federal rules</w:t>
      </w:r>
    </w:p>
    <w:p w14:paraId="27A4B580" w14:textId="77777777" w:rsidR="00D40C0F" w:rsidRPr="0038253B" w:rsidRDefault="00D40C0F" w:rsidP="00772D8F">
      <w:pPr>
        <w:ind w:left="0" w:right="-432"/>
        <w:rPr>
          <w:rStyle w:val="Emphasis"/>
          <w:rFonts w:ascii="Arial" w:hAnsi="Arial"/>
          <w:vanish w:val="0"/>
          <w:color w:val="C45911" w:themeColor="accent2" w:themeShade="BF"/>
          <w:sz w:val="24"/>
        </w:rPr>
      </w:pPr>
    </w:p>
    <w:p w14:paraId="74D3A91E" w14:textId="77777777"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14:paraId="770BD7E2" w14:textId="77777777" w:rsidR="00D40C0F" w:rsidRPr="0038253B" w:rsidRDefault="00D40C0F" w:rsidP="00772D8F">
      <w:pPr>
        <w:ind w:left="0" w:right="-432"/>
        <w:rPr>
          <w:rFonts w:ascii="Arial" w:hAnsi="Arial"/>
          <w:bCs/>
          <w:color w:val="C45911" w:themeColor="accent2" w:themeShade="BF"/>
        </w:rPr>
      </w:pPr>
    </w:p>
    <w:p w14:paraId="1C660033" w14:textId="77777777" w:rsidR="00255B02" w:rsidRPr="0038253B" w:rsidRDefault="00255B02" w:rsidP="00772D8F">
      <w:pPr>
        <w:ind w:left="0" w:right="-432"/>
      </w:pPr>
      <w:r w:rsidRPr="0038253B">
        <w:t>What alternatives did DEQ consider</w:t>
      </w:r>
      <w:bookmarkEnd w:id="9"/>
      <w:r w:rsidRPr="0038253B">
        <w:t xml:space="preserve"> if any?</w:t>
      </w:r>
      <w:bookmarkEnd w:id="10"/>
      <w:r w:rsidRPr="0038253B">
        <w:t xml:space="preserve"> </w:t>
      </w:r>
    </w:p>
    <w:p w14:paraId="10226B30" w14:textId="77777777"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14:paraId="1376CEEE" w14:textId="77777777" w:rsidR="0004204A" w:rsidRPr="0038253B" w:rsidRDefault="0004204A" w:rsidP="00772D8F">
      <w:pPr>
        <w:ind w:left="0" w:right="-432"/>
      </w:pPr>
    </w:p>
    <w:p w14:paraId="4FED46AB" w14:textId="77777777"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14:paraId="5CBCEF87" w14:textId="77777777" w:rsidR="00225B8E" w:rsidRPr="0038253B" w:rsidRDefault="00225B8E" w:rsidP="00772D8F">
      <w:pPr>
        <w:ind w:left="0" w:right="-432"/>
        <w:rPr>
          <w:rStyle w:val="Emphasis"/>
          <w:rFonts w:ascii="Arial" w:hAnsi="Arial"/>
          <w:vanish w:val="0"/>
          <w:color w:val="C45911" w:themeColor="accent2" w:themeShade="BF"/>
          <w:sz w:val="24"/>
        </w:rPr>
      </w:pPr>
    </w:p>
    <w:p w14:paraId="573DECFA" w14:textId="77777777"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14:paraId="7DB911FA" w14:textId="77777777" w:rsidR="00255B02" w:rsidRPr="0038253B" w:rsidRDefault="00255B02" w:rsidP="00501ABB">
      <w:pPr>
        <w:ind w:left="0"/>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1" w:name="_Toc482800004"/>
            <w:r w:rsidRPr="0038253B">
              <w:rPr>
                <w:rStyle w:val="Heading1Char"/>
              </w:rPr>
              <w:t>Land use</w:t>
            </w:r>
            <w:bookmarkEnd w:id="11"/>
          </w:p>
          <w:p w14:paraId="3F01C8C3" w14:textId="77777777"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29" w:history="1">
              <w:r w:rsidR="009C0A9E" w:rsidRPr="0038253B">
                <w:rPr>
                  <w:rStyle w:val="Hyperlink"/>
                  <w:rFonts w:cs="Arial"/>
                  <w:color w:val="C45911" w:themeColor="accent2" w:themeShade="BF"/>
                </w:rPr>
                <w:t>Land Use</w:t>
              </w:r>
            </w:hyperlink>
          </w:p>
        </w:tc>
      </w:tr>
    </w:tbl>
    <w:p w14:paraId="365DB716" w14:textId="77777777" w:rsidR="00BB582F" w:rsidRPr="0038253B" w:rsidRDefault="00BB582F" w:rsidP="00501ABB">
      <w:pPr>
        <w:ind w:left="0"/>
      </w:pPr>
    </w:p>
    <w:p w14:paraId="444596B7" w14:textId="77777777"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14:paraId="3CB3CE83" w14:textId="77777777" w:rsidR="00BC4802" w:rsidRPr="0038253B" w:rsidRDefault="00BC4802" w:rsidP="00772D8F">
      <w:pPr>
        <w:ind w:left="0" w:right="-432"/>
        <w:rPr>
          <w:rFonts w:ascii="Arial" w:hAnsi="Arial" w:cs="Arial"/>
          <w:color w:val="C45911" w:themeColor="accent2" w:themeShade="BF"/>
        </w:rPr>
      </w:pPr>
    </w:p>
    <w:p w14:paraId="59063DDF"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14:paraId="5F807C63" w14:textId="77777777" w:rsidR="00D20509" w:rsidRPr="0038253B" w:rsidRDefault="00D20509" w:rsidP="00772D8F">
      <w:pPr>
        <w:ind w:left="0" w:right="-432"/>
        <w:rPr>
          <w:rFonts w:ascii="Arial" w:hAnsi="Arial" w:cs="Arial"/>
          <w:color w:val="C45911" w:themeColor="accent2" w:themeShade="BF"/>
        </w:rPr>
      </w:pPr>
    </w:p>
    <w:p w14:paraId="5F30BCC7"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14:paraId="6BC6FDD3"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14:paraId="4C047832"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14:paraId="6283E968" w14:textId="77777777" w:rsidR="00BC4802" w:rsidRPr="0038253B" w:rsidRDefault="00BC4802" w:rsidP="00772D8F">
      <w:pPr>
        <w:ind w:left="0" w:right="-432"/>
        <w:rPr>
          <w:rFonts w:ascii="Arial" w:hAnsi="Arial" w:cs="Arial"/>
          <w:color w:val="C45911" w:themeColor="accent2" w:themeShade="BF"/>
        </w:rPr>
      </w:pPr>
    </w:p>
    <w:p w14:paraId="799E336A" w14:textId="77777777"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14:paraId="45275448" w14:textId="77777777" w:rsidR="006D5F12" w:rsidRPr="0038253B" w:rsidRDefault="006D5F12" w:rsidP="00772D8F">
      <w:pPr>
        <w:ind w:left="0" w:right="-432"/>
      </w:pPr>
    </w:p>
    <w:p w14:paraId="10D921DB" w14:textId="77777777"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14:paraId="74F47DE9" w14:textId="77777777" w:rsidR="001651F2" w:rsidRPr="0038253B" w:rsidRDefault="001651F2" w:rsidP="00772D8F">
      <w:pPr>
        <w:ind w:left="0" w:right="-432"/>
        <w:rPr>
          <w:rFonts w:ascii="Arial" w:hAnsi="Arial" w:cs="Arial"/>
          <w:color w:val="C45911" w:themeColor="accent2" w:themeShade="BF"/>
        </w:rPr>
      </w:pPr>
    </w:p>
    <w:p w14:paraId="628F4C0D" w14:textId="77777777"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14:paraId="2E658B08" w14:textId="77777777" w:rsidR="008021EA" w:rsidRPr="0038253B" w:rsidRDefault="008021EA" w:rsidP="00772D8F">
      <w:pPr>
        <w:ind w:left="0" w:right="-432"/>
        <w:rPr>
          <w:color w:val="504938"/>
          <w:sz w:val="16"/>
          <w:szCs w:val="16"/>
          <w:u w:val="single"/>
        </w:rPr>
      </w:pPr>
    </w:p>
    <w:p w14:paraId="08937280" w14:textId="77777777"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14:paraId="1B9C3BA5"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14:paraId="53A8E3AF"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14:paraId="11339A00"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14:paraId="03A7BB49"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14:paraId="54C8855B"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14:paraId="2BB0E9D9" w14:textId="77777777" w:rsidR="00BC4802" w:rsidRPr="0038253B" w:rsidRDefault="00BC4802" w:rsidP="00772D8F">
      <w:pPr>
        <w:ind w:left="0" w:right="-432"/>
        <w:rPr>
          <w:rFonts w:ascii="Arial" w:hAnsi="Arial" w:cs="Arial"/>
          <w:color w:val="C45911" w:themeColor="accent2" w:themeShade="BF"/>
        </w:rPr>
      </w:pPr>
    </w:p>
    <w:p w14:paraId="3D07F1FD"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14:paraId="74DB4DAD" w14:textId="77777777" w:rsidR="00A53488" w:rsidRPr="0038253B" w:rsidRDefault="00A53488" w:rsidP="00772D8F">
      <w:pPr>
        <w:ind w:left="0" w:right="-432"/>
        <w:rPr>
          <w:rFonts w:ascii="Arial" w:hAnsi="Arial" w:cs="Arial"/>
          <w:color w:val="C45911" w:themeColor="accent2" w:themeShade="BF"/>
        </w:rPr>
      </w:pPr>
    </w:p>
    <w:p w14:paraId="1C3FCCBA" w14:textId="77777777"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14:paraId="569DBE2E" w14:textId="77777777" w:rsidR="005C10E3" w:rsidRPr="0038253B" w:rsidRDefault="005C10E3" w:rsidP="00772D8F">
      <w:pPr>
        <w:ind w:left="0" w:right="-432"/>
        <w:rPr>
          <w:rFonts w:ascii="Arial" w:hAnsi="Arial" w:cs="Arial"/>
          <w:color w:val="C45911" w:themeColor="accent2" w:themeShade="BF"/>
        </w:rPr>
      </w:pPr>
    </w:p>
    <w:p w14:paraId="7C95D6E7" w14:textId="77777777"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14:paraId="1B626736"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14:paraId="291E4FDF"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11 – Public Facilities and Services</w:t>
      </w:r>
    </w:p>
    <w:p w14:paraId="0AEADBE8" w14:textId="77777777"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14:paraId="6F03081A"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14:paraId="625ACFD2" w14:textId="77777777" w:rsidR="001340B3" w:rsidRPr="0038253B" w:rsidRDefault="001340B3" w:rsidP="00772D8F">
      <w:pPr>
        <w:ind w:left="0" w:right="-432"/>
        <w:rPr>
          <w:rFonts w:ascii="Arial" w:hAnsi="Arial" w:cs="Arial"/>
          <w:i/>
          <w:color w:val="C45911" w:themeColor="accent2" w:themeShade="BF"/>
        </w:rPr>
      </w:pPr>
    </w:p>
    <w:p w14:paraId="50E3873A"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14:paraId="43C7910A" w14:textId="77777777" w:rsidR="005C10E3" w:rsidRPr="0038253B" w:rsidRDefault="005C10E3" w:rsidP="00772D8F">
      <w:pPr>
        <w:ind w:left="0" w:right="-432"/>
        <w:rPr>
          <w:rFonts w:ascii="Arial" w:hAnsi="Arial" w:cs="Arial"/>
          <w:color w:val="C45911" w:themeColor="accent2" w:themeShade="BF"/>
        </w:rPr>
      </w:pPr>
    </w:p>
    <w:p w14:paraId="5A1405B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14:paraId="4D2C62EC"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14:paraId="3ADBD3F9"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14:paraId="1E5FC1F0" w14:textId="77777777" w:rsidR="001340B3" w:rsidRPr="0038253B" w:rsidRDefault="001340B3" w:rsidP="00772D8F">
      <w:pPr>
        <w:ind w:left="0" w:right="-432"/>
        <w:rPr>
          <w:rFonts w:ascii="Arial" w:hAnsi="Arial" w:cs="Arial"/>
          <w:color w:val="C45911" w:themeColor="accent2" w:themeShade="BF"/>
        </w:rPr>
      </w:pPr>
    </w:p>
    <w:p w14:paraId="5A9FDCCB"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14:paraId="41E631F6" w14:textId="77777777"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14:paraId="1FD55368" w14:textId="77777777"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37177885" w14:textId="77777777" w:rsidR="001340B3" w:rsidRPr="0038253B" w:rsidRDefault="001340B3" w:rsidP="00772D8F">
            <w:pPr>
              <w:ind w:left="0" w:right="-432"/>
              <w:jc w:val="center"/>
              <w:rPr>
                <w:b w:val="0"/>
                <w:color w:val="BF8F00" w:themeColor="accent4" w:themeShade="BF"/>
              </w:rPr>
            </w:pPr>
            <w:r w:rsidRPr="0038253B">
              <w:rPr>
                <w:noProof/>
                <w:color w:val="BF8F00" w:themeColor="accent4" w:themeShade="BF"/>
              </w:rPr>
              <w:drawing>
                <wp:anchor distT="0" distB="0" distL="114300" distR="114300" simplePos="0" relativeHeight="251660288" behindDoc="0" locked="0" layoutInCell="1" allowOverlap="1" wp14:anchorId="53210843" wp14:editId="3546E3A2">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14:paraId="1A774B1A" w14:textId="77777777"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14:paraId="6D88F48B" w14:textId="77777777"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14:paraId="3A1A5901" w14:textId="77777777"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14:paraId="136DE95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14:paraId="55ED80AA" w14:textId="77777777"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14:paraId="7432994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7A9D00BF" w14:textId="77777777"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14:paraId="46F7769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2FC077"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14:paraId="070A6914"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8C4A4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14:paraId="501A5B4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56DCB3B"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14:paraId="44B0907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E2D235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14:paraId="24EA9288"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A2643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14:paraId="774CB3D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604200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14:paraId="7A21190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9BDAAE"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14:paraId="23746FF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2CB11BD" w14:textId="77777777"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14:paraId="1346699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4F8AE60" w14:textId="77777777"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14:paraId="16D042E6"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F4CF7EF" w14:textId="77777777"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14:paraId="66B8F41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EA3387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14:paraId="1018594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078A9D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14:paraId="6C7CCE2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1125A6C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(c) Issuance of Hazardous Waste and PCB Storage, Treatment and Disposal Permit</w:t>
            </w:r>
          </w:p>
        </w:tc>
      </w:tr>
      <w:tr w:rsidR="00550120" w:rsidRPr="0038253B" w14:paraId="629BA22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0AFE8E09" w14:textId="77777777"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lastRenderedPageBreak/>
              <w:t>(4</w:t>
            </w:r>
            <w:r w:rsidR="001340B3" w:rsidRPr="0038253B">
              <w:rPr>
                <w:rStyle w:val="ruletitle"/>
                <w:color w:val="BF8F00" w:themeColor="accent4" w:themeShade="BF"/>
              </w:rPr>
              <w:t>) Water Quality Division</w:t>
            </w:r>
          </w:p>
        </w:tc>
      </w:tr>
      <w:tr w:rsidR="00550120" w:rsidRPr="0038253B" w14:paraId="5E7C08B6"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07A84C19"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14:paraId="2A384AAE"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7671FB5"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14:paraId="29D61BAA"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4C95CC9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14:paraId="35BD182A"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5F010B1"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14:paraId="7AC19020"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3254D023"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14:paraId="4B99E202"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6EC30B6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14:paraId="7B30AA3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6980545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14:paraId="02557C0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14FE7ED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14:paraId="03CBA07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484555D"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14:paraId="091FDBA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35D6B66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14:paraId="3E52BF64"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63AF19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14:paraId="07852624" w14:textId="77777777" w:rsidR="001340B3" w:rsidRPr="0038253B" w:rsidRDefault="001340B3" w:rsidP="00772D8F">
      <w:pPr>
        <w:ind w:left="0" w:right="-432"/>
        <w:rPr>
          <w:rFonts w:ascii="Arial" w:hAnsi="Arial" w:cs="Arial"/>
          <w:color w:val="C45911" w:themeColor="accent2" w:themeShade="BF"/>
        </w:rPr>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6D2A5DEF" w14:textId="77777777" w:rsidR="00E026AC" w:rsidRPr="0038253B" w:rsidRDefault="00E026AC" w:rsidP="00772D8F">
      <w:pPr>
        <w:ind w:right="-432"/>
      </w:pPr>
    </w:p>
    <w:p w14:paraId="0D629815" w14:textId="77777777"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14:paraId="1A7113A8" w14:textId="77777777" w:rsidR="00661768" w:rsidRPr="0038253B" w:rsidRDefault="00661768" w:rsidP="00772D8F">
      <w:pPr>
        <w:ind w:left="0" w:right="-432"/>
      </w:pPr>
    </w:p>
    <w:p w14:paraId="7F0BC614" w14:textId="77777777" w:rsidR="00AA62F7" w:rsidRPr="0038253B" w:rsidRDefault="00AA62F7" w:rsidP="00772D8F">
      <w:pPr>
        <w:ind w:left="0" w:right="-432"/>
      </w:pPr>
      <w:r w:rsidRPr="0038253B">
        <w:t>Under OAR 660-030-0005 and OAR 340 Division 18, DEQ considers that rules affect land use if:</w:t>
      </w:r>
    </w:p>
    <w:p w14:paraId="01BAFA5C" w14:textId="77777777" w:rsidR="00AA62F7" w:rsidRPr="0038253B" w:rsidRDefault="00AA62F7" w:rsidP="00772D8F">
      <w:pPr>
        <w:numPr>
          <w:ilvl w:val="0"/>
          <w:numId w:val="14"/>
        </w:numPr>
        <w:ind w:left="0" w:right="-432" w:firstLine="0"/>
      </w:pPr>
      <w:r w:rsidRPr="0038253B">
        <w:t>The statewide land use planning goals specifically refer to the rule or program, or</w:t>
      </w:r>
    </w:p>
    <w:p w14:paraId="7D235018" w14:textId="77777777" w:rsidR="00AA62F7" w:rsidRPr="0038253B" w:rsidRDefault="00AA62F7" w:rsidP="00772D8F">
      <w:pPr>
        <w:numPr>
          <w:ilvl w:val="0"/>
          <w:numId w:val="14"/>
        </w:numPr>
        <w:ind w:left="0" w:right="-432" w:firstLine="0"/>
      </w:pPr>
      <w:r w:rsidRPr="0038253B">
        <w:t>The rule or program is reasonably expected to have significant effects on:</w:t>
      </w:r>
    </w:p>
    <w:p w14:paraId="4EC49D29" w14:textId="77777777" w:rsidR="00AA62F7" w:rsidRPr="0038253B" w:rsidRDefault="00AA62F7" w:rsidP="00772D8F">
      <w:pPr>
        <w:numPr>
          <w:ilvl w:val="0"/>
          <w:numId w:val="27"/>
        </w:numPr>
        <w:ind w:left="990" w:right="-432"/>
      </w:pPr>
      <w:r w:rsidRPr="0038253B">
        <w:t>Resources, objectives or areas identified in the statewide planning goals, or</w:t>
      </w:r>
    </w:p>
    <w:p w14:paraId="67CE02C9" w14:textId="77777777" w:rsidR="00AA62F7" w:rsidRPr="0038253B" w:rsidRDefault="00AA62F7" w:rsidP="00772D8F">
      <w:pPr>
        <w:numPr>
          <w:ilvl w:val="0"/>
          <w:numId w:val="27"/>
        </w:numPr>
        <w:ind w:left="990" w:right="-432"/>
      </w:pPr>
      <w:r w:rsidRPr="0038253B">
        <w:t>Present or future land uses identified in acknowledged comprehensive plans</w:t>
      </w:r>
    </w:p>
    <w:p w14:paraId="654DD181" w14:textId="77777777" w:rsidR="00AA62F7" w:rsidRPr="0038253B" w:rsidRDefault="00AA62F7" w:rsidP="00772D8F">
      <w:pPr>
        <w:ind w:left="0" w:right="-432"/>
      </w:pPr>
    </w:p>
    <w:p w14:paraId="756B1EB2" w14:textId="77777777" w:rsidR="00A13F98" w:rsidRPr="0038253B" w:rsidRDefault="003F2C99" w:rsidP="00772D8F">
      <w:pPr>
        <w:ind w:left="0" w:right="-432"/>
      </w:pPr>
      <w:r w:rsidRPr="0038253B">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14:paraId="298594E4" w14:textId="77777777" w:rsidR="00705C22" w:rsidRPr="0038253B" w:rsidRDefault="00705C22" w:rsidP="00772D8F">
      <w:pPr>
        <w:ind w:left="0" w:right="-432"/>
      </w:pPr>
    </w:p>
    <w:p w14:paraId="04ADBCFB" w14:textId="77777777"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14:paraId="18C7DF50" w14:textId="77777777" w:rsidTr="003A1573">
        <w:tc>
          <w:tcPr>
            <w:tcW w:w="1255" w:type="dxa"/>
          </w:tcPr>
          <w:p w14:paraId="1837ADF8" w14:textId="77777777"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2B19D332" w14:textId="77777777"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14:paraId="580878D9" w14:textId="77777777" w:rsidTr="003A1573">
        <w:tc>
          <w:tcPr>
            <w:tcW w:w="1255" w:type="dxa"/>
          </w:tcPr>
          <w:p w14:paraId="46CEB1BD" w14:textId="77777777" w:rsidR="00025FEE" w:rsidRPr="0038253B" w:rsidRDefault="00025FEE" w:rsidP="00772D8F">
            <w:pPr>
              <w:pStyle w:val="ListParagraph"/>
              <w:ind w:left="0" w:right="-432"/>
              <w:jc w:val="center"/>
            </w:pPr>
            <w:r w:rsidRPr="0038253B">
              <w:t>5</w:t>
            </w:r>
          </w:p>
        </w:tc>
        <w:tc>
          <w:tcPr>
            <w:tcW w:w="7663" w:type="dxa"/>
          </w:tcPr>
          <w:p w14:paraId="028589EA" w14:textId="77777777" w:rsidR="00025FEE" w:rsidRPr="0038253B" w:rsidRDefault="00025FEE" w:rsidP="00772D8F">
            <w:pPr>
              <w:pStyle w:val="ListParagraph"/>
              <w:ind w:left="0" w:right="-432"/>
            </w:pPr>
            <w:r w:rsidRPr="0038253B">
              <w:t>Open Spaces, Scenic and Historic Areas, and Natural Resources</w:t>
            </w:r>
          </w:p>
        </w:tc>
      </w:tr>
      <w:tr w:rsidR="00025FEE" w:rsidRPr="0038253B" w14:paraId="0239B64F" w14:textId="77777777" w:rsidTr="003A1573">
        <w:tc>
          <w:tcPr>
            <w:tcW w:w="1255" w:type="dxa"/>
          </w:tcPr>
          <w:p w14:paraId="5811086E" w14:textId="77777777" w:rsidR="00025FEE" w:rsidRPr="0038253B" w:rsidRDefault="00025FEE" w:rsidP="00772D8F">
            <w:pPr>
              <w:pStyle w:val="ListParagraph"/>
              <w:ind w:left="0" w:right="-432"/>
              <w:jc w:val="center"/>
            </w:pPr>
            <w:r w:rsidRPr="0038253B">
              <w:t>6</w:t>
            </w:r>
          </w:p>
        </w:tc>
        <w:tc>
          <w:tcPr>
            <w:tcW w:w="7663" w:type="dxa"/>
          </w:tcPr>
          <w:p w14:paraId="207D4E83" w14:textId="77777777" w:rsidR="00025FEE" w:rsidRPr="0038253B" w:rsidRDefault="00025FEE" w:rsidP="00772D8F">
            <w:pPr>
              <w:tabs>
                <w:tab w:val="right" w:pos="1440"/>
                <w:tab w:val="left" w:pos="1980"/>
              </w:tabs>
              <w:ind w:left="0" w:right="-432"/>
            </w:pPr>
            <w:r w:rsidRPr="0038253B">
              <w:t>Air, Water and Land Resources Quality</w:t>
            </w:r>
          </w:p>
        </w:tc>
      </w:tr>
      <w:tr w:rsidR="00025FEE" w:rsidRPr="0038253B" w14:paraId="28ACF05A" w14:textId="77777777" w:rsidTr="003A1573">
        <w:tc>
          <w:tcPr>
            <w:tcW w:w="1255" w:type="dxa"/>
          </w:tcPr>
          <w:p w14:paraId="7B13A972" w14:textId="77777777" w:rsidR="00025FEE" w:rsidRPr="0038253B" w:rsidRDefault="00025FEE" w:rsidP="00772D8F">
            <w:pPr>
              <w:pStyle w:val="ListParagraph"/>
              <w:ind w:left="0" w:right="-432"/>
              <w:jc w:val="center"/>
            </w:pPr>
            <w:r w:rsidRPr="0038253B">
              <w:t>9</w:t>
            </w:r>
          </w:p>
        </w:tc>
        <w:tc>
          <w:tcPr>
            <w:tcW w:w="7663" w:type="dxa"/>
          </w:tcPr>
          <w:p w14:paraId="3C5875D3" w14:textId="77777777" w:rsidR="00025FEE" w:rsidRPr="0038253B" w:rsidRDefault="00025FEE" w:rsidP="00772D8F">
            <w:pPr>
              <w:pStyle w:val="ListParagraph"/>
              <w:ind w:left="0" w:right="-432"/>
            </w:pPr>
            <w:r w:rsidRPr="0038253B">
              <w:t>Ocean Resources</w:t>
            </w:r>
          </w:p>
        </w:tc>
      </w:tr>
      <w:tr w:rsidR="00025FEE" w:rsidRPr="0038253B" w14:paraId="3CF45253" w14:textId="77777777" w:rsidTr="003A1573">
        <w:tc>
          <w:tcPr>
            <w:tcW w:w="1255" w:type="dxa"/>
          </w:tcPr>
          <w:p w14:paraId="0D8D783A" w14:textId="77777777" w:rsidR="00025FEE" w:rsidRPr="0038253B" w:rsidRDefault="00025FEE" w:rsidP="00772D8F">
            <w:pPr>
              <w:pStyle w:val="ListParagraph"/>
              <w:ind w:left="0" w:right="-432"/>
              <w:jc w:val="center"/>
            </w:pPr>
            <w:r w:rsidRPr="0038253B">
              <w:t>11</w:t>
            </w:r>
          </w:p>
        </w:tc>
        <w:tc>
          <w:tcPr>
            <w:tcW w:w="7663" w:type="dxa"/>
          </w:tcPr>
          <w:p w14:paraId="074A0025" w14:textId="77777777" w:rsidR="00025FEE" w:rsidRPr="0038253B" w:rsidRDefault="00025FEE" w:rsidP="00772D8F">
            <w:pPr>
              <w:pStyle w:val="ListParagraph"/>
              <w:ind w:left="0" w:right="-432"/>
            </w:pPr>
            <w:r w:rsidRPr="0038253B">
              <w:t>Public Facilities and Services</w:t>
            </w:r>
          </w:p>
        </w:tc>
      </w:tr>
      <w:tr w:rsidR="00025FEE" w:rsidRPr="0038253B" w14:paraId="0E0032B6" w14:textId="77777777" w:rsidTr="003A1573">
        <w:tc>
          <w:tcPr>
            <w:tcW w:w="1255" w:type="dxa"/>
          </w:tcPr>
          <w:p w14:paraId="04070D8D" w14:textId="77777777" w:rsidR="00025FEE" w:rsidRPr="0038253B" w:rsidRDefault="00025FEE" w:rsidP="00772D8F">
            <w:pPr>
              <w:pStyle w:val="ListParagraph"/>
              <w:ind w:left="0" w:right="-432"/>
              <w:jc w:val="center"/>
            </w:pPr>
            <w:r w:rsidRPr="0038253B">
              <w:t>16</w:t>
            </w:r>
          </w:p>
        </w:tc>
        <w:tc>
          <w:tcPr>
            <w:tcW w:w="7663" w:type="dxa"/>
          </w:tcPr>
          <w:p w14:paraId="1D9F9412" w14:textId="77777777" w:rsidR="00025FEE" w:rsidRPr="0038253B" w:rsidRDefault="00025FEE" w:rsidP="00772D8F">
            <w:pPr>
              <w:pStyle w:val="ListParagraph"/>
              <w:ind w:left="0" w:right="-432"/>
            </w:pPr>
            <w:r w:rsidRPr="0038253B">
              <w:t>Estuarial Resources</w:t>
            </w:r>
          </w:p>
        </w:tc>
      </w:tr>
    </w:tbl>
    <w:p w14:paraId="38A61E20" w14:textId="77777777" w:rsidR="00025FEE" w:rsidRPr="0038253B" w:rsidRDefault="00025FEE" w:rsidP="00772D8F">
      <w:pPr>
        <w:pStyle w:val="ListParagraph"/>
        <w:ind w:left="0" w:right="-432"/>
      </w:pPr>
    </w:p>
    <w:p w14:paraId="57DE7955" w14:textId="77777777" w:rsidR="00BB582F" w:rsidRPr="0038253B" w:rsidRDefault="0006277C" w:rsidP="00772D8F">
      <w:pPr>
        <w:pStyle w:val="ListParagraph"/>
        <w:ind w:left="0" w:right="-432"/>
      </w:pPr>
      <w:r w:rsidRPr="0038253B">
        <w:t>Statewide goals also specifically reference the following DEQ programs:</w:t>
      </w:r>
    </w:p>
    <w:p w14:paraId="0CE18534" w14:textId="77777777" w:rsidR="0006277C" w:rsidRPr="0038253B" w:rsidRDefault="0006277C" w:rsidP="00772D8F">
      <w:pPr>
        <w:pStyle w:val="ListParagraph"/>
        <w:ind w:left="0" w:right="-432"/>
      </w:pPr>
    </w:p>
    <w:p w14:paraId="42BFCEC4" w14:textId="77777777" w:rsidR="0006277C" w:rsidRPr="0038253B" w:rsidRDefault="0006277C" w:rsidP="00772D8F">
      <w:pPr>
        <w:pStyle w:val="ListParagraph"/>
        <w:numPr>
          <w:ilvl w:val="0"/>
          <w:numId w:val="16"/>
        </w:numPr>
        <w:ind w:left="0" w:right="-432" w:firstLine="0"/>
      </w:pPr>
      <w:r w:rsidRPr="0038253B">
        <w:lastRenderedPageBreak/>
        <w:t>Nonpoint source discharge water quality program – Goal 16</w:t>
      </w:r>
    </w:p>
    <w:p w14:paraId="536C1BDB" w14:textId="77777777" w:rsidR="0006277C" w:rsidRPr="0038253B" w:rsidRDefault="0006277C" w:rsidP="00772D8F">
      <w:pPr>
        <w:pStyle w:val="ListParagraph"/>
        <w:numPr>
          <w:ilvl w:val="0"/>
          <w:numId w:val="16"/>
        </w:numPr>
        <w:ind w:left="0" w:right="-432" w:firstLine="0"/>
      </w:pPr>
      <w:r w:rsidRPr="0038253B">
        <w:t>Water quality and sewage disposal systems – Goal 16</w:t>
      </w:r>
    </w:p>
    <w:p w14:paraId="7575748D" w14:textId="77777777" w:rsidR="0006277C" w:rsidRPr="0038253B" w:rsidRDefault="0006277C" w:rsidP="00772D8F">
      <w:pPr>
        <w:pStyle w:val="ListParagraph"/>
        <w:numPr>
          <w:ilvl w:val="0"/>
          <w:numId w:val="16"/>
        </w:numPr>
        <w:ind w:left="0" w:right="-432" w:firstLine="0"/>
      </w:pPr>
      <w:r w:rsidRPr="0038253B">
        <w:t>Water quality permits and oil spill regulations – Goal 19</w:t>
      </w:r>
    </w:p>
    <w:p w14:paraId="360536D1" w14:textId="77777777" w:rsidR="0006277C" w:rsidRPr="0038253B" w:rsidRDefault="0006277C" w:rsidP="00772D8F">
      <w:pPr>
        <w:pStyle w:val="ListParagraph"/>
        <w:ind w:left="0" w:right="-432"/>
      </w:pPr>
    </w:p>
    <w:p w14:paraId="0114B17E" w14:textId="77777777" w:rsidR="002E4AA0" w:rsidRPr="0038253B" w:rsidRDefault="006416C7" w:rsidP="005E6329">
      <w:pPr>
        <w:pStyle w:val="Heading3"/>
        <w:ind w:left="0" w:right="-432"/>
      </w:pPr>
      <w:r w:rsidRPr="0038253B">
        <w:t>Determination</w:t>
      </w:r>
    </w:p>
    <w:p w14:paraId="11E9DFC8" w14:textId="77777777"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14:paraId="543AA731" w14:textId="77777777"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14:paraId="692CD63B" w14:textId="77777777"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14:paraId="78238C44" w14:textId="77777777" w:rsidR="00BB582F" w:rsidRPr="0038253B" w:rsidRDefault="00BB582F" w:rsidP="00772D8F">
      <w:pPr>
        <w:ind w:left="0" w:right="-432"/>
        <w:rPr>
          <w:rStyle w:val="Emphasis"/>
          <w:rFonts w:ascii="Arial" w:hAnsi="Arial"/>
          <w:vanish w:val="0"/>
          <w:color w:val="C45911" w:themeColor="accent2" w:themeShade="BF"/>
          <w:sz w:val="24"/>
        </w:rPr>
      </w:pPr>
    </w:p>
    <w:p w14:paraId="06C9100E" w14:textId="77777777"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14:paraId="6A79AC98" w14:textId="77777777" w:rsidR="005A3C33" w:rsidRPr="0038253B" w:rsidRDefault="005A3C33" w:rsidP="00772D8F">
      <w:pPr>
        <w:ind w:left="0" w:right="-432"/>
      </w:pPr>
      <w:r w:rsidRPr="0038253B">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14:paraId="58DF364F" w14:textId="77777777" w:rsidR="00E11474" w:rsidRPr="0038253B" w:rsidRDefault="00E11474" w:rsidP="00772D8F">
      <w:pPr>
        <w:ind w:left="0" w:right="-432"/>
      </w:pPr>
    </w:p>
    <w:p w14:paraId="06334E8B"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7958D5CD"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600F1939" w14:textId="77777777" w:rsidR="00CD2E4D" w:rsidRPr="0038253B" w:rsidRDefault="00CD2E4D" w:rsidP="00772D8F">
      <w:pPr>
        <w:ind w:left="0" w:right="-432"/>
      </w:pPr>
    </w:p>
    <w:p w14:paraId="3E47945F" w14:textId="77777777" w:rsidR="00E84325" w:rsidRPr="0038253B" w:rsidRDefault="00E84325" w:rsidP="00772D8F">
      <w:pPr>
        <w:ind w:left="0" w:right="-432"/>
        <w:rPr>
          <w:rStyle w:val="Emphasis"/>
          <w:rFonts w:ascii="Arial" w:hAnsi="Arial"/>
          <w:b/>
          <w:vanish w:val="0"/>
          <w:color w:val="C45911" w:themeColor="accent2" w:themeShade="BF"/>
          <w:sz w:val="24"/>
        </w:rPr>
      </w:pPr>
    </w:p>
    <w:p w14:paraId="5B13D33B" w14:textId="77777777"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14:paraId="229B6CA8" w14:textId="77777777" w:rsidR="001C24B3" w:rsidRPr="0038253B" w:rsidRDefault="001C24B3" w:rsidP="00772D8F">
      <w:pPr>
        <w:ind w:left="0" w:right="-432"/>
        <w:rPr>
          <w:rStyle w:val="Emphasis"/>
          <w:rFonts w:ascii="Arial" w:hAnsi="Arial"/>
          <w:b/>
          <w:vanish w:val="0"/>
          <w:color w:val="C45911" w:themeColor="accent2" w:themeShade="BF"/>
          <w:sz w:val="24"/>
        </w:rPr>
      </w:pPr>
    </w:p>
    <w:p w14:paraId="3FA423ED"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14:paraId="17030C19" w14:textId="77777777" w:rsidR="00E84325" w:rsidRPr="0038253B" w:rsidRDefault="00E84325" w:rsidP="00772D8F">
      <w:pPr>
        <w:ind w:left="0" w:right="-432"/>
        <w:rPr>
          <w:rStyle w:val="Emphasis"/>
          <w:rFonts w:ascii="Arial" w:hAnsi="Arial"/>
          <w:b/>
          <w:vanish w:val="0"/>
          <w:color w:val="C45911" w:themeColor="accent2" w:themeShade="BF"/>
          <w:sz w:val="24"/>
        </w:rPr>
      </w:pPr>
    </w:p>
    <w:p w14:paraId="6AF3DC1E" w14:textId="77777777"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14:paraId="28505E37" w14:textId="77777777" w:rsidR="00D936A0" w:rsidRPr="0038253B" w:rsidRDefault="00D936A0" w:rsidP="00772D8F">
      <w:pPr>
        <w:ind w:left="0" w:right="-432"/>
        <w:rPr>
          <w:b/>
          <w:color w:val="1F4E79" w:themeColor="accent1" w:themeShade="80"/>
        </w:rPr>
      </w:pPr>
    </w:p>
    <w:p w14:paraId="2E3B2C70" w14:textId="77777777"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14:paraId="2F2490F7" w14:textId="77777777" w:rsidR="00D936A0" w:rsidRPr="0038253B" w:rsidRDefault="00D936A0" w:rsidP="00772D8F">
      <w:pPr>
        <w:ind w:left="0" w:right="-432"/>
        <w:rPr>
          <w:rStyle w:val="IntenseEmphasis"/>
          <w:rFonts w:ascii="Arial" w:hAnsi="Arial"/>
          <w:vanish w:val="0"/>
          <w:color w:val="C45911" w:themeColor="accent2" w:themeShade="BF"/>
          <w:sz w:val="24"/>
        </w:rPr>
      </w:pPr>
    </w:p>
    <w:p w14:paraId="28DA2A20" w14:textId="77777777"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14:paraId="548ED1A9" w14:textId="77777777" w:rsidR="00CD2E4D" w:rsidRPr="0038253B" w:rsidRDefault="00CD2E4D" w:rsidP="00772D8F">
      <w:pPr>
        <w:ind w:left="0" w:right="-432"/>
        <w:rPr>
          <w:rStyle w:val="Emphasis"/>
          <w:vanish w:val="0"/>
          <w:color w:val="000000" w:themeColor="text1"/>
          <w:sz w:val="24"/>
        </w:rPr>
      </w:pPr>
    </w:p>
    <w:p w14:paraId="060E178A"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14:paraId="65A9C61F" w14:textId="77777777" w:rsidR="001C24B3" w:rsidRPr="0038253B" w:rsidRDefault="001C24B3" w:rsidP="00772D8F">
      <w:pPr>
        <w:pStyle w:val="ListParagraph"/>
        <w:ind w:left="0" w:right="-432"/>
        <w:rPr>
          <w:rStyle w:val="Emphasis"/>
          <w:rFonts w:ascii="Arial" w:hAnsi="Arial"/>
          <w:b/>
          <w:vanish w:val="0"/>
          <w:color w:val="C45911" w:themeColor="accent2" w:themeShade="BF"/>
          <w:sz w:val="24"/>
        </w:rPr>
      </w:pPr>
    </w:p>
    <w:p w14:paraId="3D228DEB" w14:textId="77777777"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14:paraId="71AB5778" w14:textId="77777777" w:rsidR="00D936A0" w:rsidRPr="0038253B" w:rsidRDefault="00D936A0" w:rsidP="00772D8F">
      <w:pPr>
        <w:ind w:left="0" w:right="-432"/>
        <w:rPr>
          <w:rFonts w:asciiTheme="minorHAnsi" w:hAnsiTheme="minorHAnsi" w:cstheme="minorHAnsi"/>
        </w:rPr>
      </w:pPr>
    </w:p>
    <w:p w14:paraId="55479466" w14:textId="77777777" w:rsidR="00D936A0" w:rsidRPr="0038253B" w:rsidRDefault="0065239D" w:rsidP="00772D8F">
      <w:pPr>
        <w:ind w:left="0" w:right="-432"/>
      </w:pPr>
      <w:r w:rsidRPr="0038253B">
        <w:t>DEQ will ensure these rules comply with statewide goals and are compatible with local plans by TEXT.</w:t>
      </w: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lastRenderedPageBreak/>
              <w:t> </w:t>
            </w:r>
          </w:p>
          <w:p w14:paraId="1C23E3A4" w14:textId="77777777" w:rsidR="00B56284" w:rsidRPr="0038253B" w:rsidRDefault="00B56284" w:rsidP="00A43288">
            <w:pPr>
              <w:pStyle w:val="Heading1"/>
            </w:pPr>
            <w:r w:rsidRPr="0038253B">
              <w:t>EQC Prior Involvement</w:t>
            </w:r>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4AFC8E2"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14:paraId="66BA4C02" w14:textId="77777777" w:rsidR="00B56284" w:rsidRPr="0038253B" w:rsidRDefault="00B56284" w:rsidP="00B56284">
      <w:pPr>
        <w:ind w:left="0" w:right="-432"/>
      </w:pPr>
    </w:p>
    <w:p w14:paraId="1402D4A0" w14:textId="77777777"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14:paraId="4BA3C72E" w14:textId="77777777" w:rsidR="00B56284" w:rsidRPr="0038253B" w:rsidRDefault="00B56284" w:rsidP="00B56284">
      <w:pPr>
        <w:ind w:left="0" w:right="-432"/>
        <w:rPr>
          <w:color w:val="C45911" w:themeColor="accent2" w:themeShade="BF"/>
        </w:rPr>
      </w:pPr>
    </w:p>
    <w:p w14:paraId="651D0D5F" w14:textId="77777777"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14:paraId="2696D14D" w14:textId="77777777" w:rsidR="00B56284" w:rsidRPr="0038253B" w:rsidRDefault="00B56284" w:rsidP="00B56284">
      <w:pPr>
        <w:ind w:left="0" w:right="-432"/>
        <w:rPr>
          <w:rStyle w:val="Emphasis"/>
          <w:rFonts w:ascii="Arial" w:hAnsi="Arial"/>
          <w:vanish w:val="0"/>
          <w:color w:val="C45911" w:themeColor="accent2" w:themeShade="BF"/>
          <w:sz w:val="24"/>
        </w:rPr>
      </w:pPr>
    </w:p>
    <w:p w14:paraId="02E83E02" w14:textId="77777777"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r w:rsidRPr="0038253B">
              <w:t>Advisory Committee</w:t>
            </w:r>
          </w:p>
          <w:p w14:paraId="0376C3C6" w14:textId="77777777"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5ABED80A" w14:textId="77777777"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14:paraId="6672DEBB" w14:textId="77777777"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14:paraId="5FD7A9BD" w14:textId="77777777" w:rsidR="00E82718" w:rsidRPr="0038253B" w:rsidRDefault="00E82718" w:rsidP="00772D8F">
      <w:pPr>
        <w:ind w:left="0" w:right="-432"/>
      </w:pPr>
    </w:p>
    <w:p w14:paraId="6F979086" w14:textId="77777777"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14:paraId="24904EDB" w14:textId="77777777" w:rsidR="00E026AC" w:rsidRPr="0038253B" w:rsidRDefault="00E026AC" w:rsidP="00772D8F">
      <w:pPr>
        <w:ind w:left="0" w:right="-432"/>
      </w:pPr>
    </w:p>
    <w:p w14:paraId="4F2DE9DF" w14:textId="77777777"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14:paraId="2F71E056" w14:textId="77777777" w:rsidR="00A76D00" w:rsidRPr="0038253B" w:rsidRDefault="00A76D00" w:rsidP="00772D8F">
      <w:pPr>
        <w:ind w:left="0" w:right="-432"/>
        <w:rPr>
          <w:color w:val="C45911" w:themeColor="accent2" w:themeShade="BF"/>
        </w:rPr>
      </w:pPr>
    </w:p>
    <w:p w14:paraId="3EB8124B" w14:textId="77777777" w:rsidR="00A76D00" w:rsidRPr="0038253B" w:rsidRDefault="00A76D00" w:rsidP="00772D8F">
      <w:pPr>
        <w:ind w:left="0" w:right="-432"/>
      </w:pPr>
      <w:r w:rsidRPr="0038253B">
        <w:t>The committee members were:</w:t>
      </w:r>
    </w:p>
    <w:p w14:paraId="36A292ED" w14:textId="77777777" w:rsidR="00B86088" w:rsidRPr="0038253B" w:rsidRDefault="00B86088" w:rsidP="00772D8F">
      <w:pPr>
        <w:ind w:left="0" w:right="-432"/>
      </w:pPr>
    </w:p>
    <w:p w14:paraId="15EB531C" w14:textId="77777777"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14:paraId="52FE5AB5" w14:textId="77777777"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14:paraId="7FE017CF" w14:textId="77777777"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14:paraId="6CF93018" w14:textId="77777777"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2EAAAFF"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FAEB8EC"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14:paraId="1B3235C7"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EB6EAF3" w14:textId="77777777"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3A604B36" w14:textId="77777777" w:rsidR="00B86088" w:rsidRPr="0038253B" w:rsidRDefault="00B86088" w:rsidP="000872C2">
            <w:pPr>
              <w:ind w:left="0" w:right="0"/>
              <w:rPr>
                <w:szCs w:val="22"/>
              </w:rPr>
            </w:pPr>
          </w:p>
        </w:tc>
      </w:tr>
      <w:tr w:rsidR="002A6179" w:rsidRPr="0038253B" w14:paraId="6A9CD448"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045E0FE"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43D557F9" w14:textId="77777777" w:rsidR="002A6179" w:rsidRPr="0038253B" w:rsidRDefault="002A6179" w:rsidP="000872C2">
            <w:pPr>
              <w:ind w:left="0" w:right="0"/>
              <w:rPr>
                <w:szCs w:val="22"/>
              </w:rPr>
            </w:pPr>
          </w:p>
        </w:tc>
      </w:tr>
      <w:tr w:rsidR="002A6179" w:rsidRPr="0038253B" w14:paraId="26A31EA4"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D88AC6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1F4B4BAE" w14:textId="77777777" w:rsidR="002A6179" w:rsidRPr="0038253B" w:rsidRDefault="002A6179" w:rsidP="000872C2">
            <w:pPr>
              <w:ind w:left="0" w:right="0"/>
              <w:rPr>
                <w:szCs w:val="22"/>
              </w:rPr>
            </w:pPr>
          </w:p>
        </w:tc>
      </w:tr>
      <w:tr w:rsidR="002A6179" w:rsidRPr="0038253B" w14:paraId="2E222B8F" w14:textId="77777777"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5ADB378B"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14:paraId="26EEB1A7" w14:textId="77777777" w:rsidR="002A6179" w:rsidRPr="0038253B" w:rsidRDefault="002A6179" w:rsidP="000872C2">
            <w:pPr>
              <w:ind w:left="0" w:right="0"/>
              <w:rPr>
                <w:szCs w:val="22"/>
              </w:rPr>
            </w:pPr>
          </w:p>
        </w:tc>
      </w:tr>
    </w:tbl>
    <w:p w14:paraId="6FEDE942" w14:textId="77777777" w:rsidR="00B86088" w:rsidRPr="0038253B" w:rsidRDefault="00B86088" w:rsidP="00772D8F">
      <w:pPr>
        <w:ind w:left="0" w:right="-432"/>
      </w:pPr>
    </w:p>
    <w:p w14:paraId="151A80CA" w14:textId="77777777" w:rsidR="00A94E6E" w:rsidRPr="0038253B" w:rsidRDefault="00A94E6E" w:rsidP="00772D8F">
      <w:pPr>
        <w:ind w:left="0" w:right="-432"/>
      </w:pPr>
    </w:p>
    <w:p w14:paraId="34CB89F1" w14:textId="77777777" w:rsidR="00E82718" w:rsidRPr="0038253B" w:rsidRDefault="00E82718" w:rsidP="00772D8F">
      <w:pPr>
        <w:ind w:left="0" w:right="-432"/>
      </w:pPr>
    </w:p>
    <w:p w14:paraId="7F77C41B" w14:textId="77777777" w:rsidR="002048F4" w:rsidRPr="0038253B" w:rsidRDefault="002048F4" w:rsidP="00772D8F">
      <w:pPr>
        <w:pStyle w:val="Heading3"/>
        <w:ind w:left="0" w:right="-432"/>
      </w:pPr>
      <w:r w:rsidRPr="0038253B">
        <w:t>Meeting notifications</w:t>
      </w:r>
    </w:p>
    <w:p w14:paraId="30AB2CAE" w14:textId="77777777" w:rsidR="002048F4" w:rsidRPr="0038253B" w:rsidRDefault="002048F4" w:rsidP="00772D8F">
      <w:pPr>
        <w:ind w:left="0" w:right="-432"/>
      </w:pPr>
    </w:p>
    <w:p w14:paraId="31DDE634" w14:textId="77777777"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14:paraId="28D52E50" w14:textId="77777777"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14:paraId="155E693D" w14:textId="77777777" w:rsidR="00040AE3" w:rsidRPr="0038253B" w:rsidRDefault="00040AE3" w:rsidP="00772D8F">
      <w:pPr>
        <w:pStyle w:val="ListParagraph"/>
        <w:numPr>
          <w:ilvl w:val="0"/>
          <w:numId w:val="12"/>
        </w:numPr>
        <w:ind w:left="1080" w:right="-432"/>
      </w:pPr>
      <w:r w:rsidRPr="0038253B">
        <w:t xml:space="preserve"> </w:t>
      </w:r>
      <w:r w:rsidR="00D01042" w:rsidRPr="0038253B">
        <w:t>Rulemaking</w:t>
      </w:r>
    </w:p>
    <w:p w14:paraId="61F80926" w14:textId="77777777" w:rsidR="00040AE3" w:rsidRPr="0038253B" w:rsidRDefault="00040AE3" w:rsidP="00772D8F">
      <w:pPr>
        <w:pStyle w:val="ListParagraph"/>
        <w:numPr>
          <w:ilvl w:val="0"/>
          <w:numId w:val="12"/>
        </w:numPr>
        <w:ind w:left="1080" w:right="-432"/>
      </w:pPr>
      <w:r w:rsidRPr="0038253B">
        <w:t xml:space="preserve"> </w:t>
      </w:r>
    </w:p>
    <w:p w14:paraId="0383D54B" w14:textId="77777777" w:rsidR="00040AE3" w:rsidRPr="0038253B" w:rsidRDefault="00040AE3" w:rsidP="00772D8F">
      <w:pPr>
        <w:pStyle w:val="ListParagraph"/>
        <w:numPr>
          <w:ilvl w:val="0"/>
          <w:numId w:val="12"/>
        </w:numPr>
        <w:ind w:left="1080" w:right="-432"/>
      </w:pPr>
    </w:p>
    <w:p w14:paraId="739A5398" w14:textId="77777777"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14:paraId="0285D4A6" w14:textId="77777777" w:rsidR="00A76D00" w:rsidRPr="0038253B" w:rsidRDefault="00A76D00" w:rsidP="00772D8F">
      <w:pPr>
        <w:pStyle w:val="ListParagraph"/>
        <w:numPr>
          <w:ilvl w:val="1"/>
          <w:numId w:val="12"/>
        </w:numPr>
        <w:ind w:left="0" w:right="-432" w:firstLine="0"/>
      </w:pPr>
      <w:r w:rsidRPr="0038253B">
        <w:t>People who signed up for the advisory committee bulletin.</w:t>
      </w:r>
    </w:p>
    <w:p w14:paraId="633BA378" w14:textId="77777777"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1" w:history="1">
        <w:r w:rsidRPr="0038253B">
          <w:rPr>
            <w:rStyle w:val="Hyperlink"/>
          </w:rPr>
          <w:t>DEQ Calendar</w:t>
        </w:r>
      </w:hyperlink>
      <w:r w:rsidRPr="0038253B">
        <w:t>.</w:t>
      </w:r>
    </w:p>
    <w:p w14:paraId="01FB1129" w14:textId="77777777" w:rsidR="00A76D00" w:rsidRPr="0038253B" w:rsidRDefault="00A76D00" w:rsidP="00772D8F">
      <w:pPr>
        <w:pStyle w:val="ListParagraph"/>
        <w:numPr>
          <w:ilvl w:val="0"/>
          <w:numId w:val="12"/>
        </w:numPr>
        <w:ind w:left="0" w:right="-432" w:firstLine="0"/>
      </w:pPr>
      <w:r w:rsidRPr="0038253B">
        <w:lastRenderedPageBreak/>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14:paraId="17CDFEDB" w14:textId="77777777" w:rsidR="00A76D00" w:rsidRPr="0038253B" w:rsidRDefault="00A76D00" w:rsidP="00772D8F">
      <w:pPr>
        <w:pStyle w:val="Heading3"/>
        <w:ind w:left="0" w:right="-432"/>
      </w:pPr>
      <w:r w:rsidRPr="0038253B">
        <w:t>Committee discussions</w:t>
      </w:r>
    </w:p>
    <w:p w14:paraId="54B6CA70" w14:textId="77777777" w:rsidR="00E026AC" w:rsidRPr="0038253B" w:rsidRDefault="00E026AC" w:rsidP="00772D8F">
      <w:pPr>
        <w:ind w:left="0" w:right="-432"/>
      </w:pPr>
    </w:p>
    <w:p w14:paraId="038101FC" w14:textId="77777777"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14:paraId="0735C51E" w14:textId="77777777" w:rsidR="00E026AC" w:rsidRPr="0038253B" w:rsidRDefault="00E026AC"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12" w:name="_Toc482800006"/>
            <w:r w:rsidRPr="0038253B">
              <w:t xml:space="preserve">Public </w:t>
            </w:r>
            <w:bookmarkEnd w:id="12"/>
            <w:r w:rsidR="0038516E" w:rsidRPr="0038253B">
              <w:t>Engagement</w:t>
            </w:r>
          </w:p>
          <w:p w14:paraId="184D672B" w14:textId="77777777" w:rsidR="000C1364" w:rsidRPr="0038253B" w:rsidRDefault="00D1364A" w:rsidP="00CD56A3">
            <w:pPr>
              <w:ind w:left="0"/>
              <w:rPr>
                <w:color w:val="C45911" w:themeColor="accent2" w:themeShade="BF"/>
              </w:rPr>
            </w:pPr>
            <w:r w:rsidRPr="0038253B">
              <w:t xml:space="preserve"> </w:t>
            </w:r>
            <w:r w:rsidRPr="0038253B">
              <w:rPr>
                <w:color w:val="C45911" w:themeColor="accent2" w:themeShade="BF"/>
              </w:rPr>
              <w:t>ORS 183.335(1); 468.020(2)</w:t>
            </w:r>
            <w:r w:rsidR="009C0A9E" w:rsidRPr="0038253B">
              <w:rPr>
                <w:color w:val="C45911" w:themeColor="accent2" w:themeShade="BF"/>
              </w:rPr>
              <w:t xml:space="preserve"> </w:t>
            </w:r>
            <w:hyperlink r:id="rId32" w:history="1">
              <w:r w:rsidR="009C0A9E" w:rsidRPr="0038253B">
                <w:rPr>
                  <w:rStyle w:val="Hyperlink"/>
                  <w:color w:val="034990" w:themeColor="hyperlink" w:themeShade="BF"/>
                </w:rPr>
                <w:t>Public Hearings</w:t>
              </w:r>
            </w:hyperlink>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 xml:space="preserve">on </w:t>
      </w:r>
      <w:r w:rsidR="000D707E" w:rsidRPr="0038253B">
        <w:rPr>
          <w:color w:val="C45911" w:themeColor="accent2" w:themeShade="BF"/>
        </w:rPr>
        <w:t xml:space="preserve">DATE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7777777" w:rsidR="00D01042" w:rsidRPr="0038253B" w:rsidRDefault="00D01042" w:rsidP="00772D8F">
      <w:pPr>
        <w:pStyle w:val="ListParagraph"/>
        <w:numPr>
          <w:ilvl w:val="0"/>
          <w:numId w:val="5"/>
        </w:numPr>
        <w:ind w:left="0" w:right="-432" w:firstLine="0"/>
      </w:pPr>
      <w:r w:rsidRPr="0038253B">
        <w:t xml:space="preserve">On </w:t>
      </w:r>
      <w:r w:rsidRPr="0038253B">
        <w:rPr>
          <w:color w:val="C45911" w:themeColor="accent2" w:themeShade="BF"/>
        </w:rPr>
        <w:t>DATE</w:t>
      </w:r>
      <w:r w:rsidRPr="0038253B">
        <w:t xml:space="preserve"> Filing notice with the Oregon Secretary of State for publication in the </w:t>
      </w:r>
      <w:r w:rsidRPr="0038253B">
        <w:rPr>
          <w:color w:val="C45911" w:themeColor="accent2" w:themeShade="BF"/>
        </w:rPr>
        <w:t>DATE</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77777777" w:rsidR="00D01042" w:rsidRPr="0038253B" w:rsidRDefault="00D01042" w:rsidP="00772D8F">
      <w:pPr>
        <w:pStyle w:val="ListParagraph"/>
        <w:numPr>
          <w:ilvl w:val="0"/>
          <w:numId w:val="5"/>
        </w:numPr>
        <w:ind w:left="0" w:right="-432" w:firstLine="0"/>
      </w:pPr>
      <w:r w:rsidRPr="0038253B">
        <w:t xml:space="preserve">Posting the Notice, Invitation to Comment and Draft Rules on the web page for this rulemaking, located at: </w:t>
      </w:r>
      <w:r w:rsidRPr="0038253B">
        <w:rPr>
          <w:color w:val="C45911" w:themeColor="accent2" w:themeShade="BF"/>
        </w:rPr>
        <w:t>RULEMAKING WEB PAGE LINK;</w:t>
      </w:r>
    </w:p>
    <w:p w14:paraId="244606BA" w14:textId="77777777"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77777777" w:rsidR="002C4F3A" w:rsidRPr="0038253B" w:rsidRDefault="00EE0814" w:rsidP="00772D8F">
      <w:pPr>
        <w:pStyle w:val="ListParagraph"/>
        <w:numPr>
          <w:ilvl w:val="0"/>
          <w:numId w:val="5"/>
        </w:numPr>
        <w:ind w:right="-432"/>
      </w:pPr>
      <w:r w:rsidRPr="0038253B">
        <w:t>Rulemaking</w:t>
      </w:r>
    </w:p>
    <w:p w14:paraId="27936930" w14:textId="77777777" w:rsidR="002C4F3A" w:rsidRPr="0038253B" w:rsidRDefault="002C4F3A" w:rsidP="00772D8F">
      <w:pPr>
        <w:pStyle w:val="ListParagraph"/>
        <w:numPr>
          <w:ilvl w:val="0"/>
          <w:numId w:val="5"/>
        </w:numPr>
        <w:ind w:right="-432"/>
      </w:pPr>
      <w:r w:rsidRPr="0038253B">
        <w:rPr>
          <w:color w:val="C45911" w:themeColor="accent2" w:themeShade="BF"/>
        </w:rPr>
        <w:t>TOPIC</w:t>
      </w:r>
    </w:p>
    <w:p w14:paraId="5D371035" w14:textId="77777777"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14:paraId="24759CD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3"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2E4737BC"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7D31EEC6"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7FA22D11"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4" w:history="1">
        <w:r w:rsidRPr="0038253B">
          <w:rPr>
            <w:rStyle w:val="Hyperlink"/>
          </w:rPr>
          <w:t>DEQ Calendar</w:t>
        </w:r>
      </w:hyperlink>
    </w:p>
    <w:p w14:paraId="40E1D665" w14:textId="77777777" w:rsidR="008B471D" w:rsidRPr="0038253B" w:rsidRDefault="00016F5E" w:rsidP="00772D8F">
      <w:pPr>
        <w:pStyle w:val="ListParagraph"/>
        <w:numPr>
          <w:ilvl w:val="0"/>
          <w:numId w:val="6"/>
        </w:numPr>
        <w:ind w:left="0" w:right="-432" w:firstLine="0"/>
      </w:pPr>
      <w:r w:rsidRPr="0038253B">
        <w:rPr>
          <w:rStyle w:val="Emphasis"/>
          <w:rFonts w:ascii="Arial" w:hAnsi="Arial"/>
          <w:vanish w:val="0"/>
          <w:color w:val="C45911" w:themeColor="accent2" w:themeShade="BF"/>
          <w:sz w:val="24"/>
        </w:rPr>
        <w:t>Enter other notices here</w:t>
      </w:r>
    </w:p>
    <w:p w14:paraId="32EAAE65" w14:textId="77777777" w:rsidR="004C40F0" w:rsidRPr="0038253B" w:rsidRDefault="0052167E" w:rsidP="00772D8F">
      <w:pPr>
        <w:pStyle w:val="ListParagraph"/>
        <w:numPr>
          <w:ilvl w:val="0"/>
          <w:numId w:val="6"/>
        </w:numPr>
        <w:ind w:left="0" w:right="-432" w:firstLine="0"/>
      </w:pPr>
      <w:r w:rsidRPr="0038253B">
        <w:t xml:space="preserve"> </w:t>
      </w:r>
      <w:r w:rsidR="00CE1C16" w:rsidRPr="0038253B">
        <w:t xml:space="preserve">Publishing notice </w:t>
      </w:r>
      <w:r w:rsidR="001033D3" w:rsidRPr="0038253B">
        <w:t xml:space="preserve">in </w:t>
      </w:r>
      <w:r w:rsidR="007B7B80" w:rsidRPr="0038253B">
        <w:t>the following newspapers</w:t>
      </w:r>
      <w:r w:rsidR="00980249" w:rsidRPr="0038253B">
        <w:t xml:space="preserve"> (</w:t>
      </w:r>
      <w:r w:rsidR="00980249" w:rsidRPr="0038253B">
        <w:rPr>
          <w:color w:val="FF0000"/>
        </w:rPr>
        <w:t>ONLY WHERE RULE AFFECTS ONLY A LIMITED GEOGRAPHICAL AREA)</w:t>
      </w:r>
      <w:r w:rsidR="007B7B80" w:rsidRPr="0038253B">
        <w:t>:</w:t>
      </w:r>
    </w:p>
    <w:p w14:paraId="70311A07" w14:textId="77777777" w:rsidR="001033D3" w:rsidRPr="0038253B" w:rsidRDefault="001033D3" w:rsidP="00772D8F">
      <w:pPr>
        <w:pStyle w:val="ListParagraph"/>
        <w:ind w:left="0" w:right="-432"/>
        <w:rPr>
          <w:color w:val="C45911" w:themeColor="accent2" w:themeShade="BF"/>
        </w:rPr>
      </w:pPr>
      <w:r w:rsidRPr="0038253B">
        <w:rPr>
          <w:color w:val="C45911" w:themeColor="accent2" w:themeShade="BF"/>
        </w:rPr>
        <w:t>(choose the appropriate ones and delete the rest)</w:t>
      </w:r>
    </w:p>
    <w:p w14:paraId="26C0675F" w14:textId="77777777" w:rsidR="007B7B80" w:rsidRPr="0038253B" w:rsidRDefault="007B7B80" w:rsidP="00772D8F">
      <w:pPr>
        <w:pStyle w:val="ListParagraph"/>
        <w:numPr>
          <w:ilvl w:val="0"/>
          <w:numId w:val="13"/>
        </w:numPr>
        <w:ind w:left="0" w:right="-432" w:firstLine="0"/>
      </w:pPr>
      <w:r w:rsidRPr="0038253B">
        <w:rPr>
          <w:i/>
        </w:rPr>
        <w:t xml:space="preserve">The Oregonian </w:t>
      </w:r>
      <w:r w:rsidRPr="0038253B">
        <w:rPr>
          <w:i/>
        </w:rPr>
        <w:tab/>
      </w:r>
      <w:r w:rsidR="00984CB7" w:rsidRPr="0038253B">
        <w:rPr>
          <w:color w:val="C45911" w:themeColor="accent2" w:themeShade="BF"/>
        </w:rPr>
        <w:t>PUBLICATION DATE</w:t>
      </w:r>
    </w:p>
    <w:p w14:paraId="3E4A5F7C" w14:textId="77777777" w:rsidR="007B7B80" w:rsidRPr="0038253B" w:rsidRDefault="0052167E" w:rsidP="00772D8F">
      <w:pPr>
        <w:pStyle w:val="ListParagraph"/>
        <w:numPr>
          <w:ilvl w:val="0"/>
          <w:numId w:val="9"/>
        </w:numPr>
        <w:ind w:left="0" w:right="-432" w:firstLine="0"/>
        <w:rPr>
          <w:i/>
        </w:rPr>
      </w:pPr>
      <w:r w:rsidRPr="0038253B">
        <w:rPr>
          <w:i/>
        </w:rPr>
        <w:t xml:space="preserve"> </w:t>
      </w:r>
      <w:r w:rsidR="007B7B80" w:rsidRPr="0038253B">
        <w:rPr>
          <w:i/>
        </w:rPr>
        <w:t>East Oregon (Pendleton)</w:t>
      </w:r>
      <w:r w:rsidR="007B7B80" w:rsidRPr="0038253B">
        <w:rPr>
          <w:i/>
        </w:rPr>
        <w:tab/>
      </w:r>
      <w:r w:rsidR="00984CB7" w:rsidRPr="0038253B">
        <w:rPr>
          <w:color w:val="C45911" w:themeColor="accent2" w:themeShade="BF"/>
        </w:rPr>
        <w:t>PUBLICATION DATE</w:t>
      </w:r>
    </w:p>
    <w:p w14:paraId="463DE5D3" w14:textId="77777777"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Register Guard (Eugene)</w:t>
      </w:r>
      <w:r w:rsidR="007B7B80" w:rsidRPr="0038253B">
        <w:t xml:space="preserve"> </w:t>
      </w:r>
      <w:r w:rsidR="00984CB7" w:rsidRPr="0038253B">
        <w:rPr>
          <w:color w:val="C45911" w:themeColor="accent2" w:themeShade="BF"/>
        </w:rPr>
        <w:t>PUBLICATION DATE</w:t>
      </w:r>
    </w:p>
    <w:p w14:paraId="4FA697F5" w14:textId="77777777"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Mail Tribune (Medford)</w:t>
      </w:r>
      <w:r w:rsidR="007B7B80" w:rsidRPr="0038253B">
        <w:rPr>
          <w:i/>
        </w:rPr>
        <w:tab/>
      </w:r>
      <w:r w:rsidR="00984CB7" w:rsidRPr="0038253B">
        <w:rPr>
          <w:color w:val="C45911" w:themeColor="accent2" w:themeShade="BF"/>
        </w:rPr>
        <w:t>PUBLICATION DATE</w:t>
      </w:r>
    </w:p>
    <w:p w14:paraId="452076B5" w14:textId="77777777"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Klamath Herald &amp; News (Klamath Falls)</w:t>
      </w:r>
      <w:r w:rsidR="007B7B80" w:rsidRPr="0038253B">
        <w:t xml:space="preserve">  </w:t>
      </w:r>
      <w:r w:rsidR="007B7B80" w:rsidRPr="0038253B">
        <w:tab/>
      </w:r>
      <w:r w:rsidR="00984CB7" w:rsidRPr="0038253B">
        <w:rPr>
          <w:color w:val="C45911" w:themeColor="accent2" w:themeShade="BF"/>
        </w:rPr>
        <w:t>PUBLICATION DATE</w:t>
      </w:r>
    </w:p>
    <w:p w14:paraId="0976DC64" w14:textId="77777777"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La Grande Observer (La Grande)</w:t>
      </w:r>
      <w:r w:rsidR="007B7B80" w:rsidRPr="0038253B">
        <w:t xml:space="preserve"> </w:t>
      </w:r>
      <w:r w:rsidR="007B7B80" w:rsidRPr="0038253B">
        <w:tab/>
      </w:r>
      <w:r w:rsidR="00984CB7" w:rsidRPr="0038253B">
        <w:rPr>
          <w:color w:val="C45911" w:themeColor="accent2" w:themeShade="BF"/>
        </w:rPr>
        <w:t>PUBLICATION DATE</w:t>
      </w:r>
    </w:p>
    <w:p w14:paraId="2FF1AB9D" w14:textId="77777777" w:rsidR="0068788A" w:rsidRPr="0038253B" w:rsidRDefault="0052167E" w:rsidP="00772D8F">
      <w:pPr>
        <w:pStyle w:val="ListParagraph"/>
        <w:numPr>
          <w:ilvl w:val="0"/>
          <w:numId w:val="9"/>
        </w:numPr>
        <w:ind w:left="0" w:right="-432" w:firstLine="0"/>
        <w:rPr>
          <w:i/>
        </w:rPr>
      </w:pPr>
      <w:r w:rsidRPr="0038253B">
        <w:t xml:space="preserve"> </w:t>
      </w:r>
      <w:r w:rsidR="0094060F" w:rsidRPr="0038253B">
        <w:rPr>
          <w:i/>
        </w:rPr>
        <w:t>Daily Journal of Commerce</w:t>
      </w:r>
      <w:r w:rsidR="0094060F" w:rsidRPr="0038253B">
        <w:rPr>
          <w:i/>
        </w:rPr>
        <w:tab/>
      </w:r>
      <w:r w:rsidR="00984CB7" w:rsidRPr="0038253B">
        <w:rPr>
          <w:color w:val="C45911" w:themeColor="accent2" w:themeShade="BF"/>
        </w:rPr>
        <w:t>PUBLICATION DATE</w:t>
      </w:r>
    </w:p>
    <w:p w14:paraId="6551843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r w:rsidRPr="0038253B">
              <w:t xml:space="preserve">Public </w:t>
            </w:r>
            <w:r>
              <w:t>Comment</w:t>
            </w:r>
          </w:p>
          <w:p w14:paraId="2195E6BD" w14:textId="77777777" w:rsidR="00027E2F" w:rsidRPr="0038253B" w:rsidRDefault="00027E2F"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5" w:history="1">
              <w:r w:rsidRPr="0038253B">
                <w:rPr>
                  <w:rStyle w:val="Hyperlink"/>
                  <w:color w:val="034990" w:themeColor="hyperlink" w:themeShade="BF"/>
                </w:rPr>
                <w:t>Public Hearings</w:t>
              </w:r>
            </w:hyperlink>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77777777"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5E53C96A" w14:textId="77777777"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14:paraId="4F62DCD8" w14:textId="77777777" w:rsidR="00027E2F" w:rsidRPr="0038253B" w:rsidRDefault="00027E2F" w:rsidP="00027E2F">
      <w:pPr>
        <w:ind w:left="0"/>
        <w:rPr>
          <w:bCs/>
        </w:rPr>
      </w:pPr>
    </w:p>
    <w:p w14:paraId="1EBF358B" w14:textId="77777777" w:rsidR="00027E2F" w:rsidRPr="0038253B" w:rsidRDefault="00027E2F" w:rsidP="00027E2F">
      <w:pPr>
        <w:ind w:left="0"/>
        <w:rPr>
          <w:bCs/>
        </w:rPr>
      </w:pPr>
    </w:p>
    <w:p w14:paraId="2875DEA1" w14:textId="77777777"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14:paraId="4CEA84C1" w14:textId="77777777" w:rsidR="00027E2F" w:rsidRPr="0038253B" w:rsidRDefault="00027E2F" w:rsidP="00027E2F">
      <w:pPr>
        <w:ind w:left="0"/>
        <w:rPr>
          <w:bCs/>
          <w:color w:val="BF8F00" w:themeColor="accent4" w:themeShade="BF"/>
        </w:rPr>
      </w:pPr>
    </w:p>
    <w:p w14:paraId="5BF3B7C7" w14:textId="77777777" w:rsidR="00027E2F" w:rsidRPr="0038253B" w:rsidRDefault="00027E2F" w:rsidP="00027E2F">
      <w:pPr>
        <w:ind w:left="0"/>
        <w:rPr>
          <w:bCs/>
          <w:color w:val="BF8F00" w:themeColor="accent4" w:themeShade="BF"/>
        </w:rPr>
      </w:pPr>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77777777" w:rsidR="00027E2F" w:rsidRPr="0038253B" w:rsidRDefault="00027E2F" w:rsidP="00027E2F">
      <w:pPr>
        <w:ind w:left="0"/>
        <w:rPr>
          <w:b/>
        </w:rPr>
      </w:pPr>
      <w:r w:rsidRPr="0038253B">
        <w:t xml:space="preserve">Attn: </w:t>
      </w:r>
      <w:r w:rsidRPr="0038253B">
        <w:rPr>
          <w:color w:val="BF8F00" w:themeColor="accent4" w:themeShade="BF"/>
        </w:rPr>
        <w:t>RULE WRITER</w:t>
      </w:r>
    </w:p>
    <w:p w14:paraId="5D27661C" w14:textId="77777777"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8253B">
        <w:rPr>
          <w:sz w:val="28"/>
          <w:szCs w:val="28"/>
        </w:rPr>
        <w:t>At hearing</w:t>
      </w:r>
    </w:p>
    <w:p w14:paraId="5D45C574" w14:textId="77777777" w:rsidR="00027E2F" w:rsidRPr="0038253B" w:rsidRDefault="00027E2F" w:rsidP="00027E2F">
      <w:pPr>
        <w:ind w:left="0"/>
        <w:rPr>
          <w:color w:val="BF8F00" w:themeColor="accent4" w:themeShade="BF"/>
        </w:rPr>
      </w:pPr>
      <w:r w:rsidRPr="0038253B">
        <w:rPr>
          <w:color w:val="BF8F00" w:themeColor="accent4" w:themeShade="BF"/>
        </w:rPr>
        <w:t>DATE/MONTH</w:t>
      </w:r>
    </w:p>
    <w:p w14:paraId="58B4E8DA" w14:textId="77777777" w:rsidR="00027E2F" w:rsidRPr="0038253B" w:rsidRDefault="00027E2F" w:rsidP="00027E2F">
      <w:pPr>
        <w:ind w:left="0"/>
        <w:rPr>
          <w:color w:val="BF8F00" w:themeColor="accent4" w:themeShade="BF"/>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lastRenderedPageBreak/>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6"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r w:rsidRPr="0038253B">
              <w:t>Public Hearing</w:t>
            </w:r>
          </w:p>
          <w:p w14:paraId="60ED71B6" w14:textId="77777777"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7" w:history="1">
              <w:r w:rsidRPr="0038253B">
                <w:rPr>
                  <w:rStyle w:val="Hyperlink"/>
                  <w:color w:val="034990" w:themeColor="hyperlink" w:themeShade="BF"/>
                </w:rPr>
                <w:t>Public Hearings</w:t>
              </w:r>
            </w:hyperlink>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8253B">
        <w:t>Public hearings</w:t>
      </w:r>
    </w:p>
    <w:p w14:paraId="65EA8537" w14:textId="77777777" w:rsidR="00E026AC" w:rsidRPr="0038253B" w:rsidRDefault="00E026AC" w:rsidP="00772D8F">
      <w:pPr>
        <w:ind w:right="-432"/>
      </w:pPr>
    </w:p>
    <w:p w14:paraId="71056957" w14:textId="77777777"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31774124"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470AC9EF" w14:textId="77777777" w:rsidR="0004741B" w:rsidRPr="0038253B" w:rsidRDefault="0004741B" w:rsidP="0004741B">
      <w:pPr>
        <w:pStyle w:val="ListParagraph"/>
        <w:numPr>
          <w:ilvl w:val="0"/>
          <w:numId w:val="32"/>
        </w:numPr>
        <w:ind w:right="-432"/>
      </w:pPr>
      <w:r w:rsidRPr="0038253B">
        <w:t>Webinar link:</w:t>
      </w:r>
    </w:p>
    <w:p w14:paraId="03F1B716" w14:textId="77777777" w:rsidR="0004741B" w:rsidRPr="0038253B" w:rsidRDefault="0004741B" w:rsidP="0004741B">
      <w:pPr>
        <w:pStyle w:val="ListParagraph"/>
        <w:numPr>
          <w:ilvl w:val="1"/>
          <w:numId w:val="32"/>
        </w:numPr>
        <w:ind w:right="-432"/>
      </w:pPr>
      <w:r w:rsidRPr="0038253B">
        <w:t xml:space="preserve">(4734 number) = </w:t>
      </w:r>
      <w:hyperlink r:id="rId38" w:history="1">
        <w:r w:rsidRPr="0038253B">
          <w:rPr>
            <w:rStyle w:val="Hyperlink"/>
          </w:rPr>
          <w:t>888-363-4734 webinar link</w:t>
        </w:r>
      </w:hyperlink>
    </w:p>
    <w:p w14:paraId="6B0971A0"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6458EE86" w14:textId="77777777" w:rsidR="0004741B" w:rsidRPr="0038253B" w:rsidRDefault="0004741B" w:rsidP="00E862BA">
      <w:pPr>
        <w:pStyle w:val="ListParagraph"/>
        <w:numPr>
          <w:ilvl w:val="1"/>
          <w:numId w:val="32"/>
        </w:numPr>
        <w:ind w:right="-432"/>
      </w:pPr>
      <w:r w:rsidRPr="0038253B">
        <w:t xml:space="preserve">(0296 number) = </w:t>
      </w:r>
      <w:hyperlink r:id="rId39" w:history="1">
        <w:r w:rsidRPr="0038253B">
          <w:rPr>
            <w:rStyle w:val="Hyperlink"/>
          </w:rPr>
          <w:t>888-278-0296 webinar link</w:t>
        </w:r>
      </w:hyperlink>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0"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13" w:name="_Toc482800007"/>
            <w:r w:rsidRPr="0038253B">
              <w:t xml:space="preserve">Draft </w:t>
            </w:r>
            <w:proofErr w:type="gramStart"/>
            <w:r w:rsidRPr="0038253B">
              <w:t>Rules  -</w:t>
            </w:r>
            <w:proofErr w:type="gramEnd"/>
            <w:r w:rsidRPr="0038253B">
              <w:t xml:space="preserve"> With Edits Highlighted</w:t>
            </w:r>
            <w:bookmarkEnd w:id="1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99C8D0F" w14:textId="77777777" w:rsidR="00DB0862" w:rsidRPr="0038253B" w:rsidRDefault="00DB0862"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bookmarkStart w:id="14" w:name="_Toc482800008"/>
            <w:r w:rsidRPr="0038253B">
              <w:rPr>
                <w:rFonts w:ascii="Arial" w:hAnsi="Arial" w:cs="Arial"/>
                <w:b/>
                <w:sz w:val="36"/>
                <w:szCs w:val="36"/>
              </w:rPr>
              <w:lastRenderedPageBreak/>
              <w:t>Draft Rules – With Edits Incorporated</w:t>
            </w:r>
            <w:bookmarkEnd w:id="14"/>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794AF42D" w14:textId="77777777"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14:paraId="42BFF15F" w14:textId="77777777"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14:paraId="4B866493" w14:textId="77777777" w:rsidR="00A31CE7" w:rsidRPr="0038253B" w:rsidRDefault="00A31CE7" w:rsidP="000770BB">
            <w:pPr>
              <w:pStyle w:val="Heading1"/>
            </w:pPr>
            <w:bookmarkStart w:id="15" w:name="_Toc482800009"/>
            <w:r w:rsidRPr="0038253B">
              <w:lastRenderedPageBreak/>
              <w:t>Supporting documents</w:t>
            </w:r>
            <w:bookmarkEnd w:id="15"/>
          </w:p>
          <w:p w14:paraId="7DCD298D" w14:textId="77777777" w:rsidR="00A31CE7" w:rsidRPr="0038253B" w:rsidRDefault="00A31CE7" w:rsidP="001B303C">
            <w:pPr>
              <w:ind w:left="0"/>
            </w:pPr>
          </w:p>
        </w:tc>
      </w:tr>
    </w:tbl>
    <w:p w14:paraId="589B99C2" w14:textId="77777777" w:rsidR="00A31CE7" w:rsidRPr="0038253B" w:rsidRDefault="00A31CE7" w:rsidP="00501ABB">
      <w:pPr>
        <w:spacing w:after="120"/>
        <w:ind w:left="0"/>
        <w:rPr>
          <w:color w:val="000000"/>
        </w:rPr>
      </w:pPr>
    </w:p>
    <w:p w14:paraId="646695EB" w14:textId="77777777"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AB0FA4" w:rsidRDefault="00AB0FA4" w:rsidP="002D6C99">
      <w:r>
        <w:separator/>
      </w:r>
    </w:p>
  </w:endnote>
  <w:endnote w:type="continuationSeparator" w:id="0">
    <w:p w14:paraId="6DA42939" w14:textId="77777777" w:rsidR="00AB0FA4" w:rsidRDefault="00AB0FA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19262ECA" w:rsidR="00AB0FA4" w:rsidRDefault="00AB0FA4">
        <w:pPr>
          <w:pStyle w:val="Footer"/>
          <w:jc w:val="right"/>
        </w:pPr>
        <w:r>
          <w:fldChar w:fldCharType="begin"/>
        </w:r>
        <w:r>
          <w:instrText xml:space="preserve"> PAGE   \* MERGEFORMAT </w:instrText>
        </w:r>
        <w:r>
          <w:fldChar w:fldCharType="separate"/>
        </w:r>
        <w:r w:rsidR="00113EF8">
          <w:rPr>
            <w:noProof/>
          </w:rPr>
          <w:t>14</w:t>
        </w:r>
        <w:r>
          <w:rPr>
            <w:noProof/>
          </w:rPr>
          <w:fldChar w:fldCharType="end"/>
        </w:r>
      </w:p>
    </w:sdtContent>
  </w:sdt>
  <w:p w14:paraId="3EA6D1A2" w14:textId="77777777" w:rsidR="00AB0FA4" w:rsidRDefault="00AB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0E65D1B3" w:rsidR="00AB0FA4" w:rsidRDefault="00AB0FA4">
        <w:pPr>
          <w:pStyle w:val="Footer"/>
          <w:jc w:val="right"/>
        </w:pPr>
        <w:r>
          <w:fldChar w:fldCharType="begin"/>
        </w:r>
        <w:r>
          <w:instrText xml:space="preserve"> PAGE   \* MERGEFORMAT </w:instrText>
        </w:r>
        <w:r>
          <w:fldChar w:fldCharType="separate"/>
        </w:r>
        <w:r w:rsidR="00113EF8">
          <w:rPr>
            <w:noProof/>
          </w:rPr>
          <w:t>1</w:t>
        </w:r>
        <w:r>
          <w:rPr>
            <w:noProof/>
          </w:rPr>
          <w:fldChar w:fldCharType="end"/>
        </w:r>
      </w:p>
    </w:sdtContent>
  </w:sdt>
  <w:p w14:paraId="21F0CF9F" w14:textId="77777777" w:rsidR="00AB0FA4" w:rsidRDefault="00AB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AB0FA4" w:rsidRDefault="00AB0FA4" w:rsidP="002D6C99">
      <w:r>
        <w:separator/>
      </w:r>
    </w:p>
  </w:footnote>
  <w:footnote w:type="continuationSeparator" w:id="0">
    <w:p w14:paraId="28A06CB2" w14:textId="77777777" w:rsidR="00AB0FA4" w:rsidRDefault="00AB0FA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DFB1" w14:textId="77777777" w:rsidR="00AB0FA4" w:rsidRPr="00F72D05" w:rsidRDefault="00AB0FA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AB0FA4" w:rsidRDefault="00AB0FA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16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626"/>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nect9.uc.att.com/service32/meet/?ExEventID=81910322" TargetMode="External"/><Relationship Id="rId18" Type="http://schemas.openxmlformats.org/officeDocument/2006/relationships/hyperlink" Target="http://www.oregon.gov/deq/Regulations/rulemaking/Pages/R????.aspx" TargetMode="External"/><Relationship Id="rId26" Type="http://schemas.openxmlformats.org/officeDocument/2006/relationships/hyperlink" Target="https://www.arb.ca.gov/msprog/zevprog/zevregs/1962.2_Clean.pdf" TargetMode="External"/><Relationship Id="rId39"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www.oregon.gov/deq/Get-Involved/Pages/Calendar.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topic_id=ORDEQ_???" TargetMode="External"/><Relationship Id="rId25" Type="http://schemas.openxmlformats.org/officeDocument/2006/relationships/hyperlink" Target="https://www.arb.ca.gov/msprog/zevprog/zevregs/1962.1_Clean.pdf" TargetMode="External"/><Relationship Id="rId33" Type="http://schemas.openxmlformats.org/officeDocument/2006/relationships/hyperlink" Target="http://www.leg.state.or.us/ors/183.html" TargetMode="External"/><Relationship Id="rId38"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header" Target="header1.xml"/><Relationship Id="rId29" Type="http://schemas.openxmlformats.org/officeDocument/2006/relationships/hyperlink" Target="http://deqsps/programs/rulemaking/SitePages/Land%20us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lis.leg.state.or.us/liz/2017R1/Downloads/MeasureDocument/HB2017/Enrolled" TargetMode="External"/><Relationship Id="rId32" Type="http://schemas.openxmlformats.org/officeDocument/2006/relationships/hyperlink" Target="http://deqsps/programs/rulemaking/SitePages/Hearings.aspx" TargetMode="External"/><Relationship Id="rId37" Type="http://schemas.openxmlformats.org/officeDocument/2006/relationships/hyperlink" Target="http://deqsps/programs/rulemaking/SitePages/Hearings.aspx" TargetMode="External"/><Relationship Id="rId40" Type="http://schemas.openxmlformats.org/officeDocument/2006/relationships/hyperlink" Target="https://www.oregon.gov/deq/Rulemaking%20Docs/participantlinklog.pdf" TargetMode="External"/><Relationship Id="rId5" Type="http://schemas.openxmlformats.org/officeDocument/2006/relationships/numbering" Target="numbering.xml"/><Relationship Id="rId15" Type="http://schemas.openxmlformats.org/officeDocument/2006/relationships/hyperlink" Target="https://www.oregon.gov/deq/Rulemaking%20Docs/participantlinklog.pdf" TargetMode="External"/><Relationship Id="rId23" Type="http://schemas.openxmlformats.org/officeDocument/2006/relationships/footer" Target="footer2.xml"/><Relationship Id="rId28" Type="http://schemas.openxmlformats.org/officeDocument/2006/relationships/hyperlink" Target="http://www.leg.state.or.us/ors/468a.html" TargetMode="External"/><Relationship Id="rId36" Type="http://schemas.openxmlformats.org/officeDocument/2006/relationships/hyperlink" Target="http://www.deq.state.or.us/regulations/docs/participantlinklog.pdf"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eader" Target="header2.xml"/><Relationship Id="rId27" Type="http://schemas.openxmlformats.org/officeDocument/2006/relationships/hyperlink" Target="https://www.gpo.gov/fdsys/granule/CFR-2012-title40-vol31/CFR-2012-title40-vol31-sec600-116-12" TargetMode="External"/><Relationship Id="rId30" Type="http://schemas.openxmlformats.org/officeDocument/2006/relationships/image" Target="media/image2.tiff"/><Relationship Id="rId35"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982A2-AC97-4234-A3F0-0B687228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29</Pages>
  <Words>5837</Words>
  <Characters>33276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ARMITAGE Sarah</cp:lastModifiedBy>
  <cp:revision>81</cp:revision>
  <cp:lastPrinted>2013-02-28T21:12:00Z</cp:lastPrinted>
  <dcterms:created xsi:type="dcterms:W3CDTF">2017-05-17T23:00:00Z</dcterms:created>
  <dcterms:modified xsi:type="dcterms:W3CDTF">2018-10-27T00:33:00Z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