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Rulemaking Action Item No.</w:t>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46356E">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1A3AE7CB" w:rsidR="002F2F6F" w:rsidRPr="00551D68" w:rsidRDefault="002F2F6F" w:rsidP="002F2F6F">
      <w:pPr>
        <w:rPr>
          <w:color w:val="000000"/>
        </w:rPr>
      </w:pPr>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551D68">
      <w:pPr>
        <w:pStyle w:val="ListParagraph"/>
        <w:numPr>
          <w:ilvl w:val="0"/>
          <w:numId w:val="22"/>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7777777"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are no municipal solid waste landfills in Oregon that emit between 34 and 50 megagrams of nonmethane organic compounds per year. Therefore, the proposed rules to implement the updated federal emission guidelines would not require any uncontrolled landfills to install a gas collection and control system unless in the future 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r>
        <w:rPr>
          <w:color w:val="auto"/>
        </w:rPr>
        <w:t xml:space="preserve">c. </w:t>
      </w:r>
      <w:r>
        <w:rPr>
          <w:color w:val="auto"/>
        </w:rPr>
        <w:tab/>
        <w:t xml:space="preserve">Revised federal standards. EPA revised several standards since EQC’s previous adoption of federal standards. Not adopting the most recent version of federal standards </w:t>
      </w:r>
      <w:r>
        <w:rPr>
          <w:color w:val="auto"/>
        </w:rPr>
        <w:lastRenderedPageBreak/>
        <w:t>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r>
        <w:rPr>
          <w:color w:val="504938"/>
        </w:rPr>
        <w:t xml:space="preserve">c.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7" w:name="RequestForOtherOptions"/>
    </w:p>
    <w:bookmarkEnd w:id="7"/>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8" w:name="_Toc3988348"/>
      <w:bookmarkStart w:id="9" w:name="_Toc4051280"/>
      <w:r w:rsidRPr="003C26EE">
        <w:lastRenderedPageBreak/>
        <w:t>Rules affected, authorities, supporting documents</w:t>
      </w:r>
      <w:bookmarkEnd w:id="8"/>
      <w:bookmarkEnd w:id="9"/>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0" w:name="SupportingDocuments"/>
      <w:r w:rsidRPr="00AB558B">
        <w:rPr>
          <w:sz w:val="24"/>
        </w:rPr>
        <w:t>Documents relied on for rulemaking</w:t>
      </w:r>
      <w:r w:rsidRPr="00762E3F">
        <w:rPr>
          <w:rStyle w:val="Heading2Char"/>
        </w:rPr>
        <w:t xml:space="preserve"> </w:t>
      </w:r>
      <w:bookmarkEnd w:id="10"/>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46356E" w:rsidP="00551D68">
            <w:pPr>
              <w:rPr>
                <w:sz w:val="22"/>
                <w:szCs w:val="22"/>
              </w:rPr>
            </w:pPr>
            <w:hyperlink r:id="rId21"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46356E" w:rsidP="00551D68">
            <w:pPr>
              <w:rPr>
                <w:color w:val="C45911" w:themeColor="accent2" w:themeShade="BF"/>
                <w:sz w:val="22"/>
                <w:szCs w:val="22"/>
              </w:rPr>
            </w:pPr>
            <w:hyperlink r:id="rId22"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46356E" w:rsidP="00551D68">
            <w:pPr>
              <w:rPr>
                <w:color w:val="C45911" w:themeColor="accent2" w:themeShade="BF"/>
                <w:sz w:val="22"/>
                <w:szCs w:val="22"/>
              </w:rPr>
            </w:pPr>
            <w:hyperlink r:id="rId23"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46356E" w:rsidP="00551D68">
            <w:pPr>
              <w:rPr>
                <w:sz w:val="22"/>
                <w:szCs w:val="22"/>
              </w:rPr>
            </w:pPr>
            <w:hyperlink r:id="rId24" w:history="1">
              <w:r w:rsidR="00551D68" w:rsidRPr="00DF7BDF">
                <w:rPr>
                  <w:rStyle w:val="Hyperlink"/>
                  <w:sz w:val="22"/>
                  <w:szCs w:val="22"/>
                </w:rPr>
                <w:t>https://www.oregon.gov/deq/Regulations/Pages/Statutes.aspx</w:t>
              </w:r>
            </w:hyperlink>
            <w:r w:rsidR="00551D68">
              <w:rPr>
                <w:sz w:val="22"/>
                <w:szCs w:val="22"/>
              </w:rPr>
              <w:t xml:space="preserve"> </w:t>
            </w:r>
          </w:p>
        </w:tc>
      </w:tr>
    </w:tbl>
    <w:p w14:paraId="3AF26DF2" w14:textId="77777777" w:rsidR="00551D68" w:rsidRDefault="00551D68"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35F2E600" w14:textId="77777777" w:rsidR="00551D68" w:rsidRDefault="00551D68" w:rsidP="00551D68">
      <w:pPr>
        <w:pStyle w:val="ListParagraph"/>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426E6451" w14:textId="77777777" w:rsidR="00551D68" w:rsidRDefault="00551D68" w:rsidP="00551D68">
      <w:pPr>
        <w:pStyle w:val="ListParagraph"/>
        <w:spacing w:after="120"/>
        <w:ind w:right="14"/>
        <w:rPr>
          <w:rFonts w:asciiTheme="majorHAnsi" w:hAnsiTheme="majorHAnsi" w:cstheme="majorHAnsi"/>
          <w:szCs w:val="22"/>
        </w:rPr>
      </w:pP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 xml:space="preserve">DEQ anticipates no fiscal and economic impacts from updating previously adopted federal standards because the fiscal and economic impacts occurred when EPA </w:t>
      </w:r>
      <w:r>
        <w:rPr>
          <w:color w:val="auto"/>
        </w:rPr>
        <w:lastRenderedPageBreak/>
        <w:t>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t>a. Estimated number of small businesses and types of businesses and industries with small businesses subject to proposed rule.</w:t>
      </w:r>
    </w:p>
    <w:p w14:paraId="66AC54FB" w14:textId="77777777" w:rsidR="00551D68" w:rsidRDefault="00551D68" w:rsidP="00551D68"/>
    <w:p w14:paraId="7C451060"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Pr>
          <w:color w:val="auto"/>
          <w:sz w:val="22"/>
          <w:szCs w:val="22"/>
        </w:rPr>
        <w:t>8</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chemical recovery combustion sources at kraft, soda, sulfite, and stand-alone semichemical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5656D8">
        <w:rPr>
          <w:rStyle w:val="Heading2Char"/>
        </w:rPr>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7777777" w:rsidR="00551D68" w:rsidRDefault="00551D68"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lastRenderedPageBreak/>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46356E" w:rsidP="00551D68">
            <w:pPr>
              <w:rPr>
                <w:rStyle w:val="Emphasis"/>
                <w:vanish w:val="0"/>
                <w:sz w:val="22"/>
                <w:szCs w:val="22"/>
              </w:rPr>
            </w:pPr>
            <w:hyperlink r:id="rId25"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46356E" w:rsidP="00551D68">
            <w:pPr>
              <w:rPr>
                <w:bCs/>
                <w:szCs w:val="22"/>
              </w:rPr>
            </w:pPr>
            <w:hyperlink r:id="rId26"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18" w:name="AlternativesConsidered"/>
      <w:bookmarkStart w:id="19"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18"/>
      <w:r w:rsidRPr="006807BF">
        <w:t xml:space="preserve"> if any?</w:t>
      </w:r>
      <w:bookmarkEnd w:id="19"/>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Making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20" w:name="_Toc3988352"/>
      <w:bookmarkStart w:id="21" w:name="_Toc4051284"/>
      <w:r w:rsidRPr="003C26EE">
        <w:lastRenderedPageBreak/>
        <w:t>Land use</w:t>
      </w:r>
      <w:bookmarkEnd w:id="20"/>
      <w:bookmarkEnd w:id="21"/>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551D68">
      <w:pPr>
        <w:numPr>
          <w:ilvl w:val="0"/>
          <w:numId w:val="24"/>
        </w:numPr>
        <w:ind w:left="0" w:right="18" w:firstLine="0"/>
      </w:pPr>
      <w:r w:rsidRPr="009A7070">
        <w:t>The statewide land use planning goals specifically refer to the rule or program, or</w:t>
      </w:r>
    </w:p>
    <w:p w14:paraId="07296736" w14:textId="77777777" w:rsidR="00551D68" w:rsidRPr="009A7070" w:rsidRDefault="00551D68" w:rsidP="00551D68">
      <w:pPr>
        <w:numPr>
          <w:ilvl w:val="0"/>
          <w:numId w:val="24"/>
        </w:numPr>
        <w:ind w:left="0" w:right="18" w:firstLine="0"/>
      </w:pPr>
      <w:r w:rsidRPr="009A7070">
        <w:t>The rule or program is reasonably expected to have significant effects on:</w:t>
      </w:r>
    </w:p>
    <w:p w14:paraId="5A69303F" w14:textId="77777777" w:rsidR="00551D68" w:rsidRPr="009A7070" w:rsidRDefault="00551D68" w:rsidP="00551D68">
      <w:pPr>
        <w:numPr>
          <w:ilvl w:val="0"/>
          <w:numId w:val="26"/>
        </w:numPr>
        <w:ind w:left="990" w:right="18"/>
      </w:pPr>
      <w:r w:rsidRPr="009A7070">
        <w:t>Resources, objectives or areas identified in the statewide planning goals, or</w:t>
      </w:r>
    </w:p>
    <w:p w14:paraId="106CD27B" w14:textId="77777777" w:rsidR="00551D68" w:rsidRPr="009A7070" w:rsidRDefault="00551D68" w:rsidP="00551D68">
      <w:pPr>
        <w:numPr>
          <w:ilvl w:val="0"/>
          <w:numId w:val="26"/>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551D68">
      <w:pPr>
        <w:pStyle w:val="ListParagraph"/>
      </w:pPr>
    </w:p>
    <w:p w14:paraId="4301D19B" w14:textId="77777777" w:rsidR="00551D68" w:rsidRDefault="00551D68" w:rsidP="00551D68">
      <w:pPr>
        <w:pStyle w:val="ListParagraph"/>
      </w:pPr>
      <w:r>
        <w:t>Statewide goals also specifically reference the following DEQ programs:</w:t>
      </w:r>
    </w:p>
    <w:p w14:paraId="37D2F54F" w14:textId="77777777" w:rsidR="00551D68" w:rsidRDefault="00551D68" w:rsidP="00551D68">
      <w:pPr>
        <w:pStyle w:val="ListParagraph"/>
      </w:pPr>
    </w:p>
    <w:p w14:paraId="3319B4E9" w14:textId="77777777" w:rsidR="00551D68" w:rsidRPr="0006277C" w:rsidRDefault="00551D68" w:rsidP="00551D68">
      <w:pPr>
        <w:pStyle w:val="ListParagraph"/>
        <w:numPr>
          <w:ilvl w:val="0"/>
          <w:numId w:val="25"/>
        </w:numPr>
        <w:ind w:left="0" w:right="18" w:firstLine="0"/>
      </w:pPr>
      <w:r w:rsidRPr="0006277C">
        <w:t>Nonpoint source discharge water quality program – Goal 16</w:t>
      </w:r>
    </w:p>
    <w:p w14:paraId="7C3E26FB" w14:textId="77777777" w:rsidR="00551D68" w:rsidRPr="0006277C" w:rsidRDefault="00551D68" w:rsidP="00551D68">
      <w:pPr>
        <w:pStyle w:val="ListParagraph"/>
        <w:numPr>
          <w:ilvl w:val="0"/>
          <w:numId w:val="25"/>
        </w:numPr>
        <w:ind w:left="0" w:right="18" w:firstLine="0"/>
      </w:pPr>
      <w:r w:rsidRPr="0006277C">
        <w:t>Water quality and sewage disposal systems – Goal 16</w:t>
      </w:r>
    </w:p>
    <w:p w14:paraId="776A714D" w14:textId="77777777" w:rsidR="00551D68" w:rsidRPr="0006277C" w:rsidRDefault="00551D68" w:rsidP="00551D68">
      <w:pPr>
        <w:pStyle w:val="ListParagraph"/>
        <w:numPr>
          <w:ilvl w:val="0"/>
          <w:numId w:val="25"/>
        </w:numPr>
        <w:ind w:left="0" w:right="18" w:firstLine="0"/>
      </w:pPr>
      <w:r w:rsidRPr="0006277C">
        <w:t>Water quality permits and oil spill regulations – Goal 19</w:t>
      </w:r>
    </w:p>
    <w:p w14:paraId="49899C92" w14:textId="77777777" w:rsidR="00551D68" w:rsidRDefault="00551D68" w:rsidP="00551D68">
      <w:pPr>
        <w:pStyle w:val="ListParagraph"/>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2" w:name="_Toc3988353"/>
      <w:bookmarkStart w:id="23" w:name="_Toc4051285"/>
      <w:r w:rsidRPr="003C26EE">
        <w:lastRenderedPageBreak/>
        <w:t>EQC Prior Involvement</w:t>
      </w:r>
      <w:bookmarkEnd w:id="22"/>
      <w:bookmarkEnd w:id="23"/>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4" w:name="_Toc3988354"/>
      <w:bookmarkStart w:id="25" w:name="_Toc4051286"/>
      <w:r w:rsidRPr="003C26EE">
        <w:lastRenderedPageBreak/>
        <w:t>Advisory Committee</w:t>
      </w:r>
      <w:bookmarkEnd w:id="24"/>
      <w:bookmarkEnd w:id="25"/>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6" w:name="_Toc3988355"/>
      <w:bookmarkStart w:id="27" w:name="_Toc4051287"/>
      <w:r w:rsidRPr="003C26EE">
        <w:lastRenderedPageBreak/>
        <w:t>Public Engagement</w:t>
      </w:r>
      <w:bookmarkEnd w:id="26"/>
      <w:bookmarkEnd w:id="27"/>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46356E" w:rsidRPr="001A4DE1" w:rsidRDefault="0046356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46356E" w:rsidRDefault="0046356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7293981B" w14:textId="77777777" w:rsidR="00551D68" w:rsidRDefault="00551D68" w:rsidP="00551D68">
      <w:r>
        <w:t>DEQ provided notice of the proposed rulemaking and rulemaking hearing on April 1, 2019</w:t>
      </w:r>
      <w:r>
        <w:rPr>
          <w:color w:val="C45911" w:themeColor="accent2" w:themeShade="BF"/>
        </w:rPr>
        <w:t xml:space="preserve"> </w:t>
      </w:r>
      <w:r>
        <w:t xml:space="preserve">by: </w:t>
      </w:r>
    </w:p>
    <w:p w14:paraId="233F45D0" w14:textId="77777777" w:rsidR="00551D68" w:rsidRDefault="00551D68" w:rsidP="00551D68">
      <w:pPr>
        <w:pStyle w:val="ListParagraph"/>
      </w:pPr>
    </w:p>
    <w:p w14:paraId="4D65F5BB" w14:textId="77777777" w:rsidR="00551D68" w:rsidRDefault="00551D68" w:rsidP="00551D68">
      <w:pPr>
        <w:pStyle w:val="ListParagraph"/>
        <w:numPr>
          <w:ilvl w:val="0"/>
          <w:numId w:val="27"/>
        </w:numPr>
        <w:ind w:left="360" w:right="18"/>
      </w:pPr>
      <w:r>
        <w:t>On March 29, 2019 Filing notice with the Oregon Secretary of State for publication in the April 2019 Oregon Bulletin;</w:t>
      </w:r>
    </w:p>
    <w:p w14:paraId="5B90F779" w14:textId="77777777" w:rsidR="00551D68" w:rsidRDefault="00551D68" w:rsidP="00551D68">
      <w:pPr>
        <w:pStyle w:val="ListParagraph"/>
        <w:numPr>
          <w:ilvl w:val="0"/>
          <w:numId w:val="27"/>
        </w:numPr>
        <w:ind w:left="0" w:right="18" w:firstLine="0"/>
      </w:pPr>
      <w:commentRangeStart w:id="28"/>
      <w:r>
        <w:t>Notifying the EPA by mail;</w:t>
      </w:r>
      <w:commentRangeEnd w:id="28"/>
      <w:r w:rsidR="00CB35AC">
        <w:rPr>
          <w:rStyle w:val="CommentReference"/>
          <w:bCs w:val="0"/>
        </w:rPr>
        <w:commentReference w:id="28"/>
      </w:r>
    </w:p>
    <w:p w14:paraId="6372D66A" w14:textId="77777777" w:rsidR="00551D68" w:rsidRDefault="00551D68" w:rsidP="00551D68">
      <w:pPr>
        <w:pStyle w:val="ListParagraph"/>
        <w:numPr>
          <w:ilvl w:val="0"/>
          <w:numId w:val="27"/>
        </w:numPr>
        <w:ind w:left="360" w:right="18"/>
      </w:pPr>
      <w:r>
        <w:t xml:space="preserve">Posting the Notice, Invitation to Comment and Draft Rules on the web page for this rulemaking, located at: </w:t>
      </w:r>
      <w:hyperlink r:id="rId29" w:history="1">
        <w:r w:rsidRPr="002C2815">
          <w:rPr>
            <w:rStyle w:val="Hyperlink"/>
          </w:rPr>
          <w:t>Federal Landfill Emissions Guidelines 2019</w:t>
        </w:r>
      </w:hyperlink>
      <w:r>
        <w:rPr>
          <w:color w:val="auto"/>
        </w:rPr>
        <w:t>;</w:t>
      </w:r>
    </w:p>
    <w:p w14:paraId="47988B35" w14:textId="77777777" w:rsidR="00551D68" w:rsidRDefault="00551D68" w:rsidP="00551D68">
      <w:pPr>
        <w:pStyle w:val="ListParagraph"/>
        <w:numPr>
          <w:ilvl w:val="0"/>
          <w:numId w:val="27"/>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551D68">
      <w:pPr>
        <w:pStyle w:val="ListParagraph"/>
        <w:numPr>
          <w:ilvl w:val="0"/>
          <w:numId w:val="27"/>
        </w:numPr>
        <w:ind w:right="18"/>
      </w:pPr>
      <w:r>
        <w:t>Agency Rulemaking</w:t>
      </w:r>
    </w:p>
    <w:p w14:paraId="102A6328" w14:textId="77777777" w:rsidR="00551D68" w:rsidRDefault="00551D68" w:rsidP="00551D68">
      <w:pPr>
        <w:pStyle w:val="ListParagraph"/>
        <w:numPr>
          <w:ilvl w:val="0"/>
          <w:numId w:val="27"/>
        </w:numPr>
        <w:ind w:right="18"/>
      </w:pPr>
      <w:r w:rsidRPr="003007E8">
        <w:t>DEQ Public Notices</w:t>
      </w:r>
    </w:p>
    <w:p w14:paraId="452AA4F6" w14:textId="77777777" w:rsidR="00551D68" w:rsidRPr="003007E8" w:rsidRDefault="00551D68" w:rsidP="00551D68">
      <w:pPr>
        <w:pStyle w:val="ListParagraph"/>
        <w:numPr>
          <w:ilvl w:val="0"/>
          <w:numId w:val="27"/>
        </w:numPr>
        <w:ind w:right="18"/>
      </w:pPr>
      <w:r>
        <w:t>NSPS/NESHAP</w:t>
      </w:r>
    </w:p>
    <w:p w14:paraId="10074A63" w14:textId="77777777" w:rsidR="00551D68" w:rsidRDefault="00551D68" w:rsidP="00551D68">
      <w:pPr>
        <w:pStyle w:val="ListParagraph"/>
        <w:numPr>
          <w:ilvl w:val="0"/>
          <w:numId w:val="27"/>
        </w:numPr>
        <w:ind w:left="360" w:right="18"/>
      </w:pPr>
      <w:r w:rsidRPr="00C35797">
        <w:rPr>
          <w:rStyle w:val="Emphasis"/>
          <w:sz w:val="24"/>
        </w:rPr>
        <w:t xml:space="preserve">Emailing </w:t>
      </w:r>
      <w:r>
        <w:rPr>
          <w:rStyle w:val="Emphasis"/>
          <w:sz w:val="24"/>
        </w:rPr>
        <w:t>eight</w:t>
      </w:r>
      <w:r w:rsidRPr="00C35797">
        <w:rPr>
          <w:rStyle w:val="Emphasis"/>
          <w:color w:val="C45911" w:themeColor="accent2" w:themeShade="BF"/>
          <w:sz w:val="24"/>
        </w:rPr>
        <w:t xml:space="preserve"> </w:t>
      </w:r>
      <w:commentRangeStart w:id="29"/>
      <w:r w:rsidRPr="00233537">
        <w:t xml:space="preserve">stakeholders </w:t>
      </w:r>
      <w:r>
        <w:t>potentially affected by the new federal landfill standards</w:t>
      </w:r>
      <w:r w:rsidRPr="00C35797">
        <w:rPr>
          <w:rStyle w:val="Emphasis"/>
          <w:color w:val="C45911" w:themeColor="accent2" w:themeShade="BF"/>
          <w:sz w:val="24"/>
        </w:rPr>
        <w:t xml:space="preserve"> </w:t>
      </w:r>
      <w:commentRangeEnd w:id="29"/>
      <w:r w:rsidR="00CB35AC">
        <w:rPr>
          <w:rStyle w:val="CommentReference"/>
          <w:bCs w:val="0"/>
        </w:rPr>
        <w:commentReference w:id="29"/>
      </w:r>
    </w:p>
    <w:p w14:paraId="02BD635A" w14:textId="77777777" w:rsidR="00551D68" w:rsidRDefault="00551D68" w:rsidP="00551D68">
      <w:pPr>
        <w:pStyle w:val="ListParagraph"/>
        <w:numPr>
          <w:ilvl w:val="0"/>
          <w:numId w:val="27"/>
        </w:numPr>
        <w:ind w:left="0" w:right="18" w:firstLine="0"/>
      </w:pPr>
      <w:r>
        <w:t>Emailing t</w:t>
      </w:r>
      <w:r w:rsidRPr="006F1FBD">
        <w:t xml:space="preserve">he following key legislators required under </w:t>
      </w:r>
      <w:hyperlink r:id="rId30" w:history="1">
        <w:r w:rsidRPr="006F1FBD">
          <w:rPr>
            <w:u w:val="single"/>
          </w:rPr>
          <w:t>ORS 183.335</w:t>
        </w:r>
      </w:hyperlink>
      <w:r>
        <w:t>:</w:t>
      </w:r>
    </w:p>
    <w:p w14:paraId="36992DB1" w14:textId="77777777" w:rsidR="00551D68" w:rsidRDefault="00551D68" w:rsidP="00551D68">
      <w:pPr>
        <w:pStyle w:val="ListParagraph"/>
      </w:pPr>
    </w:p>
    <w:p w14:paraId="2D7AA969" w14:textId="77777777" w:rsidR="00551D68" w:rsidRDefault="00551D68" w:rsidP="00551D68">
      <w:pPr>
        <w:pStyle w:val="ListParagraph"/>
        <w:numPr>
          <w:ilvl w:val="0"/>
          <w:numId w:val="29"/>
        </w:numPr>
        <w:outlineLvl w:val="9"/>
        <w:rPr>
          <w:b/>
          <w:bCs w:val="0"/>
        </w:rPr>
      </w:pPr>
      <w:r>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551D68">
      <w:pPr>
        <w:numPr>
          <w:ilvl w:val="0"/>
          <w:numId w:val="29"/>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551D68">
      <w:pPr>
        <w:numPr>
          <w:ilvl w:val="0"/>
          <w:numId w:val="29"/>
        </w:numPr>
        <w:ind w:right="18"/>
        <w:contextualSpacing/>
        <w:rPr>
          <w:bCs/>
        </w:rPr>
      </w:pPr>
      <w:r>
        <w:t>Senate President Peter Courtney</w:t>
      </w:r>
    </w:p>
    <w:p w14:paraId="6CBA2B27" w14:textId="77777777" w:rsidR="00551D68" w:rsidRPr="00841A68" w:rsidRDefault="00551D68" w:rsidP="00551D68">
      <w:pPr>
        <w:numPr>
          <w:ilvl w:val="0"/>
          <w:numId w:val="29"/>
        </w:numPr>
        <w:ind w:right="18"/>
        <w:contextualSpacing/>
        <w:rPr>
          <w:bCs/>
        </w:rPr>
      </w:pPr>
      <w:r>
        <w:t>House Speaker Tina Kotek</w:t>
      </w:r>
    </w:p>
    <w:p w14:paraId="3D1673D9" w14:textId="77777777" w:rsidR="00551D68" w:rsidRDefault="00551D68" w:rsidP="00551D68">
      <w:pPr>
        <w:pStyle w:val="ListParagraph"/>
      </w:pPr>
    </w:p>
    <w:p w14:paraId="21672F44" w14:textId="77777777" w:rsidR="00551D68" w:rsidRPr="006F1FBD" w:rsidRDefault="00551D68" w:rsidP="00551D68">
      <w:pPr>
        <w:pStyle w:val="ListParagraph"/>
        <w:numPr>
          <w:ilvl w:val="0"/>
          <w:numId w:val="28"/>
        </w:numPr>
        <w:ind w:left="0" w:right="18" w:firstLine="0"/>
      </w:pPr>
      <w:r>
        <w:t>Emailing advisory committee members,</w:t>
      </w:r>
    </w:p>
    <w:p w14:paraId="0E8CF89B" w14:textId="77777777" w:rsidR="00551D68" w:rsidRPr="00EE0814" w:rsidRDefault="00551D68" w:rsidP="00551D68">
      <w:pPr>
        <w:pStyle w:val="ListParagraph"/>
        <w:numPr>
          <w:ilvl w:val="0"/>
          <w:numId w:val="28"/>
        </w:numPr>
        <w:ind w:left="0" w:right="14" w:firstLine="0"/>
        <w:contextualSpacing w:val="0"/>
      </w:pPr>
      <w:r w:rsidRPr="00EE0814">
        <w:t>Postings on Twitter and Facebook</w:t>
      </w:r>
    </w:p>
    <w:p w14:paraId="512A0EED" w14:textId="77777777" w:rsidR="00551D68" w:rsidRPr="00EE0814" w:rsidRDefault="00551D68" w:rsidP="00551D68">
      <w:pPr>
        <w:pStyle w:val="ListParagraph"/>
        <w:numPr>
          <w:ilvl w:val="0"/>
          <w:numId w:val="28"/>
        </w:numPr>
        <w:ind w:left="0" w:right="14" w:firstLine="0"/>
        <w:contextualSpacing w:val="0"/>
      </w:pPr>
      <w:r w:rsidRPr="00EE0814">
        <w:t xml:space="preserve">Posting on the DEQ event calendar: </w:t>
      </w:r>
      <w:hyperlink r:id="rId31"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47BF2B6D" w:rsidR="00551D68" w:rsidRDefault="00551D68" w:rsidP="00551D68">
      <w:r>
        <w:t xml:space="preserve">DEQ held </w:t>
      </w:r>
      <w:commentRangeStart w:id="30"/>
      <w:r>
        <w:t xml:space="preserve">one </w:t>
      </w:r>
      <w:commentRangeEnd w:id="30"/>
      <w:r w:rsidR="00CB35AC">
        <w:rPr>
          <w:rStyle w:val="CommentReference"/>
        </w:rPr>
        <w:commentReference w:id="30"/>
      </w:r>
      <w:r>
        <w:t>public hearing. The details are listed below. Anyone could attend the hearing in person, or by webinar or teleconference.</w:t>
      </w:r>
    </w:p>
    <w:p w14:paraId="6A3D89D0" w14:textId="77777777" w:rsidR="00551D68" w:rsidRDefault="00551D68" w:rsidP="00551D68"/>
    <w:p w14:paraId="55DCCEAC" w14:textId="366E54E2" w:rsidR="00551D68" w:rsidRDefault="00551D68" w:rsidP="00551D68">
      <w:r>
        <w:t>DEQ considered all written comments received at the hearing listed below before completing the draft rules. DEQ summarized all comments and responded to comments in the summary of comments section below.</w:t>
      </w:r>
    </w:p>
    <w:p w14:paraId="12F17BB9" w14:textId="77777777" w:rsidR="00551D68" w:rsidRDefault="00551D68"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77777777" w:rsidR="00551D68" w:rsidRPr="00DC2FD5" w:rsidRDefault="00551D68" w:rsidP="00551D68">
            <w:pPr>
              <w:jc w:val="center"/>
            </w:pPr>
            <w:r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r w:rsidR="00551D68" w14:paraId="5E138716" w14:textId="77777777" w:rsidTr="00551D68">
        <w:trPr>
          <w:trHeight w:val="298"/>
          <w:jc w:val="center"/>
        </w:trPr>
        <w:tc>
          <w:tcPr>
            <w:tcW w:w="2898" w:type="dxa"/>
          </w:tcPr>
          <w:p w14:paraId="04CCC4D9" w14:textId="77777777" w:rsidR="00551D68" w:rsidRPr="0064131E" w:rsidRDefault="00551D68" w:rsidP="00551D68">
            <w:pPr>
              <w:rPr>
                <w:rFonts w:ascii="Arial" w:hAnsi="Arial" w:cs="Arial"/>
                <w:sz w:val="22"/>
                <w:szCs w:val="22"/>
              </w:rPr>
            </w:pPr>
            <w:r w:rsidRPr="0064131E">
              <w:rPr>
                <w:rFonts w:ascii="Arial" w:hAnsi="Arial" w:cs="Arial"/>
                <w:sz w:val="22"/>
                <w:szCs w:val="22"/>
              </w:rPr>
              <w:t>Webinar Link</w:t>
            </w:r>
          </w:p>
        </w:tc>
        <w:tc>
          <w:tcPr>
            <w:tcW w:w="3410" w:type="dxa"/>
          </w:tcPr>
          <w:p w14:paraId="3EA86ABC" w14:textId="77777777" w:rsidR="00551D68" w:rsidRPr="0064131E" w:rsidRDefault="0046356E" w:rsidP="00551D68">
            <w:pPr>
              <w:rPr>
                <w:sz w:val="22"/>
                <w:szCs w:val="22"/>
              </w:rPr>
            </w:pPr>
            <w:hyperlink r:id="rId32" w:history="1">
              <w:r w:rsidR="00551D68">
                <w:rPr>
                  <w:rStyle w:val="Hyperlink"/>
                  <w:sz w:val="22"/>
                  <w:szCs w:val="22"/>
                </w:rPr>
                <w:t>Public Hearing Webinar Login</w:t>
              </w:r>
            </w:hyperlink>
          </w:p>
        </w:tc>
      </w:tr>
      <w:tr w:rsidR="00551D68" w14:paraId="4B20C11B" w14:textId="77777777" w:rsidTr="00551D68">
        <w:trPr>
          <w:trHeight w:val="521"/>
          <w:jc w:val="center"/>
        </w:trPr>
        <w:tc>
          <w:tcPr>
            <w:tcW w:w="2898" w:type="dxa"/>
          </w:tcPr>
          <w:p w14:paraId="2E323A33" w14:textId="77777777" w:rsidR="00551D68" w:rsidRPr="0064131E" w:rsidRDefault="00551D68" w:rsidP="00551D68">
            <w:pPr>
              <w:rPr>
                <w:rFonts w:ascii="Arial" w:hAnsi="Arial" w:cs="Arial"/>
                <w:sz w:val="22"/>
                <w:szCs w:val="22"/>
              </w:rPr>
            </w:pPr>
            <w:r w:rsidRPr="0064131E">
              <w:rPr>
                <w:rFonts w:ascii="Arial" w:hAnsi="Arial" w:cs="Arial"/>
                <w:sz w:val="22"/>
                <w:szCs w:val="22"/>
              </w:rPr>
              <w:t>Instructions on how to access webinar and teleconference</w:t>
            </w:r>
          </w:p>
        </w:tc>
        <w:tc>
          <w:tcPr>
            <w:tcW w:w="3410" w:type="dxa"/>
          </w:tcPr>
          <w:p w14:paraId="57EF7CE2" w14:textId="77777777" w:rsidR="00551D68" w:rsidRPr="0064131E" w:rsidRDefault="0046356E" w:rsidP="00551D68">
            <w:pPr>
              <w:rPr>
                <w:sz w:val="22"/>
                <w:szCs w:val="22"/>
              </w:rPr>
            </w:pPr>
            <w:hyperlink r:id="rId33" w:history="1">
              <w:r w:rsidR="00551D68" w:rsidRPr="0064131E">
                <w:rPr>
                  <w:rStyle w:val="Hyperlink"/>
                  <w:sz w:val="22"/>
                  <w:szCs w:val="22"/>
                </w:rPr>
                <w:t>Webinar instructions</w:t>
              </w:r>
            </w:hyperlink>
          </w:p>
          <w:p w14:paraId="1996D973" w14:textId="77777777" w:rsidR="00551D68" w:rsidRPr="0064131E" w:rsidRDefault="00551D68" w:rsidP="00551D68">
            <w:pPr>
              <w:rPr>
                <w:sz w:val="22"/>
                <w:szCs w:val="22"/>
              </w:rPr>
            </w:pPr>
          </w:p>
        </w:tc>
      </w:tr>
    </w:tbl>
    <w:p w14:paraId="62FEB35C" w14:textId="77777777" w:rsidR="002F2F6F" w:rsidRPr="003C26EE" w:rsidRDefault="002F2F6F" w:rsidP="002F2F6F"/>
    <w:p w14:paraId="62FEB35D" w14:textId="77777777" w:rsidR="002F2F6F" w:rsidRDefault="002F2F6F" w:rsidP="002F2F6F">
      <w:r>
        <w:br w:type="page"/>
      </w:r>
    </w:p>
    <w:p w14:paraId="62FEB35E" w14:textId="77777777" w:rsidR="002F2F6F" w:rsidRDefault="002F2F6F" w:rsidP="001F7800">
      <w:pPr>
        <w:pStyle w:val="Heading2"/>
      </w:pPr>
      <w:bookmarkStart w:id="31" w:name="_Toc3988356"/>
      <w:bookmarkStart w:id="32" w:name="_Toc4051288"/>
      <w:r>
        <w:lastRenderedPageBreak/>
        <w:t>Public Hearing</w:t>
      </w:r>
      <w:bookmarkEnd w:id="31"/>
      <w:bookmarkEnd w:id="32"/>
    </w:p>
    <w:p w14:paraId="62FEB35F" w14:textId="77777777" w:rsidR="002F2F6F" w:rsidRDefault="002F2F6F" w:rsidP="00A83AA3">
      <w:pPr>
        <w:pStyle w:val="instructions"/>
      </w:pPr>
      <w:r>
        <w:t>New section – not copied from Notice of Rulemaking</w:t>
      </w:r>
    </w:p>
    <w:p w14:paraId="62FEB360" w14:textId="77777777" w:rsidR="002F2F6F" w:rsidRDefault="002F2F6F" w:rsidP="002F2F6F"/>
    <w:p w14:paraId="62FEB361" w14:textId="4D53F7F1" w:rsidR="002F2F6F" w:rsidRPr="001404B0" w:rsidRDefault="002F2F6F" w:rsidP="002F2F6F">
      <w:r w:rsidRPr="001404B0">
        <w:t>DEQ held</w:t>
      </w:r>
      <w:r>
        <w:t xml:space="preserve"> </w:t>
      </w:r>
      <w:commentRangeStart w:id="33"/>
      <w:r w:rsidR="00551D68" w:rsidRPr="00551D68">
        <w:rPr>
          <w:color w:val="auto"/>
        </w:rPr>
        <w:t xml:space="preserve">one </w:t>
      </w:r>
      <w:commentRangeEnd w:id="33"/>
      <w:r w:rsidR="00CB35AC">
        <w:rPr>
          <w:rStyle w:val="CommentReference"/>
        </w:rPr>
        <w:commentReference w:id="33"/>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Pr="001404B0">
        <w:t>. DEQ received</w:t>
      </w:r>
      <w:r w:rsidR="00551D68">
        <w:t xml:space="preserve"> no</w:t>
      </w:r>
      <w:r w:rsidRPr="001404B0">
        <w:t xml:space="preserve"> comments at the hearing.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20</w:t>
      </w:r>
      <w:r w:rsidRPr="001404B0">
        <w:t xml:space="preserve"> 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62E82CC7" w:rsidR="002F2F6F" w:rsidRPr="00A135B0" w:rsidRDefault="00551D68" w:rsidP="003753A9">
            <w:pPr>
              <w:rPr>
                <w:vanish/>
              </w:rPr>
            </w:pPr>
            <w:r w:rsidRPr="003007E8">
              <w:rPr>
                <w:sz w:val="22"/>
                <w:szCs w:val="22"/>
              </w:rPr>
              <w:t>700 NE Multnomah St., Suite 600</w:t>
            </w:r>
            <w:r>
              <w:rPr>
                <w:sz w:val="22"/>
                <w:szCs w:val="22"/>
              </w:rPr>
              <w:t>, Portland, OR 97232</w:t>
            </w:r>
            <w:r w:rsidR="00CB35AC">
              <w:rPr>
                <w:sz w:val="22"/>
                <w:szCs w:val="22"/>
              </w:rPr>
              <w:t>, Conference Room 610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D567BB1" w:rsidR="002F2F6F" w:rsidRPr="00A135B0" w:rsidRDefault="00C91387" w:rsidP="00C91387">
            <w:pPr>
              <w:rPr>
                <w:vanish/>
              </w:rPr>
            </w:pPr>
            <w:r>
              <w:t>4</w:t>
            </w:r>
            <w:r w:rsidR="00CB35AC">
              <w:t>:00</w:t>
            </w:r>
            <w:r>
              <w:t xml:space="preserve">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448516AF" w:rsidR="003753A9" w:rsidRPr="00A135B0" w:rsidRDefault="00CB35AC" w:rsidP="003753A9">
            <w:pPr>
              <w:rPr>
                <w:vanish/>
              </w:rPr>
            </w:pPr>
            <w:r>
              <w:t>700 NE Multnomah St., Suite 600, Portland, OR 97232, Conference Room 610</w:t>
            </w: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310CDE4B" w:rsidR="003753A9" w:rsidRPr="00A135B0" w:rsidRDefault="00CB35AC" w:rsidP="00E17DED">
            <w:pPr>
              <w:rPr>
                <w:vanish/>
              </w:rPr>
            </w:pPr>
            <w:r>
              <w:t>4:00 p.m.</w:t>
            </w: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commentRangeStart w:id="34"/>
            <w:r w:rsidRPr="00A135B0">
              <w:lastRenderedPageBreak/>
              <w:t>End Time</w:t>
            </w:r>
            <w:commentRangeEnd w:id="34"/>
            <w:r w:rsidR="00CB35AC">
              <w:rPr>
                <w:rStyle w:val="CommentReference"/>
              </w:rPr>
              <w:commentReference w:id="34"/>
            </w:r>
          </w:p>
        </w:tc>
        <w:tc>
          <w:tcPr>
            <w:tcW w:w="6763" w:type="dxa"/>
            <w:vAlign w:val="center"/>
          </w:tcPr>
          <w:p w14:paraId="75337F07" w14:textId="77777777" w:rsidR="003753A9" w:rsidRPr="00A135B0" w:rsidRDefault="003753A9" w:rsidP="00E17DED">
            <w:pPr>
              <w:rPr>
                <w:vanish/>
              </w:rPr>
            </w:pP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2431AF2A" w:rsidR="003753A9" w:rsidRPr="00A135B0" w:rsidRDefault="00CB35AC" w:rsidP="00E17DED">
            <w:pPr>
              <w:rPr>
                <w:vanish/>
              </w:rPr>
            </w:pPr>
            <w:r>
              <w:t>Dan DeFehr</w:t>
            </w: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2E90F741"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receiving future information about the </w:t>
      </w:r>
      <w:r w:rsidR="00CB35AC">
        <w:t>option</w:t>
      </w:r>
      <w:r w:rsidRPr="001404B0">
        <w:t xml:space="preserve"> to sign up for GovDelivery email notices.</w:t>
      </w:r>
    </w:p>
    <w:p w14:paraId="6BEADD7A" w14:textId="77777777" w:rsidR="003753A9" w:rsidRPr="001404B0" w:rsidRDefault="003753A9" w:rsidP="003753A9">
      <w:pPr>
        <w:tabs>
          <w:tab w:val="left" w:pos="-1440"/>
          <w:tab w:val="left" w:pos="-720"/>
        </w:tabs>
        <w:suppressAutoHyphens/>
      </w:pPr>
    </w:p>
    <w:p w14:paraId="2C3F7C2B" w14:textId="031C1CDD" w:rsidR="003753A9" w:rsidRPr="001404B0" w:rsidRDefault="003753A9" w:rsidP="003753A9">
      <w:pPr>
        <w:tabs>
          <w:tab w:val="left" w:pos="-1440"/>
          <w:tab w:val="left" w:pos="-720"/>
        </w:tabs>
        <w:suppressAutoHyphens/>
      </w:pPr>
      <w:r w:rsidRPr="001404B0">
        <w:t xml:space="preserve">As Oregon Administrative Rule 137-001-0030 requires, the presiding officer summarized the content of the </w:t>
      </w:r>
      <w:r w:rsidR="00CB35AC">
        <w:t>proposed state plan</w:t>
      </w:r>
      <w:r w:rsidRPr="001404B0">
        <w:t>.</w:t>
      </w:r>
    </w:p>
    <w:p w14:paraId="1A8B585D" w14:textId="77777777" w:rsidR="003753A9" w:rsidRPr="001404B0" w:rsidRDefault="003753A9" w:rsidP="003753A9"/>
    <w:p w14:paraId="62FEB384" w14:textId="6EC999FC" w:rsidR="002F2F6F" w:rsidRDefault="003753A9" w:rsidP="003753A9">
      <w:r w:rsidRPr="003753A9">
        <w:rPr>
          <w:rFonts w:ascii="Arial" w:hAnsi="Arial"/>
          <w:bCs/>
          <w:color w:val="C45911" w:themeColor="accent2" w:themeShade="BF"/>
        </w:rPr>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5" w:name="_Toc2850647"/>
      <w:bookmarkStart w:id="36" w:name="_Toc3988357"/>
      <w:bookmarkStart w:id="37" w:name="_Toc4051289"/>
      <w:r w:rsidRPr="001404B0">
        <w:lastRenderedPageBreak/>
        <w:t>Summary of Public Comments and DEQ Responses</w:t>
      </w:r>
      <w:bookmarkEnd w:id="35"/>
      <w:bookmarkEnd w:id="36"/>
      <w:bookmarkEnd w:id="37"/>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Pr>
          <w:rStyle w:val="instructionsChar"/>
        </w:rPr>
        <w:t>April 1, 2019</w:t>
      </w:r>
      <w:r w:rsidRPr="00794AF3">
        <w:t xml:space="preserve"> until 4 p.m. on </w:t>
      </w:r>
      <w:r w:rsidR="00095269">
        <w:rPr>
          <w:rStyle w:val="instructionsChar"/>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Pr>
          <w:rStyle w:val="instructionsChar"/>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t>Select one of the following two statements:</w:t>
      </w:r>
    </w:p>
    <w:p w14:paraId="62FEB390" w14:textId="5F4627C6" w:rsidR="002F2F6F" w:rsidRPr="003753A9" w:rsidRDefault="002F2F6F" w:rsidP="002F2F6F">
      <w:pPr>
        <w:rPr>
          <w:rFonts w:ascii="Arial" w:hAnsi="Arial"/>
          <w:bCs/>
          <w:color w:val="C45911" w:themeColor="accent2" w:themeShade="BF"/>
          <w:highlight w:val="yellow"/>
        </w:rPr>
      </w:pPr>
    </w:p>
    <w:p w14:paraId="62FEB391" w14:textId="77777777" w:rsidR="002F2F6F" w:rsidRPr="003753A9" w:rsidRDefault="002F2F6F" w:rsidP="002F2F6F">
      <w:pPr>
        <w:rPr>
          <w:rFonts w:ascii="Arial" w:hAnsi="Arial"/>
          <w:bCs/>
          <w:color w:val="C45911" w:themeColor="accent2" w:themeShade="BF"/>
        </w:rPr>
      </w:pPr>
      <w:r w:rsidRPr="00CB35AC">
        <w:rPr>
          <w:rFonts w:ascii="Arial" w:hAnsi="Arial"/>
          <w:bCs/>
          <w:color w:val="C45911" w:themeColor="accent2" w:themeShade="BF"/>
        </w:rPr>
        <w:t>DEQ changed the proposed rules in response to comments described in the response sections below.</w:t>
      </w:r>
    </w:p>
    <w:p w14:paraId="62FEB392" w14:textId="6117FF05" w:rsidR="002F2F6F" w:rsidRDefault="002F2F6F" w:rsidP="002F2F6F"/>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62FEB39E" w14:textId="4E84FB98" w:rsidR="002F2F6F" w:rsidRDefault="002F2F6F" w:rsidP="002F2F6F"/>
    <w:p w14:paraId="5EB4C411" w14:textId="77777777"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62FEB3A6" w14:textId="10896789" w:rsidR="002F2F6F" w:rsidRDefault="002F2F6F" w:rsidP="002F2F6F"/>
    <w:p w14:paraId="0255A92A" w14:textId="7777777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DEQ acknowledges that the title of the rulemaking does not clearly capture all the rule changes included in the rulemaking proposal. The rulemaking page, the public notice document, and the gov.delivery notice provided bullet 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121A44BB" w14:textId="3E0B5AE1" w:rsidR="004E3B2D" w:rsidRDefault="004E3B2D" w:rsidP="002F2F6F"/>
    <w:p w14:paraId="598FDA3B" w14:textId="77777777"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246B4AA7" w14:textId="6263B02B" w:rsidR="004E3B2D" w:rsidRDefault="004E3B2D" w:rsidP="002F2F6F">
      <w:r w:rsidRPr="004E3B2D">
        <w:t>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include changes to six Part 60 NSPS Subparts: A, Ja, XXX, IIII, JJJJ, and OOOOa and thirteen Part 63 NESHAP Subparts A, AA, CC, GG, MM, LLL, NNN, UUU, VVV, XXX, CCCC, UUUUU, and JJJJJJ. All proposed NSPS and NESHAP standards listed in the table for EQC adoption include a hyperlink to the Federal Register notice describing the changes in detail.</w:t>
      </w:r>
    </w:p>
    <w:p w14:paraId="1AC41B71" w14:textId="7CECF566" w:rsidR="004E3B2D" w:rsidRDefault="004E3B2D" w:rsidP="002F2F6F"/>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2D8050D1" w:rsidR="004E3B2D" w:rsidRDefault="004E3B2D" w:rsidP="004E3B2D">
      <w:r w:rsidRPr="004E3B2D">
        <w:t>On page 37, there is a typographical error regarding the color coding of the proposed rule. 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5561C79A" w14:textId="3B4D7F68" w:rsidR="004E3B2D" w:rsidRPr="004E3B2D" w:rsidRDefault="004E3B2D" w:rsidP="004E3B2D">
      <w:r w:rsidRPr="004E3B2D">
        <w:t xml:space="preserve">Part 3(ll) of this section of rule indicates a change has occurred but there is no redline item or other change apparent. This is a typographical error. The existing rule language under 3(ll) of this section did not end with a semicolon before proceeding to 3(mm). The only change to the rule language under 340-238-0060(3)(ll) is the addition of a semicolon after “2013”. No other changes are proposed for Part 60 NSPS Subpart BBa for Kraft pulp mills.  </w:t>
      </w:r>
    </w:p>
    <w:p w14:paraId="271D9791" w14:textId="60984692" w:rsidR="004E3B2D" w:rsidRDefault="004E3B2D" w:rsidP="004E3B2D"/>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730ED248" w14:textId="37D8AE98" w:rsidR="004E3B2D" w:rsidRDefault="004E3B2D" w:rsidP="004E3B2D">
      <w:r w:rsidRPr="004E3B2D">
        <w:t>Please see response to comments #5. The table has been used in NSPS and NESHAP-related rulemakings for several years. DEQ will review the table and layout in response to this comment and consider making changes and modifications deemed appropriate.</w:t>
      </w:r>
    </w:p>
    <w:p w14:paraId="6557BEEC" w14:textId="144E420D" w:rsidR="004E3B2D" w:rsidRDefault="004E3B2D" w:rsidP="004E3B2D">
      <w:pPr>
        <w:pStyle w:val="Heading4"/>
      </w:pP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4A03678C" w14:textId="2805B29D" w:rsidR="004E3B2D" w:rsidRDefault="004E3B2D" w:rsidP="004E3B2D">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B6C0602" w14:textId="2F13E787" w:rsidR="004E3B2D" w:rsidRDefault="004E3B2D" w:rsidP="004E3B2D">
      <w:pPr>
        <w:pStyle w:val="Heading4"/>
      </w:pP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Waste Management’s Riverbend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08046FC2" w14:textId="2A18DE4C" w:rsidR="004E3B2D" w:rsidRPr="004E3B2D" w:rsidRDefault="004E3B2D" w:rsidP="002F2F6F">
      <w:r w:rsidRPr="004E3B2D">
        <w:t>DEQ is reviewing documents demonstrating that the Riverbend Landfill is subject to the Landfill NSPS, not the Landfill Emission Guidelines. If it is determined that the Riverbend Landfill is subject to the Landfill NSPS, DEQ will remove it from the list of designated facilities in the State Plan.</w:t>
      </w:r>
    </w:p>
    <w:p w14:paraId="1714C2B5" w14:textId="6C9DA2E5" w:rsidR="004E3B2D" w:rsidRDefault="004E3B2D" w:rsidP="002F2F6F"/>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5C0FEA67" w14:textId="0D5C53A2" w:rsidR="004E3B2D" w:rsidRPr="004E3B2D" w:rsidRDefault="004E3B2D" w:rsidP="002F2F6F">
      <w:r w:rsidRPr="004E3B2D">
        <w:t>The new regulations take effect once they’re approved by the EQC and filed with the Oregon Secretary of State. Noted, however, is the potential discrepancy in compliance dates for landfills subject to the previous landfill emission guidelines and the new emission guidelines. DEQ is reviewing existing and proposed requirements and will consider adding clarifying language pertaining to compliance dates to ensure an orderly transition to new requirements for affected sources and to eliminate the potential for a landfill to backslide while waiting for the proposed requirements to become applicable.</w:t>
      </w:r>
    </w:p>
    <w:p w14:paraId="2A0135B6" w14:textId="342EAE4D" w:rsidR="004E3B2D" w:rsidRDefault="004E3B2D" w:rsidP="002F2F6F"/>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7570DFC6" w14:textId="130D116D" w:rsidR="004E3B2D" w:rsidRPr="00F34F5A" w:rsidRDefault="00F34F5A" w:rsidP="004E3B2D">
      <w:r w:rsidRPr="00F34F5A">
        <w:t xml:space="preserve">DEQ is reviewing </w:t>
      </w:r>
      <w:r w:rsidR="00986FDE">
        <w:t>design plan approval criteria and options. DEQ will add c</w:t>
      </w:r>
      <w:r w:rsidRPr="00F34F5A">
        <w:t xml:space="preserve">larifying language to address the design plan approval process. </w:t>
      </w:r>
    </w:p>
    <w:p w14:paraId="5F568C15" w14:textId="0CD41EC1" w:rsidR="004E3B2D" w:rsidRDefault="004E3B2D" w:rsidP="002F2F6F"/>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043D8534" w14:textId="324691F5" w:rsidR="004E3B2D" w:rsidRPr="004E3B2D" w:rsidRDefault="004E3B2D" w:rsidP="002F2F6F">
      <w:r w:rsidRPr="004E3B2D">
        <w:t>The proposed rules do not alter, change, or override any existing local land use decisions or Oregon’s land use laws.</w:t>
      </w:r>
    </w:p>
    <w:p w14:paraId="585A3FB8" w14:textId="214DF3F9" w:rsidR="004E3B2D" w:rsidRDefault="004E3B2D" w:rsidP="002F2F6F"/>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6FBCCBDC" w14:textId="0B4CF891" w:rsidR="004E3B2D" w:rsidRDefault="004E3B2D" w:rsidP="002F2F6F"/>
    <w:p w14:paraId="22E8809C" w14:textId="77777777" w:rsidR="007570BD" w:rsidRDefault="007570BD" w:rsidP="002F2F6F"/>
    <w:p w14:paraId="72D175FB" w14:textId="4B718CB4" w:rsidR="004E3B2D" w:rsidRPr="001404B0" w:rsidRDefault="004E3B2D" w:rsidP="004E3B2D">
      <w:pPr>
        <w:pStyle w:val="Heading4"/>
      </w:pPr>
      <w:r>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79F8D54" w14:textId="27BE9F56" w:rsidR="004E3B2D" w:rsidRPr="004E3B2D" w:rsidRDefault="004E3B2D" w:rsidP="002F2F6F">
      <w:r w:rsidRPr="004E3B2D">
        <w:t>The proposed rules would not affect any ongoing nuisance investigations and do not affect or override Oregon’s nuisance rules in OAR 340 Division 208.</w:t>
      </w:r>
    </w:p>
    <w:p w14:paraId="56F3766A" w14:textId="263C3769" w:rsidR="004E3B2D" w:rsidRDefault="004E3B2D" w:rsidP="002F2F6F"/>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5F9E32EC" w14:textId="59C750E7" w:rsidR="004E3B2D" w:rsidRPr="004E3B2D" w:rsidRDefault="004E3B2D" w:rsidP="002F2F6F">
      <w:r w:rsidRPr="004E3B2D">
        <w:t>The proposed landfill gas rules do not include any provisions that would allow a suspected source of nuisance odors to claim they are not a nuisance by demonstrating compliance with or exemption from the proposed rules.</w:t>
      </w:r>
    </w:p>
    <w:p w14:paraId="4E7784FC" w14:textId="28F3028C" w:rsidR="004E3B2D" w:rsidRDefault="004E3B2D" w:rsidP="002F2F6F"/>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If DEQ adopts rules not more stringent than existing EPA emission guidelines, will Riverbend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6D6D0323" w14:textId="00D00867" w:rsidR="004E3B2D" w:rsidRP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47DF0E6A" w14:textId="77777777" w:rsidR="004E3B2D" w:rsidRDefault="004E3B2D" w:rsidP="002F2F6F"/>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77777777" w:rsidR="004E3B2D" w:rsidRPr="004E3B2D" w:rsidRDefault="004E3B2D" w:rsidP="004E3B2D">
      <w:r w:rsidRPr="004E3B2D">
        <w:t xml:space="preserve">The proposed rules to implement the new federal emission guidelines do not affect Oregon’s land-use laws, rather they lower the threshold at which affected landfills in Oregon must capture and control their landfill gas emissions.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D2D621C" w14:textId="7E868F19" w:rsidR="004E3B2D" w:rsidRDefault="004E3B2D" w:rsidP="004E3B2D"/>
    <w:p w14:paraId="0B2CAFBE" w14:textId="77777777" w:rsidR="007570BD" w:rsidRDefault="007570BD" w:rsidP="004E3B2D"/>
    <w:p w14:paraId="6469C948" w14:textId="4DB6C99B" w:rsidR="004E3B2D" w:rsidRPr="007570BD" w:rsidRDefault="004E3B2D" w:rsidP="004E3B2D">
      <w:pPr>
        <w:pStyle w:val="Heading4"/>
        <w:rPr>
          <w:highlight w:val="yellow"/>
        </w:rPr>
      </w:pPr>
      <w:r w:rsidRPr="007570BD">
        <w:rPr>
          <w:highlight w:val="yellow"/>
        </w:rPr>
        <w:t>Comment 17</w:t>
      </w:r>
    </w:p>
    <w:p w14:paraId="5E045E12" w14:textId="479BC340" w:rsidR="004E3B2D" w:rsidRPr="007570BD" w:rsidRDefault="004E3B2D" w:rsidP="004E3B2D">
      <w:pPr>
        <w:rPr>
          <w:highlight w:val="yellow"/>
        </w:rPr>
      </w:pPr>
      <w:r w:rsidRPr="007570BD">
        <w:rPr>
          <w:highlight w:val="yellow"/>
        </w:rPr>
        <w:t>340-236-0500(6) Removal criteria could be made more explicit- it is unclear whether a landfill must meet one or all of the listed criteria.</w:t>
      </w:r>
    </w:p>
    <w:p w14:paraId="3D9E3A61" w14:textId="77777777" w:rsidR="004E3B2D" w:rsidRPr="007570BD" w:rsidRDefault="004E3B2D" w:rsidP="004E3B2D">
      <w:pPr>
        <w:rPr>
          <w:highlight w:val="yellow"/>
        </w:rPr>
      </w:pPr>
    </w:p>
    <w:p w14:paraId="6899D2AC" w14:textId="77777777" w:rsidR="004E3B2D" w:rsidRPr="007570BD" w:rsidRDefault="004E3B2D" w:rsidP="004E3B2D">
      <w:pPr>
        <w:pStyle w:val="Heading4"/>
        <w:rPr>
          <w:highlight w:val="yellow"/>
        </w:rPr>
      </w:pPr>
      <w:r w:rsidRPr="007570BD">
        <w:rPr>
          <w:highlight w:val="yellow"/>
        </w:rPr>
        <w:t>Response</w:t>
      </w:r>
    </w:p>
    <w:p w14:paraId="1C0A6D08" w14:textId="164FD266" w:rsidR="004E3B2D" w:rsidRPr="007570BD" w:rsidRDefault="004E3B2D" w:rsidP="004E3B2D">
      <w:pPr>
        <w:rPr>
          <w:highlight w:val="yellow"/>
        </w:rPr>
      </w:pPr>
      <w:r w:rsidRPr="007570BD">
        <w:rPr>
          <w:highlight w:val="yellow"/>
        </w:rPr>
        <w:t xml:space="preserve">All listed removal criteria in the proposed rules OAR 340-236-0500 (6)(a) through (d) must be met for a collection and control system to be capped, removed, or decommissioned. This is </w:t>
      </w:r>
      <w:r w:rsidR="00816AB8">
        <w:rPr>
          <w:highlight w:val="yellow"/>
        </w:rPr>
        <w:t>demonstrated by</w:t>
      </w:r>
      <w:r w:rsidR="006F60C9">
        <w:rPr>
          <w:highlight w:val="yellow"/>
        </w:rPr>
        <w:t xml:space="preserve"> explicit ‘or’ language located in </w:t>
      </w:r>
      <w:r w:rsidRPr="007570BD">
        <w:rPr>
          <w:highlight w:val="yellow"/>
        </w:rPr>
        <w:t>other sections of the federal register notice (Cf)</w:t>
      </w:r>
      <w:r w:rsidR="006F60C9">
        <w:rPr>
          <w:highlight w:val="yellow"/>
        </w:rPr>
        <w:t xml:space="preserve"> that is not present in the removal criteria section of rule</w:t>
      </w:r>
      <w:r w:rsidRPr="007570BD">
        <w:rPr>
          <w:highlight w:val="yellow"/>
        </w:rPr>
        <w:t xml:space="preserve">.  </w:t>
      </w:r>
    </w:p>
    <w:p w14:paraId="2E472519" w14:textId="77777777" w:rsidR="004E3B2D" w:rsidRPr="007570BD" w:rsidRDefault="004E3B2D" w:rsidP="004E3B2D">
      <w:pPr>
        <w:rPr>
          <w:highlight w:val="yellow"/>
        </w:rPr>
      </w:pP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3E0D38C3" w14:textId="1091A907" w:rsidR="004E3B2D" w:rsidRPr="00816AB8" w:rsidRDefault="004E3B2D" w:rsidP="004E3B2D">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1B40C2AC" w14:textId="5BE14583" w:rsidR="004E3B2D" w:rsidRPr="007570BD" w:rsidRDefault="004E3B2D" w:rsidP="004E3B2D">
      <w:pPr>
        <w:pStyle w:val="Heading4"/>
        <w:rPr>
          <w:highlight w:val="yellow"/>
        </w:rPr>
      </w:pP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lastRenderedPageBreak/>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0568DCEA" w14:textId="63510C7C" w:rsidR="004E3B2D" w:rsidRPr="007469AF" w:rsidRDefault="004E3B2D" w:rsidP="004E3B2D">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648C044E" w14:textId="1CC336DC" w:rsidR="004E3B2D" w:rsidRPr="007570BD" w:rsidRDefault="004E3B2D" w:rsidP="004E3B2D">
      <w:pPr>
        <w:pStyle w:val="Heading4"/>
        <w:rPr>
          <w:highlight w:val="yellow"/>
        </w:rPr>
      </w:pP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2996FDD3" w14:textId="4ABCAF27" w:rsidR="004E3B2D" w:rsidRPr="004E3B2D" w:rsidRDefault="004E3B2D" w:rsidP="004E3B2D">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Page 5 of the public notice package, the ‘overview’ clarifies that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6" w14:textId="7481394E" w:rsidR="002F2F6F" w:rsidRPr="001404B0" w:rsidRDefault="002F2F6F" w:rsidP="002F2F6F"/>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Kathryn VanNatta</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lastRenderedPageBreak/>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62FEB3F2" w14:textId="77777777" w:rsidR="002F2F6F" w:rsidRPr="001404B0" w:rsidRDefault="002F2F6F" w:rsidP="002F2F6F"/>
    <w:p w14:paraId="37C9F449" w14:textId="77777777" w:rsidR="00AB1196" w:rsidRDefault="00AB1196" w:rsidP="00AB1196">
      <w:pPr>
        <w:pStyle w:val="Heading3"/>
      </w:pPr>
    </w:p>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05F08CE7" w:rsidR="00AB1196" w:rsidRPr="00794AF3" w:rsidRDefault="00AB1196" w:rsidP="00AB1196">
      <w:r w:rsidRPr="00794AF3">
        <w:t xml:space="preserve">DEQ accepted public comment on the proposed </w:t>
      </w:r>
      <w:r w:rsidR="00CB35AC">
        <w:t>State Plan</w:t>
      </w:r>
      <w:r w:rsidRPr="00794AF3">
        <w:t xml:space="preserve"> from </w:t>
      </w:r>
      <w:r>
        <w:rPr>
          <w:rStyle w:val="instructionsChar"/>
        </w:rPr>
        <w:t>April 29, 2019</w:t>
      </w:r>
      <w:r>
        <w:t xml:space="preserve"> until</w:t>
      </w:r>
      <w:r w:rsidRPr="00794AF3">
        <w:t xml:space="preserve"> </w:t>
      </w:r>
      <w:r>
        <w:t xml:space="preserve">5 p.m. on </w:t>
      </w:r>
      <w:r w:rsidR="00CB35AC">
        <w:rPr>
          <w:rStyle w:val="instructionsChar"/>
        </w:rPr>
        <w:t>May 31</w:t>
      </w:r>
      <w:r>
        <w:rPr>
          <w:rStyle w:val="instructionsChar"/>
        </w:rPr>
        <w:t>, 2019</w:t>
      </w:r>
      <w:r>
        <w:rPr>
          <w:bCs/>
        </w:rPr>
        <w:t>.</w:t>
      </w:r>
    </w:p>
    <w:p w14:paraId="62CAEB7D" w14:textId="77777777" w:rsidR="00AB1196" w:rsidRPr="00635335" w:rsidRDefault="00AB1196" w:rsidP="00AB1196"/>
    <w:p w14:paraId="1DB91884" w14:textId="79055C20" w:rsidR="00AB1196" w:rsidRPr="001404B0" w:rsidRDefault="00AB1196" w:rsidP="00AB1196">
      <w:r w:rsidRPr="001404B0">
        <w:t>For public comments received by the close of the public comment period, the following organizes comments into</w:t>
      </w:r>
      <w:commentRangeStart w:id="38"/>
      <w:r w:rsidRPr="001404B0">
        <w:t xml:space="preserve"> </w:t>
      </w:r>
      <w:r w:rsidR="00D0725C">
        <w:rPr>
          <w:rStyle w:val="instructionsChar"/>
        </w:rPr>
        <w:t>2</w:t>
      </w:r>
      <w:r w:rsidRPr="001404B0">
        <w:rPr>
          <w:color w:val="806000" w:themeColor="accent4" w:themeShade="80"/>
        </w:rPr>
        <w:t xml:space="preserve"> </w:t>
      </w:r>
      <w:commentRangeEnd w:id="38"/>
      <w:r w:rsidR="00CB35AC">
        <w:rPr>
          <w:rStyle w:val="CommentReference"/>
        </w:rPr>
        <w:commentReference w:id="38"/>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60EE4E54" w14:textId="77777777" w:rsidR="00AB1196" w:rsidRPr="001404B0" w:rsidRDefault="00AB1196" w:rsidP="00AB1196"/>
    <w:p w14:paraId="313FC635" w14:textId="77777777" w:rsidR="00AB1196" w:rsidRPr="001404B0" w:rsidRDefault="00AB1196" w:rsidP="00AB1196">
      <w:pPr>
        <w:pStyle w:val="instructions"/>
      </w:pPr>
      <w:r w:rsidRPr="001404B0">
        <w:t>Select one of the following two statements:</w:t>
      </w:r>
    </w:p>
    <w:p w14:paraId="76A3A2FC" w14:textId="77777777" w:rsidR="00AB1196" w:rsidRPr="001404B0" w:rsidRDefault="00AB1196" w:rsidP="00AB1196"/>
    <w:p w14:paraId="7EB0A58A" w14:textId="77777777" w:rsidR="00AB1196" w:rsidRPr="003753A9" w:rsidRDefault="00AB1196" w:rsidP="00AB1196">
      <w:pPr>
        <w:rPr>
          <w:rFonts w:ascii="Arial" w:hAnsi="Arial"/>
          <w:bCs/>
          <w:color w:val="C45911" w:themeColor="accent2" w:themeShade="BF"/>
          <w:highlight w:val="yellow"/>
        </w:rPr>
      </w:pPr>
      <w:r w:rsidRPr="003753A9">
        <w:rPr>
          <w:rFonts w:ascii="Arial" w:hAnsi="Arial"/>
          <w:bCs/>
          <w:color w:val="C45911" w:themeColor="accent2" w:themeShade="BF"/>
          <w:highlight w:val="yellow"/>
        </w:rPr>
        <w:t>DEQ did not change the proposed rules in response to comments.</w:t>
      </w:r>
    </w:p>
    <w:p w14:paraId="59CB930C" w14:textId="77777777" w:rsidR="00AB1196" w:rsidRPr="003753A9" w:rsidRDefault="00AB1196" w:rsidP="00AB1196">
      <w:pPr>
        <w:rPr>
          <w:rFonts w:ascii="Arial" w:hAnsi="Arial"/>
          <w:bCs/>
          <w:color w:val="C45911" w:themeColor="accent2" w:themeShade="BF"/>
          <w:highlight w:val="yellow"/>
        </w:rPr>
      </w:pPr>
    </w:p>
    <w:p w14:paraId="71D50D32" w14:textId="77777777" w:rsidR="00AB1196" w:rsidRPr="003753A9" w:rsidRDefault="00AB1196" w:rsidP="00AB1196">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15682F34" w14:textId="77777777" w:rsidR="00AB1196" w:rsidRDefault="00AB1196" w:rsidP="00AB1196"/>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75A7E849" w:rsidR="00A9495C" w:rsidRPr="009671B8" w:rsidRDefault="009671B8" w:rsidP="009671B8">
      <w:pPr>
        <w:autoSpaceDE w:val="0"/>
        <w:autoSpaceDN w:val="0"/>
        <w:adjustRightInd w:val="0"/>
        <w:outlineLvl w:val="9"/>
        <w:rPr>
          <w:rFonts w:ascii="Melior" w:hAnsi="Melior" w:cs="Melior"/>
          <w:sz w:val="18"/>
          <w:szCs w:val="18"/>
        </w:rPr>
      </w:pPr>
      <w:r w:rsidRPr="009671B8">
        <w:t>A megagram is also known as a metric ton, which is equal to 1.1 U.S. short tons or about 2,205 pounds.</w:t>
      </w:r>
      <w:r>
        <w:rPr>
          <w:rFonts w:ascii="Melior" w:hAnsi="Melior" w:cs="Melior"/>
          <w:sz w:val="18"/>
          <w:szCs w:val="18"/>
        </w:rPr>
        <w:t xml:space="preserve"> </w:t>
      </w:r>
      <w:r w:rsidR="0037405E">
        <w:t xml:space="preserve">EPA has established requirements in the emission guidelines based on megagrams, for consistency Oregon’s rules will use the same measurement. </w:t>
      </w:r>
    </w:p>
    <w:p w14:paraId="5F7C90FD" w14:textId="77777777" w:rsidR="00A9495C" w:rsidRPr="00A9495C" w:rsidRDefault="00A9495C" w:rsidP="00A9495C">
      <w:pPr>
        <w:rPr>
          <w:highlight w:val="yellow"/>
        </w:rPr>
      </w:pPr>
    </w:p>
    <w:p w14:paraId="4DFC2FA5" w14:textId="378446D5" w:rsidR="00D0725C" w:rsidRPr="00D0725C" w:rsidRDefault="00D0725C" w:rsidP="00D0725C">
      <w:pPr>
        <w:pStyle w:val="Heading4"/>
        <w:rPr>
          <w:rStyle w:val="instructionsChar"/>
          <w:bCs w:val="0"/>
          <w:color w:val="000000" w:themeColor="text1"/>
          <w:highlight w:val="yellow"/>
        </w:rPr>
      </w:pPr>
      <w:r w:rsidRPr="00D0725C">
        <w:rPr>
          <w:highlight w:val="yellow"/>
        </w:rPr>
        <w:t xml:space="preserve">Comment 2 </w:t>
      </w:r>
    </w:p>
    <w:p w14:paraId="00107F7F" w14:textId="51DEE11F" w:rsidR="00D0725C" w:rsidRPr="00D0725C" w:rsidRDefault="00D0725C" w:rsidP="002F2F6F">
      <w:pPr>
        <w:rPr>
          <w:highlight w:val="yellow"/>
        </w:rPr>
      </w:pPr>
      <w:r w:rsidRPr="00D0725C">
        <w:rPr>
          <w:highlight w:val="yellow"/>
        </w:rPr>
        <w:t>The plan does not meet the requirements of 40 C.F.R. part 60 subpart 60.25(a).</w:t>
      </w:r>
    </w:p>
    <w:p w14:paraId="6E6F53C7" w14:textId="44226277" w:rsidR="00D0725C" w:rsidRPr="00D0725C" w:rsidRDefault="00D0725C" w:rsidP="002F2F6F">
      <w:pPr>
        <w:rPr>
          <w:highlight w:val="yellow"/>
        </w:rPr>
      </w:pPr>
    </w:p>
    <w:p w14:paraId="24EE3258" w14:textId="77777777" w:rsidR="00D0725C" w:rsidRPr="00D0725C" w:rsidRDefault="00D0725C" w:rsidP="00D0725C">
      <w:pPr>
        <w:pStyle w:val="Heading4"/>
        <w:rPr>
          <w:highlight w:val="yellow"/>
        </w:rPr>
      </w:pPr>
      <w:r w:rsidRPr="00D0725C">
        <w:rPr>
          <w:highlight w:val="yellow"/>
        </w:rPr>
        <w:lastRenderedPageBreak/>
        <w:t>Response</w:t>
      </w:r>
    </w:p>
    <w:p w14:paraId="76285A00" w14:textId="4D2D43C5" w:rsidR="00D0725C" w:rsidRPr="00D0725C" w:rsidRDefault="00D0725C" w:rsidP="00D0725C">
      <w:pPr>
        <w:rPr>
          <w:highlight w:val="yellow"/>
        </w:rPr>
      </w:pPr>
      <w:r w:rsidRPr="00D0725C">
        <w:rPr>
          <w:highlight w:val="yellow"/>
        </w:rPr>
        <w:t xml:space="preserve">Draft. </w:t>
      </w:r>
    </w:p>
    <w:p w14:paraId="4D2B6AE5" w14:textId="5A668ADC" w:rsidR="00D0725C" w:rsidRPr="00D0725C" w:rsidRDefault="00D0725C" w:rsidP="002F2F6F">
      <w:pPr>
        <w:rPr>
          <w:highlight w:val="yellow"/>
        </w:rPr>
      </w:pPr>
    </w:p>
    <w:p w14:paraId="08A7AF40" w14:textId="284156A0" w:rsidR="00D0725C" w:rsidRPr="009671B8" w:rsidRDefault="00D0725C" w:rsidP="00D0725C">
      <w:pPr>
        <w:pStyle w:val="Heading4"/>
        <w:rPr>
          <w:rStyle w:val="instructionsChar"/>
          <w:bCs w:val="0"/>
          <w:color w:val="000000" w:themeColor="text1"/>
        </w:rPr>
      </w:pPr>
      <w:r w:rsidRPr="009671B8">
        <w:t>Comment 3</w:t>
      </w:r>
    </w:p>
    <w:p w14:paraId="23FAF149" w14:textId="76757B94" w:rsidR="00D0725C" w:rsidRPr="009671B8" w:rsidRDefault="00D0725C" w:rsidP="00D0725C">
      <w:r w:rsidRPr="009671B8">
        <w:t xml:space="preserve">The chart showing NMOC emissions in ppmv should be rewritten in megagrams. </w:t>
      </w:r>
    </w:p>
    <w:p w14:paraId="6D07387C" w14:textId="77777777" w:rsidR="00D0725C" w:rsidRPr="009671B8" w:rsidRDefault="00D0725C" w:rsidP="00D0725C">
      <w:pPr>
        <w:pStyle w:val="instructions"/>
      </w:pPr>
    </w:p>
    <w:p w14:paraId="490EEB60" w14:textId="77777777" w:rsidR="00D0725C" w:rsidRPr="009671B8" w:rsidRDefault="00D0725C" w:rsidP="00D0725C">
      <w:pPr>
        <w:pStyle w:val="Heading4"/>
      </w:pPr>
      <w:r w:rsidRPr="009671B8">
        <w:t>Response</w:t>
      </w:r>
    </w:p>
    <w:p w14:paraId="36C30449" w14:textId="7CC78427" w:rsidR="00D0725C" w:rsidRPr="009671B8" w:rsidRDefault="009671B8" w:rsidP="009671B8">
      <w:r w:rsidRPr="009671B8">
        <w:t>A megagram is also known as a metric ton, which is equal to 1.1 U.S. short tons or about 2,205 pounds.</w:t>
      </w:r>
    </w:p>
    <w:p w14:paraId="4923D9CB" w14:textId="77777777" w:rsidR="009671B8" w:rsidRDefault="009671B8" w:rsidP="00D0725C">
      <w:pPr>
        <w:pStyle w:val="Heading4"/>
        <w:rPr>
          <w:highlight w:val="yellow"/>
        </w:rPr>
      </w:pPr>
    </w:p>
    <w:p w14:paraId="34761082" w14:textId="63D279B6" w:rsidR="00D0725C" w:rsidRPr="00D0725C" w:rsidRDefault="00D0725C" w:rsidP="00D0725C">
      <w:pPr>
        <w:pStyle w:val="Heading4"/>
        <w:rPr>
          <w:rStyle w:val="instructionsChar"/>
          <w:bCs w:val="0"/>
          <w:color w:val="000000" w:themeColor="text1"/>
          <w:highlight w:val="yellow"/>
        </w:rPr>
      </w:pPr>
      <w:r w:rsidRPr="00D0725C">
        <w:rPr>
          <w:highlight w:val="yellow"/>
        </w:rPr>
        <w:t xml:space="preserve">Comment 4 </w:t>
      </w:r>
      <w:r w:rsidR="009671B8">
        <w:rPr>
          <w:highlight w:val="yellow"/>
        </w:rPr>
        <w:t>(RULE COMMENT)</w:t>
      </w:r>
    </w:p>
    <w:p w14:paraId="30642A9D" w14:textId="62E3D104" w:rsidR="00D0725C" w:rsidRPr="00D0725C" w:rsidRDefault="00D0725C" w:rsidP="00D0725C">
      <w:pPr>
        <w:rPr>
          <w:highlight w:val="yellow"/>
        </w:rPr>
      </w:pPr>
      <w:r w:rsidRPr="00D0725C">
        <w:rPr>
          <w:highlight w:val="yellow"/>
        </w:rPr>
        <w:t xml:space="preserve">DEQ should be more stringent than the emission guidelines, requiring gas collection and control systems based on megagrams of NMOC emissions; the plan should not allow sources to demonstrate NMOC levels by surface monitoring and escape the requirements for a control system.  </w:t>
      </w:r>
    </w:p>
    <w:p w14:paraId="0DC38548" w14:textId="77777777" w:rsidR="00D0725C" w:rsidRPr="00D0725C" w:rsidRDefault="00D0725C" w:rsidP="00D0725C">
      <w:pPr>
        <w:pStyle w:val="instructions"/>
        <w:rPr>
          <w:highlight w:val="yellow"/>
        </w:rPr>
      </w:pPr>
    </w:p>
    <w:p w14:paraId="20DCD022" w14:textId="77777777" w:rsidR="00D0725C" w:rsidRPr="00D0725C" w:rsidRDefault="00D0725C" w:rsidP="00D0725C">
      <w:pPr>
        <w:pStyle w:val="Heading4"/>
        <w:rPr>
          <w:highlight w:val="yellow"/>
        </w:rPr>
      </w:pPr>
      <w:r w:rsidRPr="00D0725C">
        <w:rPr>
          <w:highlight w:val="yellow"/>
        </w:rPr>
        <w:t>Response</w:t>
      </w:r>
    </w:p>
    <w:p w14:paraId="52296BF0" w14:textId="14A06307" w:rsidR="00D0725C" w:rsidRPr="00D0725C" w:rsidRDefault="009671B8" w:rsidP="00D0725C">
      <w:pPr>
        <w:rPr>
          <w:highlight w:val="yellow"/>
        </w:rPr>
      </w:pPr>
      <w:r>
        <w:rPr>
          <w:highlight w:val="yellow"/>
        </w:rPr>
        <w:t xml:space="preserve">Currently there are no municipal solid waste landfills in Oregon that emit between 34 and 50 megagrams of nonmethane organic compounds per year. </w:t>
      </w:r>
    </w:p>
    <w:p w14:paraId="69ACAB9A" w14:textId="77777777" w:rsidR="00D0725C" w:rsidRPr="00D0725C" w:rsidRDefault="00D0725C" w:rsidP="00D0725C">
      <w:pPr>
        <w:pStyle w:val="Heading4"/>
        <w:rPr>
          <w:highlight w:val="yellow"/>
        </w:rPr>
      </w:pPr>
    </w:p>
    <w:p w14:paraId="78317374" w14:textId="68479D51" w:rsidR="00D0725C" w:rsidRPr="00516AA8" w:rsidRDefault="00D0725C" w:rsidP="00D0725C">
      <w:pPr>
        <w:pStyle w:val="Heading4"/>
        <w:rPr>
          <w:rStyle w:val="instructionsChar"/>
          <w:bCs w:val="0"/>
          <w:color w:val="000000" w:themeColor="text1"/>
        </w:rPr>
      </w:pPr>
      <w:r w:rsidRPr="00516AA8">
        <w:t xml:space="preserve">Comment 5 </w:t>
      </w:r>
    </w:p>
    <w:p w14:paraId="1C271005" w14:textId="28701B54" w:rsidR="00D0725C" w:rsidRPr="00516AA8" w:rsidRDefault="00D0725C" w:rsidP="00D0725C">
      <w:r w:rsidRPr="00516AA8">
        <w:t xml:space="preserve">DEQ should identify which landfills will be required to take action based on the rules, and identify what those actions will be. </w:t>
      </w:r>
    </w:p>
    <w:p w14:paraId="219E526E" w14:textId="77777777" w:rsidR="00D0725C" w:rsidRPr="00516AA8" w:rsidRDefault="00D0725C" w:rsidP="00D0725C">
      <w:pPr>
        <w:pStyle w:val="instructions"/>
      </w:pPr>
    </w:p>
    <w:p w14:paraId="51CD0BCB" w14:textId="77777777" w:rsidR="00D0725C" w:rsidRPr="00516AA8" w:rsidRDefault="00D0725C" w:rsidP="00D0725C">
      <w:pPr>
        <w:pStyle w:val="Heading4"/>
      </w:pPr>
      <w:r w:rsidRPr="00516AA8">
        <w:t>Response</w:t>
      </w:r>
    </w:p>
    <w:p w14:paraId="4BD23F1D" w14:textId="196E3AC5" w:rsidR="009671B8" w:rsidRPr="00516AA8" w:rsidRDefault="009671B8" w:rsidP="009671B8">
      <w:r w:rsidRPr="00516AA8">
        <w:t xml:space="preserve">Currently there are no municipal solid waste landfills in Oregon that emit between 34 and 50 megagrams of nonmethane organic compounds per year. Therefore, the rules and plan would not </w:t>
      </w:r>
      <w:r w:rsidR="0046356E">
        <w:t xml:space="preserve">likely </w:t>
      </w:r>
      <w:r w:rsidRPr="00516AA8">
        <w:t xml:space="preserve">require any uncontrolled landfills to install a gas collection and control system unless in the future a landfill were to exceed </w:t>
      </w:r>
      <w:r w:rsidR="00516AA8" w:rsidRPr="00516AA8">
        <w:t>an applicable threshold</w:t>
      </w:r>
      <w:r w:rsidRPr="00516AA8">
        <w:t xml:space="preserve">. </w:t>
      </w:r>
    </w:p>
    <w:p w14:paraId="424A4FAD" w14:textId="5365F227" w:rsidR="00D0725C" w:rsidRPr="004E3B2D" w:rsidRDefault="00D0725C" w:rsidP="00D0725C"/>
    <w:p w14:paraId="2BFF239A" w14:textId="52496ACB" w:rsidR="0046356E" w:rsidRPr="00516AA8" w:rsidRDefault="0046356E" w:rsidP="0046356E">
      <w:pPr>
        <w:pStyle w:val="Heading4"/>
        <w:rPr>
          <w:rStyle w:val="instructionsChar"/>
          <w:bCs w:val="0"/>
          <w:color w:val="000000" w:themeColor="text1"/>
        </w:rPr>
      </w:pPr>
      <w:r>
        <w:t>Comment 6</w:t>
      </w:r>
      <w:r w:rsidRPr="00516AA8">
        <w:t xml:space="preserve"> </w:t>
      </w:r>
    </w:p>
    <w:p w14:paraId="2189F804" w14:textId="6B46B495" w:rsidR="00D0725C" w:rsidRDefault="0046356E" w:rsidP="0046356E">
      <w:r>
        <w:t xml:space="preserve">Why didn’t DEQ expend additional effort to address odor problems instead of just methane? </w:t>
      </w:r>
    </w:p>
    <w:p w14:paraId="4913D578" w14:textId="0BE59876" w:rsidR="0046356E" w:rsidRDefault="0046356E" w:rsidP="0046356E"/>
    <w:p w14:paraId="271480F2" w14:textId="77777777" w:rsidR="0046356E" w:rsidRPr="00516AA8" w:rsidRDefault="0046356E" w:rsidP="0046356E">
      <w:pPr>
        <w:pStyle w:val="Heading4"/>
      </w:pPr>
      <w:r w:rsidRPr="00516AA8">
        <w:t>Response</w:t>
      </w:r>
    </w:p>
    <w:p w14:paraId="02168B10" w14:textId="6AA326E5" w:rsidR="0046356E" w:rsidRPr="004E3B2D" w:rsidRDefault="0046356E" w:rsidP="0046356E">
      <w:r>
        <w:t xml:space="preserve">The State Plan is to demonstrate to EPA that Oregon has the ability to fully implement rules at least as stringent as the Emission Guidelines. DEQ has existing nuisance odor rules in Oregon Administrative Rules chapter 340 division 208 that are unaffected by this plan. </w:t>
      </w:r>
    </w:p>
    <w:p w14:paraId="4E36B889" w14:textId="77777777" w:rsidR="00D0725C" w:rsidRPr="004E3B2D" w:rsidRDefault="00D0725C" w:rsidP="00D0725C"/>
    <w:p w14:paraId="5B4F6255" w14:textId="7253B130" w:rsidR="0046356E" w:rsidRPr="00516AA8" w:rsidRDefault="0046356E" w:rsidP="0046356E">
      <w:pPr>
        <w:pStyle w:val="Heading4"/>
        <w:rPr>
          <w:rStyle w:val="instructionsChar"/>
          <w:bCs w:val="0"/>
          <w:color w:val="000000" w:themeColor="text1"/>
        </w:rPr>
      </w:pPr>
      <w:r>
        <w:t>Comment 7</w:t>
      </w:r>
      <w:r w:rsidRPr="00516AA8">
        <w:t xml:space="preserve"> </w:t>
      </w:r>
    </w:p>
    <w:p w14:paraId="3E4B43F3" w14:textId="77777777" w:rsidR="0046356E" w:rsidRDefault="0046356E" w:rsidP="002F2F6F">
      <w:r>
        <w:t>The emission standards in 1.6.2 list identical numbers for four landfills.</w:t>
      </w:r>
    </w:p>
    <w:p w14:paraId="6E97B4C3" w14:textId="77777777" w:rsidR="0046356E" w:rsidRDefault="0046356E" w:rsidP="002F2F6F"/>
    <w:p w14:paraId="3F5BAE41" w14:textId="77777777" w:rsidR="0046356E" w:rsidRPr="00516AA8" w:rsidRDefault="0046356E" w:rsidP="0046356E">
      <w:pPr>
        <w:pStyle w:val="Heading4"/>
      </w:pPr>
      <w:r w:rsidRPr="00516AA8">
        <w:t>Response</w:t>
      </w:r>
    </w:p>
    <w:p w14:paraId="69256FCD" w14:textId="31059E6D" w:rsidR="00D0725C" w:rsidRDefault="0046356E" w:rsidP="0046356E">
      <w:r>
        <w:t>The ‘emission standards’ column in 1.6.2 list identical numbers because each of these four landfills are subject to the same federal and state requirements to dem</w:t>
      </w:r>
      <w:r w:rsidR="006260DA">
        <w:t xml:space="preserve">onstrate compliance with 20 ppmv or 98% weight reduction of NMOC. </w:t>
      </w:r>
    </w:p>
    <w:p w14:paraId="3F9B8C39" w14:textId="17508240" w:rsidR="006260DA" w:rsidRDefault="006260DA" w:rsidP="0046356E"/>
    <w:p w14:paraId="76A12FFE" w14:textId="4416A1C5" w:rsidR="006260DA" w:rsidRPr="00516AA8" w:rsidRDefault="006260DA" w:rsidP="006260DA">
      <w:pPr>
        <w:pStyle w:val="Heading4"/>
        <w:rPr>
          <w:rStyle w:val="instructionsChar"/>
          <w:bCs w:val="0"/>
          <w:color w:val="000000" w:themeColor="text1"/>
        </w:rPr>
      </w:pPr>
      <w:r>
        <w:lastRenderedPageBreak/>
        <w:t>Comment 8</w:t>
      </w:r>
      <w:r w:rsidRPr="00516AA8">
        <w:t xml:space="preserve"> </w:t>
      </w:r>
    </w:p>
    <w:p w14:paraId="06A187A7" w14:textId="7B5A114E" w:rsidR="006260DA" w:rsidRDefault="006260DA" w:rsidP="006260DA">
      <w:r>
        <w:t xml:space="preserve">There is reference to an appendix D but there is no appendix A, B, C, or D. </w:t>
      </w:r>
    </w:p>
    <w:p w14:paraId="7B2CD407" w14:textId="7EC20F89" w:rsidR="006260DA" w:rsidRDefault="006260DA" w:rsidP="0046356E"/>
    <w:p w14:paraId="4F5892BC" w14:textId="77777777" w:rsidR="006260DA" w:rsidRPr="00516AA8" w:rsidRDefault="006260DA" w:rsidP="006260DA">
      <w:pPr>
        <w:pStyle w:val="Heading4"/>
      </w:pPr>
      <w:r w:rsidRPr="00516AA8">
        <w:t>Response</w:t>
      </w:r>
    </w:p>
    <w:p w14:paraId="75DAFF64" w14:textId="2D44FF61" w:rsidR="006260DA" w:rsidRDefault="006260DA" w:rsidP="006260DA">
      <w:r>
        <w:t xml:space="preserve">The appendices referenced in federal language refer to appendices associated with the federal register notice, not an appendix of DEQ’s State Plan. </w:t>
      </w:r>
    </w:p>
    <w:p w14:paraId="2F190601" w14:textId="60CB86F5" w:rsidR="006260DA" w:rsidRDefault="006260DA" w:rsidP="0046356E"/>
    <w:p w14:paraId="5965CC27" w14:textId="48A2B5EA" w:rsidR="006260DA" w:rsidRPr="00516AA8" w:rsidRDefault="006260DA" w:rsidP="006260DA">
      <w:pPr>
        <w:pStyle w:val="Heading4"/>
        <w:rPr>
          <w:rStyle w:val="instructionsChar"/>
          <w:bCs w:val="0"/>
          <w:color w:val="000000" w:themeColor="text1"/>
        </w:rPr>
      </w:pPr>
      <w:r>
        <w:t>Comment 9</w:t>
      </w:r>
      <w:r w:rsidRPr="00516AA8">
        <w:t xml:space="preserve"> </w:t>
      </w:r>
    </w:p>
    <w:p w14:paraId="7B055864" w14:textId="030CEBB1" w:rsidR="006260DA" w:rsidRDefault="006260DA" w:rsidP="006260DA">
      <w:r>
        <w:t>Which designated facilities are in or out of compliance?</w:t>
      </w:r>
    </w:p>
    <w:p w14:paraId="421FA399" w14:textId="1B1588B7" w:rsidR="006260DA" w:rsidRDefault="006260DA" w:rsidP="0046356E"/>
    <w:p w14:paraId="010BCF34" w14:textId="77777777" w:rsidR="006260DA" w:rsidRPr="00516AA8" w:rsidRDefault="006260DA" w:rsidP="006260DA">
      <w:pPr>
        <w:pStyle w:val="Heading4"/>
      </w:pPr>
      <w:r w:rsidRPr="00516AA8">
        <w:t>Response</w:t>
      </w:r>
    </w:p>
    <w:p w14:paraId="24DE12B1" w14:textId="6F1067B7" w:rsidR="006260DA" w:rsidRDefault="006260DA" w:rsidP="006260DA">
      <w:r>
        <w:t>The</w:t>
      </w:r>
      <w:r>
        <w:t xml:space="preserve"> state plan establishes requirements for affected facilities. The plan does not attempt to discern which facilities are in compliance, rather it is explaining how DEQ’s proposed and existing rules will allow Oregon to be as stringent as the federal requirements. </w:t>
      </w:r>
    </w:p>
    <w:p w14:paraId="4B22908C" w14:textId="77777777" w:rsidR="006260DA" w:rsidRDefault="006260DA" w:rsidP="006260DA"/>
    <w:p w14:paraId="688E8041" w14:textId="77777777" w:rsidR="006260DA" w:rsidRDefault="006260DA" w:rsidP="0046356E"/>
    <w:p w14:paraId="7AFC93A8" w14:textId="77777777" w:rsidR="006260DA" w:rsidRDefault="006260DA" w:rsidP="0046356E"/>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3CB98FE0" w:rsidR="00AB1196" w:rsidRPr="001404B0" w:rsidRDefault="0046356E" w:rsidP="00181616">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40951034" w:rsidR="00AB1196" w:rsidRPr="001404B0" w:rsidRDefault="0046356E" w:rsidP="00181616">
            <w:pPr>
              <w:rPr>
                <w:sz w:val="22"/>
                <w:szCs w:val="22"/>
              </w:rPr>
            </w:pPr>
            <w:r>
              <w:rPr>
                <w:sz w:val="22"/>
                <w:szCs w:val="22"/>
              </w:rPr>
              <w:t>Ilsa Perse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4D7064A3" w:rsidR="00AB1196" w:rsidRPr="001404B0" w:rsidRDefault="0046356E"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0C920D91" w:rsidR="00AB1196" w:rsidRPr="001404B0" w:rsidRDefault="0046356E" w:rsidP="00181616">
            <w:pPr>
              <w:rPr>
                <w:sz w:val="22"/>
                <w:szCs w:val="22"/>
              </w:rPr>
            </w:pPr>
            <w:r>
              <w:rPr>
                <w:sz w:val="22"/>
                <w:szCs w:val="22"/>
              </w:rPr>
              <w:t>6-</w:t>
            </w:r>
            <w:r w:rsidR="006260DA">
              <w:rPr>
                <w:sz w:val="22"/>
                <w:szCs w:val="22"/>
              </w:rPr>
              <w:t>9</w:t>
            </w:r>
            <w:bookmarkStart w:id="39" w:name="_GoBack"/>
            <w:bookmarkEnd w:id="39"/>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r w:rsidR="00AB1196" w:rsidRPr="001404B0" w14:paraId="6089F941"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B12E9DA" w14:textId="44E93B27" w:rsidR="00AB1196" w:rsidRPr="001404B0"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A21C79" w14:textId="76569AA5" w:rsidR="00AB1196" w:rsidRPr="001404B0"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92B2459" w14:textId="212B73A0" w:rsidR="00AB1196" w:rsidRPr="001404B0" w:rsidRDefault="00AB1196" w:rsidP="00AB119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71E54BB" w14:textId="584EC351" w:rsidR="00AB1196" w:rsidRPr="001404B0"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1A56114" w14:textId="77777777" w:rsidR="00AB1196" w:rsidRPr="001404B0" w:rsidRDefault="00AB1196" w:rsidP="00181616">
            <w:pPr>
              <w:rPr>
                <w:sz w:val="22"/>
                <w:szCs w:val="22"/>
              </w:rPr>
            </w:pPr>
          </w:p>
        </w:tc>
      </w:tr>
      <w:tr w:rsidR="00AB1196" w:rsidRPr="001404B0" w14:paraId="3117256B"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82C2D46" w14:textId="4110D965" w:rsidR="00AB1196" w:rsidRPr="001404B0" w:rsidRDefault="00AB1196" w:rsidP="00AB1196">
            <w:pP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D1972B" w14:textId="4A512E0A"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A12411" w14:textId="7EB8D6A7" w:rsidR="00AB1196"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F152AD" w14:textId="2EE8439B"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4FDA106" w14:textId="77777777" w:rsidR="00AB1196" w:rsidRPr="001404B0" w:rsidRDefault="00AB1196" w:rsidP="00181616">
            <w:pPr>
              <w:rPr>
                <w:sz w:val="22"/>
                <w:szCs w:val="22"/>
              </w:rPr>
            </w:pPr>
          </w:p>
        </w:tc>
      </w:tr>
      <w:tr w:rsidR="00AB1196" w:rsidRPr="001404B0" w14:paraId="0405E6D9"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034339" w14:textId="0F88EF82" w:rsidR="00AB1196"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36DB3D" w14:textId="325C5B7D"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B85A4D3" w14:textId="144E8A3C" w:rsidR="00AB1196"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1121A0" w14:textId="6937DC96"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0943AB0E" w14:textId="77777777" w:rsidR="00AB1196"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2F2F6F">
      <w:pPr>
        <w:pStyle w:val="Heading1"/>
      </w:pPr>
      <w:bookmarkStart w:id="40" w:name="_Toc3988358"/>
      <w:bookmarkStart w:id="41" w:name="_Toc4051290"/>
      <w:r>
        <w:t>Implementation</w:t>
      </w:r>
      <w:bookmarkEnd w:id="40"/>
      <w:bookmarkEnd w:id="41"/>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33CC71A0" w:rsidR="002F2F6F" w:rsidRDefault="002F2F6F" w:rsidP="002F2F6F">
      <w:r w:rsidRPr="001404B0">
        <w:t xml:space="preserve">The proposed rules would become effective upon filing on approximately </w:t>
      </w:r>
      <w:r w:rsidR="00C91387">
        <w:t>July 18, 2019</w:t>
      </w:r>
      <w:r w:rsidRPr="001404B0">
        <w:t>. DEQ would notify affected parties by:</w:t>
      </w:r>
    </w:p>
    <w:p w14:paraId="4380DDD8" w14:textId="469C7789" w:rsidR="00C91387" w:rsidRDefault="00C91387" w:rsidP="002F2F6F">
      <w:pPr>
        <w:pStyle w:val="ListParagraph"/>
        <w:numPr>
          <w:ilvl w:val="0"/>
          <w:numId w:val="2"/>
        </w:numPr>
      </w:pPr>
      <w:commentRangeStart w:id="42"/>
      <w:r>
        <w:t>Emailing affected DEQ permit holders</w:t>
      </w:r>
      <w:commentRangeEnd w:id="42"/>
      <w:r w:rsidR="007F0289">
        <w:rPr>
          <w:rStyle w:val="CommentReference"/>
          <w:bCs w:val="0"/>
        </w:rPr>
        <w:commentReference w:id="42"/>
      </w:r>
      <w:r>
        <w:t>;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31AC909A" w:rsidR="002F2F6F" w:rsidRDefault="007F0289" w:rsidP="002F2F6F">
      <w:pPr>
        <w:pStyle w:val="ListParagraph"/>
        <w:numPr>
          <w:ilvl w:val="0"/>
          <w:numId w:val="2"/>
        </w:numPr>
      </w:pPr>
      <w:r>
        <w:t>Emailing regional air quality managers and staff</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62FEB3FE" w14:textId="77777777" w:rsidR="002F2F6F" w:rsidRPr="001404B0" w:rsidRDefault="002F2F6F" w:rsidP="002F2F6F">
      <w:r w:rsidRPr="001404B0">
        <w:t>Affected parties -Text</w:t>
      </w:r>
    </w:p>
    <w:p w14:paraId="62FEB3FF" w14:textId="77777777" w:rsidR="002F2F6F" w:rsidRPr="001404B0" w:rsidRDefault="002F2F6F" w:rsidP="002F2F6F">
      <w:r w:rsidRPr="001404B0">
        <w:t>DEQ staff - Text</w:t>
      </w:r>
    </w:p>
    <w:p w14:paraId="62FEB400" w14:textId="77777777"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77777777" w:rsidR="002F2F6F" w:rsidRPr="001404B0" w:rsidRDefault="002F2F6F" w:rsidP="002F2F6F">
      <w:r w:rsidRPr="001404B0">
        <w:t>Affected parties - Text</w:t>
      </w:r>
    </w:p>
    <w:p w14:paraId="62FEB403" w14:textId="77777777" w:rsidR="002F2F6F" w:rsidRPr="001404B0" w:rsidRDefault="002F2F6F" w:rsidP="002F2F6F">
      <w:r w:rsidRPr="001404B0">
        <w:t>DEQ staff - Text</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7777777" w:rsidR="002F2F6F" w:rsidRPr="001404B0" w:rsidRDefault="002F2F6F" w:rsidP="002F2F6F">
      <w:r w:rsidRPr="001404B0">
        <w:t>Website - Text</w:t>
      </w:r>
    </w:p>
    <w:p w14:paraId="62FEB407" w14:textId="77777777" w:rsidR="002F2F6F" w:rsidRPr="001404B0" w:rsidRDefault="002F2F6F" w:rsidP="002F2F6F">
      <w:r w:rsidRPr="001404B0">
        <w:t>Database - Text</w:t>
      </w:r>
    </w:p>
    <w:p w14:paraId="62FEB408" w14:textId="77777777" w:rsidR="002F2F6F" w:rsidRPr="001404B0" w:rsidRDefault="002F2F6F" w:rsidP="002F2F6F">
      <w:r w:rsidRPr="001404B0">
        <w:t>Invoicing - Text</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62FEB40B" w14:textId="77777777" w:rsidR="002F2F6F" w:rsidRPr="001404B0" w:rsidRDefault="002F2F6F" w:rsidP="002F2F6F">
      <w:r w:rsidRPr="001404B0">
        <w:t>Affected parties - Text</w:t>
      </w:r>
    </w:p>
    <w:p w14:paraId="62FEB40C" w14:textId="77777777" w:rsidR="002F2F6F" w:rsidRPr="001404B0" w:rsidRDefault="002F2F6F" w:rsidP="002F2F6F">
      <w:r w:rsidRPr="001404B0">
        <w:t>DEQ staff - Text</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43" w:name="_Toc3988359"/>
      <w:bookmarkStart w:id="44" w:name="_Toc4051291"/>
      <w:r>
        <w:lastRenderedPageBreak/>
        <w:t>Five Year Review</w:t>
      </w:r>
      <w:bookmarkEnd w:id="43"/>
      <w:bookmarkEnd w:id="44"/>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53AD50B5" w:rsidR="002F2F6F" w:rsidRPr="001404B0" w:rsidRDefault="002F2F6F" w:rsidP="002F2F6F">
      <w:r w:rsidRPr="001404B0">
        <w:t>The Administrative Procedures Act exempts</w:t>
      </w:r>
      <w:r w:rsidR="00C91387">
        <w:t xml:space="preserve"> all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27FCC447" w:rsidR="002F2F6F" w:rsidRPr="001404B0" w:rsidRDefault="002F2F6F" w:rsidP="002F2F6F">
      <w:r w:rsidRPr="001404B0">
        <w:t>Adopt a federal law or rule by reference. ORS 183.405((5)(b).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62FEB432" w14:textId="77777777" w:rsidR="002F2F6F" w:rsidRDefault="002F2F6F" w:rsidP="002F2F6F">
      <w:pPr>
        <w:sectPr w:rsidR="002F2F6F" w:rsidSect="00A112DA">
          <w:footerReference w:type="default" r:id="rId34"/>
          <w:pgSz w:w="12240" w:h="15840"/>
          <w:pgMar w:top="1440" w:right="1440" w:bottom="1440" w:left="1440" w:header="720" w:footer="720" w:gutter="360"/>
          <w:cols w:space="720"/>
          <w:docGrid w:linePitch="360"/>
        </w:sectPr>
      </w:pPr>
    </w:p>
    <w:p w14:paraId="62FEB433" w14:textId="77777777" w:rsidR="002F2F6F" w:rsidRPr="003C26EE" w:rsidRDefault="002F2F6F" w:rsidP="002F2F6F">
      <w:pPr>
        <w:pStyle w:val="Heading1"/>
      </w:pPr>
      <w:bookmarkStart w:id="45" w:name="_Toc3988360"/>
      <w:bookmarkStart w:id="46" w:name="_Toc4051292"/>
      <w:r w:rsidRPr="003C26EE">
        <w:lastRenderedPageBreak/>
        <w:t>Accessibility Information</w:t>
      </w:r>
      <w:bookmarkEnd w:id="45"/>
      <w:bookmarkEnd w:id="46"/>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r w:rsidR="00C91387">
        <w:t xml:space="preserve">503-229-6442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DEFEHR DANIEL" w:date="2019-05-30T10:54:00Z" w:initials="DD">
    <w:p w14:paraId="1DF8D011" w14:textId="15DBC643" w:rsidR="0046356E" w:rsidRDefault="0046356E">
      <w:pPr>
        <w:pStyle w:val="CommentText"/>
      </w:pPr>
      <w:r>
        <w:rPr>
          <w:rStyle w:val="CommentReference"/>
        </w:rPr>
        <w:annotationRef/>
      </w:r>
      <w:r>
        <w:t xml:space="preserve">Remove. Was not completed. </w:t>
      </w:r>
    </w:p>
  </w:comment>
  <w:comment w:id="29" w:author="DEFEHR DANIEL" w:date="2019-05-30T10:54:00Z" w:initials="DD">
    <w:p w14:paraId="1A4A3079" w14:textId="2F94049B" w:rsidR="0046356E" w:rsidRDefault="0046356E">
      <w:pPr>
        <w:pStyle w:val="CommentText"/>
      </w:pPr>
      <w:r>
        <w:rPr>
          <w:rStyle w:val="CommentReference"/>
        </w:rPr>
        <w:annotationRef/>
      </w:r>
      <w:r>
        <w:t>Permittees? Interested parties located in proximity?</w:t>
      </w:r>
    </w:p>
  </w:comment>
  <w:comment w:id="30" w:author="DEFEHR DANIEL" w:date="2019-05-30T10:55:00Z" w:initials="DD">
    <w:p w14:paraId="0D27A075" w14:textId="4553C0AA" w:rsidR="0046356E" w:rsidRDefault="0046356E">
      <w:pPr>
        <w:pStyle w:val="CommentText"/>
      </w:pPr>
      <w:r>
        <w:rPr>
          <w:rStyle w:val="CommentReference"/>
        </w:rPr>
        <w:annotationRef/>
      </w:r>
      <w:r>
        <w:t>Held two.</w:t>
      </w:r>
    </w:p>
  </w:comment>
  <w:comment w:id="33" w:author="DEFEHR DANIEL" w:date="2019-05-30T10:59:00Z" w:initials="DD">
    <w:p w14:paraId="401ADB67" w14:textId="71912D1B" w:rsidR="0046356E" w:rsidRDefault="0046356E">
      <w:pPr>
        <w:pStyle w:val="CommentText"/>
      </w:pPr>
      <w:r>
        <w:rPr>
          <w:rStyle w:val="CommentReference"/>
        </w:rPr>
        <w:annotationRef/>
      </w:r>
      <w:r>
        <w:t>Two total.</w:t>
      </w:r>
    </w:p>
  </w:comment>
  <w:comment w:id="34" w:author="DEFEHR DANIEL" w:date="2019-05-30T10:57:00Z" w:initials="DD">
    <w:p w14:paraId="4EA68617" w14:textId="1BA2B588" w:rsidR="0046356E" w:rsidRDefault="0046356E">
      <w:pPr>
        <w:pStyle w:val="CommentText"/>
      </w:pPr>
      <w:r>
        <w:rPr>
          <w:rStyle w:val="CommentReference"/>
        </w:rPr>
        <w:annotationRef/>
      </w:r>
      <w:r>
        <w:t>Add once done</w:t>
      </w:r>
    </w:p>
  </w:comment>
  <w:comment w:id="38" w:author="DEFEHR DANIEL" w:date="2019-05-30T11:00:00Z" w:initials="DD">
    <w:p w14:paraId="688DFDD7" w14:textId="344066E0" w:rsidR="0046356E" w:rsidRDefault="0046356E">
      <w:pPr>
        <w:pStyle w:val="CommentText"/>
      </w:pPr>
      <w:r>
        <w:rPr>
          <w:rStyle w:val="CommentReference"/>
        </w:rPr>
        <w:annotationRef/>
      </w:r>
      <w:r>
        <w:t>update</w:t>
      </w:r>
    </w:p>
  </w:comment>
  <w:comment w:id="42" w:author="DEFEHR DANIEL" w:date="2019-05-28T11:24:00Z" w:initials="DD">
    <w:p w14:paraId="565D772A" w14:textId="0AB21C61" w:rsidR="0046356E" w:rsidRDefault="0046356E">
      <w:pPr>
        <w:pStyle w:val="CommentText"/>
      </w:pPr>
      <w:r>
        <w:rPr>
          <w:rStyle w:val="CommentReference"/>
        </w:rPr>
        <w:annotationRef/>
      </w:r>
      <w:r>
        <w:t xml:space="preserve">Discuss with RMT. Draft email and send to permit writers of landfills?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F8D011" w15:done="0"/>
  <w15:commentEx w15:paraId="1A4A3079" w15:done="0"/>
  <w15:commentEx w15:paraId="0D27A075" w15:done="0"/>
  <w15:commentEx w15:paraId="401ADB67" w15:done="0"/>
  <w15:commentEx w15:paraId="4EA68617" w15:done="0"/>
  <w15:commentEx w15:paraId="688DFDD7" w15:done="0"/>
  <w15:commentEx w15:paraId="565D77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46356E" w:rsidRDefault="0046356E" w:rsidP="002D6C99">
      <w:r>
        <w:separator/>
      </w:r>
    </w:p>
  </w:endnote>
  <w:endnote w:type="continuationSeparator" w:id="0">
    <w:p w14:paraId="62FEB45C" w14:textId="77777777" w:rsidR="0046356E" w:rsidRDefault="0046356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46356E" w:rsidRDefault="0046356E">
    <w:pPr>
      <w:pStyle w:val="Footer"/>
      <w:jc w:val="right"/>
    </w:pPr>
  </w:p>
  <w:p w14:paraId="62FEB45E" w14:textId="77777777" w:rsidR="0046356E" w:rsidRDefault="00463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46356E" w:rsidRDefault="0046356E">
    <w:pPr>
      <w:pStyle w:val="Footer"/>
      <w:jc w:val="right"/>
    </w:pPr>
  </w:p>
  <w:p w14:paraId="62FEB461" w14:textId="77777777" w:rsidR="0046356E" w:rsidRDefault="00463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443D8974" w:rsidR="0046356E" w:rsidRDefault="0046356E">
        <w:pPr>
          <w:pStyle w:val="Footer"/>
          <w:jc w:val="right"/>
        </w:pPr>
        <w:r>
          <w:fldChar w:fldCharType="begin"/>
        </w:r>
        <w:r>
          <w:instrText xml:space="preserve"> PAGE   \* MERGEFORMAT </w:instrText>
        </w:r>
        <w:r>
          <w:fldChar w:fldCharType="separate"/>
        </w:r>
        <w:r w:rsidR="006260DA">
          <w:rPr>
            <w:noProof/>
          </w:rPr>
          <w:t>13</w:t>
        </w:r>
        <w:r>
          <w:rPr>
            <w:noProof/>
          </w:rPr>
          <w:fldChar w:fldCharType="end"/>
        </w:r>
      </w:p>
    </w:sdtContent>
  </w:sdt>
  <w:p w14:paraId="62FEB464" w14:textId="77777777" w:rsidR="0046356E" w:rsidRDefault="004635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46356E" w:rsidRDefault="0046356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46356E" w:rsidRDefault="004635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71AC3A8A" w:rsidR="0046356E" w:rsidRDefault="0046356E">
        <w:pPr>
          <w:pStyle w:val="Footer"/>
          <w:jc w:val="right"/>
        </w:pPr>
        <w:r>
          <w:fldChar w:fldCharType="begin"/>
        </w:r>
        <w:r>
          <w:instrText xml:space="preserve"> PAGE   \* MERGEFORMAT </w:instrText>
        </w:r>
        <w:r>
          <w:fldChar w:fldCharType="separate"/>
        </w:r>
        <w:r w:rsidR="006260DA">
          <w:rPr>
            <w:noProof/>
          </w:rPr>
          <w:t>1</w:t>
        </w:r>
        <w:r>
          <w:rPr>
            <w:noProof/>
          </w:rPr>
          <w:fldChar w:fldCharType="end"/>
        </w:r>
      </w:p>
    </w:sdtContent>
  </w:sdt>
  <w:p w14:paraId="62FEB469" w14:textId="77777777" w:rsidR="0046356E" w:rsidRDefault="004635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3CCD0037" w:rsidR="0046356E" w:rsidRPr="000F6EE6" w:rsidRDefault="0046356E" w:rsidP="00A112DA">
        <w:pPr>
          <w:pStyle w:val="Footer"/>
        </w:pPr>
        <w:r w:rsidRPr="000F6EE6">
          <w:fldChar w:fldCharType="begin"/>
        </w:r>
        <w:r w:rsidRPr="000F6EE6">
          <w:instrText xml:space="preserve"> PAGE   \* MERGEFORMAT </w:instrText>
        </w:r>
        <w:r w:rsidRPr="000F6EE6">
          <w:fldChar w:fldCharType="separate"/>
        </w:r>
        <w:r w:rsidR="006260DA">
          <w:rPr>
            <w:noProof/>
          </w:rPr>
          <w:t>30</w:t>
        </w:r>
        <w:r w:rsidRPr="000F6EE6">
          <w:fldChar w:fldCharType="end"/>
        </w:r>
      </w:p>
    </w:sdtContent>
  </w:sdt>
  <w:p w14:paraId="62FEB46B" w14:textId="77777777" w:rsidR="0046356E" w:rsidRDefault="00463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46356E" w:rsidRDefault="0046356E" w:rsidP="002D6C99">
      <w:r>
        <w:separator/>
      </w:r>
    </w:p>
  </w:footnote>
  <w:footnote w:type="continuationSeparator" w:id="0">
    <w:p w14:paraId="62FEB45A" w14:textId="77777777" w:rsidR="0046356E" w:rsidRDefault="0046356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46356E" w:rsidRDefault="0046356E"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46356E" w:rsidRPr="00F72D05" w:rsidRDefault="0046356E"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46356E" w:rsidRDefault="0046356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10C06"/>
    <w:multiLevelType w:val="multilevel"/>
    <w:tmpl w:val="1CC876B8"/>
    <w:numStyleLink w:val="StyleBulletedLatinCourierNewLeft075Hanging025"/>
  </w:abstractNum>
  <w:abstractNum w:abstractNumId="19"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0589A"/>
    <w:multiLevelType w:val="multilevel"/>
    <w:tmpl w:val="1CC876B8"/>
    <w:numStyleLink w:val="StyleBulletedLatinCourierNewLeft075Hanging025"/>
  </w:abstractNum>
  <w:abstractNum w:abstractNumId="21"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A2B92"/>
    <w:multiLevelType w:val="multilevel"/>
    <w:tmpl w:val="1CC876B8"/>
    <w:numStyleLink w:val="StyleBulletedLatinCourierNewLeft075Hanging025"/>
  </w:abstractNum>
  <w:abstractNum w:abstractNumId="25" w15:restartNumberingAfterBreak="0">
    <w:nsid w:val="6C8E5623"/>
    <w:multiLevelType w:val="multilevel"/>
    <w:tmpl w:val="1CC876B8"/>
    <w:numStyleLink w:val="StyleBulletedLatinCourierNewLeft075Hanging025"/>
  </w:abstractNum>
  <w:abstractNum w:abstractNumId="26"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0"/>
  </w:num>
  <w:num w:numId="4">
    <w:abstractNumId w:val="7"/>
  </w:num>
  <w:num w:numId="5">
    <w:abstractNumId w:val="5"/>
  </w:num>
  <w:num w:numId="6">
    <w:abstractNumId w:val="1"/>
  </w:num>
  <w:num w:numId="7">
    <w:abstractNumId w:val="6"/>
  </w:num>
  <w:num w:numId="8">
    <w:abstractNumId w:val="12"/>
  </w:num>
  <w:num w:numId="9">
    <w:abstractNumId w:val="19"/>
  </w:num>
  <w:num w:numId="10">
    <w:abstractNumId w:val="16"/>
  </w:num>
  <w:num w:numId="11">
    <w:abstractNumId w:val="17"/>
  </w:num>
  <w:num w:numId="12">
    <w:abstractNumId w:val="26"/>
  </w:num>
  <w:num w:numId="13">
    <w:abstractNumId w:val="2"/>
  </w:num>
  <w:num w:numId="14">
    <w:abstractNumId w:val="3"/>
  </w:num>
  <w:num w:numId="15">
    <w:abstractNumId w:val="18"/>
  </w:num>
  <w:num w:numId="16">
    <w:abstractNumId w:val="24"/>
  </w:num>
  <w:num w:numId="17">
    <w:abstractNumId w:val="14"/>
  </w:num>
  <w:num w:numId="18">
    <w:abstractNumId w:val="25"/>
  </w:num>
  <w:num w:numId="19">
    <w:abstractNumId w:val="8"/>
  </w:num>
  <w:num w:numId="20">
    <w:abstractNumId w:val="20"/>
  </w:num>
  <w:num w:numId="21">
    <w:abstractNumId w:val="15"/>
  </w:num>
  <w:num w:numId="22">
    <w:abstractNumId w:val="21"/>
  </w:num>
  <w:num w:numId="23">
    <w:abstractNumId w:val="27"/>
  </w:num>
  <w:num w:numId="24">
    <w:abstractNumId w:val="0"/>
  </w:num>
  <w:num w:numId="25">
    <w:abstractNumId w:val="9"/>
  </w:num>
  <w:num w:numId="26">
    <w:abstractNumId w:val="11"/>
  </w:num>
  <w:num w:numId="27">
    <w:abstractNumId w:val="13"/>
  </w:num>
  <w:num w:numId="28">
    <w:abstractNumId w:val="22"/>
  </w:num>
  <w:num w:numId="29">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926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356E"/>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AA8"/>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260D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671B8"/>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35AC"/>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973DA"/>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46C6"/>
    <w:rsid w:val="00E048AF"/>
    <w:rsid w:val="00E0522F"/>
    <w:rsid w:val="00E07FE1"/>
    <w:rsid w:val="00E11474"/>
    <w:rsid w:val="00E131C7"/>
    <w:rsid w:val="00E13C70"/>
    <w:rsid w:val="00E17DC5"/>
    <w:rsid w:val="00E17DED"/>
    <w:rsid w:val="00E220F4"/>
    <w:rsid w:val="00E221D5"/>
    <w:rsid w:val="00E23CBC"/>
    <w:rsid w:val="00E278B9"/>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gpo.gov/fdsys/browse/collection.action?collectionCode=FR"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gpo.gov/fdsys/browse/collectionCfr.action?collectionCode=CFR" TargetMode="External"/><Relationship Id="rId33" Type="http://schemas.openxmlformats.org/officeDocument/2006/relationships/hyperlink" Target="http://www.deq.state.or.us/regulations/docs/participantlinklog.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Regulations/rulemaking/Pages/RFedLFEG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oregon.gov/deq/Regulations/Pages/Statutes.aspx" TargetMode="External"/><Relationship Id="rId32" Type="http://schemas.openxmlformats.org/officeDocument/2006/relationships/hyperlink" Target="https://connect9.uc.att.com/service32/meet/?ExEventID=88040259"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oregon.gov/deq/Regulations/Pages/Administrative-Rules.aspx" TargetMode="External"/><Relationship Id="rId28" Type="http://schemas.microsoft.com/office/2011/relationships/commentsExtended" Target="commentsExtended.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po.gov/fdsys/browse/collection.action?collectionCode=FR" TargetMode="External"/><Relationship Id="rId27" Type="http://schemas.openxmlformats.org/officeDocument/2006/relationships/comments" Target="comments.xml"/><Relationship Id="rId30" Type="http://schemas.openxmlformats.org/officeDocument/2006/relationships/hyperlink" Target="http://www.leg.state.or.us/ors/183.html"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CA22B79-2CF9-4B8C-9B15-6037AF8E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43871177.dotm</Template>
  <TotalTime>211</TotalTime>
  <Pages>35</Pages>
  <Words>6799</Words>
  <Characters>38756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45465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6</cp:revision>
  <cp:lastPrinted>2013-02-28T21:12:00Z</cp:lastPrinted>
  <dcterms:created xsi:type="dcterms:W3CDTF">2019-05-28T23:58:00Z</dcterms:created>
  <dcterms:modified xsi:type="dcterms:W3CDTF">2019-05-30T23:58:00Z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