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B4A" w:rsidRDefault="00A75B4A" w:rsidP="007D53D6">
      <w:pPr>
        <w:pStyle w:val="DEQTITLE"/>
        <w:rPr>
          <w:bCs/>
          <w:sz w:val="24"/>
          <w:szCs w:val="24"/>
        </w:rPr>
      </w:pPr>
    </w:p>
    <w:p w:rsidR="00A75B4A" w:rsidRDefault="00A75B4A" w:rsidP="007D53D6">
      <w:pPr>
        <w:pStyle w:val="DEQTITLE"/>
        <w:rPr>
          <w:bCs/>
          <w:sz w:val="24"/>
          <w:szCs w:val="24"/>
        </w:rPr>
      </w:pPr>
    </w:p>
    <w:p w:rsidR="007D53D6" w:rsidRPr="005C371D" w:rsidRDefault="007D53D6" w:rsidP="007D53D6">
      <w:pPr>
        <w:pStyle w:val="DEQTITLE"/>
        <w:rPr>
          <w:b w:val="0"/>
          <w:bCs/>
          <w:sz w:val="24"/>
          <w:szCs w:val="24"/>
        </w:rPr>
      </w:pPr>
      <w:r>
        <w:rPr>
          <w:bCs/>
          <w:sz w:val="24"/>
          <w:szCs w:val="24"/>
        </w:rPr>
        <w:t xml:space="preserve">To: </w:t>
      </w:r>
      <w:r w:rsidR="00A75B4A">
        <w:rPr>
          <w:bCs/>
          <w:sz w:val="24"/>
          <w:szCs w:val="24"/>
        </w:rPr>
        <w:tab/>
      </w:r>
      <w:r w:rsidRPr="005C371D">
        <w:rPr>
          <w:b w:val="0"/>
          <w:bCs/>
          <w:sz w:val="24"/>
          <w:szCs w:val="24"/>
        </w:rPr>
        <w:t>Environmental Quality Commission</w:t>
      </w:r>
    </w:p>
    <w:p w:rsidR="007D53D6" w:rsidRDefault="007D53D6" w:rsidP="007D53D6">
      <w:pPr>
        <w:pStyle w:val="DEQTITLE"/>
        <w:rPr>
          <w:bCs/>
          <w:sz w:val="24"/>
          <w:szCs w:val="24"/>
        </w:rPr>
      </w:pPr>
    </w:p>
    <w:p w:rsidR="007D53D6" w:rsidRDefault="007D53D6" w:rsidP="007D53D6">
      <w:pPr>
        <w:pStyle w:val="DEQTITLE"/>
        <w:rPr>
          <w:bCs/>
          <w:sz w:val="24"/>
          <w:szCs w:val="24"/>
        </w:rPr>
      </w:pPr>
      <w:r>
        <w:rPr>
          <w:bCs/>
          <w:sz w:val="24"/>
          <w:szCs w:val="24"/>
        </w:rPr>
        <w:t xml:space="preserve">From: </w:t>
      </w:r>
      <w:r>
        <w:rPr>
          <w:b w:val="0"/>
          <w:bCs/>
          <w:sz w:val="24"/>
          <w:szCs w:val="24"/>
        </w:rPr>
        <w:t xml:space="preserve">Brian Fuller &amp; </w:t>
      </w:r>
      <w:r w:rsidRPr="005C371D">
        <w:rPr>
          <w:b w:val="0"/>
          <w:bCs/>
          <w:sz w:val="24"/>
          <w:szCs w:val="24"/>
        </w:rPr>
        <w:t>Jeannette Acomb, Hazardous Waste P</w:t>
      </w:r>
      <w:r>
        <w:rPr>
          <w:b w:val="0"/>
          <w:bCs/>
          <w:sz w:val="24"/>
          <w:szCs w:val="24"/>
        </w:rPr>
        <w:t>rogram</w:t>
      </w:r>
    </w:p>
    <w:p w:rsidR="007D53D6" w:rsidRDefault="007D53D6" w:rsidP="007D53D6">
      <w:pPr>
        <w:pStyle w:val="DEQTITLE"/>
        <w:rPr>
          <w:bCs/>
          <w:sz w:val="24"/>
          <w:szCs w:val="24"/>
        </w:rPr>
      </w:pPr>
    </w:p>
    <w:p w:rsidR="007D53D6" w:rsidRPr="005C371D" w:rsidRDefault="007D53D6" w:rsidP="007D53D6">
      <w:pPr>
        <w:pStyle w:val="DEQTITLE"/>
        <w:rPr>
          <w:b w:val="0"/>
          <w:bCs/>
          <w:sz w:val="24"/>
          <w:szCs w:val="24"/>
        </w:rPr>
      </w:pPr>
      <w:r>
        <w:rPr>
          <w:bCs/>
          <w:sz w:val="24"/>
          <w:szCs w:val="24"/>
        </w:rPr>
        <w:t xml:space="preserve">Date: </w:t>
      </w:r>
      <w:r w:rsidR="00A75B4A">
        <w:rPr>
          <w:bCs/>
          <w:sz w:val="24"/>
          <w:szCs w:val="24"/>
        </w:rPr>
        <w:tab/>
      </w:r>
      <w:r w:rsidRPr="005C371D">
        <w:rPr>
          <w:b w:val="0"/>
          <w:bCs/>
          <w:sz w:val="24"/>
          <w:szCs w:val="24"/>
        </w:rPr>
        <w:t xml:space="preserve">February </w:t>
      </w:r>
      <w:r>
        <w:rPr>
          <w:b w:val="0"/>
          <w:bCs/>
          <w:sz w:val="24"/>
          <w:szCs w:val="24"/>
        </w:rPr>
        <w:t>7</w:t>
      </w:r>
      <w:r w:rsidRPr="005C371D">
        <w:rPr>
          <w:b w:val="0"/>
          <w:bCs/>
          <w:sz w:val="24"/>
          <w:szCs w:val="24"/>
        </w:rPr>
        <w:t>, 2019</w:t>
      </w:r>
    </w:p>
    <w:p w:rsidR="007D53D6" w:rsidRDefault="007D53D6" w:rsidP="007D53D6">
      <w:pPr>
        <w:pStyle w:val="DEQTITLE"/>
        <w:rPr>
          <w:bCs/>
          <w:sz w:val="24"/>
          <w:szCs w:val="24"/>
        </w:rPr>
      </w:pPr>
    </w:p>
    <w:p w:rsidR="007D53D6" w:rsidRPr="007D53D6" w:rsidRDefault="007D53D6" w:rsidP="007D53D6">
      <w:pPr>
        <w:pStyle w:val="DEQTITLE"/>
        <w:ind w:left="990" w:hanging="990"/>
        <w:rPr>
          <w:b w:val="0"/>
          <w:sz w:val="24"/>
          <w:szCs w:val="24"/>
        </w:rPr>
      </w:pPr>
      <w:r>
        <w:rPr>
          <w:bCs/>
          <w:sz w:val="24"/>
          <w:szCs w:val="24"/>
        </w:rPr>
        <w:t xml:space="preserve">Subject: </w:t>
      </w:r>
      <w:r w:rsidRPr="007D53D6">
        <w:rPr>
          <w:b w:val="0"/>
          <w:sz w:val="24"/>
          <w:szCs w:val="24"/>
        </w:rPr>
        <w:t xml:space="preserve">Follow-up: January 24 EQC Agenda Item D. </w:t>
      </w:r>
      <w:r w:rsidRPr="007D53D6">
        <w:rPr>
          <w:rFonts w:cs="Arial"/>
          <w:b w:val="0"/>
          <w:color w:val="000000"/>
          <w:sz w:val="24"/>
          <w:szCs w:val="24"/>
        </w:rPr>
        <w:t>Informational item: Hazardous waste overview and fee increase proposal</w:t>
      </w:r>
    </w:p>
    <w:p w:rsidR="007D53D6" w:rsidRPr="007D53D6" w:rsidRDefault="007D53D6" w:rsidP="007D53D6">
      <w:pPr>
        <w:pStyle w:val="DEQTITLE"/>
        <w:rPr>
          <w:b w:val="0"/>
          <w:sz w:val="20"/>
        </w:rPr>
      </w:pPr>
    </w:p>
    <w:p w:rsidR="00366B55" w:rsidRDefault="00366B55">
      <w:pPr>
        <w:pStyle w:val="DEQTITLE"/>
        <w:rPr>
          <w:sz w:val="20"/>
        </w:rPr>
        <w:sectPr w:rsidR="00366B55" w:rsidSect="00A75B4A">
          <w:headerReference w:type="default" r:id="rId9"/>
          <w:pgSz w:w="12240" w:h="15840"/>
          <w:pgMar w:top="720" w:right="720" w:bottom="720" w:left="720" w:header="720" w:footer="720" w:gutter="0"/>
          <w:cols w:space="360"/>
          <w:docGrid w:linePitch="326"/>
        </w:sectPr>
      </w:pPr>
    </w:p>
    <w:p w:rsidR="009755C5" w:rsidRDefault="009755C5" w:rsidP="003C19D5"/>
    <w:p w:rsidR="007D53D6" w:rsidRPr="00746A4B" w:rsidRDefault="007D53D6" w:rsidP="007D53D6">
      <w:pPr>
        <w:pStyle w:val="DEQTITLE"/>
        <w:rPr>
          <w:b w:val="0"/>
          <w:sz w:val="20"/>
        </w:rPr>
      </w:pPr>
      <w:r>
        <w:rPr>
          <w:b w:val="0"/>
          <w:sz w:val="20"/>
        </w:rPr>
        <w:t>W</w:t>
      </w:r>
      <w:r w:rsidRPr="00746A4B">
        <w:rPr>
          <w:b w:val="0"/>
          <w:sz w:val="20"/>
        </w:rPr>
        <w:t xml:space="preserve">e appreciated </w:t>
      </w:r>
      <w:r>
        <w:rPr>
          <w:b w:val="0"/>
          <w:sz w:val="20"/>
        </w:rPr>
        <w:t>the opportunity to share hazardous waste program information and details about our funding outlook with you during the January 24 EQC meeting in Corvallis. This memorandum is in response to questions you raised regarding conditionally exempt generators, state received cleanup wastes, program operations relative to neighboring states</w:t>
      </w:r>
      <w:r w:rsidR="005272ED">
        <w:rPr>
          <w:b w:val="0"/>
          <w:sz w:val="20"/>
        </w:rPr>
        <w:t>, and cooperative regional fee</w:t>
      </w:r>
      <w:r w:rsidR="005272ED">
        <w:rPr>
          <w:b w:val="0"/>
          <w:sz w:val="20"/>
        </w:rPr>
        <w:t>s</w:t>
      </w:r>
      <w:r>
        <w:rPr>
          <w:b w:val="0"/>
          <w:sz w:val="20"/>
        </w:rPr>
        <w:t xml:space="preserve">. </w:t>
      </w:r>
    </w:p>
    <w:p w:rsidR="007D53D6" w:rsidRDefault="007D53D6" w:rsidP="007D53D6">
      <w:pPr>
        <w:pStyle w:val="DEQTITLE"/>
        <w:rPr>
          <w:sz w:val="20"/>
        </w:rPr>
      </w:pPr>
    </w:p>
    <w:p w:rsidR="007D53D6" w:rsidRDefault="007D53D6" w:rsidP="007D53D6">
      <w:pPr>
        <w:pStyle w:val="DEQTITLE"/>
        <w:rPr>
          <w:sz w:val="20"/>
        </w:rPr>
      </w:pPr>
      <w:r>
        <w:rPr>
          <w:sz w:val="20"/>
        </w:rPr>
        <w:t xml:space="preserve">Conditionally </w:t>
      </w:r>
      <w:r w:rsidR="005272ED">
        <w:rPr>
          <w:sz w:val="20"/>
        </w:rPr>
        <w:t>ex</w:t>
      </w:r>
      <w:r>
        <w:rPr>
          <w:sz w:val="20"/>
        </w:rPr>
        <w:t xml:space="preserve">empt </w:t>
      </w:r>
      <w:r w:rsidR="005272ED">
        <w:rPr>
          <w:sz w:val="20"/>
        </w:rPr>
        <w:t>g</w:t>
      </w:r>
      <w:r>
        <w:rPr>
          <w:sz w:val="20"/>
        </w:rPr>
        <w:t>enerators</w:t>
      </w:r>
    </w:p>
    <w:p w:rsidR="007D53D6" w:rsidRDefault="007D53D6" w:rsidP="007D53D6">
      <w:pPr>
        <w:pStyle w:val="DEQTITLE"/>
        <w:rPr>
          <w:b w:val="0"/>
          <w:sz w:val="20"/>
        </w:rPr>
      </w:pPr>
      <w:r>
        <w:rPr>
          <w:b w:val="0"/>
          <w:sz w:val="20"/>
        </w:rPr>
        <w:t xml:space="preserve">DEQ does not track or require reporting for businesses generating 220 pounds or less of hazardous waste per month. The universe of conditionally exempt generators in Oregon meeting this criteria is unknown. Potentially any small business in Oregon could be a Conditionally Exempt Generator. </w:t>
      </w:r>
      <w:bookmarkStart w:id="0" w:name="_GoBack"/>
      <w:bookmarkEnd w:id="0"/>
    </w:p>
    <w:p w:rsidR="007D53D6" w:rsidRDefault="007D53D6" w:rsidP="007D53D6">
      <w:pPr>
        <w:pStyle w:val="DEQTITLE"/>
        <w:rPr>
          <w:b w:val="0"/>
          <w:sz w:val="20"/>
        </w:rPr>
      </w:pPr>
    </w:p>
    <w:p w:rsidR="007D53D6" w:rsidRPr="0096491D" w:rsidRDefault="007D53D6" w:rsidP="007D53D6">
      <w:pPr>
        <w:pStyle w:val="DEQTITLE"/>
        <w:rPr>
          <w:sz w:val="20"/>
        </w:rPr>
      </w:pPr>
      <w:r>
        <w:rPr>
          <w:sz w:val="20"/>
        </w:rPr>
        <w:t>Cleanup wastes</w:t>
      </w:r>
    </w:p>
    <w:p w:rsidR="007D53D6" w:rsidRPr="00BF6396" w:rsidRDefault="007D53D6" w:rsidP="007D53D6">
      <w:pPr>
        <w:pStyle w:val="DEQTITLE"/>
        <w:rPr>
          <w:b w:val="0"/>
          <w:sz w:val="20"/>
        </w:rPr>
      </w:pPr>
      <w:r>
        <w:rPr>
          <w:b w:val="0"/>
          <w:sz w:val="20"/>
        </w:rPr>
        <w:t>Chemical Waste Management of the NW estimates they received 10.8 tons of remedial hazardous waste in 2018, which is approximately 12.4 percent of their total hazardous wastes received in 2018.</w:t>
      </w:r>
    </w:p>
    <w:p w:rsidR="007D53D6" w:rsidRDefault="007D53D6" w:rsidP="007D53D6">
      <w:pPr>
        <w:pStyle w:val="DEQTITLE"/>
        <w:rPr>
          <w:sz w:val="20"/>
        </w:rPr>
      </w:pPr>
    </w:p>
    <w:p w:rsidR="007D53D6" w:rsidRPr="00790609" w:rsidRDefault="007D53D6" w:rsidP="007D53D6">
      <w:pPr>
        <w:pStyle w:val="DEQTITLE"/>
        <w:rPr>
          <w:sz w:val="20"/>
        </w:rPr>
      </w:pPr>
      <w:r w:rsidRPr="00790609">
        <w:rPr>
          <w:sz w:val="20"/>
        </w:rPr>
        <w:t xml:space="preserve">State </w:t>
      </w:r>
      <w:r w:rsidR="005272ED">
        <w:rPr>
          <w:sz w:val="20"/>
        </w:rPr>
        <w:t>c</w:t>
      </w:r>
      <w:r w:rsidRPr="00790609">
        <w:rPr>
          <w:sz w:val="20"/>
        </w:rPr>
        <w:t>omparison</w:t>
      </w:r>
    </w:p>
    <w:p w:rsidR="007D53D6" w:rsidRDefault="007D53D6" w:rsidP="007D53D6">
      <w:pPr>
        <w:pStyle w:val="DEQTITLE"/>
        <w:spacing w:after="120"/>
        <w:rPr>
          <w:b w:val="0"/>
          <w:sz w:val="20"/>
        </w:rPr>
      </w:pPr>
      <w:r>
        <w:rPr>
          <w:b w:val="0"/>
          <w:sz w:val="20"/>
        </w:rPr>
        <w:t xml:space="preserve">DEQ’s hazardous waste program differs from neighboring states in size, staffing and funding:   </w:t>
      </w:r>
    </w:p>
    <w:tbl>
      <w:tblPr>
        <w:tblStyle w:val="TableGrid"/>
        <w:tblW w:w="0" w:type="auto"/>
        <w:tblInd w:w="-5" w:type="dxa"/>
        <w:tblLayout w:type="fixed"/>
        <w:tblLook w:val="04A0" w:firstRow="1" w:lastRow="0" w:firstColumn="1" w:lastColumn="0" w:noHBand="0" w:noVBand="1"/>
      </w:tblPr>
      <w:tblGrid>
        <w:gridCol w:w="1530"/>
        <w:gridCol w:w="2160"/>
        <w:gridCol w:w="1170"/>
        <w:gridCol w:w="1620"/>
        <w:gridCol w:w="1890"/>
      </w:tblGrid>
      <w:tr w:rsidR="007D53D6" w:rsidTr="007D53D6">
        <w:tc>
          <w:tcPr>
            <w:tcW w:w="1530" w:type="dxa"/>
          </w:tcPr>
          <w:p w:rsidR="007D53D6" w:rsidRPr="00286851" w:rsidRDefault="007D53D6" w:rsidP="00BE72C1">
            <w:pPr>
              <w:pStyle w:val="DEQTITLE"/>
              <w:jc w:val="center"/>
              <w:rPr>
                <w:sz w:val="20"/>
              </w:rPr>
            </w:pPr>
            <w:r>
              <w:rPr>
                <w:sz w:val="20"/>
              </w:rPr>
              <w:t>State</w:t>
            </w:r>
          </w:p>
        </w:tc>
        <w:tc>
          <w:tcPr>
            <w:tcW w:w="2160" w:type="dxa"/>
          </w:tcPr>
          <w:p w:rsidR="007D53D6" w:rsidRPr="00286851" w:rsidRDefault="007D53D6" w:rsidP="00BE72C1">
            <w:pPr>
              <w:pStyle w:val="DEQTITLE"/>
              <w:jc w:val="center"/>
              <w:rPr>
                <w:sz w:val="20"/>
              </w:rPr>
            </w:pPr>
            <w:r>
              <w:rPr>
                <w:sz w:val="20"/>
              </w:rPr>
              <w:t>% of operating budget is fees</w:t>
            </w:r>
          </w:p>
        </w:tc>
        <w:tc>
          <w:tcPr>
            <w:tcW w:w="1170" w:type="dxa"/>
          </w:tcPr>
          <w:p w:rsidR="007D53D6" w:rsidRPr="00286851" w:rsidRDefault="007D53D6" w:rsidP="00BE72C1">
            <w:pPr>
              <w:pStyle w:val="DEQTITLE"/>
              <w:jc w:val="center"/>
              <w:rPr>
                <w:sz w:val="20"/>
              </w:rPr>
            </w:pPr>
            <w:r>
              <w:rPr>
                <w:sz w:val="20"/>
              </w:rPr>
              <w:t xml:space="preserve">Annual operating funds </w:t>
            </w:r>
          </w:p>
        </w:tc>
        <w:tc>
          <w:tcPr>
            <w:tcW w:w="1620" w:type="dxa"/>
          </w:tcPr>
          <w:p w:rsidR="007D53D6" w:rsidRPr="00286851" w:rsidRDefault="007D53D6" w:rsidP="00BE72C1">
            <w:pPr>
              <w:pStyle w:val="DEQTITLE"/>
              <w:jc w:val="center"/>
              <w:rPr>
                <w:sz w:val="20"/>
              </w:rPr>
            </w:pPr>
            <w:r>
              <w:rPr>
                <w:sz w:val="20"/>
              </w:rPr>
              <w:t>Hazardous waste program staff</w:t>
            </w:r>
          </w:p>
        </w:tc>
        <w:tc>
          <w:tcPr>
            <w:tcW w:w="1890" w:type="dxa"/>
          </w:tcPr>
          <w:p w:rsidR="007D53D6" w:rsidRDefault="007D53D6" w:rsidP="00BE72C1">
            <w:pPr>
              <w:pStyle w:val="DEQTITLE"/>
              <w:jc w:val="center"/>
              <w:rPr>
                <w:sz w:val="20"/>
              </w:rPr>
            </w:pPr>
            <w:r>
              <w:rPr>
                <w:sz w:val="20"/>
              </w:rPr>
              <w:t># of active hazardous waste generators</w:t>
            </w:r>
          </w:p>
        </w:tc>
      </w:tr>
      <w:tr w:rsidR="007D53D6" w:rsidRPr="0037483F" w:rsidTr="007D53D6">
        <w:tc>
          <w:tcPr>
            <w:tcW w:w="1530" w:type="dxa"/>
          </w:tcPr>
          <w:p w:rsidR="007D53D6" w:rsidRPr="007D53D6" w:rsidRDefault="007D53D6" w:rsidP="00BE72C1">
            <w:pPr>
              <w:pStyle w:val="DEQTITLE"/>
              <w:jc w:val="center"/>
              <w:rPr>
                <w:sz w:val="20"/>
              </w:rPr>
            </w:pPr>
            <w:r w:rsidRPr="007D53D6">
              <w:rPr>
                <w:sz w:val="20"/>
              </w:rPr>
              <w:t>California</w:t>
            </w:r>
          </w:p>
        </w:tc>
        <w:tc>
          <w:tcPr>
            <w:tcW w:w="2160" w:type="dxa"/>
          </w:tcPr>
          <w:p w:rsidR="007D53D6" w:rsidRDefault="007D53D6" w:rsidP="00BE72C1">
            <w:pPr>
              <w:pStyle w:val="DEQTITLE"/>
              <w:jc w:val="center"/>
              <w:rPr>
                <w:b w:val="0"/>
                <w:sz w:val="20"/>
              </w:rPr>
            </w:pPr>
            <w:r>
              <w:rPr>
                <w:b w:val="0"/>
                <w:sz w:val="20"/>
              </w:rPr>
              <w:t>Fees/Taxes 59%</w:t>
            </w:r>
          </w:p>
          <w:p w:rsidR="007D53D6" w:rsidRDefault="007D53D6" w:rsidP="00BE72C1">
            <w:pPr>
              <w:pStyle w:val="DEQTITLE"/>
              <w:jc w:val="center"/>
              <w:rPr>
                <w:b w:val="0"/>
                <w:sz w:val="20"/>
              </w:rPr>
            </w:pPr>
            <w:r>
              <w:rPr>
                <w:b w:val="0"/>
                <w:sz w:val="20"/>
              </w:rPr>
              <w:t>State Funds 14%</w:t>
            </w:r>
          </w:p>
          <w:p w:rsidR="007D53D6" w:rsidRDefault="007D53D6" w:rsidP="00BE72C1">
            <w:pPr>
              <w:pStyle w:val="DEQTITLE"/>
              <w:jc w:val="center"/>
              <w:rPr>
                <w:b w:val="0"/>
                <w:sz w:val="20"/>
              </w:rPr>
            </w:pPr>
            <w:r>
              <w:rPr>
                <w:b w:val="0"/>
                <w:sz w:val="20"/>
              </w:rPr>
              <w:t>Fed Grant 15%</w:t>
            </w:r>
          </w:p>
          <w:p w:rsidR="007D53D6" w:rsidRPr="0037483F" w:rsidRDefault="007D53D6" w:rsidP="00BE72C1">
            <w:pPr>
              <w:pStyle w:val="DEQTITLE"/>
              <w:jc w:val="center"/>
              <w:rPr>
                <w:b w:val="0"/>
                <w:sz w:val="20"/>
              </w:rPr>
            </w:pPr>
            <w:r>
              <w:rPr>
                <w:b w:val="0"/>
                <w:sz w:val="20"/>
              </w:rPr>
              <w:t>Other Funds 12%</w:t>
            </w:r>
          </w:p>
        </w:tc>
        <w:tc>
          <w:tcPr>
            <w:tcW w:w="1170" w:type="dxa"/>
          </w:tcPr>
          <w:p w:rsidR="007D53D6" w:rsidRPr="0037483F" w:rsidRDefault="007D53D6" w:rsidP="00BE72C1">
            <w:pPr>
              <w:pStyle w:val="DEQTITLE"/>
              <w:jc w:val="center"/>
              <w:rPr>
                <w:b w:val="0"/>
                <w:sz w:val="20"/>
              </w:rPr>
            </w:pPr>
            <w:r>
              <w:rPr>
                <w:b w:val="0"/>
                <w:sz w:val="20"/>
              </w:rPr>
              <w:t>$217.5M</w:t>
            </w:r>
          </w:p>
        </w:tc>
        <w:tc>
          <w:tcPr>
            <w:tcW w:w="1620" w:type="dxa"/>
          </w:tcPr>
          <w:p w:rsidR="007D53D6" w:rsidRPr="0037483F" w:rsidRDefault="007D53D6" w:rsidP="00BE72C1">
            <w:pPr>
              <w:pStyle w:val="DEQTITLE"/>
              <w:jc w:val="center"/>
              <w:rPr>
                <w:b w:val="0"/>
                <w:sz w:val="20"/>
              </w:rPr>
            </w:pPr>
            <w:r>
              <w:rPr>
                <w:b w:val="0"/>
                <w:sz w:val="20"/>
              </w:rPr>
              <w:t>1,000+ FTE</w:t>
            </w:r>
          </w:p>
        </w:tc>
        <w:tc>
          <w:tcPr>
            <w:tcW w:w="1890" w:type="dxa"/>
          </w:tcPr>
          <w:p w:rsidR="007D53D6" w:rsidRPr="0037483F" w:rsidRDefault="007D53D6" w:rsidP="00BE72C1">
            <w:pPr>
              <w:pStyle w:val="DEQTITLE"/>
              <w:jc w:val="center"/>
              <w:rPr>
                <w:b w:val="0"/>
                <w:sz w:val="20"/>
              </w:rPr>
            </w:pPr>
            <w:r>
              <w:rPr>
                <w:b w:val="0"/>
                <w:sz w:val="20"/>
              </w:rPr>
              <w:t>100,000+</w:t>
            </w:r>
          </w:p>
        </w:tc>
      </w:tr>
      <w:tr w:rsidR="007D53D6" w:rsidTr="007D53D6">
        <w:tc>
          <w:tcPr>
            <w:tcW w:w="1530" w:type="dxa"/>
          </w:tcPr>
          <w:p w:rsidR="007D53D6" w:rsidRPr="007D53D6" w:rsidRDefault="007D53D6" w:rsidP="00BE72C1">
            <w:pPr>
              <w:pStyle w:val="DEQTITLE"/>
              <w:jc w:val="center"/>
              <w:rPr>
                <w:sz w:val="20"/>
              </w:rPr>
            </w:pPr>
            <w:r w:rsidRPr="007D53D6">
              <w:rPr>
                <w:sz w:val="20"/>
              </w:rPr>
              <w:t>Idaho</w:t>
            </w:r>
          </w:p>
        </w:tc>
        <w:tc>
          <w:tcPr>
            <w:tcW w:w="2160" w:type="dxa"/>
          </w:tcPr>
          <w:p w:rsidR="007D53D6" w:rsidRDefault="007D53D6" w:rsidP="00BE72C1">
            <w:pPr>
              <w:pStyle w:val="DEQTITLE"/>
              <w:jc w:val="center"/>
              <w:rPr>
                <w:b w:val="0"/>
                <w:sz w:val="20"/>
              </w:rPr>
            </w:pPr>
            <w:r>
              <w:rPr>
                <w:b w:val="0"/>
                <w:sz w:val="20"/>
              </w:rPr>
              <w:t>Fees 0%</w:t>
            </w:r>
          </w:p>
          <w:p w:rsidR="007D53D6" w:rsidRDefault="007D53D6" w:rsidP="00BE72C1">
            <w:pPr>
              <w:pStyle w:val="DEQTITLE"/>
              <w:jc w:val="center"/>
              <w:rPr>
                <w:b w:val="0"/>
                <w:sz w:val="20"/>
              </w:rPr>
            </w:pPr>
            <w:r>
              <w:rPr>
                <w:b w:val="0"/>
                <w:sz w:val="20"/>
              </w:rPr>
              <w:t>State Funds 69%</w:t>
            </w:r>
          </w:p>
          <w:p w:rsidR="007D53D6" w:rsidRDefault="007D53D6" w:rsidP="00BE72C1">
            <w:pPr>
              <w:pStyle w:val="DEQTITLE"/>
              <w:jc w:val="center"/>
              <w:rPr>
                <w:b w:val="0"/>
                <w:sz w:val="20"/>
              </w:rPr>
            </w:pPr>
            <w:r>
              <w:rPr>
                <w:b w:val="0"/>
                <w:sz w:val="20"/>
              </w:rPr>
              <w:t>Fed Grant 31%</w:t>
            </w:r>
          </w:p>
        </w:tc>
        <w:tc>
          <w:tcPr>
            <w:tcW w:w="1170" w:type="dxa"/>
          </w:tcPr>
          <w:p w:rsidR="007D53D6" w:rsidRDefault="007D53D6" w:rsidP="00BE72C1">
            <w:pPr>
              <w:pStyle w:val="DEQTITLE"/>
              <w:jc w:val="center"/>
              <w:rPr>
                <w:b w:val="0"/>
                <w:sz w:val="20"/>
              </w:rPr>
            </w:pPr>
            <w:r>
              <w:rPr>
                <w:b w:val="0"/>
                <w:sz w:val="20"/>
              </w:rPr>
              <w:t>$1.3M</w:t>
            </w:r>
          </w:p>
        </w:tc>
        <w:tc>
          <w:tcPr>
            <w:tcW w:w="1620" w:type="dxa"/>
          </w:tcPr>
          <w:p w:rsidR="007D53D6" w:rsidRDefault="007D53D6" w:rsidP="00BE72C1">
            <w:pPr>
              <w:pStyle w:val="DEQTITLE"/>
              <w:jc w:val="center"/>
              <w:rPr>
                <w:b w:val="0"/>
                <w:sz w:val="20"/>
              </w:rPr>
            </w:pPr>
            <w:r>
              <w:rPr>
                <w:b w:val="0"/>
                <w:sz w:val="20"/>
              </w:rPr>
              <w:t>12 FTE</w:t>
            </w:r>
          </w:p>
        </w:tc>
        <w:tc>
          <w:tcPr>
            <w:tcW w:w="1890" w:type="dxa"/>
          </w:tcPr>
          <w:p w:rsidR="007D53D6" w:rsidRDefault="007D53D6" w:rsidP="00BE72C1">
            <w:pPr>
              <w:pStyle w:val="DEQTITLE"/>
              <w:jc w:val="center"/>
              <w:rPr>
                <w:b w:val="0"/>
                <w:sz w:val="20"/>
              </w:rPr>
            </w:pPr>
            <w:r>
              <w:rPr>
                <w:b w:val="0"/>
                <w:sz w:val="20"/>
              </w:rPr>
              <w:t>150</w:t>
            </w:r>
          </w:p>
        </w:tc>
      </w:tr>
      <w:tr w:rsidR="007D53D6" w:rsidTr="007D53D6">
        <w:tc>
          <w:tcPr>
            <w:tcW w:w="1530" w:type="dxa"/>
          </w:tcPr>
          <w:p w:rsidR="007D53D6" w:rsidRPr="007D53D6" w:rsidRDefault="007D53D6" w:rsidP="00BE72C1">
            <w:pPr>
              <w:pStyle w:val="DEQTITLE"/>
              <w:jc w:val="center"/>
              <w:rPr>
                <w:sz w:val="20"/>
              </w:rPr>
            </w:pPr>
            <w:r w:rsidRPr="007D53D6">
              <w:rPr>
                <w:sz w:val="20"/>
              </w:rPr>
              <w:t>Oregon</w:t>
            </w:r>
          </w:p>
        </w:tc>
        <w:tc>
          <w:tcPr>
            <w:tcW w:w="2160" w:type="dxa"/>
          </w:tcPr>
          <w:p w:rsidR="007D53D6" w:rsidRDefault="007D53D6" w:rsidP="00BE72C1">
            <w:pPr>
              <w:pStyle w:val="DEQTITLE"/>
              <w:jc w:val="center"/>
              <w:rPr>
                <w:b w:val="0"/>
                <w:sz w:val="20"/>
              </w:rPr>
            </w:pPr>
            <w:r>
              <w:rPr>
                <w:b w:val="0"/>
                <w:sz w:val="20"/>
              </w:rPr>
              <w:t>Fees 80%</w:t>
            </w:r>
          </w:p>
          <w:p w:rsidR="007D53D6" w:rsidRDefault="007D53D6" w:rsidP="00BE72C1">
            <w:pPr>
              <w:pStyle w:val="DEQTITLE"/>
              <w:jc w:val="center"/>
              <w:rPr>
                <w:b w:val="0"/>
                <w:sz w:val="20"/>
              </w:rPr>
            </w:pPr>
            <w:r>
              <w:rPr>
                <w:b w:val="0"/>
                <w:sz w:val="20"/>
              </w:rPr>
              <w:t>Fed Grant 20%</w:t>
            </w:r>
          </w:p>
        </w:tc>
        <w:tc>
          <w:tcPr>
            <w:tcW w:w="1170" w:type="dxa"/>
          </w:tcPr>
          <w:p w:rsidR="007D53D6" w:rsidRDefault="007D53D6" w:rsidP="00BE72C1">
            <w:pPr>
              <w:pStyle w:val="DEQTITLE"/>
              <w:jc w:val="center"/>
              <w:rPr>
                <w:b w:val="0"/>
                <w:sz w:val="20"/>
              </w:rPr>
            </w:pPr>
            <w:r>
              <w:rPr>
                <w:b w:val="0"/>
                <w:sz w:val="20"/>
              </w:rPr>
              <w:t>$3.5M</w:t>
            </w:r>
          </w:p>
        </w:tc>
        <w:tc>
          <w:tcPr>
            <w:tcW w:w="1620" w:type="dxa"/>
          </w:tcPr>
          <w:p w:rsidR="007D53D6" w:rsidRDefault="007D53D6" w:rsidP="00BE72C1">
            <w:pPr>
              <w:pStyle w:val="DEQTITLE"/>
              <w:jc w:val="center"/>
              <w:rPr>
                <w:b w:val="0"/>
                <w:sz w:val="20"/>
              </w:rPr>
            </w:pPr>
            <w:r>
              <w:rPr>
                <w:b w:val="0"/>
                <w:sz w:val="20"/>
              </w:rPr>
              <w:t>19 FTE</w:t>
            </w:r>
          </w:p>
        </w:tc>
        <w:tc>
          <w:tcPr>
            <w:tcW w:w="1890" w:type="dxa"/>
          </w:tcPr>
          <w:p w:rsidR="007D53D6" w:rsidRDefault="007D53D6" w:rsidP="00BE72C1">
            <w:pPr>
              <w:pStyle w:val="DEQTITLE"/>
              <w:jc w:val="center"/>
              <w:rPr>
                <w:b w:val="0"/>
                <w:sz w:val="20"/>
              </w:rPr>
            </w:pPr>
            <w:r>
              <w:rPr>
                <w:b w:val="0"/>
                <w:sz w:val="20"/>
              </w:rPr>
              <w:t>487</w:t>
            </w:r>
          </w:p>
        </w:tc>
      </w:tr>
      <w:tr w:rsidR="007D53D6" w:rsidTr="007D53D6">
        <w:tc>
          <w:tcPr>
            <w:tcW w:w="1530" w:type="dxa"/>
          </w:tcPr>
          <w:p w:rsidR="007D53D6" w:rsidRPr="007D53D6" w:rsidRDefault="007D53D6" w:rsidP="007D53D6">
            <w:pPr>
              <w:pStyle w:val="DEQTITLE"/>
              <w:jc w:val="center"/>
              <w:rPr>
                <w:sz w:val="20"/>
              </w:rPr>
            </w:pPr>
            <w:r w:rsidRPr="007D53D6">
              <w:rPr>
                <w:sz w:val="20"/>
              </w:rPr>
              <w:t>Washington</w:t>
            </w:r>
          </w:p>
        </w:tc>
        <w:tc>
          <w:tcPr>
            <w:tcW w:w="2160" w:type="dxa"/>
          </w:tcPr>
          <w:p w:rsidR="007D53D6" w:rsidRDefault="007D53D6" w:rsidP="007D53D6">
            <w:pPr>
              <w:pStyle w:val="DEQTITLE"/>
              <w:jc w:val="center"/>
              <w:rPr>
                <w:b w:val="0"/>
                <w:sz w:val="20"/>
              </w:rPr>
            </w:pPr>
            <w:r>
              <w:rPr>
                <w:b w:val="0"/>
                <w:sz w:val="20"/>
              </w:rPr>
              <w:t>Fees 20%</w:t>
            </w:r>
          </w:p>
          <w:p w:rsidR="007D53D6" w:rsidRDefault="007D53D6" w:rsidP="007D53D6">
            <w:pPr>
              <w:pStyle w:val="DEQTITLE"/>
              <w:jc w:val="center"/>
              <w:rPr>
                <w:b w:val="0"/>
                <w:sz w:val="20"/>
              </w:rPr>
            </w:pPr>
            <w:r>
              <w:rPr>
                <w:b w:val="0"/>
                <w:sz w:val="20"/>
              </w:rPr>
              <w:t>Taxes 61%</w:t>
            </w:r>
          </w:p>
          <w:p w:rsidR="007D53D6" w:rsidRDefault="007D53D6" w:rsidP="007D53D6">
            <w:pPr>
              <w:pStyle w:val="DEQTITLE"/>
              <w:jc w:val="center"/>
              <w:rPr>
                <w:b w:val="0"/>
                <w:sz w:val="20"/>
              </w:rPr>
            </w:pPr>
            <w:r>
              <w:rPr>
                <w:b w:val="0"/>
                <w:sz w:val="20"/>
              </w:rPr>
              <w:t>Fed Grant/Misc 19%</w:t>
            </w:r>
          </w:p>
        </w:tc>
        <w:tc>
          <w:tcPr>
            <w:tcW w:w="1170" w:type="dxa"/>
          </w:tcPr>
          <w:p w:rsidR="007D53D6" w:rsidRDefault="007D53D6" w:rsidP="007D53D6">
            <w:pPr>
              <w:pStyle w:val="DEQTITLE"/>
              <w:jc w:val="center"/>
              <w:rPr>
                <w:b w:val="0"/>
                <w:sz w:val="20"/>
              </w:rPr>
            </w:pPr>
            <w:r>
              <w:rPr>
                <w:b w:val="0"/>
                <w:sz w:val="20"/>
              </w:rPr>
              <w:t>$22M</w:t>
            </w:r>
          </w:p>
        </w:tc>
        <w:tc>
          <w:tcPr>
            <w:tcW w:w="1620" w:type="dxa"/>
          </w:tcPr>
          <w:p w:rsidR="007D53D6" w:rsidRDefault="007D53D6" w:rsidP="007D53D6">
            <w:pPr>
              <w:pStyle w:val="DEQTITLE"/>
              <w:jc w:val="center"/>
              <w:rPr>
                <w:b w:val="0"/>
                <w:sz w:val="20"/>
              </w:rPr>
            </w:pPr>
            <w:r>
              <w:rPr>
                <w:b w:val="0"/>
                <w:sz w:val="20"/>
              </w:rPr>
              <w:t>122 FTE</w:t>
            </w:r>
          </w:p>
        </w:tc>
        <w:tc>
          <w:tcPr>
            <w:tcW w:w="1890" w:type="dxa"/>
          </w:tcPr>
          <w:p w:rsidR="007D53D6" w:rsidRDefault="007D53D6" w:rsidP="007D53D6">
            <w:pPr>
              <w:pStyle w:val="DEQTITLE"/>
              <w:jc w:val="center"/>
              <w:rPr>
                <w:b w:val="0"/>
                <w:sz w:val="20"/>
              </w:rPr>
            </w:pPr>
            <w:r>
              <w:rPr>
                <w:b w:val="0"/>
                <w:sz w:val="20"/>
              </w:rPr>
              <w:t>4623</w:t>
            </w:r>
          </w:p>
        </w:tc>
      </w:tr>
    </w:tbl>
    <w:p w:rsidR="007D53D6" w:rsidRDefault="007D53D6" w:rsidP="007D53D6">
      <w:pPr>
        <w:rPr>
          <w:rFonts w:ascii="Arial" w:hAnsi="Arial" w:cs="Arial"/>
          <w:b/>
          <w:sz w:val="20"/>
        </w:rPr>
      </w:pPr>
    </w:p>
    <w:p w:rsidR="007D53D6" w:rsidRPr="00790609" w:rsidRDefault="007D53D6" w:rsidP="007D53D6">
      <w:pPr>
        <w:rPr>
          <w:rFonts w:ascii="Arial" w:hAnsi="Arial" w:cs="Arial"/>
          <w:b/>
          <w:sz w:val="20"/>
        </w:rPr>
      </w:pPr>
      <w:r w:rsidRPr="00790609">
        <w:rPr>
          <w:rFonts w:ascii="Arial" w:hAnsi="Arial" w:cs="Arial"/>
          <w:b/>
          <w:sz w:val="20"/>
        </w:rPr>
        <w:t>Regional treatment storage and disposal fees</w:t>
      </w:r>
    </w:p>
    <w:p w:rsidR="007D53D6" w:rsidRPr="00790609" w:rsidRDefault="007D53D6" w:rsidP="007D53D6">
      <w:pPr>
        <w:ind w:right="810"/>
        <w:rPr>
          <w:rFonts w:ascii="Arial" w:hAnsi="Arial" w:cs="Arial"/>
          <w:i/>
          <w:sz w:val="20"/>
        </w:rPr>
      </w:pPr>
      <w:r>
        <w:rPr>
          <w:rFonts w:ascii="Arial" w:hAnsi="Arial" w:cs="Arial"/>
          <w:sz w:val="20"/>
        </w:rPr>
        <w:t>As mentioned in our presentation, while there is an understanding between Idaho, Utah and Oregon, Oregon Revised Statute 465.378 directs DEQ to work cooperatively with other states to avoid disrupting or changing waste flows between states that may be caused by the establishment or adjustment of state disposal fees.</w:t>
      </w:r>
      <w:r>
        <w:rPr>
          <w:rFonts w:ascii="Arial" w:hAnsi="Arial" w:cs="Arial"/>
          <w:sz w:val="20"/>
        </w:rPr>
        <w:t xml:space="preserve"> </w:t>
      </w:r>
      <w:r w:rsidRPr="00790609">
        <w:rPr>
          <w:rFonts w:ascii="Arial" w:hAnsi="Arial" w:cs="Arial"/>
          <w:i/>
          <w:sz w:val="20"/>
        </w:rPr>
        <w:t>Link</w:t>
      </w:r>
      <w:r>
        <w:rPr>
          <w:rFonts w:ascii="Arial" w:hAnsi="Arial" w:cs="Arial"/>
          <w:i/>
          <w:sz w:val="20"/>
        </w:rPr>
        <w:t>:</w:t>
      </w:r>
      <w:r w:rsidRPr="007D53D6">
        <w:t xml:space="preserve"> </w:t>
      </w:r>
      <w:r>
        <w:rPr>
          <w:rFonts w:ascii="Arial" w:hAnsi="Arial" w:cs="Arial"/>
          <w:i/>
          <w:sz w:val="20"/>
        </w:rPr>
        <w:fldChar w:fldCharType="begin"/>
      </w:r>
      <w:r>
        <w:rPr>
          <w:rFonts w:ascii="Arial" w:hAnsi="Arial" w:cs="Arial"/>
          <w:i/>
          <w:sz w:val="20"/>
        </w:rPr>
        <w:instrText xml:space="preserve"> HYPERLINK "</w:instrText>
      </w:r>
      <w:r w:rsidRPr="007D53D6">
        <w:rPr>
          <w:rFonts w:ascii="Arial" w:hAnsi="Arial" w:cs="Arial"/>
          <w:i/>
          <w:sz w:val="20"/>
        </w:rPr>
        <w:instrText>https://www.oregonlegislature.gov/bills_laws/ors/ors465.html</w:instrText>
      </w:r>
      <w:r>
        <w:rPr>
          <w:rFonts w:ascii="Arial" w:hAnsi="Arial" w:cs="Arial"/>
          <w:i/>
          <w:sz w:val="20"/>
        </w:rPr>
        <w:instrText xml:space="preserve">" </w:instrText>
      </w:r>
      <w:r>
        <w:rPr>
          <w:rFonts w:ascii="Arial" w:hAnsi="Arial" w:cs="Arial"/>
          <w:i/>
          <w:sz w:val="20"/>
        </w:rPr>
        <w:fldChar w:fldCharType="separate"/>
      </w:r>
      <w:r w:rsidRPr="00310D33">
        <w:rPr>
          <w:rStyle w:val="Hyperlink"/>
          <w:rFonts w:ascii="Arial" w:hAnsi="Arial" w:cs="Arial"/>
          <w:i/>
          <w:sz w:val="20"/>
        </w:rPr>
        <w:t>https://www.oregonlegislature.gov/bills_laws/ors/ors465.html</w:t>
      </w:r>
      <w:r>
        <w:rPr>
          <w:rFonts w:ascii="Arial" w:hAnsi="Arial" w:cs="Arial"/>
          <w:i/>
          <w:sz w:val="20"/>
        </w:rPr>
        <w:fldChar w:fldCharType="end"/>
      </w:r>
    </w:p>
    <w:p w:rsidR="007D53D6" w:rsidRPr="00790609" w:rsidRDefault="007D53D6" w:rsidP="007D53D6">
      <w:pPr>
        <w:rPr>
          <w:rFonts w:ascii="Arial" w:hAnsi="Arial" w:cs="Arial"/>
          <w:i/>
          <w:sz w:val="20"/>
        </w:rPr>
      </w:pPr>
    </w:p>
    <w:p w:rsidR="00EB1E37" w:rsidRDefault="00EB1E37" w:rsidP="00EB1E37"/>
    <w:sectPr w:rsidR="00EB1E37" w:rsidSect="00B849A6">
      <w:headerReference w:type="even" r:id="rId10"/>
      <w:type w:val="continuous"/>
      <w:pgSz w:w="12240" w:h="15840"/>
      <w:pgMar w:top="1080" w:right="720" w:bottom="720" w:left="720" w:header="720" w:footer="720" w:gutter="0"/>
      <w:cols w: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2AC" w:rsidRDefault="001452AC">
      <w:r>
        <w:separator/>
      </w:r>
    </w:p>
  </w:endnote>
  <w:endnote w:type="continuationSeparator" w:id="0">
    <w:p w:rsidR="001452AC" w:rsidRDefault="0014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2AC" w:rsidRDefault="001452AC">
      <w:r>
        <w:separator/>
      </w:r>
    </w:p>
  </w:footnote>
  <w:footnote w:type="continuationSeparator" w:id="0">
    <w:p w:rsidR="001452AC" w:rsidRDefault="00145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D0C" w:rsidRDefault="00671D0C">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r w:rsidR="001452AC">
      <w:rPr>
        <w:noProof/>
        <w:lang w:val="en-ZW" w:eastAsia="en-ZW"/>
      </w:rPr>
      <w:drawing>
        <wp:inline distT="0" distB="0" distL="0" distR="0" wp14:anchorId="1C67B9AF" wp14:editId="524B2E1D">
          <wp:extent cx="579664" cy="137160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6" name="Picture 16" descr="bwrg"/>
                  <pic:cNvPicPr/>
                </pic:nvPicPr>
                <pic:blipFill>
                  <a:blip r:embed="rId1">
                    <a:extLst>
                      <a:ext uri="{28A0092B-C50C-407E-A947-70E740481C1C}">
                        <a14:useLocalDpi xmlns:a14="http://schemas.microsoft.com/office/drawing/2010/main" val="0"/>
                      </a:ext>
                    </a:extLst>
                  </a:blip>
                  <a:stretch>
                    <a:fillRect/>
                  </a:stretch>
                </pic:blipFill>
                <pic:spPr bwMode="auto">
                  <a:xfrm>
                    <a:off x="0" y="0"/>
                    <a:ext cx="579664" cy="1371600"/>
                  </a:xfrm>
                  <a:prstGeom prst="rect">
                    <a:avLst/>
                  </a:prstGeom>
                  <a:noFill/>
                  <a:ln w="9525">
                    <a:noFill/>
                    <a:miter lim="800000"/>
                    <a:headEnd/>
                    <a:tailEnd/>
                  </a:ln>
                </pic:spPr>
              </pic:pic>
            </a:graphicData>
          </a:graphic>
        </wp:inline>
      </w:drawing>
    </w:r>
  </w:p>
  <w:p w:rsidR="00671D0C" w:rsidRDefault="00671D0C">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62600E" w:rsidRDefault="001452AC" w:rsidP="00465868">
    <w:pPr>
      <w:pStyle w:val="DEQDIVISIONNAMEUNDERLOGO"/>
      <w:framePr w:w="1670" w:h="14544" w:wrap="around" w:x="10023" w:y="721" w:anchorLock="1"/>
      <w:ind w:right="-150"/>
    </w:pPr>
    <w:r>
      <w:t>Hazardous Waste</w:t>
    </w:r>
  </w:p>
  <w:p w:rsidR="001452AC" w:rsidRDefault="001452AC">
    <w:pPr>
      <w:pStyle w:val="DEQADDRESSUNDERLOGO"/>
      <w:framePr w:w="1670" w:h="14544" w:wrap="around" w:x="10023" w:y="721" w:anchorLock="1"/>
      <w:ind w:right="-150"/>
    </w:pPr>
    <w:r>
      <w:t>700 NE Multnomah St., Suite 600</w:t>
    </w:r>
  </w:p>
  <w:p w:rsidR="00671D0C" w:rsidRDefault="001452AC">
    <w:pPr>
      <w:pStyle w:val="DEQADDRESSUNDERLOGO"/>
      <w:framePr w:w="1670" w:h="14544" w:wrap="around" w:x="10023" w:y="721" w:anchorLock="1"/>
      <w:ind w:right="-150"/>
    </w:pPr>
    <w:r>
      <w:t>Portland, OR 97232</w:t>
    </w:r>
    <w:r w:rsidR="00465868">
      <w:t xml:space="preserve"> </w:t>
    </w:r>
    <w:r w:rsidR="0062600E">
      <w:t xml:space="preserve">  </w:t>
    </w:r>
  </w:p>
  <w:p w:rsidR="00671D0C" w:rsidRDefault="0062600E">
    <w:pPr>
      <w:pStyle w:val="DEQADDRESSUNDERLOGO"/>
      <w:framePr w:w="1670" w:h="14544" w:wrap="around" w:x="10023" w:y="721" w:anchorLock="1"/>
      <w:tabs>
        <w:tab w:val="left" w:pos="540"/>
      </w:tabs>
      <w:ind w:right="-150"/>
    </w:pPr>
    <w:r>
      <w:t>Phone:</w:t>
    </w:r>
    <w:r>
      <w:tab/>
    </w:r>
    <w:r w:rsidR="001452AC">
      <w:t>503-229-5696</w:t>
    </w:r>
  </w:p>
  <w:p w:rsidR="001452AC" w:rsidRDefault="001452AC">
    <w:pPr>
      <w:pStyle w:val="DEQADDRESSUNDERLOGO"/>
      <w:framePr w:w="1670" w:h="14544" w:wrap="around" w:x="10023" w:y="721" w:anchorLock="1"/>
      <w:tabs>
        <w:tab w:val="left" w:pos="540"/>
      </w:tabs>
      <w:ind w:right="-150"/>
    </w:pPr>
    <w:r>
      <w:tab/>
      <w:t>800-452-4011</w:t>
    </w:r>
  </w:p>
  <w:p w:rsidR="00671D0C" w:rsidRDefault="006F6B13">
    <w:pPr>
      <w:pStyle w:val="DEQADDRESSUNDERLOGO"/>
      <w:framePr w:w="1670" w:h="14544" w:wrap="around" w:x="10023" w:y="721" w:anchorLock="1"/>
      <w:tabs>
        <w:tab w:val="left" w:pos="540"/>
      </w:tabs>
      <w:ind w:right="-150"/>
    </w:pPr>
    <w:r>
      <w:t>Fax:</w:t>
    </w:r>
    <w:r>
      <w:tab/>
    </w:r>
    <w:r w:rsidR="001452AC">
      <w:t>503-229-6762</w:t>
    </w:r>
  </w:p>
  <w:p w:rsidR="00671D0C" w:rsidRDefault="00671D0C">
    <w:pPr>
      <w:pStyle w:val="DEQADDRESSUNDERLOGO"/>
      <w:framePr w:w="1670" w:h="14544" w:wrap="around" w:x="10023" w:y="721" w:anchorLock="1"/>
      <w:ind w:right="-150"/>
    </w:pPr>
    <w:r>
      <w:t xml:space="preserve">Contact: </w:t>
    </w:r>
    <w:r w:rsidR="001452AC">
      <w:t>Jeannette Acomb</w:t>
    </w:r>
  </w:p>
  <w:p w:rsidR="00671D0C" w:rsidRPr="004432BB" w:rsidRDefault="00671D0C">
    <w:pPr>
      <w:pStyle w:val="DEQADDRESSUNDERLOGO"/>
      <w:framePr w:w="1670" w:h="14544" w:wrap="around" w:x="10023" w:y="721" w:anchorLock="1"/>
      <w:ind w:right="-150"/>
    </w:pPr>
    <w:r w:rsidRPr="004432BB">
      <w:t xml:space="preserve">Email: </w:t>
    </w:r>
    <w:r w:rsidR="001452AC">
      <w:t>acomb.jeannette@ deq.state.or.us</w:t>
    </w:r>
  </w:p>
  <w:p w:rsidR="00671D0C" w:rsidRPr="009F6482" w:rsidRDefault="00671D0C">
    <w:pPr>
      <w:pStyle w:val="DEQADDRESSUNDERLOGO"/>
      <w:framePr w:w="1670" w:h="14544" w:wrap="around" w:x="10023" w:y="721" w:anchorLock="1"/>
      <w:ind w:right="-150"/>
      <w:rPr>
        <w:i/>
      </w:rPr>
    </w:pPr>
    <w:r w:rsidRPr="009F6482">
      <w:rPr>
        <w:i/>
      </w:rPr>
      <w:t>www.oregon.gov/DE</w:t>
    </w:r>
    <w:r>
      <w:rPr>
        <w:i/>
      </w:rPr>
      <w:t>Q</w:t>
    </w:r>
  </w:p>
  <w:p w:rsidR="00671D0C" w:rsidRDefault="00671D0C">
    <w:pPr>
      <w:pStyle w:val="DEQADDRESSUNDERLOGO"/>
      <w:framePr w:w="1670" w:h="14544" w:wrap="around" w:x="10023" w:y="721" w:anchorLock="1"/>
      <w:ind w:right="-150"/>
    </w:pPr>
  </w:p>
  <w:p w:rsidR="00671D0C" w:rsidRDefault="00671D0C">
    <w:pPr>
      <w:pStyle w:val="DEQADDRESSUNDERLOGO"/>
      <w:framePr w:w="1670" w:h="14544" w:wrap="around" w:x="10023" w:y="721" w:anchorLock="1"/>
      <w:ind w:right="-150"/>
    </w:pPr>
  </w:p>
  <w:p w:rsidR="00671D0C" w:rsidRDefault="00671D0C">
    <w:pPr>
      <w:pStyle w:val="DEQADDRESSUNDERLOGO"/>
      <w:framePr w:w="1670" w:h="14544" w:wrap="around" w:x="10023" w:y="721" w:anchorLock="1"/>
      <w:ind w:right="-150"/>
    </w:pPr>
  </w:p>
  <w:p w:rsidR="00671D0C" w:rsidRDefault="00671D0C">
    <w:pPr>
      <w:pStyle w:val="DEQADDRESSUNDERLOGO"/>
      <w:framePr w:w="1670" w:h="14544" w:wrap="around" w:x="10023" w:y="721" w:anchorLock="1"/>
      <w:ind w:right="-150"/>
    </w:pPr>
  </w:p>
  <w:p w:rsidR="00671D0C" w:rsidRDefault="00671D0C">
    <w:pPr>
      <w:pStyle w:val="DEQADDRESSUNDERLOGO"/>
      <w:framePr w:w="1670" w:h="14544" w:wrap="around" w:x="10023" w:y="721" w:anchorLock="1"/>
      <w:ind w:right="-150"/>
    </w:pPr>
  </w:p>
  <w:p w:rsidR="00671D0C" w:rsidRDefault="00671D0C">
    <w:pPr>
      <w:pStyle w:val="DEQADDRESSUNDERLOGO"/>
      <w:framePr w:w="1670" w:h="14544" w:wrap="around" w:x="10023" w:y="721" w:anchorLock="1"/>
      <w:ind w:right="-150"/>
    </w:pPr>
  </w:p>
  <w:p w:rsidR="00671D0C" w:rsidRDefault="00671D0C">
    <w:pPr>
      <w:pStyle w:val="DEQADDRESSUNDERLOGO"/>
      <w:framePr w:w="1670" w:h="14544" w:wrap="around" w:x="10023" w:y="721" w:anchorLock="1"/>
      <w:ind w:right="-150"/>
    </w:pPr>
  </w:p>
  <w:p w:rsidR="00671D0C" w:rsidRDefault="00671D0C">
    <w:pPr>
      <w:pStyle w:val="DEQADDRESSUNDERLOGO"/>
      <w:framePr w:w="1670" w:h="14544" w:wrap="around" w:x="10023" w:y="721" w:anchorLock="1"/>
      <w:ind w:right="-150"/>
    </w:pPr>
  </w:p>
  <w:p w:rsidR="00671D0C" w:rsidRDefault="00671D0C">
    <w:pPr>
      <w:pStyle w:val="DEQADDRESSUNDERLOGO"/>
      <w:framePr w:w="1670" w:h="14544" w:wrap="around" w:x="10023" w:y="721" w:anchorLock="1"/>
      <w:ind w:right="-150"/>
    </w:pPr>
  </w:p>
  <w:p w:rsidR="00671D0C" w:rsidRDefault="00671D0C">
    <w:pPr>
      <w:pStyle w:val="DEQADDRESSUNDERLOGO"/>
      <w:framePr w:w="1670" w:h="14544" w:wrap="around" w:x="10023" w:y="721" w:anchorLock="1"/>
      <w:ind w:right="-150"/>
    </w:pPr>
  </w:p>
  <w:p w:rsidR="00671D0C" w:rsidRDefault="00671D0C">
    <w:pPr>
      <w:pStyle w:val="DEQADDRESSUNDERLOGO"/>
      <w:framePr w:w="1670" w:h="14544" w:wrap="around" w:x="10023" w:y="721" w:anchorLock="1"/>
      <w:ind w:right="-150"/>
    </w:pPr>
  </w:p>
  <w:p w:rsidR="00671D0C" w:rsidRDefault="00671D0C">
    <w:pPr>
      <w:pStyle w:val="DEQADDRESSUNDERLOGO"/>
      <w:framePr w:w="1670" w:h="14544" w:wrap="around" w:x="10023" w:y="721" w:anchorLock="1"/>
      <w:ind w:right="-150"/>
    </w:pPr>
  </w:p>
  <w:p w:rsidR="00671D0C" w:rsidRDefault="00671D0C">
    <w:pPr>
      <w:pStyle w:val="DEQADDRESSUNDERLOGO"/>
      <w:framePr w:w="1670" w:h="14544" w:wrap="around" w:x="10023" w:y="721" w:anchorLock="1"/>
      <w:ind w:right="-150"/>
    </w:pPr>
  </w:p>
  <w:p w:rsidR="00671D0C" w:rsidRDefault="00671D0C">
    <w:pPr>
      <w:pStyle w:val="DEQADDRESSUNDERLOGO"/>
      <w:framePr w:w="1670" w:h="14544" w:wrap="around" w:x="10023" w:y="721" w:anchorLock="1"/>
      <w:ind w:right="-150"/>
    </w:pPr>
  </w:p>
  <w:p w:rsidR="00671D0C" w:rsidRDefault="00671D0C">
    <w:pPr>
      <w:pStyle w:val="DEQADDRESSUNDERLOGO"/>
      <w:framePr w:w="1670" w:h="14544" w:wrap="around" w:x="10023" w:y="721" w:anchorLock="1"/>
      <w:ind w:right="-150"/>
    </w:pPr>
  </w:p>
  <w:p w:rsidR="00671D0C" w:rsidRDefault="00671D0C">
    <w:pPr>
      <w:pStyle w:val="DEQADDRESSUNDERLOGO"/>
      <w:framePr w:w="1670" w:h="14544" w:wrap="around" w:x="10023" w:y="721" w:anchorLock="1"/>
      <w:ind w:right="-150"/>
    </w:pPr>
  </w:p>
  <w:p w:rsidR="00671D0C" w:rsidRDefault="00671D0C">
    <w:pPr>
      <w:pStyle w:val="DEQADDRESSUNDERLOGO"/>
      <w:framePr w:w="1670" w:h="14544" w:wrap="around" w:x="10023" w:y="721" w:anchorLock="1"/>
      <w:ind w:right="-150"/>
    </w:pPr>
  </w:p>
  <w:p w:rsidR="00671D0C" w:rsidRDefault="00671D0C">
    <w:pPr>
      <w:pStyle w:val="DEQADDRESSUNDERLOGO"/>
      <w:framePr w:w="1670" w:h="14544" w:wrap="around" w:x="10023" w:y="721" w:anchorLock="1"/>
      <w:ind w:right="-150"/>
    </w:pPr>
  </w:p>
  <w:p w:rsidR="00671D0C" w:rsidRDefault="00671D0C">
    <w:pPr>
      <w:pStyle w:val="DEQADDRESSUNDERLOGO"/>
      <w:framePr w:w="1670" w:h="14544" w:wrap="around" w:x="10023" w:y="721" w:anchorLock="1"/>
      <w:ind w:right="-150"/>
    </w:pPr>
  </w:p>
  <w:p w:rsidR="00671D0C" w:rsidRDefault="00671D0C">
    <w:pPr>
      <w:pStyle w:val="DEQADDRESSUNDERLOGO"/>
      <w:framePr w:w="1670" w:h="14544" w:wrap="around" w:x="10023" w:y="721" w:anchorLock="1"/>
      <w:ind w:right="-150"/>
    </w:pPr>
  </w:p>
  <w:p w:rsidR="00671D0C" w:rsidRDefault="00671D0C">
    <w:pPr>
      <w:pStyle w:val="DEQADDRESSUNDERLOGO"/>
      <w:framePr w:w="1670" w:h="14544" w:wrap="around" w:x="10023" w:y="721" w:anchorLock="1"/>
      <w:ind w:right="-150"/>
    </w:pPr>
  </w:p>
  <w:p w:rsidR="00671D0C" w:rsidRDefault="00671D0C">
    <w:pPr>
      <w:pStyle w:val="DEQADDRESSUNDERLOGO"/>
      <w:framePr w:w="1670" w:h="14544" w:wrap="around" w:x="10023" w:y="721" w:anchorLock="1"/>
      <w:ind w:right="-150"/>
    </w:pPr>
  </w:p>
  <w:p w:rsidR="00671D0C" w:rsidRDefault="00671D0C">
    <w:pPr>
      <w:pStyle w:val="DEQADDRESSUNDERLOGO"/>
      <w:framePr w:w="1670" w:h="14544" w:wrap="around" w:x="10023" w:y="721" w:anchorLock="1"/>
      <w:ind w:right="-150"/>
    </w:pPr>
  </w:p>
  <w:p w:rsidR="00671D0C" w:rsidRDefault="00671D0C">
    <w:pPr>
      <w:pStyle w:val="DEQADDRESSUNDERLOGO"/>
      <w:framePr w:w="1670" w:h="14544" w:wrap="around" w:x="10023" w:y="721" w:anchorLock="1"/>
      <w:ind w:right="-150"/>
    </w:pPr>
  </w:p>
  <w:p w:rsidR="00671D0C" w:rsidRDefault="00671D0C">
    <w:pPr>
      <w:pStyle w:val="DEQADDRESSUNDERLOGO"/>
      <w:framePr w:w="1670" w:h="14544" w:wrap="around" w:x="10023" w:y="721" w:anchorLock="1"/>
      <w:ind w:right="-150"/>
    </w:pPr>
  </w:p>
  <w:p w:rsidR="00671D0C" w:rsidRDefault="00671D0C">
    <w:pPr>
      <w:pStyle w:val="DEQADDRESSUNDERLOGO"/>
      <w:framePr w:w="1670" w:h="14544" w:wrap="around" w:x="10023" w:y="721" w:anchorLock="1"/>
      <w:ind w:right="-150"/>
    </w:pPr>
  </w:p>
  <w:p w:rsidR="00671D0C" w:rsidRDefault="00671D0C">
    <w:pPr>
      <w:pStyle w:val="DEQADDRESSUNDERLOGO"/>
      <w:framePr w:w="1670" w:h="14544" w:wrap="around" w:x="10023" w:y="721" w:anchorLock="1"/>
      <w:ind w:right="-150"/>
    </w:pPr>
  </w:p>
  <w:p w:rsidR="00671D0C" w:rsidRDefault="00671D0C">
    <w:pPr>
      <w:pStyle w:val="DEQADDRESSUNDERLOGO"/>
      <w:framePr w:w="1670" w:h="14544" w:wrap="around" w:x="10023" w:y="721" w:anchorLock="1"/>
      <w:ind w:right="-150"/>
    </w:pPr>
  </w:p>
  <w:p w:rsidR="00671D0C" w:rsidRDefault="00671D0C">
    <w:pPr>
      <w:pStyle w:val="DEQADDRESSUNDERLOGO"/>
      <w:framePr w:w="1670" w:h="14544" w:wrap="around" w:x="10023" w:y="721" w:anchorLock="1"/>
      <w:ind w:right="-150"/>
    </w:pPr>
  </w:p>
  <w:p w:rsidR="00671D0C" w:rsidRDefault="00671D0C">
    <w:pPr>
      <w:pStyle w:val="DEQADDRESSUNDERLOGO"/>
      <w:framePr w:w="1670" w:h="14544" w:wrap="around" w:x="10023" w:y="721" w:anchorLock="1"/>
      <w:ind w:right="-150"/>
    </w:pPr>
  </w:p>
  <w:p w:rsidR="00671D0C" w:rsidRDefault="00671D0C">
    <w:pPr>
      <w:pStyle w:val="DEQADDRESSUNDERLOGO"/>
      <w:framePr w:w="1670" w:h="14544" w:wrap="around" w:x="10023" w:y="721" w:anchorLock="1"/>
      <w:ind w:right="-150"/>
    </w:pPr>
  </w:p>
  <w:p w:rsidR="00671D0C" w:rsidRDefault="00671D0C">
    <w:pPr>
      <w:pStyle w:val="DEQADDRESSUNDERLOGO"/>
      <w:framePr w:w="1670" w:h="14544" w:wrap="around" w:x="10023" w:y="721" w:anchorLock="1"/>
      <w:ind w:right="-150"/>
    </w:pPr>
  </w:p>
  <w:p w:rsidR="00671D0C" w:rsidRDefault="00671D0C">
    <w:pPr>
      <w:pStyle w:val="DEQADDRESSUNDERLOGO"/>
      <w:framePr w:w="1670" w:h="14544" w:wrap="around" w:x="10023" w:y="721" w:anchorLock="1"/>
      <w:ind w:right="-150"/>
    </w:pPr>
  </w:p>
  <w:p w:rsidR="00671D0C" w:rsidRDefault="00671D0C">
    <w:pPr>
      <w:pStyle w:val="DEQADDRESSUNDERLOGO"/>
      <w:framePr w:w="1670" w:h="14544" w:wrap="around" w:x="10023" w:y="721" w:anchorLock="1"/>
      <w:ind w:right="-150"/>
    </w:pPr>
  </w:p>
  <w:p w:rsidR="00671D0C" w:rsidRDefault="00671D0C">
    <w:pPr>
      <w:pStyle w:val="DEQADDRESSUNDERLOGO"/>
      <w:framePr w:w="1670" w:h="14544" w:wrap="around" w:x="10023" w:y="721" w:anchorLock="1"/>
      <w:ind w:right="-150"/>
    </w:pPr>
  </w:p>
  <w:p w:rsidR="00671D0C" w:rsidRDefault="00671D0C">
    <w:pPr>
      <w:pStyle w:val="DEQADDRESSUNDERLOGO"/>
      <w:framePr w:w="1670" w:h="14544" w:wrap="around" w:x="10023" w:y="721" w:anchorLock="1"/>
      <w:ind w:right="-150"/>
    </w:pPr>
  </w:p>
  <w:p w:rsidR="00671D0C" w:rsidRDefault="00671D0C">
    <w:pPr>
      <w:pStyle w:val="DEQADDRESSUNDERLOGO"/>
      <w:framePr w:w="1670" w:h="14544" w:wrap="around" w:x="10023" w:y="721" w:anchorLock="1"/>
      <w:ind w:right="-150"/>
    </w:pPr>
  </w:p>
  <w:p w:rsidR="00671D0C" w:rsidRDefault="00671D0C">
    <w:pPr>
      <w:pStyle w:val="DEQADDRESSUNDERLOGO"/>
      <w:framePr w:w="1670" w:h="14544" w:wrap="around" w:x="10023" w:y="721" w:anchorLock="1"/>
      <w:ind w:right="-150"/>
    </w:pPr>
  </w:p>
  <w:p w:rsidR="00671D0C" w:rsidRDefault="00671D0C">
    <w:pPr>
      <w:pStyle w:val="DEQADDRESSUNDERLOGO"/>
      <w:framePr w:w="1670" w:h="14544" w:wrap="around" w:x="10023" w:y="721" w:anchorLock="1"/>
      <w:ind w:right="-150"/>
    </w:pPr>
  </w:p>
  <w:p w:rsidR="00671D0C" w:rsidRDefault="00671D0C">
    <w:pPr>
      <w:pStyle w:val="DEQADDRESSUNDERLOGO"/>
      <w:framePr w:w="1670" w:h="14544" w:wrap="around" w:x="10023" w:y="721" w:anchorLock="1"/>
      <w:ind w:right="-150"/>
    </w:pPr>
  </w:p>
  <w:p w:rsidR="00671D0C" w:rsidRDefault="00671D0C">
    <w:pPr>
      <w:pStyle w:val="DEQADDRESSUNDERLOGO"/>
      <w:framePr w:w="1670" w:h="14544" w:wrap="around" w:x="10023" w:y="721" w:anchorLock="1"/>
      <w:ind w:right="-150"/>
    </w:pPr>
  </w:p>
  <w:p w:rsidR="00671D0C" w:rsidRDefault="00671D0C">
    <w:pPr>
      <w:pStyle w:val="DEQADDRESSUNDERLOGO"/>
      <w:framePr w:w="1670" w:h="14544" w:wrap="around" w:x="10023" w:y="721" w:anchorLock="1"/>
      <w:ind w:right="-150"/>
    </w:pPr>
  </w:p>
  <w:p w:rsidR="00671D0C" w:rsidRDefault="00671D0C">
    <w:pPr>
      <w:pStyle w:val="DEQADDRESSUNDERLOGO"/>
      <w:framePr w:w="1670" w:h="14544" w:wrap="around" w:x="10023" w:y="721" w:anchorLock="1"/>
      <w:ind w:right="-150"/>
    </w:pPr>
  </w:p>
  <w:p w:rsidR="00671D0C" w:rsidRDefault="00671D0C">
    <w:pPr>
      <w:pStyle w:val="DEQADDRESSUNDERLOGO"/>
      <w:framePr w:w="1670" w:h="14544" w:wrap="around" w:x="10023" w:y="721" w:anchorLock="1"/>
      <w:ind w:right="-150"/>
    </w:pPr>
  </w:p>
  <w:p w:rsidR="00671D0C" w:rsidRDefault="00671D0C">
    <w:pPr>
      <w:pStyle w:val="DEQADDRESSUNDERLOGO"/>
      <w:framePr w:w="1670" w:h="14544" w:wrap="around" w:x="10023" w:y="721" w:anchorLock="1"/>
      <w:ind w:right="-150"/>
    </w:pPr>
  </w:p>
  <w:p w:rsidR="00671D0C" w:rsidRDefault="00BD6D3E">
    <w:pPr>
      <w:pStyle w:val="Header"/>
    </w:pPr>
    <w:r>
      <w:rPr>
        <w:noProof/>
        <w:lang w:val="en-ZW" w:eastAsia="en-ZW"/>
      </w:rPr>
      <mc:AlternateContent>
        <mc:Choice Requires="wps">
          <w:drawing>
            <wp:anchor distT="0" distB="0" distL="114300" distR="114300" simplePos="0" relativeHeight="251657728" behindDoc="0" locked="1" layoutInCell="1" allowOverlap="1">
              <wp:simplePos x="0" y="0"/>
              <wp:positionH relativeFrom="margin">
                <wp:align>left</wp:align>
              </wp:positionH>
              <wp:positionV relativeFrom="topMargin">
                <wp:posOffset>467995</wp:posOffset>
              </wp:positionV>
              <wp:extent cx="5932170" cy="416560"/>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170" cy="4165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1D0C" w:rsidRPr="00726FDE" w:rsidRDefault="00465868" w:rsidP="00E4412B">
                          <w:pPr>
                            <w:pStyle w:val="Heading1"/>
                            <w:rPr>
                              <w:sz w:val="40"/>
                              <w:szCs w:val="40"/>
                            </w:rPr>
                          </w:pPr>
                          <w:r w:rsidRPr="00840E06">
                            <w:rPr>
                              <w:sz w:val="44"/>
                              <w:szCs w:val="44"/>
                            </w:rPr>
                            <w:t>Memo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36.85pt;width:467.1pt;height:32.8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" fillcolor="black" stroked="f">
              <v:textbox>
                <w:txbxContent>
                  <w:p w:rsidR="00671D0C" w:rsidRPr="00726FDE" w:rsidRDefault="00465868" w:rsidP="00E4412B">
                    <w:pPr>
                      <w:pStyle w:val="Heading1"/>
                      <w:rPr>
                        <w:sz w:val="40"/>
                        <w:szCs w:val="40"/>
                      </w:rPr>
                    </w:pPr>
                    <w:r w:rsidRPr="00840E06">
                      <w:rPr>
                        <w:sz w:val="44"/>
                        <w:szCs w:val="44"/>
                      </w:rPr>
                      <w:t>Memo</w:t>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D0C" w:rsidRDefault="00671D0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2AC"/>
    <w:rsid w:val="0000357E"/>
    <w:rsid w:val="00023860"/>
    <w:rsid w:val="00026D6E"/>
    <w:rsid w:val="00092451"/>
    <w:rsid w:val="000B7530"/>
    <w:rsid w:val="000F0BD3"/>
    <w:rsid w:val="00103506"/>
    <w:rsid w:val="001338CB"/>
    <w:rsid w:val="001452AC"/>
    <w:rsid w:val="001751B4"/>
    <w:rsid w:val="001B67DC"/>
    <w:rsid w:val="001D0D8F"/>
    <w:rsid w:val="001D65C1"/>
    <w:rsid w:val="002251B7"/>
    <w:rsid w:val="00230128"/>
    <w:rsid w:val="00236580"/>
    <w:rsid w:val="002369EE"/>
    <w:rsid w:val="00237E1A"/>
    <w:rsid w:val="00245BED"/>
    <w:rsid w:val="00252C74"/>
    <w:rsid w:val="00260E77"/>
    <w:rsid w:val="002861ED"/>
    <w:rsid w:val="0029747D"/>
    <w:rsid w:val="002A2561"/>
    <w:rsid w:val="002C55F7"/>
    <w:rsid w:val="00351235"/>
    <w:rsid w:val="00363654"/>
    <w:rsid w:val="00366B55"/>
    <w:rsid w:val="003C19D5"/>
    <w:rsid w:val="003C675F"/>
    <w:rsid w:val="003C7E91"/>
    <w:rsid w:val="003D47F7"/>
    <w:rsid w:val="003D7046"/>
    <w:rsid w:val="003E04B4"/>
    <w:rsid w:val="00410913"/>
    <w:rsid w:val="00413985"/>
    <w:rsid w:val="00421790"/>
    <w:rsid w:val="00434384"/>
    <w:rsid w:val="004432BB"/>
    <w:rsid w:val="004523C6"/>
    <w:rsid w:val="00465868"/>
    <w:rsid w:val="004753F3"/>
    <w:rsid w:val="00486ADF"/>
    <w:rsid w:val="00493FF2"/>
    <w:rsid w:val="00496C00"/>
    <w:rsid w:val="004B0740"/>
    <w:rsid w:val="004B59ED"/>
    <w:rsid w:val="0050339B"/>
    <w:rsid w:val="00505881"/>
    <w:rsid w:val="005272ED"/>
    <w:rsid w:val="00561A64"/>
    <w:rsid w:val="00576EB4"/>
    <w:rsid w:val="00581CE8"/>
    <w:rsid w:val="005959E5"/>
    <w:rsid w:val="005A7DA7"/>
    <w:rsid w:val="005F0F45"/>
    <w:rsid w:val="006022E2"/>
    <w:rsid w:val="0061346A"/>
    <w:rsid w:val="006201C2"/>
    <w:rsid w:val="0062600E"/>
    <w:rsid w:val="0064480A"/>
    <w:rsid w:val="00650D81"/>
    <w:rsid w:val="006678A9"/>
    <w:rsid w:val="00671D0C"/>
    <w:rsid w:val="00681E00"/>
    <w:rsid w:val="00683001"/>
    <w:rsid w:val="00690517"/>
    <w:rsid w:val="006B0B33"/>
    <w:rsid w:val="006C32B7"/>
    <w:rsid w:val="006F6B13"/>
    <w:rsid w:val="00720676"/>
    <w:rsid w:val="00724A6A"/>
    <w:rsid w:val="00726B62"/>
    <w:rsid w:val="00726FDE"/>
    <w:rsid w:val="00732544"/>
    <w:rsid w:val="00740E12"/>
    <w:rsid w:val="007426AF"/>
    <w:rsid w:val="0074692B"/>
    <w:rsid w:val="007D2F24"/>
    <w:rsid w:val="007D53D6"/>
    <w:rsid w:val="007D77D3"/>
    <w:rsid w:val="007E6053"/>
    <w:rsid w:val="00830BFF"/>
    <w:rsid w:val="00840E06"/>
    <w:rsid w:val="00864BA7"/>
    <w:rsid w:val="00872367"/>
    <w:rsid w:val="0088195D"/>
    <w:rsid w:val="008F234B"/>
    <w:rsid w:val="0090664F"/>
    <w:rsid w:val="009206BF"/>
    <w:rsid w:val="00936CAE"/>
    <w:rsid w:val="00961EF7"/>
    <w:rsid w:val="009755C5"/>
    <w:rsid w:val="009B5D9E"/>
    <w:rsid w:val="009F533B"/>
    <w:rsid w:val="009F6482"/>
    <w:rsid w:val="00A157F9"/>
    <w:rsid w:val="00A31672"/>
    <w:rsid w:val="00A3535D"/>
    <w:rsid w:val="00A424AB"/>
    <w:rsid w:val="00A4589E"/>
    <w:rsid w:val="00A54F3A"/>
    <w:rsid w:val="00A612F3"/>
    <w:rsid w:val="00A70130"/>
    <w:rsid w:val="00A71676"/>
    <w:rsid w:val="00A75B4A"/>
    <w:rsid w:val="00A87CDD"/>
    <w:rsid w:val="00AA6939"/>
    <w:rsid w:val="00AB39AE"/>
    <w:rsid w:val="00AB765B"/>
    <w:rsid w:val="00AC72D6"/>
    <w:rsid w:val="00AD1151"/>
    <w:rsid w:val="00AE3EE5"/>
    <w:rsid w:val="00B55F85"/>
    <w:rsid w:val="00B64DAD"/>
    <w:rsid w:val="00B74EB2"/>
    <w:rsid w:val="00B849A6"/>
    <w:rsid w:val="00B9413F"/>
    <w:rsid w:val="00B976B3"/>
    <w:rsid w:val="00BD6D3E"/>
    <w:rsid w:val="00C113DC"/>
    <w:rsid w:val="00C14091"/>
    <w:rsid w:val="00C1644B"/>
    <w:rsid w:val="00C24375"/>
    <w:rsid w:val="00C34ACF"/>
    <w:rsid w:val="00C47587"/>
    <w:rsid w:val="00C56816"/>
    <w:rsid w:val="00C61F41"/>
    <w:rsid w:val="00C84127"/>
    <w:rsid w:val="00CC581B"/>
    <w:rsid w:val="00CC7AA2"/>
    <w:rsid w:val="00CE7EC1"/>
    <w:rsid w:val="00CF44A5"/>
    <w:rsid w:val="00D06B5C"/>
    <w:rsid w:val="00D175AE"/>
    <w:rsid w:val="00D320DA"/>
    <w:rsid w:val="00D34CF5"/>
    <w:rsid w:val="00D43B81"/>
    <w:rsid w:val="00D51C94"/>
    <w:rsid w:val="00D544C8"/>
    <w:rsid w:val="00D82E3D"/>
    <w:rsid w:val="00D95B5A"/>
    <w:rsid w:val="00DB1D6E"/>
    <w:rsid w:val="00DD3E39"/>
    <w:rsid w:val="00DE0474"/>
    <w:rsid w:val="00DE0F4A"/>
    <w:rsid w:val="00DE4B6B"/>
    <w:rsid w:val="00E4412B"/>
    <w:rsid w:val="00E46442"/>
    <w:rsid w:val="00E47D8D"/>
    <w:rsid w:val="00E62BCC"/>
    <w:rsid w:val="00E86507"/>
    <w:rsid w:val="00EB1E37"/>
    <w:rsid w:val="00EB1FE2"/>
    <w:rsid w:val="00ED158F"/>
    <w:rsid w:val="00ED44C1"/>
    <w:rsid w:val="00EF418D"/>
    <w:rsid w:val="00EF548C"/>
    <w:rsid w:val="00F10D0B"/>
    <w:rsid w:val="00F52D81"/>
    <w:rsid w:val="00F803A7"/>
    <w:rsid w:val="00FB3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4EA985"/>
  <w15:docId w15:val="{23E96F6D-8116-4205-A39C-50F568A82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F41"/>
    <w:rPr>
      <w:sz w:val="24"/>
    </w:rPr>
  </w:style>
  <w:style w:type="paragraph" w:styleId="Heading1">
    <w:name w:val="heading 1"/>
    <w:basedOn w:val="Normal"/>
    <w:next w:val="Normal"/>
    <w:qFormat/>
    <w:rsid w:val="00C61F41"/>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C61F41"/>
    <w:rPr>
      <w:rFonts w:ascii="Arial" w:hAnsi="Arial"/>
      <w:b/>
      <w:sz w:val="60"/>
    </w:rPr>
  </w:style>
  <w:style w:type="paragraph" w:customStyle="1" w:styleId="DEQCAPTIONS">
    <w:name w:val="(DEQ) CAPTIONS"/>
    <w:basedOn w:val="Normal"/>
    <w:rsid w:val="00C1644B"/>
    <w:rPr>
      <w:rFonts w:ascii="Times New Roman" w:hAnsi="Times New Roman"/>
      <w:i/>
      <w:sz w:val="18"/>
    </w:rPr>
  </w:style>
  <w:style w:type="paragraph" w:customStyle="1" w:styleId="DEQADDRESSUNDERLOGO">
    <w:name w:val="(DEQ)ADDRESS UNDER LOGO"/>
    <w:basedOn w:val="Normal"/>
    <w:rsid w:val="00C61F41"/>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C61F41"/>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Arial" w:hAnsi="Arial"/>
      <w:b/>
      <w:sz w:val="16"/>
    </w:rPr>
  </w:style>
  <w:style w:type="paragraph" w:styleId="Header">
    <w:name w:val="header"/>
    <w:basedOn w:val="Normal"/>
    <w:rsid w:val="00C61F41"/>
    <w:pPr>
      <w:tabs>
        <w:tab w:val="center" w:pos="4320"/>
        <w:tab w:val="right" w:pos="8640"/>
      </w:tabs>
    </w:pPr>
  </w:style>
  <w:style w:type="paragraph" w:customStyle="1" w:styleId="DEQLASTUPDATED">
    <w:name w:val="(DEQ)LAST UPDATED"/>
    <w:basedOn w:val="Normal"/>
    <w:rsid w:val="00C61F41"/>
    <w:rPr>
      <w:sz w:val="16"/>
    </w:rPr>
  </w:style>
  <w:style w:type="paragraph" w:styleId="Footer">
    <w:name w:val="footer"/>
    <w:basedOn w:val="Normal"/>
    <w:rsid w:val="00C61F41"/>
    <w:pPr>
      <w:tabs>
        <w:tab w:val="center" w:pos="4320"/>
        <w:tab w:val="right" w:pos="8640"/>
      </w:tabs>
    </w:pPr>
  </w:style>
  <w:style w:type="character" w:styleId="Hyperlink">
    <w:name w:val="Hyperlink"/>
    <w:basedOn w:val="DefaultParagraphFont"/>
    <w:rsid w:val="00C61F41"/>
    <w:rPr>
      <w:color w:val="0000FF"/>
      <w:u w:val="single"/>
    </w:rPr>
  </w:style>
  <w:style w:type="paragraph" w:styleId="DocumentMap">
    <w:name w:val="Document Map"/>
    <w:basedOn w:val="Normal"/>
    <w:semiHidden/>
    <w:rsid w:val="00C61F41"/>
    <w:pPr>
      <w:shd w:val="clear" w:color="auto" w:fill="000080"/>
    </w:pPr>
    <w:rPr>
      <w:rFonts w:ascii="Tahoma" w:hAnsi="Tahoma"/>
    </w:rPr>
  </w:style>
  <w:style w:type="paragraph" w:styleId="BalloonText">
    <w:name w:val="Balloon Text"/>
    <w:basedOn w:val="Normal"/>
    <w:semiHidden/>
    <w:rsid w:val="00DB1D6E"/>
    <w:rPr>
      <w:rFonts w:ascii="Tahoma" w:hAnsi="Tahoma" w:cs="Tahoma"/>
      <w:sz w:val="16"/>
      <w:szCs w:val="16"/>
    </w:rPr>
  </w:style>
  <w:style w:type="character" w:styleId="CommentReference">
    <w:name w:val="annotation reference"/>
    <w:basedOn w:val="DefaultParagraphFont"/>
    <w:semiHidden/>
    <w:rsid w:val="004753F3"/>
    <w:rPr>
      <w:sz w:val="16"/>
      <w:szCs w:val="16"/>
    </w:rPr>
  </w:style>
  <w:style w:type="paragraph" w:styleId="CommentText">
    <w:name w:val="annotation text"/>
    <w:basedOn w:val="Normal"/>
    <w:semiHidden/>
    <w:rsid w:val="004753F3"/>
    <w:rPr>
      <w:sz w:val="20"/>
    </w:rPr>
  </w:style>
  <w:style w:type="paragraph" w:styleId="CommentSubject">
    <w:name w:val="annotation subject"/>
    <w:basedOn w:val="CommentText"/>
    <w:next w:val="CommentText"/>
    <w:semiHidden/>
    <w:rsid w:val="00576EB4"/>
    <w:rPr>
      <w:b/>
      <w:bCs/>
    </w:rPr>
  </w:style>
  <w:style w:type="character" w:styleId="FollowedHyperlink">
    <w:name w:val="FollowedHyperlink"/>
    <w:basedOn w:val="DefaultParagraphFont"/>
    <w:rsid w:val="00C56816"/>
    <w:rPr>
      <w:color w:val="800080"/>
      <w:u w:val="single"/>
    </w:rPr>
  </w:style>
  <w:style w:type="paragraph" w:customStyle="1" w:styleId="OtherNoticeBodyIndent">
    <w:name w:val="Other Notice Body Indent"/>
    <w:link w:val="OtherNoticeBodyIndentChar"/>
    <w:rsid w:val="00740E12"/>
    <w:pPr>
      <w:widowControl w:val="0"/>
      <w:autoSpaceDE w:val="0"/>
      <w:autoSpaceDN w:val="0"/>
      <w:adjustRightInd w:val="0"/>
      <w:spacing w:line="200" w:lineRule="exact"/>
      <w:ind w:firstLine="120"/>
      <w:jc w:val="both"/>
    </w:pPr>
    <w:rPr>
      <w:sz w:val="24"/>
      <w:szCs w:val="24"/>
    </w:rPr>
  </w:style>
  <w:style w:type="character" w:customStyle="1" w:styleId="OtherNoticeBodyIndentChar">
    <w:name w:val="Other Notice Body Indent Char"/>
    <w:basedOn w:val="DefaultParagraphFont"/>
    <w:link w:val="OtherNoticeBodyIndent"/>
    <w:rsid w:val="00740E12"/>
    <w:rPr>
      <w:sz w:val="24"/>
      <w:szCs w:val="24"/>
      <w:lang w:val="en-US" w:eastAsia="en-US" w:bidi="ar-SA"/>
    </w:rPr>
  </w:style>
  <w:style w:type="paragraph" w:customStyle="1" w:styleId="othernoticebody">
    <w:name w:val="othernoticebody"/>
    <w:basedOn w:val="Normal"/>
    <w:rsid w:val="003D7046"/>
    <w:pPr>
      <w:spacing w:before="100" w:beforeAutospacing="1" w:after="100" w:afterAutospacing="1"/>
    </w:pPr>
    <w:rPr>
      <w:rFonts w:ascii="Times New Roman" w:eastAsia="Times New Roman" w:hAnsi="Times New Roman"/>
      <w:szCs w:val="24"/>
    </w:rPr>
  </w:style>
  <w:style w:type="character" w:customStyle="1" w:styleId="othernoticebodyindentchar0">
    <w:name w:val="othernoticebodyindentchar"/>
    <w:basedOn w:val="DefaultParagraphFont"/>
    <w:rsid w:val="003D7046"/>
  </w:style>
  <w:style w:type="table" w:styleId="TableGrid">
    <w:name w:val="Table Grid"/>
    <w:basedOn w:val="TableNormal"/>
    <w:uiPriority w:val="59"/>
    <w:rsid w:val="007D5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21619">
      <w:bodyDiv w:val="1"/>
      <w:marLeft w:val="0"/>
      <w:marRight w:val="0"/>
      <w:marTop w:val="0"/>
      <w:marBottom w:val="0"/>
      <w:divBdr>
        <w:top w:val="none" w:sz="0" w:space="0" w:color="auto"/>
        <w:left w:val="none" w:sz="0" w:space="0" w:color="auto"/>
        <w:bottom w:val="none" w:sz="0" w:space="0" w:color="auto"/>
        <w:right w:val="none" w:sz="0" w:space="0" w:color="auto"/>
      </w:divBdr>
    </w:div>
    <w:div w:id="36615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EQ000\templates\General\DEQ%20Mem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B034C0DA662344A853A99D8BD3D7C8" ma:contentTypeVersion="" ma:contentTypeDescription="Create a new document." ma:contentTypeScope="" ma:versionID="a9c7d3a6a3d45b3a61aac1a001a62b83">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opic xmlns="$ListId:docs;">EQC Preparation</Topi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CB06BA-E6EF-424E-9BF4-0B9995AB66A8}"/>
</file>

<file path=customXml/itemProps2.xml><?xml version="1.0" encoding="utf-8"?>
<ds:datastoreItem xmlns:ds="http://schemas.openxmlformats.org/officeDocument/2006/customXml" ds:itemID="{4ED9F5F7-8317-4B86-AEAE-FBD3D0B6B1AC}"/>
</file>

<file path=customXml/itemProps3.xml><?xml version="1.0" encoding="utf-8"?>
<ds:datastoreItem xmlns:ds="http://schemas.openxmlformats.org/officeDocument/2006/customXml" ds:itemID="{7FED0EE6-2712-4BA6-94B7-415FCD4ED7E7}"/>
</file>

<file path=docProps/app.xml><?xml version="1.0" encoding="utf-8"?>
<Properties xmlns="http://schemas.openxmlformats.org/officeDocument/2006/extended-properties" xmlns:vt="http://schemas.openxmlformats.org/officeDocument/2006/docPropsVTypes">
  <Template>DEQ Memo.dotx</Template>
  <TotalTime>7</TotalTime>
  <Pages>1</Pages>
  <Words>309</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Request for Comments</vt:lpstr>
    </vt:vector>
  </TitlesOfParts>
  <Company>Oregon Department of Environmental Quality</Company>
  <LinksUpToDate>false</LinksUpToDate>
  <CharactersWithSpaces>2199</CharactersWithSpaces>
  <SharedDoc>false</SharedDoc>
  <HLinks>
    <vt:vector size="6" baseType="variant">
      <vt:variant>
        <vt:i4>2490370</vt:i4>
      </vt:variant>
      <vt:variant>
        <vt:i4>0</vt:i4>
      </vt:variant>
      <vt:variant>
        <vt:i4>0</vt:i4>
      </vt:variant>
      <vt:variant>
        <vt:i4>5</vt:i4>
      </vt:variant>
      <vt:variant>
        <vt:lpwstr>mailto:deqinfo@deq.state.or.us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EQC Pre-Inform Question Response</dc:title>
  <dc:subject>WQ-LQ Public Notice Template</dc:subject>
  <dc:creator>ACOMB Jeannette</dc:creator>
  <cp:keywords>Public, Notice, Request, Comment, Proposed, Permit</cp:keywords>
  <cp:lastModifiedBy>ACOMB Jeannette</cp:lastModifiedBy>
  <cp:revision>4</cp:revision>
  <cp:lastPrinted>2007-05-23T17:55:00Z</cp:lastPrinted>
  <dcterms:created xsi:type="dcterms:W3CDTF">2019-02-06T15:37:00Z</dcterms:created>
  <dcterms:modified xsi:type="dcterms:W3CDTF">2019-02-06T15:51:00Z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0x01010015B034C0DA662344A853A99D8BD3D7C8</vt:lpwstr>
  </property>
</Properties>
</file>