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BDA5" w14:textId="77777777" w:rsidR="00C1162E" w:rsidRDefault="00C1162E" w:rsidP="00E542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Document Review Checklist</w:t>
      </w:r>
    </w:p>
    <w:p w14:paraId="71E959DA" w14:textId="77777777" w:rsidR="00C1162E" w:rsidRDefault="00C1162E" w:rsidP="00E542CF"/>
    <w:p w14:paraId="2028E43A" w14:textId="1C95BA8E" w:rsidR="00C1162E" w:rsidRPr="006C645E" w:rsidRDefault="00C1162E" w:rsidP="00E542CF">
      <w:r>
        <w:rPr>
          <w:rFonts w:ascii="Arial" w:hAnsi="Arial" w:cs="Arial"/>
          <w:b/>
          <w:sz w:val="28"/>
          <w:szCs w:val="28"/>
        </w:rPr>
        <w:t xml:space="preserve">Rulemaking Name: Hazardous Waste Fees </w:t>
      </w:r>
      <w:r w:rsidR="005314C0">
        <w:rPr>
          <w:rFonts w:ascii="Arial" w:hAnsi="Arial" w:cs="Arial"/>
          <w:b/>
          <w:sz w:val="28"/>
          <w:szCs w:val="28"/>
        </w:rPr>
        <w:t>2019</w:t>
      </w:r>
    </w:p>
    <w:p w14:paraId="5BC84B6D" w14:textId="77777777" w:rsidR="00C1162E" w:rsidRDefault="00C1162E" w:rsidP="00E542CF"/>
    <w:p w14:paraId="2E0283F1" w14:textId="2AD3F78B" w:rsidR="00C1162E" w:rsidRPr="006C645E" w:rsidRDefault="00C1162E" w:rsidP="00E542CF">
      <w:pPr>
        <w:rPr>
          <w:b/>
        </w:rPr>
      </w:pPr>
      <w:r>
        <w:rPr>
          <w:rFonts w:ascii="Arial" w:hAnsi="Arial" w:cs="Arial"/>
          <w:b/>
          <w:sz w:val="28"/>
          <w:szCs w:val="28"/>
        </w:rPr>
        <w:t>Document Name: Pre-Inform Memo to Director and EQC</w:t>
      </w:r>
    </w:p>
    <w:p w14:paraId="318C8B3E" w14:textId="77777777" w:rsidR="00C1162E" w:rsidRDefault="00C1162E" w:rsidP="00E542CF"/>
    <w:p w14:paraId="77C6A96E" w14:textId="77777777" w:rsidR="00C1162E" w:rsidRDefault="00C1162E" w:rsidP="00E542CF">
      <w:r>
        <w:t>Every document that will be shared with anyone outside of DEQ staff must go through management review. This includes reports and PowerPoint presentations.</w:t>
      </w:r>
    </w:p>
    <w:p w14:paraId="1B5ECDFC" w14:textId="77777777" w:rsidR="00C1162E" w:rsidRDefault="00C1162E" w:rsidP="00E542CF">
      <w:r>
        <w:t>All documents must be reviewed and approved by the Program Manager, Communications, and either the Agency Rules Coordinator or the Air Quality Rules Coordinator.</w:t>
      </w:r>
    </w:p>
    <w:p w14:paraId="1F10FB1D" w14:textId="77777777" w:rsidR="00C1162E" w:rsidRDefault="00C1162E" w:rsidP="00E542CF">
      <w:r>
        <w:t>The Notice of Rulemaking and EQC Staff Report must also be reviewed and approved by the relevant Division Administrator.</w:t>
      </w:r>
    </w:p>
    <w:p w14:paraId="697E54B6" w14:textId="77777777" w:rsidR="00C1162E" w:rsidRDefault="00C1162E" w:rsidP="00E542CF">
      <w:r>
        <w:t>You do not need to use this checklist for routine editing. You should use this checklist whenever a required reviewer is completing their required review and approving the document for distribution.</w:t>
      </w:r>
    </w:p>
    <w:p w14:paraId="2E84A768" w14:textId="77777777" w:rsidR="00C1162E" w:rsidRDefault="00C1162E" w:rsidP="00E542CF">
      <w:r>
        <w:t>Each required reviewer should add their name and the date when they complete their final review and approve the document for distribution.</w:t>
      </w:r>
    </w:p>
    <w:p w14:paraId="3216F9BA" w14:textId="77777777" w:rsidR="00C1162E" w:rsidRDefault="00C1162E" w:rsidP="00E542CF"/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854"/>
        <w:gridCol w:w="3351"/>
        <w:gridCol w:w="1375"/>
        <w:gridCol w:w="1375"/>
        <w:gridCol w:w="1375"/>
      </w:tblGrid>
      <w:tr w:rsidR="00C1162E" w14:paraId="4DBB4E0A" w14:textId="77777777" w:rsidTr="00115D77">
        <w:trPr>
          <w:trHeight w:val="356"/>
        </w:trPr>
        <w:tc>
          <w:tcPr>
            <w:tcW w:w="1854" w:type="dxa"/>
          </w:tcPr>
          <w:p w14:paraId="36773035" w14:textId="77777777" w:rsidR="00C1162E" w:rsidRPr="00E542CF" w:rsidRDefault="00C1162E" w:rsidP="000261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Reviewer</w:t>
            </w:r>
          </w:p>
        </w:tc>
        <w:tc>
          <w:tcPr>
            <w:tcW w:w="3351" w:type="dxa"/>
          </w:tcPr>
          <w:p w14:paraId="158140B7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375" w:type="dxa"/>
          </w:tcPr>
          <w:p w14:paraId="1A9C6FB2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7E75B084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0401A248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</w:tr>
      <w:tr w:rsidR="00A314AA" w14:paraId="0F1C234C" w14:textId="77777777" w:rsidTr="00115D77">
        <w:trPr>
          <w:trHeight w:val="356"/>
        </w:trPr>
        <w:tc>
          <w:tcPr>
            <w:tcW w:w="1854" w:type="dxa"/>
          </w:tcPr>
          <w:p w14:paraId="25ADC414" w14:textId="77777777" w:rsidR="00A314AA" w:rsidRDefault="00A314AA" w:rsidP="00A314AA">
            <w:r>
              <w:t>Program Mgr</w:t>
            </w:r>
          </w:p>
        </w:tc>
        <w:tc>
          <w:tcPr>
            <w:tcW w:w="3351" w:type="dxa"/>
            <w:vAlign w:val="center"/>
          </w:tcPr>
          <w:p w14:paraId="16480311" w14:textId="076B058E" w:rsidR="00A314AA" w:rsidRDefault="00A314AA" w:rsidP="00A314AA">
            <w:pPr>
              <w:jc w:val="center"/>
            </w:pPr>
            <w:r>
              <w:t>David Livengood</w:t>
            </w:r>
          </w:p>
        </w:tc>
        <w:tc>
          <w:tcPr>
            <w:tcW w:w="1375" w:type="dxa"/>
            <w:vAlign w:val="center"/>
          </w:tcPr>
          <w:p w14:paraId="63AA67CF" w14:textId="58BE9BFF" w:rsidR="00A314AA" w:rsidRDefault="00A314AA" w:rsidP="00A314AA">
            <w:pPr>
              <w:jc w:val="center"/>
            </w:pPr>
            <w:r>
              <w:t>12.21.18</w:t>
            </w:r>
          </w:p>
        </w:tc>
        <w:tc>
          <w:tcPr>
            <w:tcW w:w="1375" w:type="dxa"/>
            <w:vAlign w:val="center"/>
          </w:tcPr>
          <w:p w14:paraId="1B5D58BA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72199F4" w14:textId="77777777" w:rsidR="00A314AA" w:rsidRDefault="00A314AA" w:rsidP="00A314AA">
            <w:pPr>
              <w:jc w:val="center"/>
            </w:pPr>
          </w:p>
        </w:tc>
      </w:tr>
      <w:tr w:rsidR="00A314AA" w14:paraId="74C8C379" w14:textId="77777777" w:rsidTr="00115D77">
        <w:trPr>
          <w:trHeight w:val="356"/>
        </w:trPr>
        <w:tc>
          <w:tcPr>
            <w:tcW w:w="1854" w:type="dxa"/>
          </w:tcPr>
          <w:p w14:paraId="4582E58A" w14:textId="77777777" w:rsidR="00A314AA" w:rsidRDefault="00A314AA" w:rsidP="00A314AA">
            <w:r>
              <w:t>Communications</w:t>
            </w:r>
          </w:p>
        </w:tc>
        <w:tc>
          <w:tcPr>
            <w:tcW w:w="3351" w:type="dxa"/>
            <w:vAlign w:val="center"/>
          </w:tcPr>
          <w:p w14:paraId="49ACAB2F" w14:textId="4FEE02FD" w:rsidR="00A314AA" w:rsidRDefault="00A314AA" w:rsidP="00A314AA">
            <w:pPr>
              <w:jc w:val="center"/>
            </w:pPr>
            <w:r>
              <w:t>Katherine Benenati</w:t>
            </w:r>
          </w:p>
        </w:tc>
        <w:tc>
          <w:tcPr>
            <w:tcW w:w="1375" w:type="dxa"/>
            <w:vAlign w:val="center"/>
          </w:tcPr>
          <w:p w14:paraId="003011EE" w14:textId="1FED3CA5" w:rsidR="00A314AA" w:rsidRDefault="008A7062" w:rsidP="00A314AA">
            <w:pPr>
              <w:jc w:val="center"/>
            </w:pPr>
            <w:r>
              <w:t>1/7/2019</w:t>
            </w:r>
          </w:p>
        </w:tc>
        <w:tc>
          <w:tcPr>
            <w:tcW w:w="1375" w:type="dxa"/>
            <w:vAlign w:val="center"/>
          </w:tcPr>
          <w:p w14:paraId="4F2C817F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970BB27" w14:textId="77777777" w:rsidR="00A314AA" w:rsidRDefault="00A314AA" w:rsidP="00A314AA">
            <w:pPr>
              <w:jc w:val="center"/>
            </w:pPr>
          </w:p>
        </w:tc>
      </w:tr>
      <w:tr w:rsidR="00A314AA" w14:paraId="2923968D" w14:textId="77777777" w:rsidTr="00115D77">
        <w:trPr>
          <w:trHeight w:val="356"/>
        </w:trPr>
        <w:tc>
          <w:tcPr>
            <w:tcW w:w="1854" w:type="dxa"/>
          </w:tcPr>
          <w:p w14:paraId="54FFDFFC" w14:textId="77777777" w:rsidR="00A314AA" w:rsidRDefault="00A314AA" w:rsidP="00A314AA">
            <w:r>
              <w:t>DA</w:t>
            </w:r>
          </w:p>
        </w:tc>
        <w:tc>
          <w:tcPr>
            <w:tcW w:w="3351" w:type="dxa"/>
            <w:vAlign w:val="center"/>
          </w:tcPr>
          <w:p w14:paraId="77409717" w14:textId="17EF8099" w:rsidR="00A314AA" w:rsidRDefault="00A314AA" w:rsidP="00A314AA">
            <w:pPr>
              <w:jc w:val="center"/>
            </w:pPr>
            <w:r>
              <w:t>Lydia Emer</w:t>
            </w:r>
          </w:p>
        </w:tc>
        <w:tc>
          <w:tcPr>
            <w:tcW w:w="1375" w:type="dxa"/>
            <w:vAlign w:val="center"/>
          </w:tcPr>
          <w:p w14:paraId="03F157AD" w14:textId="60EFD776" w:rsidR="00A314AA" w:rsidRDefault="00A314AA" w:rsidP="00A314AA">
            <w:pPr>
              <w:jc w:val="center"/>
            </w:pPr>
            <w:r>
              <w:t>1.2.19</w:t>
            </w:r>
          </w:p>
        </w:tc>
        <w:tc>
          <w:tcPr>
            <w:tcW w:w="1375" w:type="dxa"/>
            <w:vAlign w:val="center"/>
          </w:tcPr>
          <w:p w14:paraId="5CBD474F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4659C21" w14:textId="77777777" w:rsidR="00A314AA" w:rsidRDefault="00A314AA" w:rsidP="00A314AA">
            <w:pPr>
              <w:jc w:val="center"/>
            </w:pPr>
          </w:p>
        </w:tc>
      </w:tr>
      <w:tr w:rsidR="00A314AA" w14:paraId="2E928F0F" w14:textId="77777777" w:rsidTr="00115D77">
        <w:trPr>
          <w:trHeight w:val="356"/>
        </w:trPr>
        <w:tc>
          <w:tcPr>
            <w:tcW w:w="1854" w:type="dxa"/>
          </w:tcPr>
          <w:p w14:paraId="55535CAA" w14:textId="77777777" w:rsidR="00A314AA" w:rsidRDefault="00A314AA" w:rsidP="00A314AA">
            <w:r>
              <w:t>ARC or AQRC</w:t>
            </w:r>
          </w:p>
        </w:tc>
        <w:tc>
          <w:tcPr>
            <w:tcW w:w="3351" w:type="dxa"/>
            <w:vAlign w:val="center"/>
          </w:tcPr>
          <w:p w14:paraId="7A16BD7F" w14:textId="2FF6E4F2" w:rsidR="00A314AA" w:rsidRDefault="00A314AA" w:rsidP="00A314AA">
            <w:pPr>
              <w:jc w:val="center"/>
            </w:pPr>
            <w:r>
              <w:t>Meyer Goldstein</w:t>
            </w:r>
          </w:p>
        </w:tc>
        <w:tc>
          <w:tcPr>
            <w:tcW w:w="1375" w:type="dxa"/>
            <w:vAlign w:val="center"/>
          </w:tcPr>
          <w:p w14:paraId="5570A5E0" w14:textId="37897B6A" w:rsidR="00A314AA" w:rsidRDefault="00A314AA" w:rsidP="00A314AA">
            <w:pPr>
              <w:jc w:val="center"/>
            </w:pPr>
            <w:r>
              <w:t>12.26.18</w:t>
            </w:r>
          </w:p>
        </w:tc>
        <w:tc>
          <w:tcPr>
            <w:tcW w:w="1375" w:type="dxa"/>
            <w:vAlign w:val="center"/>
          </w:tcPr>
          <w:p w14:paraId="5D985C36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167BA7" w14:textId="77777777" w:rsidR="00A314AA" w:rsidRDefault="00A314AA" w:rsidP="00A314AA">
            <w:pPr>
              <w:jc w:val="center"/>
            </w:pPr>
          </w:p>
        </w:tc>
      </w:tr>
      <w:tr w:rsidR="00A314AA" w14:paraId="10CA2B04" w14:textId="77777777" w:rsidTr="00115D77">
        <w:trPr>
          <w:trHeight w:val="356"/>
        </w:trPr>
        <w:tc>
          <w:tcPr>
            <w:tcW w:w="1854" w:type="dxa"/>
          </w:tcPr>
          <w:p w14:paraId="478700AD" w14:textId="17564F0F" w:rsidR="00A314AA" w:rsidRDefault="002C2419" w:rsidP="002C2419">
            <w:r>
              <w:t>EQC Coordinator</w:t>
            </w:r>
          </w:p>
        </w:tc>
        <w:tc>
          <w:tcPr>
            <w:tcW w:w="3351" w:type="dxa"/>
            <w:vAlign w:val="center"/>
          </w:tcPr>
          <w:p w14:paraId="2131B89A" w14:textId="58450B40" w:rsidR="00A314AA" w:rsidRDefault="00A314AA" w:rsidP="00A314AA">
            <w:pPr>
              <w:jc w:val="center"/>
            </w:pPr>
            <w:r>
              <w:t>Stephanie Caldera</w:t>
            </w:r>
          </w:p>
        </w:tc>
        <w:tc>
          <w:tcPr>
            <w:tcW w:w="1375" w:type="dxa"/>
            <w:vAlign w:val="center"/>
          </w:tcPr>
          <w:p w14:paraId="0B83B7ED" w14:textId="7FDC85B4" w:rsidR="00A314AA" w:rsidRDefault="00A314AA" w:rsidP="00A314AA">
            <w:pPr>
              <w:jc w:val="center"/>
            </w:pPr>
            <w:r>
              <w:t>12.24.18</w:t>
            </w:r>
          </w:p>
        </w:tc>
        <w:tc>
          <w:tcPr>
            <w:tcW w:w="1375" w:type="dxa"/>
            <w:vAlign w:val="center"/>
          </w:tcPr>
          <w:p w14:paraId="5733B99E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664B6EA" w14:textId="77777777" w:rsidR="00A314AA" w:rsidRDefault="00A314AA" w:rsidP="00A314AA">
            <w:pPr>
              <w:jc w:val="center"/>
            </w:pPr>
          </w:p>
        </w:tc>
      </w:tr>
      <w:tr w:rsidR="00A314AA" w14:paraId="6F1E28AA" w14:textId="77777777" w:rsidTr="00115D77">
        <w:trPr>
          <w:trHeight w:val="356"/>
        </w:trPr>
        <w:tc>
          <w:tcPr>
            <w:tcW w:w="1854" w:type="dxa"/>
          </w:tcPr>
          <w:p w14:paraId="36E1039B" w14:textId="77777777" w:rsidR="00A314AA" w:rsidRDefault="00A314AA" w:rsidP="00A314AA">
            <w:r>
              <w:t>Other</w:t>
            </w:r>
          </w:p>
        </w:tc>
        <w:tc>
          <w:tcPr>
            <w:tcW w:w="3351" w:type="dxa"/>
            <w:vAlign w:val="center"/>
          </w:tcPr>
          <w:p w14:paraId="71543243" w14:textId="2B483190" w:rsidR="00A314AA" w:rsidRDefault="00A314AA" w:rsidP="00A314AA">
            <w:pPr>
              <w:jc w:val="center"/>
            </w:pPr>
            <w:r>
              <w:t>Eileen Naples</w:t>
            </w:r>
          </w:p>
        </w:tc>
        <w:tc>
          <w:tcPr>
            <w:tcW w:w="1375" w:type="dxa"/>
            <w:vAlign w:val="center"/>
          </w:tcPr>
          <w:p w14:paraId="46193631" w14:textId="7632013C" w:rsidR="00A314AA" w:rsidRDefault="00A314AA" w:rsidP="00A314AA">
            <w:pPr>
              <w:jc w:val="center"/>
            </w:pPr>
            <w:r>
              <w:t>12.24.18</w:t>
            </w:r>
          </w:p>
        </w:tc>
        <w:tc>
          <w:tcPr>
            <w:tcW w:w="1375" w:type="dxa"/>
            <w:vAlign w:val="center"/>
          </w:tcPr>
          <w:p w14:paraId="5040C766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02E6679" w14:textId="77777777" w:rsidR="00A314AA" w:rsidRDefault="00A314AA" w:rsidP="00A314AA">
            <w:pPr>
              <w:jc w:val="center"/>
            </w:pPr>
          </w:p>
        </w:tc>
      </w:tr>
      <w:tr w:rsidR="00A314AA" w14:paraId="3AACBB7D" w14:textId="77777777" w:rsidTr="00115D77">
        <w:trPr>
          <w:trHeight w:val="356"/>
        </w:trPr>
        <w:tc>
          <w:tcPr>
            <w:tcW w:w="1854" w:type="dxa"/>
          </w:tcPr>
          <w:p w14:paraId="730AF37F" w14:textId="4580378E" w:rsidR="00A314AA" w:rsidRDefault="00A314AA" w:rsidP="00A314AA">
            <w:r>
              <w:t>Co-Presenter</w:t>
            </w:r>
          </w:p>
        </w:tc>
        <w:tc>
          <w:tcPr>
            <w:tcW w:w="3351" w:type="dxa"/>
            <w:vAlign w:val="center"/>
          </w:tcPr>
          <w:p w14:paraId="062C4527" w14:textId="5938FF0A" w:rsidR="00A314AA" w:rsidRDefault="00A314AA" w:rsidP="00A314AA">
            <w:pPr>
              <w:jc w:val="center"/>
            </w:pPr>
            <w:r>
              <w:t>Jeannette Acomb</w:t>
            </w:r>
          </w:p>
        </w:tc>
        <w:tc>
          <w:tcPr>
            <w:tcW w:w="1375" w:type="dxa"/>
            <w:vAlign w:val="center"/>
          </w:tcPr>
          <w:p w14:paraId="6B659FF0" w14:textId="19A62FFB" w:rsidR="00A314AA" w:rsidRDefault="00A314AA" w:rsidP="00A314AA">
            <w:pPr>
              <w:jc w:val="center"/>
            </w:pPr>
            <w:r>
              <w:t>1.7.19</w:t>
            </w:r>
          </w:p>
        </w:tc>
        <w:tc>
          <w:tcPr>
            <w:tcW w:w="1375" w:type="dxa"/>
            <w:vAlign w:val="center"/>
          </w:tcPr>
          <w:p w14:paraId="34B5B1ED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778EC4" w14:textId="362713B1" w:rsidR="00A314AA" w:rsidRDefault="00A314AA" w:rsidP="00A314AA">
            <w:pPr>
              <w:jc w:val="center"/>
            </w:pPr>
          </w:p>
        </w:tc>
      </w:tr>
    </w:tbl>
    <w:p w14:paraId="0FA16C6D" w14:textId="77777777" w:rsidR="00C1162E" w:rsidRDefault="00C1162E" w:rsidP="00E542CF">
      <w:pPr>
        <w:sectPr w:rsidR="00C1162E" w:rsidSect="00803AF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B85CB94" w14:textId="4C0F74B6" w:rsidR="00C1162E" w:rsidRPr="00D1171D" w:rsidRDefault="00C1162E" w:rsidP="00C1162E">
      <w:pPr>
        <w:pStyle w:val="Heading4"/>
      </w:pPr>
      <w:r w:rsidRPr="00D1171D">
        <w:t>State of Oregon</w:t>
      </w:r>
    </w:p>
    <w:p w14:paraId="76DFA3FC" w14:textId="77777777" w:rsidR="00C1162E" w:rsidRPr="00D1171D" w:rsidRDefault="00C1162E" w:rsidP="00C1162E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736631F5" w14:textId="7A90841E" w:rsidR="00C1162E" w:rsidRP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C1162E">
        <w:rPr>
          <w:rFonts w:ascii="Times New Roman" w:hAnsi="Times New Roman"/>
        </w:rPr>
        <w:t>______________________________________________________________________________</w:t>
      </w:r>
    </w:p>
    <w:p w14:paraId="7986D945" w14:textId="77777777" w:rsid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  <w:b/>
        </w:rPr>
      </w:pPr>
    </w:p>
    <w:p w14:paraId="7F456E9C" w14:textId="72B18AB2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r w:rsidR="00BF49C4">
        <w:rPr>
          <w:rFonts w:ascii="Times New Roman" w:hAnsi="Times New Roman"/>
        </w:rPr>
        <w:t>Dec</w:t>
      </w:r>
      <w:r w:rsidR="0053268E">
        <w:rPr>
          <w:rFonts w:ascii="Times New Roman" w:hAnsi="Times New Roman"/>
        </w:rPr>
        <w:t xml:space="preserve">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5C10AC02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641280">
        <w:rPr>
          <w:rFonts w:ascii="Times New Roman" w:hAnsi="Times New Roman"/>
        </w:rPr>
        <w:t xml:space="preserve">Oregon </w:t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0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0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  <w:bookmarkStart w:id="1" w:name="_GoBack"/>
      <w:bookmarkEnd w:id="1"/>
    </w:p>
    <w:p w14:paraId="0520C694" w14:textId="073F7F92" w:rsidR="00893D1B" w:rsidRPr="006E7804" w:rsidRDefault="00A871E5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7AF48CE3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</w:t>
            </w:r>
            <w:r w:rsidR="00C9111E">
              <w:rPr>
                <w:color w:val="000000"/>
                <w:lang w:val="en"/>
              </w:rPr>
              <w:t xml:space="preserve">raise </w:t>
            </w:r>
            <w:r w:rsidR="001719EE" w:rsidRPr="00666DA2">
              <w:rPr>
                <w:color w:val="000000"/>
                <w:lang w:val="en"/>
              </w:rPr>
              <w:t xml:space="preserve">its hazardous waste fees </w:t>
            </w:r>
            <w:r w:rsidR="00BA5864">
              <w:rPr>
                <w:color w:val="000000"/>
                <w:lang w:val="en"/>
              </w:rPr>
              <w:t xml:space="preserve">to keep pace with </w:t>
            </w:r>
            <w:r w:rsidR="00C9111E">
              <w:rPr>
                <w:color w:val="000000"/>
                <w:lang w:val="en"/>
              </w:rPr>
              <w:t>increasing</w:t>
            </w:r>
            <w:r w:rsidR="00BA5864">
              <w:rPr>
                <w:color w:val="000000"/>
                <w:lang w:val="en"/>
              </w:rPr>
              <w:t xml:space="preserve"> program costs and decreasing revenue since fees last changed in 2007</w:t>
            </w:r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>This 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r w:rsidR="00DA50E9">
              <w:rPr>
                <w:color w:val="000000"/>
                <w:lang w:val="en"/>
              </w:rPr>
              <w:t>effort</w:t>
            </w:r>
            <w:r w:rsidR="00DA50E9" w:rsidRPr="00666DA2">
              <w:rPr>
                <w:color w:val="000000"/>
                <w:lang w:val="en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</w:t>
            </w:r>
            <w:r w:rsidR="00DA50E9">
              <w:rPr>
                <w:color w:val="000000"/>
                <w:lang w:val="en"/>
              </w:rPr>
              <w:t>generate</w:t>
            </w:r>
            <w:r w:rsidR="001719EE">
              <w:rPr>
                <w:color w:val="000000"/>
                <w:lang w:val="en"/>
              </w:rPr>
              <w:t xml:space="preserve"> program funding through 2024. </w:t>
            </w:r>
            <w:r w:rsidR="00753CBC">
              <w:rPr>
                <w:color w:val="000000"/>
                <w:lang w:val="en"/>
              </w:rPr>
              <w:t xml:space="preserve">During later phases, </w:t>
            </w:r>
            <w:r w:rsidR="001719EE">
              <w:rPr>
                <w:color w:val="000000"/>
                <w:lang w:val="en"/>
              </w:rPr>
              <w:t xml:space="preserve">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</w:t>
            </w:r>
            <w:r w:rsidR="00753CBC">
              <w:rPr>
                <w:color w:val="000000"/>
                <w:lang w:val="en"/>
              </w:rPr>
              <w:t>s</w:t>
            </w:r>
            <w:r w:rsidR="001719EE">
              <w:rPr>
                <w:color w:val="000000"/>
                <w:lang w:val="en"/>
              </w:rPr>
              <w:t xml:space="preserve"> </w:t>
            </w:r>
            <w:r w:rsidR="00753CBC">
              <w:rPr>
                <w:color w:val="000000"/>
                <w:lang w:val="en"/>
              </w:rPr>
              <w:t xml:space="preserve">to </w:t>
            </w:r>
            <w:r w:rsidR="001719EE">
              <w:rPr>
                <w:color w:val="000000"/>
                <w:lang w:val="en"/>
              </w:rPr>
              <w:t>fees to fund the program by 2026.</w:t>
            </w:r>
          </w:p>
          <w:p w14:paraId="0D24C335" w14:textId="12CDEA7C" w:rsidR="005147E9" w:rsidRDefault="005147E9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4A539D53" w14:textId="77777777" w:rsidR="004C4C71" w:rsidRPr="002C2419" w:rsidRDefault="004C4C7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8"/>
                <w:szCs w:val="8"/>
              </w:rPr>
            </w:pPr>
          </w:p>
          <w:p w14:paraId="0296465C" w14:textId="60F7243C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2D9468AA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r w:rsidR="004C4C71">
              <w:rPr>
                <w:bCs/>
              </w:rPr>
              <w:t>P</w:t>
            </w:r>
            <w:r w:rsidR="00B7424D" w:rsidRPr="002B0DC7">
              <w:rPr>
                <w:bCs/>
              </w:rPr>
              <w:t xml:space="preserve">rogram </w:t>
            </w:r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165CE00C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</w:p>
          <w:p w14:paraId="40495515" w14:textId="040BED1A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</w:p>
          <w:p w14:paraId="5851CF02" w14:textId="5893AF86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67FC05B2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 w:rsidR="00641280">
              <w:rPr>
                <w:rFonts w:ascii="Times New Roman" w:eastAsia="Times" w:hAnsi="Times New Roman"/>
                <w:szCs w:val="24"/>
              </w:rPr>
              <w:t xml:space="preserve">the U.S. </w:t>
            </w:r>
            <w:r>
              <w:rPr>
                <w:rFonts w:ascii="Times New Roman" w:eastAsia="Times" w:hAnsi="Times New Roman"/>
                <w:szCs w:val="24"/>
              </w:rPr>
              <w:t>E</w:t>
            </w:r>
            <w:r w:rsidR="00641280">
              <w:rPr>
                <w:rFonts w:ascii="Times New Roman" w:eastAsia="Times" w:hAnsi="Times New Roman"/>
                <w:szCs w:val="24"/>
              </w:rPr>
              <w:t xml:space="preserve">nvironmental </w:t>
            </w:r>
            <w:r>
              <w:rPr>
                <w:rFonts w:ascii="Times New Roman" w:eastAsia="Times" w:hAnsi="Times New Roman"/>
                <w:szCs w:val="24"/>
              </w:rPr>
              <w:t>P</w:t>
            </w:r>
            <w:r w:rsidR="00641280">
              <w:rPr>
                <w:rFonts w:ascii="Times New Roman" w:eastAsia="Times" w:hAnsi="Times New Roman"/>
                <w:szCs w:val="24"/>
              </w:rPr>
              <w:t xml:space="preserve">rotection </w:t>
            </w:r>
            <w:r>
              <w:rPr>
                <w:rFonts w:ascii="Times New Roman" w:eastAsia="Times" w:hAnsi="Times New Roman"/>
                <w:szCs w:val="24"/>
              </w:rPr>
              <w:t>A</w:t>
            </w:r>
            <w:r w:rsidR="00641280">
              <w:rPr>
                <w:rFonts w:ascii="Times New Roman" w:eastAsia="Times" w:hAnsi="Times New Roman"/>
                <w:szCs w:val="24"/>
              </w:rPr>
              <w:t>gency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</w:t>
            </w:r>
            <w:r w:rsidR="00BA5864">
              <w:rPr>
                <w:rFonts w:ascii="Times New Roman" w:eastAsia="Times" w:hAnsi="Times New Roman"/>
                <w:szCs w:val="24"/>
              </w:rPr>
              <w:t>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or Resource Conservation and Recovery Act</w:t>
            </w:r>
            <w:r w:rsidR="00BA5864">
              <w:rPr>
                <w:rFonts w:ascii="Times New Roman" w:eastAsia="Times" w:hAnsi="Times New Roman"/>
                <w:szCs w:val="24"/>
              </w:rPr>
              <w:t>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program. DEQ implements the state </w:t>
            </w:r>
            <w:r>
              <w:rPr>
                <w:rFonts w:ascii="Times New Roman" w:eastAsia="Times" w:hAnsi="Times New Roman"/>
                <w:szCs w:val="24"/>
              </w:rPr>
              <w:t>program, as defined in ORS 466.086 and as applied in O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regon </w:t>
            </w:r>
            <w:r>
              <w:rPr>
                <w:rFonts w:ascii="Times New Roman" w:eastAsia="Times" w:hAnsi="Times New Roman"/>
                <w:szCs w:val="24"/>
              </w:rPr>
              <w:t>A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dministrative </w:t>
            </w:r>
            <w:r>
              <w:rPr>
                <w:rFonts w:ascii="Times New Roman" w:eastAsia="Times" w:hAnsi="Times New Roman"/>
                <w:szCs w:val="24"/>
              </w:rPr>
              <w:t>R</w:t>
            </w:r>
            <w:r w:rsidR="008A7062">
              <w:rPr>
                <w:rFonts w:ascii="Times New Roman" w:eastAsia="Times" w:hAnsi="Times New Roman"/>
                <w:szCs w:val="24"/>
              </w:rPr>
              <w:t>ule</w:t>
            </w:r>
            <w:r>
              <w:rPr>
                <w:rFonts w:ascii="Times New Roman" w:eastAsia="Times" w:hAnsi="Times New Roman"/>
                <w:szCs w:val="24"/>
              </w:rPr>
              <w:t xml:space="preserve">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r w:rsidR="00B7424D">
              <w:rPr>
                <w:rFonts w:ascii="Times New Roman" w:eastAsia="Times" w:hAnsi="Times New Roman"/>
                <w:szCs w:val="24"/>
              </w:rPr>
              <w:t xml:space="preserve">businesses properly manage </w:t>
            </w:r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04081B81" w:rsidR="001719EE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regon </w:t>
            </w:r>
            <w:r>
              <w:rPr>
                <w:rFonts w:ascii="Times New Roman" w:eastAsia="Times" w:hAnsi="Times New Roman"/>
                <w:szCs w:val="24"/>
              </w:rPr>
              <w:t>R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evised </w:t>
            </w:r>
            <w:r>
              <w:rPr>
                <w:rFonts w:ascii="Times New Roman" w:eastAsia="Times" w:hAnsi="Times New Roman"/>
                <w:szCs w:val="24"/>
              </w:rPr>
              <w:t>S</w:t>
            </w:r>
            <w:r w:rsidR="008A7062">
              <w:rPr>
                <w:rFonts w:ascii="Times New Roman" w:eastAsia="Times" w:hAnsi="Times New Roman"/>
                <w:szCs w:val="24"/>
              </w:rPr>
              <w:t>tatute</w:t>
            </w:r>
            <w:r>
              <w:rPr>
                <w:rFonts w:ascii="Times New Roman" w:eastAsia="Times" w:hAnsi="Times New Roman"/>
                <w:szCs w:val="24"/>
              </w:rPr>
              <w:t xml:space="preserve"> 466.165(1) authorizes DEQ to collect fees to “carry on the monitoring, inspection and surveillance program established under O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regon </w:t>
            </w:r>
            <w:r>
              <w:rPr>
                <w:rFonts w:ascii="Times New Roman" w:eastAsia="Times" w:hAnsi="Times New Roman"/>
                <w:szCs w:val="24"/>
              </w:rPr>
              <w:t>R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evised </w:t>
            </w:r>
            <w:r>
              <w:rPr>
                <w:rFonts w:ascii="Times New Roman" w:eastAsia="Times" w:hAnsi="Times New Roman"/>
                <w:szCs w:val="24"/>
              </w:rPr>
              <w:t>S</w:t>
            </w:r>
            <w:r w:rsidR="008A7062">
              <w:rPr>
                <w:rFonts w:ascii="Times New Roman" w:eastAsia="Times" w:hAnsi="Times New Roman"/>
                <w:szCs w:val="24"/>
              </w:rPr>
              <w:t>tatute</w:t>
            </w:r>
            <w:r>
              <w:rPr>
                <w:rFonts w:ascii="Times New Roman" w:eastAsia="Times" w:hAnsi="Times New Roman"/>
                <w:szCs w:val="24"/>
              </w:rPr>
              <w:t xml:space="preserve"> 466.195 and to cover related administrative costs.” (ORS 466.165(1).)</w:t>
            </w:r>
          </w:p>
          <w:p w14:paraId="0B3A4B5B" w14:textId="2D25E346" w:rsidR="00C3062C" w:rsidRDefault="00C3062C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3E909101" w14:textId="77777777" w:rsidR="00C3062C" w:rsidRDefault="00C3062C" w:rsidP="00C3062C">
            <w:pPr>
              <w:rPr>
                <w:bCs/>
              </w:rPr>
            </w:pPr>
            <w:r w:rsidRPr="002B0DC7">
              <w:rPr>
                <w:bCs/>
              </w:rPr>
              <w:t xml:space="preserve">DEQ remains committed to maintaining </w:t>
            </w:r>
            <w:r>
              <w:rPr>
                <w:bCs/>
              </w:rPr>
              <w:t>federal authorization</w:t>
            </w:r>
            <w:r w:rsidRPr="002B0DC7">
              <w:rPr>
                <w:bCs/>
              </w:rPr>
              <w:t xml:space="preserve"> for </w:t>
            </w:r>
            <w:r>
              <w:rPr>
                <w:bCs/>
              </w:rPr>
              <w:t xml:space="preserve">the hazardous waste </w:t>
            </w:r>
            <w:r w:rsidRPr="002B0DC7">
              <w:rPr>
                <w:bCs/>
              </w:rPr>
              <w:t>program</w:t>
            </w:r>
            <w:r>
              <w:rPr>
                <w:bCs/>
              </w:rPr>
              <w:t xml:space="preserve"> to ensure </w:t>
            </w:r>
            <w:r w:rsidRPr="002B0DC7">
              <w:rPr>
                <w:bCs/>
              </w:rPr>
              <w:t xml:space="preserve">flexibility and responsiveness in implementing the </w:t>
            </w:r>
            <w:r>
              <w:rPr>
                <w:bCs/>
              </w:rPr>
              <w:t>p</w:t>
            </w:r>
            <w:r w:rsidRPr="002B0DC7">
              <w:rPr>
                <w:bCs/>
              </w:rPr>
              <w:t>rogram in Oregon.</w:t>
            </w:r>
          </w:p>
          <w:p w14:paraId="667DFEE5" w14:textId="6646FD3F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commentRangeStart w:id="2"/>
            <w:r w:rsidR="00DA68D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P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commentRangeEnd w:id="2"/>
            <w:r w:rsidR="00A30EC0">
              <w:rPr>
                <w:rStyle w:val="CommentReference"/>
                <w:rFonts w:ascii="CG Times" w:eastAsia="Times New Roman" w:hAnsi="CG Times" w:cs="Times New Roman"/>
                <w:color w:val="auto"/>
              </w:rPr>
              <w:commentReference w:id="2"/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2AF4207D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>The proposed fee</w:t>
            </w:r>
            <w:r w:rsidR="00BA5864">
              <w:t xml:space="preserve"> increases</w:t>
            </w:r>
            <w:r w:rsidRPr="00D42752">
              <w:t xml:space="preserve">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r w:rsidR="00B7424D">
              <w:rPr>
                <w:bCs/>
              </w:rPr>
              <w:t xml:space="preserve">to </w:t>
            </w:r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commentRangeStart w:id="3"/>
            <w:commentRangeStart w:id="4"/>
            <w:r w:rsidR="00DA68D3">
              <w:rPr>
                <w:bCs/>
              </w:rPr>
              <w:t>P</w:t>
            </w:r>
            <w:r w:rsidRPr="008C2FCC">
              <w:rPr>
                <w:bCs/>
              </w:rPr>
              <w:t>rogram</w:t>
            </w:r>
            <w:commentRangeEnd w:id="3"/>
            <w:r w:rsidR="00A30EC0">
              <w:rPr>
                <w:rStyle w:val="CommentReference"/>
              </w:rPr>
              <w:commentReference w:id="3"/>
            </w:r>
            <w:commentRangeEnd w:id="4"/>
            <w:r w:rsidR="008A7062">
              <w:rPr>
                <w:rStyle w:val="CommentReference"/>
              </w:rPr>
              <w:commentReference w:id="4"/>
            </w:r>
            <w:r w:rsidRPr="008C2FCC">
              <w:rPr>
                <w:bCs/>
              </w:rPr>
              <w:t xml:space="preserve">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r w:rsidR="006755E1">
              <w:rPr>
                <w:bCs/>
              </w:rPr>
              <w:t>a</w:t>
            </w:r>
            <w:r w:rsidR="00B7424D">
              <w:rPr>
                <w:bCs/>
              </w:rPr>
              <w:t>ffects</w:t>
            </w:r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r w:rsidR="00DA68D3">
              <w:rPr>
                <w:bCs/>
              </w:rPr>
              <w:t>P</w:t>
            </w:r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28F32ED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</w:p>
          <w:p w14:paraId="7F7B14A5" w14:textId="0B1F6557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hazardous waste generators management method </w:t>
            </w:r>
            <w:ins w:id="5" w:author="DEQ\jacomb" w:date="2019-01-07T10:42:00Z">
              <w:r w:rsidR="002C2419">
                <w:rPr>
                  <w:spacing w:val="-3"/>
                </w:rPr>
                <w:t xml:space="preserve">fee </w:t>
              </w:r>
            </w:ins>
            <w:r>
              <w:rPr>
                <w:spacing w:val="-3"/>
              </w:rPr>
              <w:t>factor</w:t>
            </w:r>
            <w:r w:rsidR="00A30EC0">
              <w:rPr>
                <w:rStyle w:val="CommentReference"/>
              </w:rPr>
              <w:commentReference w:id="6"/>
            </w:r>
            <w:r>
              <w:rPr>
                <w:spacing w:val="-3"/>
              </w:rPr>
              <w:t xml:space="preserve"> </w:t>
            </w:r>
          </w:p>
          <w:p w14:paraId="2FD40171" w14:textId="1FE00958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permitted </w:t>
            </w:r>
            <w:r w:rsidR="00DA68D3">
              <w:rPr>
                <w:spacing w:val="-3"/>
              </w:rPr>
              <w:t xml:space="preserve">Treatment, Storage and Disposal </w:t>
            </w:r>
            <w:r>
              <w:rPr>
                <w:spacing w:val="-3"/>
              </w:rPr>
              <w:t>compliance determination fees</w:t>
            </w:r>
          </w:p>
          <w:p w14:paraId="73481D7F" w14:textId="705EA81A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</w:p>
          <w:p w14:paraId="30A07BFC" w14:textId="7A63CE79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 xml:space="preserve">TSD annual disposal administrative </w:t>
            </w:r>
            <w:commentRangeStart w:id="7"/>
            <w:r>
              <w:t>fees</w:t>
            </w:r>
            <w:commentRangeEnd w:id="7"/>
            <w:r w:rsidR="008A7062">
              <w:rPr>
                <w:rStyle w:val="CommentReference"/>
                <w:rFonts w:ascii="CG Times" w:hAnsi="CG Times"/>
                <w:color w:val="auto"/>
              </w:rPr>
              <w:commentReference w:id="7"/>
            </w:r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0E6A89BC" w:rsidR="001E5FE8" w:rsidRDefault="008A7062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held </w:t>
            </w:r>
            <w:r w:rsidR="001E5FE8">
              <w:rPr>
                <w:rFonts w:ascii="Times New Roman" w:hAnsi="Times New Roman"/>
              </w:rPr>
              <w:t xml:space="preserve">three advisory committee meetings and </w:t>
            </w:r>
            <w:r w:rsidR="001E5FE8" w:rsidRPr="001E5FE8">
              <w:rPr>
                <w:rFonts w:ascii="Times New Roman" w:hAnsi="Times New Roman"/>
              </w:rPr>
              <w:t>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</w:t>
            </w:r>
            <w:r w:rsidR="00A30EC0">
              <w:rPr>
                <w:rFonts w:ascii="Times New Roman" w:hAnsi="Times New Roman"/>
              </w:rPr>
              <w:t xml:space="preserve">committee’s </w:t>
            </w:r>
            <w:r w:rsidR="001E5FE8" w:rsidRPr="001E5FE8">
              <w:rPr>
                <w:rFonts w:ascii="Times New Roman" w:hAnsi="Times New Roman"/>
              </w:rPr>
              <w:t>feedback and recommendations</w:t>
            </w:r>
            <w:r w:rsidR="001E5FE8">
              <w:rPr>
                <w:rFonts w:ascii="Times New Roman" w:hAnsi="Times New Roman"/>
              </w:rPr>
              <w:t xml:space="preserve">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27835636" w:rsidR="001E5FE8" w:rsidRDefault="008A7062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</w:t>
            </w:r>
            <w:r w:rsidR="001E5FE8">
              <w:rPr>
                <w:rFonts w:ascii="Times New Roman" w:hAnsi="Times New Roman"/>
              </w:rPr>
              <w:t>prepared a fiscal impact statement 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0338CB65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</w:t>
            </w:r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r w:rsidR="002E2D58">
              <w:rPr>
                <w:rFonts w:ascii="Times New Roman" w:hAnsi="Times New Roman"/>
              </w:rPr>
              <w:t>between</w:t>
            </w:r>
            <w:r w:rsidR="001610D3">
              <w:rPr>
                <w:rFonts w:ascii="Times New Roman" w:hAnsi="Times New Roman"/>
              </w:rPr>
              <w:t xml:space="preserve">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>and 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r w:rsidR="00A30EC0">
              <w:rPr>
                <w:rFonts w:ascii="Times New Roman" w:hAnsi="Times New Roman"/>
              </w:rPr>
              <w:t>,</w:t>
            </w:r>
            <w:r w:rsidR="00314B3B">
              <w:rPr>
                <w:rFonts w:ascii="Times New Roman" w:hAnsi="Times New Roman"/>
              </w:rPr>
              <w:t xml:space="preserve"> in Portland. </w:t>
            </w:r>
            <w:r w:rsidR="00641280">
              <w:rPr>
                <w:rFonts w:ascii="Times New Roman" w:hAnsi="Times New Roman"/>
              </w:rPr>
              <w:t>R</w:t>
            </w:r>
            <w:r w:rsidR="00314B3B">
              <w:rPr>
                <w:rFonts w:ascii="Times New Roman" w:hAnsi="Times New Roman"/>
              </w:rPr>
              <w:t xml:space="preserve">esponses to public feedback will be included in the </w:t>
            </w:r>
            <w:r w:rsidR="00A30EC0">
              <w:rPr>
                <w:rFonts w:ascii="Times New Roman" w:hAnsi="Times New Roman"/>
              </w:rPr>
              <w:t xml:space="preserve">EQC </w:t>
            </w:r>
            <w:r w:rsidR="00314B3B">
              <w:rPr>
                <w:rFonts w:ascii="Times New Roman" w:hAnsi="Times New Roman"/>
              </w:rPr>
              <w:t>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34DF89C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DEQ</w:t>
            </w:r>
            <w:r w:rsidR="00F71815">
              <w:rPr>
                <w:rFonts w:ascii="Times New Roman" w:hAnsi="Times New Roman"/>
              </w:rPr>
              <w:t xml:space="preserve"> will evaluate</w:t>
            </w:r>
            <w:r>
              <w:rPr>
                <w:rFonts w:ascii="Times New Roman" w:hAnsi="Times New Roman"/>
              </w:rPr>
              <w:t xml:space="preserve"> feedback received during the public comment period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6F3B5F2A" w14:textId="09A68481" w:rsidR="001B099A" w:rsidRPr="00C20450" w:rsidRDefault="00D1171D" w:rsidP="002C2419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  <w:t xml:space="preserve">           </w:t>
      </w:r>
      <w:r w:rsidR="001B099A"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="001B099A" w:rsidRPr="005E692C">
        <w:rPr>
          <w:rFonts w:ascii="Times New Roman" w:hAnsi="Times New Roman"/>
        </w:rPr>
        <w:t xml:space="preserve"> </w:t>
      </w:r>
      <w:r w:rsidR="001B099A"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="001B099A" w:rsidRPr="00C20450">
        <w:rPr>
          <w:rFonts w:ascii="Times New Roman" w:hAnsi="Times New Roman"/>
          <w:i/>
        </w:rPr>
        <w:t xml:space="preserve"> </w:t>
      </w:r>
    </w:p>
    <w:p w14:paraId="57AD7183" w14:textId="4EE1C895" w:rsidR="00893D1B" w:rsidRPr="00D1171D" w:rsidRDefault="00AB2196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sectPr w:rsidR="00893D1B" w:rsidRPr="00D1171D" w:rsidSect="00893D1B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GOLDSTEIN Meyer" w:date="2018-12-26T08:49:00Z" w:initials="GM">
    <w:p w14:paraId="62460E67" w14:textId="17B9E6CB" w:rsidR="00A30EC0" w:rsidRDefault="00A30EC0">
      <w:pPr>
        <w:pStyle w:val="CommentText"/>
      </w:pPr>
      <w:r>
        <w:rPr>
          <w:rStyle w:val="CommentReference"/>
        </w:rPr>
        <w:annotationRef/>
      </w:r>
      <w:r>
        <w:t>See previous question about capitalization.</w:t>
      </w:r>
    </w:p>
  </w:comment>
  <w:comment w:id="3" w:author="GOLDSTEIN Meyer" w:date="2018-12-26T08:50:00Z" w:initials="GM">
    <w:p w14:paraId="401DB65E" w14:textId="380ED16A" w:rsidR="00A30EC0" w:rsidRDefault="00A30EC0">
      <w:pPr>
        <w:pStyle w:val="CommentText"/>
      </w:pPr>
      <w:r>
        <w:rPr>
          <w:rStyle w:val="CommentReference"/>
        </w:rPr>
        <w:annotationRef/>
      </w:r>
      <w:r>
        <w:t>I believe it should be Hazardous Waste Program throughout.</w:t>
      </w:r>
    </w:p>
  </w:comment>
  <w:comment w:id="4" w:author="BENENATI Katherine" w:date="2019-01-07T09:21:00Z" w:initials="GL">
    <w:p w14:paraId="52012CAD" w14:textId="00FC27FF" w:rsidR="008A7062" w:rsidRDefault="008A7062">
      <w:pPr>
        <w:pStyle w:val="CommentText"/>
      </w:pPr>
      <w:r>
        <w:rPr>
          <w:rStyle w:val="CommentReference"/>
        </w:rPr>
        <w:annotationRef/>
      </w:r>
      <w:r>
        <w:t xml:space="preserve">I concur. </w:t>
      </w:r>
    </w:p>
    <w:p w14:paraId="6497206D" w14:textId="77777777" w:rsidR="008A7062" w:rsidRDefault="008A7062">
      <w:pPr>
        <w:pStyle w:val="CommentText"/>
      </w:pPr>
    </w:p>
  </w:comment>
  <w:comment w:id="6" w:author="GOLDSTEIN Meyer" w:date="2018-12-26T08:52:00Z" w:initials="GM">
    <w:p w14:paraId="74017626" w14:textId="401055EF" w:rsidR="00A30EC0" w:rsidRDefault="00A30EC0">
      <w:pPr>
        <w:pStyle w:val="CommentText"/>
      </w:pPr>
      <w:r>
        <w:rPr>
          <w:rStyle w:val="CommentReference"/>
        </w:rPr>
        <w:annotationRef/>
      </w:r>
      <w:r>
        <w:t>I think this should be fee factors. Are these factors that affect waste generator management fees, or is the formal title of the fee “waste generator management method factor fees?”</w:t>
      </w:r>
    </w:p>
  </w:comment>
  <w:comment w:id="7" w:author="BENENATI Katherine" w:date="2019-01-07T09:22:00Z" w:initials="GL">
    <w:p w14:paraId="50788043" w14:textId="1D9F82E3" w:rsidR="008A7062" w:rsidRDefault="008A7062">
      <w:pPr>
        <w:pStyle w:val="CommentText"/>
      </w:pPr>
      <w:r>
        <w:rPr>
          <w:rStyle w:val="CommentReference"/>
        </w:rPr>
        <w:annotationRef/>
      </w:r>
      <w:r>
        <w:t>Unless these are full sentences, bullet points don’t need to end with punctuation.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460E67" w15:done="0"/>
  <w15:commentEx w15:paraId="401DB65E" w15:done="0"/>
  <w15:commentEx w15:paraId="6497206D" w15:paraIdParent="401DB65E" w15:done="0"/>
  <w15:commentEx w15:paraId="74017626" w15:done="0"/>
  <w15:commentEx w15:paraId="5078804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08FCD2E4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7056FB">
      <w:rPr>
        <w:rStyle w:val="PageNumber"/>
        <w:rFonts w:ascii="Arial" w:hAnsi="Arial" w:cs="Arial"/>
        <w:noProof/>
        <w:sz w:val="20"/>
      </w:rPr>
      <w:t>3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LDSTEIN Meyer">
    <w15:presenceInfo w15:providerId="None" w15:userId="GOLDSTEIN Meyer"/>
  </w15:person>
  <w15:person w15:author="BENENATI Katherine">
    <w15:presenceInfo w15:providerId="AD" w15:userId="S-1-5-21-2124760015-1411717758-1302595720-76456"/>
  </w15:person>
  <w15:person w15:author="DEQ\jacomb">
    <w15:presenceInfo w15:providerId="None" w15:userId="DEQ\jaco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2419"/>
    <w:rsid w:val="002C3A70"/>
    <w:rsid w:val="002D22DD"/>
    <w:rsid w:val="002D3532"/>
    <w:rsid w:val="002E2D58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4C71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4C0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1002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41280"/>
    <w:rsid w:val="00656D90"/>
    <w:rsid w:val="006670D6"/>
    <w:rsid w:val="006727D0"/>
    <w:rsid w:val="006755E1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56FB"/>
    <w:rsid w:val="00707497"/>
    <w:rsid w:val="007174F7"/>
    <w:rsid w:val="00733866"/>
    <w:rsid w:val="0075091C"/>
    <w:rsid w:val="00753CB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53E2A"/>
    <w:rsid w:val="00873932"/>
    <w:rsid w:val="00882E47"/>
    <w:rsid w:val="008929FE"/>
    <w:rsid w:val="00893D1B"/>
    <w:rsid w:val="0089440D"/>
    <w:rsid w:val="008A7062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30EC0"/>
    <w:rsid w:val="00A314AA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5864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162E"/>
    <w:rsid w:val="00C17C6D"/>
    <w:rsid w:val="00C20450"/>
    <w:rsid w:val="00C25F42"/>
    <w:rsid w:val="00C3062C"/>
    <w:rsid w:val="00C45A6A"/>
    <w:rsid w:val="00C57A1B"/>
    <w:rsid w:val="00C6379B"/>
    <w:rsid w:val="00C667FA"/>
    <w:rsid w:val="00C70FA4"/>
    <w:rsid w:val="00C73467"/>
    <w:rsid w:val="00C80666"/>
    <w:rsid w:val="00C9111E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47396"/>
    <w:rsid w:val="00D541CE"/>
    <w:rsid w:val="00D705D3"/>
    <w:rsid w:val="00D72273"/>
    <w:rsid w:val="00D8568D"/>
    <w:rsid w:val="00DA50E9"/>
    <w:rsid w:val="00DA68D3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uiPriority w:val="39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47E34-868C-4E6A-AA2D-ECEB94B9111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$ListId:docs;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754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5379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ACOMB Jeannette</cp:lastModifiedBy>
  <cp:revision>19</cp:revision>
  <cp:lastPrinted>2018-04-30T22:16:00Z</cp:lastPrinted>
  <dcterms:created xsi:type="dcterms:W3CDTF">2018-11-19T20:10:00Z</dcterms:created>
  <dcterms:modified xsi:type="dcterms:W3CDTF">2019-01-07T18:48:00Z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