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6C608" w14:textId="77777777" w:rsidR="00893D1B" w:rsidRPr="00D1171D" w:rsidRDefault="00893D1B" w:rsidP="00893D1B">
      <w:pPr>
        <w:pStyle w:val="Heading4"/>
      </w:pPr>
      <w:r w:rsidRPr="00D1171D">
        <w:t>State of Oregon</w:t>
      </w:r>
    </w:p>
    <w:p w14:paraId="0C980D68" w14:textId="77777777"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14:paraId="404702DB" w14:textId="77777777" w:rsidR="00893D1B" w:rsidRPr="00D1171D" w:rsidRDefault="003C5E83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2904071" wp14:editId="33051973">
                <wp:simplePos x="0" y="0"/>
                <wp:positionH relativeFrom="margin">
                  <wp:posOffset>0</wp:posOffset>
                </wp:positionH>
                <wp:positionV relativeFrom="margin">
                  <wp:posOffset>548640</wp:posOffset>
                </wp:positionV>
                <wp:extent cx="5943600" cy="635"/>
                <wp:effectExtent l="0" t="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6BC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43.2pt" to="468pt,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" o:allowincell="f" strokeweight="2pt">
                <v:stroke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14:paraId="7F456E9C" w14:textId="2825E048" w:rsidR="00440CB9" w:rsidRPr="006E7804" w:rsidRDefault="00893D1B" w:rsidP="00517A29">
      <w:pPr>
        <w:tabs>
          <w:tab w:val="left" w:pos="-1440"/>
          <w:tab w:val="left" w:pos="-720"/>
          <w:tab w:val="left" w:pos="180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r w:rsidR="0053268E">
        <w:rPr>
          <w:rFonts w:ascii="Times New Roman" w:hAnsi="Times New Roman"/>
        </w:rPr>
        <w:t xml:space="preserve">Nov. </w:t>
      </w:r>
      <w:r w:rsidR="00E93E2B">
        <w:rPr>
          <w:rFonts w:ascii="Times New Roman" w:hAnsi="Times New Roman"/>
        </w:rPr>
        <w:t>19</w:t>
      </w:r>
      <w:r w:rsidR="000F6469">
        <w:rPr>
          <w:rFonts w:ascii="Times New Roman" w:hAnsi="Times New Roman"/>
        </w:rPr>
        <w:t>, 201</w:t>
      </w:r>
      <w:r w:rsidR="002C1AA5">
        <w:rPr>
          <w:rFonts w:ascii="Times New Roman" w:hAnsi="Times New Roman"/>
        </w:rPr>
        <w:t>8</w:t>
      </w:r>
    </w:p>
    <w:p w14:paraId="25B15BD2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201C5897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>Environmental Quality Commission</w:t>
      </w:r>
    </w:p>
    <w:p w14:paraId="7A7F4F66" w14:textId="77777777" w:rsidR="00893D1B" w:rsidRPr="00D1171D" w:rsidRDefault="00893D1B" w:rsidP="00517A29">
      <w:pPr>
        <w:pStyle w:val="EndnoteText"/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01160541" w14:textId="77777777" w:rsidR="00893D1B" w:rsidRPr="00D1171D" w:rsidRDefault="00893D1B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</w:r>
      <w:r w:rsidR="00517A29">
        <w:rPr>
          <w:rFonts w:ascii="Times New Roman" w:hAnsi="Times New Roman"/>
        </w:rPr>
        <w:tab/>
      </w:r>
      <w:r w:rsidR="00D104FF">
        <w:rPr>
          <w:rFonts w:ascii="Times New Roman" w:hAnsi="Times New Roman"/>
        </w:rPr>
        <w:t xml:space="preserve">Richard Whitman, </w:t>
      </w:r>
      <w:r w:rsidR="00F95ED8">
        <w:rPr>
          <w:rFonts w:ascii="Times New Roman" w:hAnsi="Times New Roman"/>
        </w:rPr>
        <w:t>Director</w:t>
      </w:r>
      <w:r w:rsidR="003414B2">
        <w:rPr>
          <w:rFonts w:ascii="Times New Roman" w:hAnsi="Times New Roman"/>
        </w:rPr>
        <w:t xml:space="preserve"> </w:t>
      </w:r>
    </w:p>
    <w:p w14:paraId="44D43234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</w:tabs>
        <w:suppressAutoHyphens/>
        <w:rPr>
          <w:rFonts w:ascii="Times New Roman" w:hAnsi="Times New Roman"/>
        </w:rPr>
      </w:pPr>
    </w:p>
    <w:p w14:paraId="1B96D973" w14:textId="77777777" w:rsidR="00A871E5" w:rsidRDefault="00893D1B" w:rsidP="008C518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800" w:hanging="180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0" w:name="AgendaInfo"/>
      <w:r w:rsidR="00120648" w:rsidRPr="00D1171D">
        <w:rPr>
          <w:rFonts w:ascii="Times New Roman" w:hAnsi="Times New Roman"/>
        </w:rPr>
        <w:t xml:space="preserve">Agenda </w:t>
      </w:r>
      <w:r w:rsidR="00F36951">
        <w:rPr>
          <w:rFonts w:ascii="Times New Roman" w:hAnsi="Times New Roman"/>
        </w:rPr>
        <w:t>item</w:t>
      </w:r>
      <w:r w:rsidR="00DD77F4">
        <w:rPr>
          <w:rFonts w:ascii="Times New Roman" w:hAnsi="Times New Roman"/>
        </w:rPr>
        <w:t xml:space="preserve"> ___</w:t>
      </w:r>
      <w:r w:rsidR="0053268E">
        <w:rPr>
          <w:rFonts w:ascii="Times New Roman" w:hAnsi="Times New Roman"/>
        </w:rPr>
        <w:t xml:space="preserve">, </w:t>
      </w:r>
      <w:bookmarkEnd w:id="0"/>
      <w:r w:rsidR="00376FD7">
        <w:rPr>
          <w:rFonts w:ascii="Times New Roman" w:hAnsi="Times New Roman"/>
        </w:rPr>
        <w:t>Informational</w:t>
      </w:r>
      <w:r w:rsidR="00F70739">
        <w:rPr>
          <w:rFonts w:ascii="Times New Roman" w:hAnsi="Times New Roman"/>
        </w:rPr>
        <w:t xml:space="preserve"> </w:t>
      </w:r>
      <w:r w:rsidR="00790AB8">
        <w:rPr>
          <w:rFonts w:ascii="Times New Roman" w:hAnsi="Times New Roman"/>
        </w:rPr>
        <w:t xml:space="preserve">item: </w:t>
      </w:r>
      <w:r w:rsidR="00DD77F4">
        <w:rPr>
          <w:rFonts w:ascii="Times New Roman" w:hAnsi="Times New Roman"/>
        </w:rPr>
        <w:t>Hazardous Waste Fee Increase Rulemaking</w:t>
      </w:r>
    </w:p>
    <w:p w14:paraId="0520C694" w14:textId="073F7F92" w:rsidR="00893D1B" w:rsidRPr="006E7804" w:rsidRDefault="00A871E5" w:rsidP="00517A29">
      <w:pPr>
        <w:tabs>
          <w:tab w:val="left" w:pos="-1440"/>
          <w:tab w:val="left" w:pos="-720"/>
          <w:tab w:val="left" w:pos="0"/>
          <w:tab w:val="left" w:pos="720"/>
          <w:tab w:val="left" w:pos="1800"/>
        </w:tabs>
        <w:suppressAutoHyphens/>
        <w:ind w:left="1440" w:hanging="144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517A29">
        <w:rPr>
          <w:rFonts w:ascii="Times New Roman" w:hAnsi="Times New Roman"/>
          <w:b/>
        </w:rPr>
        <w:tab/>
      </w:r>
      <w:r w:rsidR="00F7539B">
        <w:rPr>
          <w:rFonts w:ascii="Times New Roman" w:hAnsi="Times New Roman"/>
        </w:rPr>
        <w:t>Jan. 24</w:t>
      </w:r>
      <w:r w:rsidR="00C80666">
        <w:rPr>
          <w:rFonts w:ascii="Times New Roman" w:hAnsi="Times New Roman"/>
        </w:rPr>
        <w:t>, 201</w:t>
      </w:r>
      <w:r w:rsidR="00E93E2B">
        <w:rPr>
          <w:rFonts w:ascii="Times New Roman" w:hAnsi="Times New Roman"/>
        </w:rPr>
        <w:t>9</w:t>
      </w:r>
      <w:r w:rsidR="00120648" w:rsidRPr="00D1171D">
        <w:rPr>
          <w:rFonts w:ascii="Times New Roman" w:hAnsi="Times New Roman"/>
        </w:rPr>
        <w:t>, EQC m</w:t>
      </w:r>
      <w:r w:rsidR="00893D1B" w:rsidRPr="00D1171D">
        <w:rPr>
          <w:rFonts w:ascii="Times New Roman" w:hAnsi="Times New Roman"/>
        </w:rPr>
        <w:t>eeting</w:t>
      </w:r>
    </w:p>
    <w:p w14:paraId="556EDF46" w14:textId="77777777" w:rsidR="00893D1B" w:rsidRPr="00D1171D" w:rsidRDefault="00893D1B" w:rsidP="00517A29">
      <w:pPr>
        <w:tabs>
          <w:tab w:val="left" w:pos="-1440"/>
          <w:tab w:val="left" w:pos="-720"/>
          <w:tab w:val="left" w:pos="180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63"/>
        <w:gridCol w:w="7597"/>
      </w:tblGrid>
      <w:tr w:rsidR="005147E9" w:rsidRPr="00D1171D" w14:paraId="56617B47" w14:textId="77777777" w:rsidTr="00376FD7">
        <w:trPr>
          <w:trHeight w:val="828"/>
        </w:trPr>
        <w:tc>
          <w:tcPr>
            <w:tcW w:w="1763" w:type="dxa"/>
          </w:tcPr>
          <w:p w14:paraId="19787386" w14:textId="77777777" w:rsidR="005147E9" w:rsidRDefault="005147E9" w:rsidP="003656D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Purpose of item</w:t>
            </w:r>
          </w:p>
        </w:tc>
        <w:tc>
          <w:tcPr>
            <w:tcW w:w="7597" w:type="dxa"/>
          </w:tcPr>
          <w:p w14:paraId="3CF48F28" w14:textId="6AB32FFA" w:rsidR="001719EE" w:rsidRDefault="005147E9" w:rsidP="001719EE">
            <w:pPr>
              <w:pStyle w:val="ListParagraph"/>
              <w:ind w:left="0"/>
              <w:rPr>
                <w:color w:val="000000"/>
                <w:lang w:val="en"/>
              </w:rPr>
            </w:pPr>
            <w:r>
              <w:rPr>
                <w:spacing w:val="-3"/>
              </w:rPr>
              <w:t>DEQ</w:t>
            </w:r>
            <w:r w:rsidR="001719EE">
              <w:rPr>
                <w:spacing w:val="-3"/>
              </w:rPr>
              <w:t xml:space="preserve"> </w:t>
            </w:r>
            <w:r w:rsidR="001719EE" w:rsidRPr="00666DA2">
              <w:rPr>
                <w:color w:val="000000"/>
                <w:lang w:val="en"/>
              </w:rPr>
              <w:t xml:space="preserve">is proposing to align its hazardous waste fees </w:t>
            </w:r>
            <w:r w:rsidR="001719EE">
              <w:rPr>
                <w:color w:val="000000"/>
                <w:lang w:val="en"/>
              </w:rPr>
              <w:t xml:space="preserve">more closely with </w:t>
            </w:r>
            <w:r w:rsidR="001719EE" w:rsidRPr="00666DA2">
              <w:rPr>
                <w:color w:val="000000"/>
                <w:lang w:val="en"/>
              </w:rPr>
              <w:t>program needs</w:t>
            </w:r>
            <w:r w:rsidR="001719EE">
              <w:rPr>
                <w:color w:val="000000"/>
                <w:lang w:val="en"/>
              </w:rPr>
              <w:t xml:space="preserve"> and the consumer price index</w:t>
            </w:r>
            <w:r w:rsidR="001719EE" w:rsidRPr="00666DA2">
              <w:rPr>
                <w:color w:val="000000"/>
                <w:lang w:val="en"/>
              </w:rPr>
              <w:t xml:space="preserve">. </w:t>
            </w:r>
            <w:r w:rsidR="001719EE">
              <w:rPr>
                <w:color w:val="000000"/>
                <w:lang w:val="en"/>
              </w:rPr>
              <w:t>This effort is</w:t>
            </w:r>
            <w:r w:rsidR="001719EE" w:rsidRPr="00666DA2">
              <w:rPr>
                <w:color w:val="000000"/>
                <w:lang w:val="en"/>
              </w:rPr>
              <w:t xml:space="preserve"> a multi-</w:t>
            </w:r>
            <w:r w:rsidR="001719EE">
              <w:rPr>
                <w:color w:val="000000"/>
                <w:lang w:val="en"/>
              </w:rPr>
              <w:t xml:space="preserve">phase </w:t>
            </w:r>
            <w:r w:rsidR="001719EE" w:rsidRPr="00666DA2">
              <w:rPr>
                <w:color w:val="000000"/>
                <w:lang w:val="en"/>
              </w:rPr>
              <w:t xml:space="preserve">project to amend </w:t>
            </w:r>
            <w:r w:rsidR="001719EE">
              <w:rPr>
                <w:color w:val="000000"/>
                <w:lang w:val="en"/>
              </w:rPr>
              <w:t xml:space="preserve">current hazardous waste </w:t>
            </w:r>
            <w:r w:rsidR="001719EE" w:rsidRPr="00666DA2">
              <w:rPr>
                <w:color w:val="000000"/>
                <w:lang w:val="en"/>
              </w:rPr>
              <w:t xml:space="preserve">fee funding over several years to </w:t>
            </w:r>
            <w:r w:rsidR="001719EE">
              <w:rPr>
                <w:color w:val="000000"/>
                <w:lang w:val="en"/>
              </w:rPr>
              <w:t>secure sufficient funding by 2026</w:t>
            </w:r>
            <w:r w:rsidR="001719EE" w:rsidRPr="00666DA2">
              <w:rPr>
                <w:color w:val="000000"/>
                <w:lang w:val="en"/>
              </w:rPr>
              <w:t>.</w:t>
            </w:r>
            <w:r w:rsidR="001719EE">
              <w:rPr>
                <w:color w:val="000000"/>
                <w:lang w:val="en"/>
              </w:rPr>
              <w:t xml:space="preserve"> This proposal will amend fees established in rule to help bridge program funding through 2024. DEQ will have to see</w:t>
            </w:r>
            <w:r w:rsidR="002C3A70">
              <w:rPr>
                <w:color w:val="000000"/>
                <w:lang w:val="en"/>
              </w:rPr>
              <w:t>k</w:t>
            </w:r>
            <w:r w:rsidR="001719EE">
              <w:rPr>
                <w:color w:val="000000"/>
                <w:lang w:val="en"/>
              </w:rPr>
              <w:t xml:space="preserve"> statutory amendment to statutory fees in 2021 or 2023 to fund the program by 2026.</w:t>
            </w:r>
          </w:p>
          <w:p w14:paraId="0D24C335" w14:textId="77777777" w:rsidR="005147E9" w:rsidRDefault="00376FD7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.</w:t>
            </w:r>
          </w:p>
        </w:tc>
      </w:tr>
      <w:tr w:rsidR="001618D5" w:rsidRPr="00D1171D" w14:paraId="4A28944B" w14:textId="77777777" w:rsidTr="005147E9">
        <w:trPr>
          <w:trHeight w:val="567"/>
        </w:trPr>
        <w:tc>
          <w:tcPr>
            <w:tcW w:w="1763" w:type="dxa"/>
          </w:tcPr>
          <w:p w14:paraId="74C34761" w14:textId="77777777" w:rsidR="0053268E" w:rsidRDefault="0053268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  <w:p w14:paraId="0296465C" w14:textId="77777777" w:rsidR="001618D5" w:rsidRDefault="005147E9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B</w:t>
            </w:r>
            <w:r w:rsidR="001618D5">
              <w:rPr>
                <w:rFonts w:ascii="Times New Roman" w:hAnsi="Times New Roman"/>
                <w:b/>
                <w:spacing w:val="-3"/>
                <w:sz w:val="22"/>
              </w:rPr>
              <w:t>ackground</w:t>
            </w:r>
          </w:p>
        </w:tc>
        <w:tc>
          <w:tcPr>
            <w:tcW w:w="7597" w:type="dxa"/>
          </w:tcPr>
          <w:p w14:paraId="5A15DD1C" w14:textId="77777777" w:rsidR="001719EE" w:rsidRDefault="001719EE" w:rsidP="001719EE">
            <w:pPr>
              <w:spacing w:before="120" w:after="120"/>
              <w:rPr>
                <w:bCs/>
              </w:rPr>
            </w:pPr>
            <w:r>
              <w:rPr>
                <w:bCs/>
              </w:rPr>
              <w:t xml:space="preserve">DEQ’s </w:t>
            </w:r>
            <w:r w:rsidRPr="002B0DC7">
              <w:rPr>
                <w:bCs/>
              </w:rPr>
              <w:t>Hazardous Waste Program promotes reduc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and safe</w:t>
            </w:r>
            <w:r>
              <w:rPr>
                <w:bCs/>
              </w:rPr>
              <w:t>ly</w:t>
            </w:r>
            <w:r w:rsidRPr="002B0DC7">
              <w:rPr>
                <w:bCs/>
              </w:rPr>
              <w:t xml:space="preserve"> manag</w:t>
            </w:r>
            <w:r>
              <w:rPr>
                <w:bCs/>
              </w:rPr>
              <w:t>ing</w:t>
            </w:r>
            <w:r w:rsidRPr="002B0DC7">
              <w:rPr>
                <w:bCs/>
              </w:rPr>
              <w:t xml:space="preserve"> hazardous waste, issues permits to waste management facilities, inspect</w:t>
            </w:r>
            <w:r>
              <w:rPr>
                <w:bCs/>
              </w:rPr>
              <w:t>s</w:t>
            </w:r>
            <w:r w:rsidRPr="002B0DC7">
              <w:rPr>
                <w:bCs/>
              </w:rPr>
              <w:t xml:space="preserve"> hazardous waste </w:t>
            </w:r>
            <w:r>
              <w:rPr>
                <w:bCs/>
              </w:rPr>
              <w:t>generators</w:t>
            </w:r>
            <w:r w:rsidRPr="002B0DC7">
              <w:rPr>
                <w:bCs/>
              </w:rPr>
              <w:t xml:space="preserve"> and used oil processors, and assists Oregon small businesses in complying with complex federal regulations</w:t>
            </w:r>
            <w:r>
              <w:rPr>
                <w:bCs/>
              </w:rPr>
              <w:t xml:space="preserve">. </w:t>
            </w:r>
          </w:p>
          <w:p w14:paraId="13D06307" w14:textId="77777777" w:rsidR="001719EE" w:rsidRPr="002B0DC7" w:rsidRDefault="001719EE" w:rsidP="001719EE">
            <w:pPr>
              <w:rPr>
                <w:bCs/>
              </w:rPr>
            </w:pPr>
            <w:r w:rsidRPr="002B0DC7">
              <w:rPr>
                <w:bCs/>
              </w:rPr>
              <w:t xml:space="preserve">The </w:t>
            </w:r>
            <w:r>
              <w:rPr>
                <w:bCs/>
              </w:rPr>
              <w:t xml:space="preserve">program’s primary </w:t>
            </w:r>
            <w:r w:rsidRPr="002B0DC7">
              <w:rPr>
                <w:bCs/>
              </w:rPr>
              <w:t>objectives are</w:t>
            </w:r>
            <w:r>
              <w:rPr>
                <w:bCs/>
              </w:rPr>
              <w:t xml:space="preserve"> to</w:t>
            </w:r>
            <w:r w:rsidRPr="002B0DC7">
              <w:rPr>
                <w:bCs/>
              </w:rPr>
              <w:t xml:space="preserve">: </w:t>
            </w:r>
          </w:p>
          <w:p w14:paraId="3C73C495" w14:textId="77777777" w:rsidR="001719EE" w:rsidRPr="00ED5725" w:rsidRDefault="001719EE" w:rsidP="001719EE">
            <w:pPr>
              <w:pStyle w:val="ListParagraph"/>
              <w:numPr>
                <w:ilvl w:val="0"/>
                <w:numId w:val="10"/>
              </w:numPr>
              <w:rPr>
                <w:bCs/>
              </w:rPr>
            </w:pPr>
            <w:r>
              <w:rPr>
                <w:bCs/>
              </w:rPr>
              <w:t>R</w:t>
            </w:r>
            <w:r w:rsidRPr="00ED5725">
              <w:rPr>
                <w:bCs/>
              </w:rPr>
              <w:t>educe or eliminate the threat of exposure to hazardous waste</w:t>
            </w:r>
          </w:p>
          <w:p w14:paraId="40495515" w14:textId="77777777" w:rsidR="001719EE" w:rsidRPr="006450F2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R</w:t>
            </w:r>
            <w:r w:rsidRPr="002B0DC7">
              <w:rPr>
                <w:bCs/>
              </w:rPr>
              <w:t>educe the use of toxic chemicals in the workplace</w:t>
            </w:r>
          </w:p>
          <w:p w14:paraId="5851CF02" w14:textId="77777777" w:rsidR="001719EE" w:rsidRDefault="001719EE" w:rsidP="001719EE">
            <w:pPr>
              <w:pStyle w:val="ListParagraph"/>
              <w:numPr>
                <w:ilvl w:val="0"/>
                <w:numId w:val="10"/>
              </w:numPr>
              <w:ind w:right="-432"/>
            </w:pPr>
            <w:r>
              <w:rPr>
                <w:bCs/>
              </w:rPr>
              <w:t>D</w:t>
            </w:r>
            <w:r w:rsidRPr="002B0DC7">
              <w:rPr>
                <w:bCs/>
              </w:rPr>
              <w:t>eliver excellence in service</w:t>
            </w:r>
          </w:p>
          <w:p w14:paraId="557F6B66" w14:textId="77777777" w:rsidR="001719EE" w:rsidRDefault="001719EE" w:rsidP="001719EE">
            <w:pPr>
              <w:ind w:firstLine="360"/>
              <w:rPr>
                <w:bCs/>
              </w:rPr>
            </w:pPr>
          </w:p>
          <w:p w14:paraId="14480292" w14:textId="77777777" w:rsidR="001719EE" w:rsidRPr="00666DA2" w:rsidRDefault="001719EE" w:rsidP="001719EE">
            <w:pPr>
              <w:rPr>
                <w:color w:val="000000"/>
                <w:lang w:val="en"/>
              </w:rPr>
            </w:pPr>
            <w:r w:rsidRPr="002B0DC7">
              <w:rPr>
                <w:bCs/>
              </w:rPr>
              <w:t>DEQ remains committed to maintaining state</w:t>
            </w:r>
            <w:r>
              <w:rPr>
                <w:bCs/>
              </w:rPr>
              <w:t xml:space="preserve"> authorization</w:t>
            </w:r>
            <w:r w:rsidRPr="002B0DC7">
              <w:rPr>
                <w:bCs/>
              </w:rPr>
              <w:t xml:space="preserve"> for this program rather than </w:t>
            </w:r>
            <w:r>
              <w:rPr>
                <w:bCs/>
              </w:rPr>
              <w:t xml:space="preserve">having </w:t>
            </w:r>
            <w:r w:rsidRPr="002B0DC7">
              <w:rPr>
                <w:bCs/>
              </w:rPr>
              <w:t>the U.S. Environmental Protection Agency</w:t>
            </w:r>
            <w:r>
              <w:rPr>
                <w:bCs/>
              </w:rPr>
              <w:t xml:space="preserve"> run the program</w:t>
            </w:r>
            <w:r w:rsidRPr="002B0DC7">
              <w:rPr>
                <w:bCs/>
              </w:rPr>
              <w:t xml:space="preserve">. This ensures flexibility and responsiveness in implementing the </w:t>
            </w:r>
            <w:r>
              <w:rPr>
                <w:bCs/>
              </w:rPr>
              <w:t>Hazardous Waste P</w:t>
            </w:r>
            <w:r w:rsidRPr="002B0DC7">
              <w:rPr>
                <w:bCs/>
              </w:rPr>
              <w:t>rogram in Oregon.</w:t>
            </w:r>
          </w:p>
          <w:p w14:paraId="29975EB3" w14:textId="77777777" w:rsidR="001719EE" w:rsidRDefault="001719EE" w:rsidP="001719EE">
            <w:pPr>
              <w:pStyle w:val="Heading2"/>
              <w:rPr>
                <w:rFonts w:ascii="Times New Roman" w:eastAsia="Times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lastRenderedPageBreak/>
              <w:t xml:space="preserve">Since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January 1986,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EPA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has authorized Oregon to manage the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state’s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hazardous waste or Resource Conservation and Recovery Act program. DEQ implements the state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azardous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w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aste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program, as defined in ORS 466.086 and as applied in OAR 340-100-0002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, to ensure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harmful wastes </w:t>
            </w:r>
            <w:proofErr w:type="gramStart"/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are properly managed</w:t>
            </w:r>
            <w:proofErr w:type="gramEnd"/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from “cradle to grave.” </w:t>
            </w:r>
          </w:p>
          <w:p w14:paraId="2F18D3B1" w14:textId="77777777" w:rsidR="001719EE" w:rsidRDefault="001719EE" w:rsidP="001719EE">
            <w:pPr>
              <w:pStyle w:val="Heading2"/>
              <w:spacing w:before="240"/>
              <w:rPr>
                <w:rFonts w:ascii="Times New Roman" w:eastAsia="Times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ORS 466.165(1) authorizes DEQ to collect fees to “carry on the monitoring, inspection and surveillance program established under ORS 466.195 and to cover related administrative costs.” (ORS 466.165(1).)</w:t>
            </w:r>
          </w:p>
          <w:p w14:paraId="667DFEE5" w14:textId="77777777" w:rsidR="001719EE" w:rsidRDefault="001719EE" w:rsidP="001719EE">
            <w:pPr>
              <w:pStyle w:val="Heading2"/>
              <w:spacing w:before="240"/>
            </w:pP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Annually, DEQ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’s Hazardous Waste Program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receives approximately $3.5 million from multiple sources, including various fees (7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9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 federal grant (2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0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), and small cost recovery funds (1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percent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).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R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equired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eneral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F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und reductions and shifts to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a 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grant- and fee-based program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ended the program’s General Fund allocation in 2014.</w:t>
            </w:r>
            <w:r w:rsidRPr="008D2B9B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T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he Oregon Legislature approved a budget of 2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5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full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-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time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equivalent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staff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for the program’s 2017-2019 budget.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C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urrent </w:t>
            </w:r>
            <w:r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 xml:space="preserve">revenue </w:t>
            </w:r>
            <w:r w:rsidRPr="008832BD">
              <w:rPr>
                <w:rFonts w:ascii="Times New Roman" w:eastAsia="Times" w:hAnsi="Times New Roman" w:cs="Times New Roman"/>
                <w:color w:val="auto"/>
                <w:sz w:val="24"/>
                <w:szCs w:val="24"/>
              </w:rPr>
              <w:t>supports 19 full-time staff.</w:t>
            </w:r>
          </w:p>
          <w:p w14:paraId="0AA88FFB" w14:textId="77777777" w:rsidR="001719EE" w:rsidRPr="00666DA2" w:rsidRDefault="001719EE" w:rsidP="001719EE">
            <w:pPr>
              <w:spacing w:before="240" w:after="120"/>
              <w:ind w:right="14"/>
              <w:rPr>
                <w:lang w:val="en"/>
              </w:rPr>
            </w:pPr>
            <w:r w:rsidRPr="00D42752">
              <w:t xml:space="preserve">The proposed fees would address </w:t>
            </w:r>
            <w:r>
              <w:rPr>
                <w:bCs/>
              </w:rPr>
              <w:t>t</w:t>
            </w:r>
            <w:r w:rsidRPr="002B0DC7">
              <w:rPr>
                <w:bCs/>
              </w:rPr>
              <w:t>he forecast</w:t>
            </w:r>
            <w:r>
              <w:rPr>
                <w:bCs/>
              </w:rPr>
              <w:t>ed</w:t>
            </w:r>
            <w:r w:rsidRPr="002B0DC7">
              <w:rPr>
                <w:bCs/>
              </w:rPr>
              <w:t xml:space="preserve"> $</w:t>
            </w:r>
            <w:r w:rsidRPr="008C2FCC">
              <w:rPr>
                <w:bCs/>
              </w:rPr>
              <w:t>1</w:t>
            </w:r>
            <w:r>
              <w:rPr>
                <w:bCs/>
              </w:rPr>
              <w:t>.2 million - $1.5</w:t>
            </w:r>
            <w:r w:rsidRPr="00B1792E">
              <w:rPr>
                <w:bCs/>
              </w:rPr>
              <w:t xml:space="preserve"> million </w:t>
            </w:r>
            <w:r>
              <w:rPr>
                <w:bCs/>
              </w:rPr>
              <w:t>deficit</w:t>
            </w:r>
            <w:r w:rsidRPr="008C2FCC">
              <w:rPr>
                <w:bCs/>
              </w:rPr>
              <w:t xml:space="preserve"> in </w:t>
            </w:r>
            <w:r>
              <w:rPr>
                <w:bCs/>
              </w:rPr>
              <w:t>H</w:t>
            </w:r>
            <w:r w:rsidRPr="008C2FCC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8C2FCC">
              <w:rPr>
                <w:bCs/>
              </w:rPr>
              <w:t xml:space="preserve">aste </w:t>
            </w:r>
            <w:r>
              <w:rPr>
                <w:bCs/>
              </w:rPr>
              <w:t>P</w:t>
            </w:r>
            <w:r w:rsidRPr="008C2FCC">
              <w:rPr>
                <w:bCs/>
              </w:rPr>
              <w:t xml:space="preserve">rogram </w:t>
            </w:r>
            <w:r>
              <w:rPr>
                <w:bCs/>
              </w:rPr>
              <w:t>revenue for the</w:t>
            </w:r>
            <w:r w:rsidRPr="008C2FCC">
              <w:rPr>
                <w:bCs/>
              </w:rPr>
              <w:t xml:space="preserve"> </w:t>
            </w:r>
            <w:r w:rsidRPr="00B1792E">
              <w:rPr>
                <w:bCs/>
              </w:rPr>
              <w:t>201</w:t>
            </w:r>
            <w:r>
              <w:rPr>
                <w:bCs/>
              </w:rPr>
              <w:t>9</w:t>
            </w:r>
            <w:r w:rsidRPr="00B1792E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B1792E">
              <w:rPr>
                <w:bCs/>
              </w:rPr>
              <w:t>1 biennium</w:t>
            </w:r>
            <w:r w:rsidRPr="008C2FCC">
              <w:rPr>
                <w:bCs/>
              </w:rPr>
              <w:t>.</w:t>
            </w:r>
            <w:r w:rsidRPr="002B0DC7">
              <w:rPr>
                <w:bCs/>
              </w:rPr>
              <w:t xml:space="preserve"> This shortfall threatens DEQ’s ability to ensure safe management and disposal of hazardous waste and greatly reduces compliance assistance to small businesses. It also </w:t>
            </w:r>
            <w:r>
              <w:rPr>
                <w:bCs/>
              </w:rPr>
              <w:t xml:space="preserve">potentially </w:t>
            </w:r>
            <w:proofErr w:type="gramStart"/>
            <w:r>
              <w:rPr>
                <w:bCs/>
              </w:rPr>
              <w:t>impacts</w:t>
            </w:r>
            <w:proofErr w:type="gramEnd"/>
            <w:r w:rsidRPr="002B0DC7">
              <w:rPr>
                <w:bCs/>
              </w:rPr>
              <w:t xml:space="preserve"> Oregon’s ability to </w:t>
            </w:r>
            <w:r>
              <w:rPr>
                <w:bCs/>
              </w:rPr>
              <w:t>retain</w:t>
            </w:r>
            <w:r w:rsidRPr="002B0DC7">
              <w:rPr>
                <w:bCs/>
              </w:rPr>
              <w:t xml:space="preserve"> federal </w:t>
            </w:r>
            <w:r>
              <w:rPr>
                <w:bCs/>
              </w:rPr>
              <w:t>authorization</w:t>
            </w:r>
            <w:r w:rsidRPr="002B0DC7">
              <w:rPr>
                <w:bCs/>
              </w:rPr>
              <w:t xml:space="preserve"> of the </w:t>
            </w:r>
            <w:r>
              <w:rPr>
                <w:bCs/>
              </w:rPr>
              <w:t>H</w:t>
            </w:r>
            <w:r w:rsidRPr="002B0DC7">
              <w:rPr>
                <w:bCs/>
              </w:rPr>
              <w:t xml:space="preserve">azardous </w:t>
            </w:r>
            <w:r>
              <w:rPr>
                <w:bCs/>
              </w:rPr>
              <w:t>W</w:t>
            </w:r>
            <w:r w:rsidRPr="002B0DC7">
              <w:rPr>
                <w:bCs/>
              </w:rPr>
              <w:t xml:space="preserve">aste </w:t>
            </w:r>
            <w:r>
              <w:rPr>
                <w:bCs/>
              </w:rPr>
              <w:t>P</w:t>
            </w:r>
            <w:r w:rsidRPr="002B0DC7">
              <w:rPr>
                <w:bCs/>
              </w:rPr>
              <w:t>rogram.</w:t>
            </w:r>
          </w:p>
          <w:p w14:paraId="7FA83C2A" w14:textId="77777777" w:rsidR="001719EE" w:rsidRDefault="001719EE" w:rsidP="001719EE">
            <w:pPr>
              <w:pStyle w:val="ListParagraph"/>
              <w:spacing w:before="240" w:after="120"/>
              <w:ind w:left="0" w:right="14"/>
            </w:pPr>
            <w:r>
              <w:t>DEQ proposes revising:</w:t>
            </w:r>
          </w:p>
          <w:p w14:paraId="741908FF" w14:textId="77777777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>Annual hazardous waste generators activity verification fees</w:t>
            </w:r>
          </w:p>
          <w:p w14:paraId="7F7B14A5" w14:textId="77777777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hazardous waste generators management method factor fees </w:t>
            </w:r>
          </w:p>
          <w:p w14:paraId="2FD40171" w14:textId="77777777" w:rsidR="001719EE" w:rsidRDefault="001719EE" w:rsidP="001719EE">
            <w:pPr>
              <w:numPr>
                <w:ilvl w:val="0"/>
                <w:numId w:val="9"/>
              </w:num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pacing w:val="-3"/>
              </w:rPr>
            </w:pPr>
            <w:r>
              <w:rPr>
                <w:spacing w:val="-3"/>
              </w:rPr>
              <w:t xml:space="preserve">Annual permitted TSD compliance determination fees </w:t>
            </w:r>
          </w:p>
          <w:p w14:paraId="73481D7F" w14:textId="77777777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rPr>
                <w:spacing w:val="-3"/>
              </w:rPr>
              <w:t xml:space="preserve">TSD permit </w:t>
            </w:r>
            <w:r>
              <w:t xml:space="preserve">modification fees </w:t>
            </w:r>
          </w:p>
          <w:p w14:paraId="30A07BFC" w14:textId="77777777" w:rsidR="001719EE" w:rsidRDefault="001719EE" w:rsidP="001719EE">
            <w:pPr>
              <w:pStyle w:val="ListParagraph"/>
              <w:numPr>
                <w:ilvl w:val="0"/>
                <w:numId w:val="9"/>
              </w:numPr>
            </w:pPr>
            <w:r>
              <w:t>TSD annual disposal administrative fees</w:t>
            </w:r>
          </w:p>
          <w:p w14:paraId="17C14D4A" w14:textId="77777777" w:rsidR="0053268E" w:rsidRDefault="0053268E" w:rsidP="000D49D6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2B8A6FA8" w14:textId="1A0A3C03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</w:t>
            </w:r>
            <w:r w:rsidR="001610D3">
              <w:rPr>
                <w:rFonts w:ascii="Times New Roman" w:hAnsi="Times New Roman"/>
              </w:rPr>
              <w:t xml:space="preserve">is currently holding </w:t>
            </w:r>
            <w:r>
              <w:rPr>
                <w:rFonts w:ascii="Times New Roman" w:hAnsi="Times New Roman"/>
              </w:rPr>
              <w:t xml:space="preserve">a public comment period </w:t>
            </w:r>
            <w:r w:rsidR="001610D3">
              <w:rPr>
                <w:rFonts w:ascii="Times New Roman" w:hAnsi="Times New Roman"/>
              </w:rPr>
              <w:t>that began on D</w:t>
            </w:r>
            <w:r w:rsidR="00250C29">
              <w:rPr>
                <w:rFonts w:ascii="Times New Roman" w:hAnsi="Times New Roman"/>
              </w:rPr>
              <w:t xml:space="preserve">ec. </w:t>
            </w:r>
            <w:r w:rsidR="001610D3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>and will end</w:t>
            </w:r>
            <w:r>
              <w:rPr>
                <w:rFonts w:ascii="Times New Roman" w:hAnsi="Times New Roman"/>
              </w:rPr>
              <w:t xml:space="preserve"> </w:t>
            </w:r>
            <w:r w:rsidR="001610D3">
              <w:rPr>
                <w:rFonts w:ascii="Times New Roman" w:hAnsi="Times New Roman"/>
              </w:rPr>
              <w:t>Jan. 22, 2019</w:t>
            </w:r>
            <w:r>
              <w:rPr>
                <w:rFonts w:ascii="Times New Roman" w:hAnsi="Times New Roman"/>
              </w:rPr>
              <w:t xml:space="preserve">. DEQ </w:t>
            </w:r>
            <w:r w:rsidR="001610D3">
              <w:rPr>
                <w:rFonts w:ascii="Times New Roman" w:hAnsi="Times New Roman"/>
              </w:rPr>
              <w:t xml:space="preserve">will </w:t>
            </w:r>
            <w:r>
              <w:rPr>
                <w:rFonts w:ascii="Times New Roman" w:hAnsi="Times New Roman"/>
              </w:rPr>
              <w:t>h</w:t>
            </w:r>
            <w:r w:rsidR="00F71815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ld a public hearing on</w:t>
            </w:r>
            <w:r w:rsidR="001610D3">
              <w:rPr>
                <w:rFonts w:ascii="Times New Roman" w:hAnsi="Times New Roman"/>
              </w:rPr>
              <w:t xml:space="preserve"> Jan. 17, 2019.</w:t>
            </w:r>
          </w:p>
          <w:p w14:paraId="78EA457D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78B4DC" w14:textId="0F969973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DEQ</w:t>
            </w:r>
            <w:r w:rsidR="00F71815">
              <w:rPr>
                <w:rFonts w:ascii="Times New Roman" w:hAnsi="Times New Roman"/>
              </w:rPr>
              <w:t xml:space="preserve"> will evaluate</w:t>
            </w:r>
            <w:r>
              <w:rPr>
                <w:rFonts w:ascii="Times New Roman" w:hAnsi="Times New Roman"/>
              </w:rPr>
              <w:t xml:space="preserve"> feedback received during the public comment period, and revis</w:t>
            </w:r>
            <w:r w:rsidR="00F71815">
              <w:rPr>
                <w:rFonts w:ascii="Times New Roman" w:hAnsi="Times New Roman"/>
              </w:rPr>
              <w:t xml:space="preserve">e </w:t>
            </w:r>
            <w:r>
              <w:rPr>
                <w:rFonts w:ascii="Times New Roman" w:hAnsi="Times New Roman"/>
              </w:rPr>
              <w:t>and finaliz</w:t>
            </w:r>
            <w:r w:rsidR="00F7181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the proposed rules. </w:t>
            </w:r>
          </w:p>
          <w:p w14:paraId="07BF3DDB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  <w:p w14:paraId="4EB4BD8B" w14:textId="77777777" w:rsidR="00B94E4E" w:rsidRDefault="00B94E4E" w:rsidP="00B94E4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update the commission on feedback received during the comment period and hearings and answer questions regarding the proposed revisions to the rule. </w:t>
            </w:r>
          </w:p>
          <w:p w14:paraId="6DBEC215" w14:textId="77777777" w:rsidR="001618D5" w:rsidRDefault="001618D5" w:rsidP="001719EE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 w14:paraId="67783FF8" w14:textId="77777777" w:rsidTr="005147E9">
        <w:trPr>
          <w:trHeight w:val="567"/>
        </w:trPr>
        <w:tc>
          <w:tcPr>
            <w:tcW w:w="1763" w:type="dxa"/>
          </w:tcPr>
          <w:p w14:paraId="11CDD40C" w14:textId="77777777" w:rsidR="00893D1B" w:rsidRPr="00D1171D" w:rsidRDefault="005D65EE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EQC involvement</w:t>
            </w:r>
          </w:p>
        </w:tc>
        <w:tc>
          <w:tcPr>
            <w:tcW w:w="7597" w:type="dxa"/>
          </w:tcPr>
          <w:p w14:paraId="204C78D3" w14:textId="2D8B6587" w:rsidR="004D3F79" w:rsidRDefault="00376FD7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will request </w:t>
            </w:r>
            <w:r w:rsidR="0053268E">
              <w:rPr>
                <w:rFonts w:ascii="Times New Roman" w:hAnsi="Times New Roman"/>
              </w:rPr>
              <w:t xml:space="preserve">approval of the updated </w:t>
            </w:r>
            <w:r w:rsidR="00457581" w:rsidRPr="00457581">
              <w:rPr>
                <w:rFonts w:ascii="Times New Roman" w:hAnsi="Times New Roman"/>
                <w:bCs/>
              </w:rPr>
              <w:t>Division 102, S</w:t>
            </w:r>
            <w:r w:rsidR="00733866">
              <w:rPr>
                <w:rFonts w:ascii="Times New Roman" w:hAnsi="Times New Roman"/>
                <w:bCs/>
              </w:rPr>
              <w:t>tandards Applicable to Generators of Hazardous Waste</w:t>
            </w:r>
            <w:r w:rsidR="00457581" w:rsidRPr="00457581">
              <w:rPr>
                <w:rFonts w:ascii="Times New Roman" w:hAnsi="Times New Roman"/>
                <w:bCs/>
              </w:rPr>
              <w:t>, 340-102-0065</w:t>
            </w:r>
            <w:r w:rsidR="00457581">
              <w:rPr>
                <w:rFonts w:ascii="Times New Roman" w:hAnsi="Times New Roman"/>
                <w:bCs/>
              </w:rPr>
              <w:t xml:space="preserve"> </w:t>
            </w:r>
            <w:r w:rsidR="00AB2196">
              <w:rPr>
                <w:rFonts w:ascii="Times New Roman" w:hAnsi="Times New Roman"/>
              </w:rPr>
              <w:t xml:space="preserve">rules </w:t>
            </w:r>
            <w:r w:rsidR="0053268E">
              <w:rPr>
                <w:rFonts w:ascii="Times New Roman" w:hAnsi="Times New Roman"/>
              </w:rPr>
              <w:t xml:space="preserve">and </w:t>
            </w:r>
            <w:r w:rsidR="002C3A70">
              <w:rPr>
                <w:rFonts w:ascii="Times New Roman" w:hAnsi="Times New Roman"/>
              </w:rPr>
              <w:t xml:space="preserve">ask </w:t>
            </w:r>
            <w:r w:rsidR="0053268E">
              <w:rPr>
                <w:rFonts w:ascii="Times New Roman" w:hAnsi="Times New Roman"/>
              </w:rPr>
              <w:lastRenderedPageBreak/>
              <w:t>the commission’s approval for DEQ t</w:t>
            </w:r>
            <w:r w:rsidR="00C80666">
              <w:rPr>
                <w:rFonts w:ascii="Times New Roman" w:hAnsi="Times New Roman"/>
              </w:rPr>
              <w:t xml:space="preserve">o submit the </w:t>
            </w:r>
            <w:r w:rsidR="0053268E">
              <w:rPr>
                <w:rFonts w:ascii="Times New Roman" w:hAnsi="Times New Roman"/>
              </w:rPr>
              <w:t>revised</w:t>
            </w:r>
            <w:r w:rsidR="00457581" w:rsidRPr="00457581">
              <w:rPr>
                <w:rFonts w:ascii="Times New Roman" w:hAnsi="Times New Roman"/>
                <w:bCs/>
              </w:rPr>
              <w:t>, Hazardous Waste Generator Fees</w:t>
            </w:r>
            <w:r w:rsidR="00457581">
              <w:rPr>
                <w:rFonts w:ascii="Times New Roman" w:hAnsi="Times New Roman"/>
                <w:b/>
                <w:bCs/>
              </w:rPr>
              <w:t xml:space="preserve"> </w:t>
            </w:r>
            <w:r w:rsidR="00C80666">
              <w:rPr>
                <w:rFonts w:ascii="Times New Roman" w:hAnsi="Times New Roman"/>
              </w:rPr>
              <w:t>rule</w:t>
            </w:r>
            <w:r w:rsidR="0053268E">
              <w:rPr>
                <w:rFonts w:ascii="Times New Roman" w:hAnsi="Times New Roman"/>
              </w:rPr>
              <w:t>s</w:t>
            </w:r>
            <w:r w:rsidR="00AB2196">
              <w:rPr>
                <w:rFonts w:ascii="Times New Roman" w:hAnsi="Times New Roman"/>
              </w:rPr>
              <w:t xml:space="preserve"> </w:t>
            </w:r>
            <w:r w:rsidR="00F71815">
              <w:rPr>
                <w:rFonts w:ascii="Times New Roman" w:hAnsi="Times New Roman"/>
              </w:rPr>
              <w:t>at</w:t>
            </w:r>
            <w:bookmarkStart w:id="1" w:name="_GoBack"/>
            <w:bookmarkEnd w:id="1"/>
            <w:r w:rsidR="00C80666">
              <w:rPr>
                <w:rFonts w:ascii="Times New Roman" w:hAnsi="Times New Roman"/>
              </w:rPr>
              <w:t xml:space="preserve"> the </w:t>
            </w:r>
            <w:r w:rsidR="00AB2196">
              <w:rPr>
                <w:rFonts w:ascii="Times New Roman" w:hAnsi="Times New Roman"/>
              </w:rPr>
              <w:t>May</w:t>
            </w:r>
            <w:r w:rsidR="0053268E">
              <w:rPr>
                <w:rFonts w:ascii="Times New Roman" w:hAnsi="Times New Roman"/>
              </w:rPr>
              <w:t xml:space="preserve"> 2019</w:t>
            </w:r>
            <w:r w:rsidR="00C80666">
              <w:rPr>
                <w:rFonts w:ascii="Times New Roman" w:hAnsi="Times New Roman"/>
              </w:rPr>
              <w:t xml:space="preserve"> EQC meeting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30C3ED6D" w14:textId="77777777" w:rsidR="00575C37" w:rsidRPr="00D1171D" w:rsidRDefault="004D3F79" w:rsidP="004D3F79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 w:rsidRPr="00D1171D">
              <w:rPr>
                <w:rFonts w:ascii="Times New Roman" w:hAnsi="Times New Roman"/>
              </w:rPr>
              <w:t xml:space="preserve"> </w:t>
            </w:r>
          </w:p>
        </w:tc>
      </w:tr>
    </w:tbl>
    <w:p w14:paraId="0B3AF0FA" w14:textId="77777777" w:rsidR="00143D95" w:rsidRDefault="00D1171D" w:rsidP="00AB5AFE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14:paraId="6F3B5F2A" w14:textId="77777777" w:rsidR="001B099A" w:rsidRPr="00C20450" w:rsidRDefault="001B099A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 w:rsidRPr="005E692C">
        <w:rPr>
          <w:rFonts w:ascii="Times New Roman" w:hAnsi="Times New Roman"/>
        </w:rPr>
        <w:t xml:space="preserve">Report </w:t>
      </w:r>
      <w:r w:rsidR="00D40988">
        <w:rPr>
          <w:rFonts w:ascii="Times New Roman" w:hAnsi="Times New Roman"/>
        </w:rPr>
        <w:t>compiled</w:t>
      </w:r>
      <w:r w:rsidRPr="005E692C">
        <w:rPr>
          <w:rFonts w:ascii="Times New Roman" w:hAnsi="Times New Roman"/>
        </w:rPr>
        <w:t xml:space="preserve"> </w:t>
      </w:r>
      <w:r w:rsidRPr="001C5318">
        <w:rPr>
          <w:rFonts w:ascii="Times New Roman" w:hAnsi="Times New Roman"/>
        </w:rPr>
        <w:t xml:space="preserve">by </w:t>
      </w:r>
      <w:r w:rsidR="00AB2196">
        <w:rPr>
          <w:rFonts w:ascii="Times New Roman" w:hAnsi="Times New Roman"/>
        </w:rPr>
        <w:t xml:space="preserve">David </w:t>
      </w:r>
      <w:proofErr w:type="spellStart"/>
      <w:r w:rsidR="00AB2196">
        <w:rPr>
          <w:rFonts w:ascii="Times New Roman" w:hAnsi="Times New Roman"/>
        </w:rPr>
        <w:t>Livengood</w:t>
      </w:r>
      <w:proofErr w:type="spellEnd"/>
      <w:r w:rsidRPr="00C20450">
        <w:rPr>
          <w:rFonts w:ascii="Times New Roman" w:hAnsi="Times New Roman"/>
          <w:i/>
        </w:rPr>
        <w:t xml:space="preserve"> </w:t>
      </w:r>
    </w:p>
    <w:p w14:paraId="53BEBEE0" w14:textId="77777777" w:rsidR="001B099A" w:rsidRPr="00C20450" w:rsidRDefault="00AB2196" w:rsidP="001B099A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Hazardous Waste</w:t>
      </w:r>
      <w:r w:rsidR="0053268E">
        <w:rPr>
          <w:rFonts w:ascii="Times New Roman" w:hAnsi="Times New Roman"/>
          <w:i/>
        </w:rPr>
        <w:t xml:space="preserve"> Program manager</w:t>
      </w:r>
    </w:p>
    <w:p w14:paraId="57AD7183" w14:textId="77777777" w:rsidR="00893D1B" w:rsidRPr="00D1171D" w:rsidRDefault="00893D1B" w:rsidP="003656DE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sectPr w:rsidR="00893D1B" w:rsidRPr="00D1171D" w:rsidSect="00893D1B">
      <w:headerReference w:type="defaul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9F93" w14:textId="77777777" w:rsidR="001E4DFC" w:rsidRDefault="001E4DFC" w:rsidP="00893D1B">
      <w:r>
        <w:separator/>
      </w:r>
    </w:p>
  </w:endnote>
  <w:endnote w:type="continuationSeparator" w:id="0">
    <w:p w14:paraId="416BB420" w14:textId="77777777" w:rsidR="001E4DFC" w:rsidRDefault="001E4DFC" w:rsidP="0089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A71C" w14:textId="77777777" w:rsidR="001E4DFC" w:rsidRDefault="001E4DFC" w:rsidP="00893D1B">
      <w:r>
        <w:separator/>
      </w:r>
    </w:p>
  </w:footnote>
  <w:footnote w:type="continuationSeparator" w:id="0">
    <w:p w14:paraId="161FA495" w14:textId="77777777" w:rsidR="001E4DFC" w:rsidRDefault="001E4DFC" w:rsidP="00893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AB39E" w14:textId="77777777" w:rsidR="00167C33" w:rsidRDefault="00376FD7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Informational</w:t>
    </w:r>
    <w:r w:rsidR="00934DAD">
      <w:rPr>
        <w:rFonts w:ascii="Arial" w:hAnsi="Arial" w:cs="Arial"/>
        <w:sz w:val="20"/>
      </w:rPr>
      <w:t xml:space="preserve"> item: </w:t>
    </w:r>
    <w:r w:rsidR="001719EE">
      <w:rPr>
        <w:rFonts w:ascii="Arial" w:hAnsi="Arial" w:cs="Arial"/>
        <w:sz w:val="20"/>
      </w:rPr>
      <w:t>Hazardous Waste Fee Increase</w:t>
    </w:r>
  </w:p>
  <w:p w14:paraId="7E89AA7B" w14:textId="46CDD78E" w:rsidR="0035223F" w:rsidRPr="00B821B5" w:rsidRDefault="00F7539B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Jan. 24</w:t>
    </w:r>
    <w:r w:rsidR="00167C33">
      <w:rPr>
        <w:rFonts w:ascii="Arial" w:hAnsi="Arial" w:cs="Arial"/>
        <w:sz w:val="20"/>
      </w:rPr>
      <w:t>, 2018</w:t>
    </w:r>
    <w:r w:rsidR="0035223F">
      <w:rPr>
        <w:rFonts w:ascii="Arial" w:hAnsi="Arial" w:cs="Arial"/>
        <w:sz w:val="20"/>
      </w:rPr>
      <w:t>,</w:t>
    </w:r>
    <w:r w:rsidR="0035223F" w:rsidRPr="00B821B5">
      <w:rPr>
        <w:rFonts w:ascii="Arial" w:hAnsi="Arial" w:cs="Arial"/>
        <w:sz w:val="20"/>
      </w:rPr>
      <w:t xml:space="preserve"> EQC meeting</w:t>
    </w:r>
  </w:p>
  <w:p w14:paraId="025E3B15" w14:textId="2C8E92DB" w:rsidR="0035223F" w:rsidRPr="00B821B5" w:rsidRDefault="0035223F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B2747F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B2747F" w:rsidRPr="00B821B5">
      <w:rPr>
        <w:rStyle w:val="PageNumber"/>
        <w:rFonts w:ascii="Arial" w:hAnsi="Arial" w:cs="Arial"/>
        <w:sz w:val="20"/>
      </w:rPr>
      <w:fldChar w:fldCharType="separate"/>
    </w:r>
    <w:r w:rsidR="00F71815">
      <w:rPr>
        <w:rStyle w:val="PageNumber"/>
        <w:rFonts w:ascii="Arial" w:hAnsi="Arial" w:cs="Arial"/>
        <w:noProof/>
        <w:sz w:val="20"/>
      </w:rPr>
      <w:t>3</w:t>
    </w:r>
    <w:r w:rsidR="00B2747F" w:rsidRPr="00B821B5">
      <w:rPr>
        <w:rStyle w:val="PageNumber"/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 xml:space="preserve"> of 2</w:t>
    </w:r>
  </w:p>
  <w:p w14:paraId="740D349F" w14:textId="77777777" w:rsidR="0035223F" w:rsidRPr="00D849B9" w:rsidRDefault="0035223F" w:rsidP="00893D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85F27EA"/>
    <w:multiLevelType w:val="hybridMultilevel"/>
    <w:tmpl w:val="D358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684011"/>
    <w:multiLevelType w:val="hybridMultilevel"/>
    <w:tmpl w:val="EC3EC240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9A6"/>
    <w:multiLevelType w:val="hybridMultilevel"/>
    <w:tmpl w:val="43E6411E"/>
    <w:lvl w:ilvl="0" w:tplc="30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6FB70FC8"/>
    <w:multiLevelType w:val="hybridMultilevel"/>
    <w:tmpl w:val="30E2C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842D1"/>
    <w:multiLevelType w:val="hybridMultilevel"/>
    <w:tmpl w:val="0BDA25A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C5"/>
    <w:rsid w:val="0001369A"/>
    <w:rsid w:val="00033C62"/>
    <w:rsid w:val="00034670"/>
    <w:rsid w:val="0006540A"/>
    <w:rsid w:val="0007297E"/>
    <w:rsid w:val="000B2B8D"/>
    <w:rsid w:val="000C3D56"/>
    <w:rsid w:val="000D46B9"/>
    <w:rsid w:val="000D49D6"/>
    <w:rsid w:val="000E78E4"/>
    <w:rsid w:val="000F6469"/>
    <w:rsid w:val="0010520D"/>
    <w:rsid w:val="0011753D"/>
    <w:rsid w:val="00120648"/>
    <w:rsid w:val="00131DCE"/>
    <w:rsid w:val="00136163"/>
    <w:rsid w:val="00143D95"/>
    <w:rsid w:val="001556DA"/>
    <w:rsid w:val="00155F02"/>
    <w:rsid w:val="00156EF5"/>
    <w:rsid w:val="001610D3"/>
    <w:rsid w:val="001618D5"/>
    <w:rsid w:val="001624E9"/>
    <w:rsid w:val="001679AA"/>
    <w:rsid w:val="00167C33"/>
    <w:rsid w:val="00171102"/>
    <w:rsid w:val="001719EE"/>
    <w:rsid w:val="00183126"/>
    <w:rsid w:val="001866E9"/>
    <w:rsid w:val="001967BB"/>
    <w:rsid w:val="001B099A"/>
    <w:rsid w:val="001C5318"/>
    <w:rsid w:val="001C5B68"/>
    <w:rsid w:val="001C7076"/>
    <w:rsid w:val="001D08CB"/>
    <w:rsid w:val="001D6535"/>
    <w:rsid w:val="001E4DFC"/>
    <w:rsid w:val="001F77BE"/>
    <w:rsid w:val="00216D26"/>
    <w:rsid w:val="0022038B"/>
    <w:rsid w:val="00222EBD"/>
    <w:rsid w:val="0024555B"/>
    <w:rsid w:val="0024770E"/>
    <w:rsid w:val="00250C29"/>
    <w:rsid w:val="00254FC2"/>
    <w:rsid w:val="002652BE"/>
    <w:rsid w:val="0028509D"/>
    <w:rsid w:val="002857DD"/>
    <w:rsid w:val="002A340D"/>
    <w:rsid w:val="002A7358"/>
    <w:rsid w:val="002B6409"/>
    <w:rsid w:val="002C1AA5"/>
    <w:rsid w:val="002C3A70"/>
    <w:rsid w:val="002D22DD"/>
    <w:rsid w:val="002D3532"/>
    <w:rsid w:val="002F4761"/>
    <w:rsid w:val="00302592"/>
    <w:rsid w:val="003414B2"/>
    <w:rsid w:val="003449C0"/>
    <w:rsid w:val="00351429"/>
    <w:rsid w:val="0035223F"/>
    <w:rsid w:val="00353C51"/>
    <w:rsid w:val="003656DE"/>
    <w:rsid w:val="00375E23"/>
    <w:rsid w:val="00376FD7"/>
    <w:rsid w:val="00392C1B"/>
    <w:rsid w:val="00397801"/>
    <w:rsid w:val="00397FD0"/>
    <w:rsid w:val="003A77EB"/>
    <w:rsid w:val="003C04A6"/>
    <w:rsid w:val="003C5E83"/>
    <w:rsid w:val="003D6847"/>
    <w:rsid w:val="003E1D1D"/>
    <w:rsid w:val="003E4BFA"/>
    <w:rsid w:val="003E576D"/>
    <w:rsid w:val="003E6007"/>
    <w:rsid w:val="003E7951"/>
    <w:rsid w:val="003F12D4"/>
    <w:rsid w:val="003F7661"/>
    <w:rsid w:val="0040492F"/>
    <w:rsid w:val="00414262"/>
    <w:rsid w:val="00423160"/>
    <w:rsid w:val="0042486F"/>
    <w:rsid w:val="00433965"/>
    <w:rsid w:val="00435A8D"/>
    <w:rsid w:val="00440CB9"/>
    <w:rsid w:val="00453FA2"/>
    <w:rsid w:val="00455B6E"/>
    <w:rsid w:val="00457581"/>
    <w:rsid w:val="004624A1"/>
    <w:rsid w:val="004635E7"/>
    <w:rsid w:val="00467894"/>
    <w:rsid w:val="00483BC9"/>
    <w:rsid w:val="00491553"/>
    <w:rsid w:val="004A2DCD"/>
    <w:rsid w:val="004B538B"/>
    <w:rsid w:val="004B6EBC"/>
    <w:rsid w:val="004C5B90"/>
    <w:rsid w:val="004D3F79"/>
    <w:rsid w:val="004D50A5"/>
    <w:rsid w:val="00500175"/>
    <w:rsid w:val="00500D2E"/>
    <w:rsid w:val="0050460B"/>
    <w:rsid w:val="005126D5"/>
    <w:rsid w:val="005147E9"/>
    <w:rsid w:val="00517A29"/>
    <w:rsid w:val="00526FA6"/>
    <w:rsid w:val="005308E9"/>
    <w:rsid w:val="0053170A"/>
    <w:rsid w:val="0053268E"/>
    <w:rsid w:val="00540560"/>
    <w:rsid w:val="005523A3"/>
    <w:rsid w:val="00575C37"/>
    <w:rsid w:val="0058011C"/>
    <w:rsid w:val="005856B9"/>
    <w:rsid w:val="005932B3"/>
    <w:rsid w:val="00595FE4"/>
    <w:rsid w:val="005960AA"/>
    <w:rsid w:val="005A07EA"/>
    <w:rsid w:val="005B469C"/>
    <w:rsid w:val="005C1D02"/>
    <w:rsid w:val="005D106D"/>
    <w:rsid w:val="005D4963"/>
    <w:rsid w:val="005D65EE"/>
    <w:rsid w:val="005F3C89"/>
    <w:rsid w:val="005F60E9"/>
    <w:rsid w:val="00614863"/>
    <w:rsid w:val="00624372"/>
    <w:rsid w:val="00630AAC"/>
    <w:rsid w:val="00656D90"/>
    <w:rsid w:val="006670D6"/>
    <w:rsid w:val="006727D0"/>
    <w:rsid w:val="006A46F1"/>
    <w:rsid w:val="006A478B"/>
    <w:rsid w:val="006B7812"/>
    <w:rsid w:val="006C0D16"/>
    <w:rsid w:val="006C6B69"/>
    <w:rsid w:val="006D76F5"/>
    <w:rsid w:val="006E0BC0"/>
    <w:rsid w:val="006E38F8"/>
    <w:rsid w:val="006E5FCB"/>
    <w:rsid w:val="006E7804"/>
    <w:rsid w:val="00701D8A"/>
    <w:rsid w:val="00707497"/>
    <w:rsid w:val="007174F7"/>
    <w:rsid w:val="00733866"/>
    <w:rsid w:val="0075091C"/>
    <w:rsid w:val="00766C61"/>
    <w:rsid w:val="00786655"/>
    <w:rsid w:val="00790AB8"/>
    <w:rsid w:val="007A6F85"/>
    <w:rsid w:val="007B07C1"/>
    <w:rsid w:val="007B2B05"/>
    <w:rsid w:val="007C6A0F"/>
    <w:rsid w:val="00802960"/>
    <w:rsid w:val="00805D10"/>
    <w:rsid w:val="00814B81"/>
    <w:rsid w:val="00825E7B"/>
    <w:rsid w:val="00873932"/>
    <w:rsid w:val="00882E47"/>
    <w:rsid w:val="008929FE"/>
    <w:rsid w:val="00893D1B"/>
    <w:rsid w:val="0089440D"/>
    <w:rsid w:val="008A71E1"/>
    <w:rsid w:val="008C5189"/>
    <w:rsid w:val="008C6CEC"/>
    <w:rsid w:val="008D1A05"/>
    <w:rsid w:val="00906AF8"/>
    <w:rsid w:val="009110DA"/>
    <w:rsid w:val="00922830"/>
    <w:rsid w:val="00922C99"/>
    <w:rsid w:val="00923EDB"/>
    <w:rsid w:val="00934DAD"/>
    <w:rsid w:val="00937CF5"/>
    <w:rsid w:val="00950B3A"/>
    <w:rsid w:val="00956EF4"/>
    <w:rsid w:val="009571E7"/>
    <w:rsid w:val="00960A98"/>
    <w:rsid w:val="00963014"/>
    <w:rsid w:val="00971026"/>
    <w:rsid w:val="009921B1"/>
    <w:rsid w:val="00993A19"/>
    <w:rsid w:val="009C58BC"/>
    <w:rsid w:val="009E027C"/>
    <w:rsid w:val="009F1BBC"/>
    <w:rsid w:val="009F1D59"/>
    <w:rsid w:val="00A05EBA"/>
    <w:rsid w:val="00A131EF"/>
    <w:rsid w:val="00A51F4E"/>
    <w:rsid w:val="00A60F9A"/>
    <w:rsid w:val="00A63221"/>
    <w:rsid w:val="00A871E5"/>
    <w:rsid w:val="00AA19C2"/>
    <w:rsid w:val="00AB2196"/>
    <w:rsid w:val="00AB3D7E"/>
    <w:rsid w:val="00AB4D76"/>
    <w:rsid w:val="00AB5AFE"/>
    <w:rsid w:val="00AB60BB"/>
    <w:rsid w:val="00AD6B49"/>
    <w:rsid w:val="00AE3944"/>
    <w:rsid w:val="00AF1685"/>
    <w:rsid w:val="00AF2963"/>
    <w:rsid w:val="00B17C8C"/>
    <w:rsid w:val="00B215A9"/>
    <w:rsid w:val="00B2747F"/>
    <w:rsid w:val="00B32663"/>
    <w:rsid w:val="00B55799"/>
    <w:rsid w:val="00B64114"/>
    <w:rsid w:val="00B76C2F"/>
    <w:rsid w:val="00B821B5"/>
    <w:rsid w:val="00B86D36"/>
    <w:rsid w:val="00B87B7A"/>
    <w:rsid w:val="00B94E4E"/>
    <w:rsid w:val="00BA6190"/>
    <w:rsid w:val="00BB7047"/>
    <w:rsid w:val="00BC3FF8"/>
    <w:rsid w:val="00BC655E"/>
    <w:rsid w:val="00BD16DD"/>
    <w:rsid w:val="00BD1AD8"/>
    <w:rsid w:val="00BF28B4"/>
    <w:rsid w:val="00BF3E8C"/>
    <w:rsid w:val="00C03D4E"/>
    <w:rsid w:val="00C07BC5"/>
    <w:rsid w:val="00C17C6D"/>
    <w:rsid w:val="00C20450"/>
    <w:rsid w:val="00C25F42"/>
    <w:rsid w:val="00C45A6A"/>
    <w:rsid w:val="00C57A1B"/>
    <w:rsid w:val="00C6379B"/>
    <w:rsid w:val="00C667FA"/>
    <w:rsid w:val="00C70FA4"/>
    <w:rsid w:val="00C73467"/>
    <w:rsid w:val="00C80666"/>
    <w:rsid w:val="00C96391"/>
    <w:rsid w:val="00CA2955"/>
    <w:rsid w:val="00CA59D5"/>
    <w:rsid w:val="00CB33E3"/>
    <w:rsid w:val="00CC4875"/>
    <w:rsid w:val="00CC55E6"/>
    <w:rsid w:val="00CF5028"/>
    <w:rsid w:val="00D01CBB"/>
    <w:rsid w:val="00D104FF"/>
    <w:rsid w:val="00D1171D"/>
    <w:rsid w:val="00D12304"/>
    <w:rsid w:val="00D25B23"/>
    <w:rsid w:val="00D341A9"/>
    <w:rsid w:val="00D35C8F"/>
    <w:rsid w:val="00D40988"/>
    <w:rsid w:val="00D541CE"/>
    <w:rsid w:val="00D705D3"/>
    <w:rsid w:val="00D72273"/>
    <w:rsid w:val="00D8568D"/>
    <w:rsid w:val="00DB68F1"/>
    <w:rsid w:val="00DC1D04"/>
    <w:rsid w:val="00DC238E"/>
    <w:rsid w:val="00DD77F4"/>
    <w:rsid w:val="00DD7B95"/>
    <w:rsid w:val="00DF03A6"/>
    <w:rsid w:val="00E16E69"/>
    <w:rsid w:val="00E2030E"/>
    <w:rsid w:val="00E23926"/>
    <w:rsid w:val="00E36FDC"/>
    <w:rsid w:val="00E56ECF"/>
    <w:rsid w:val="00E63F9D"/>
    <w:rsid w:val="00E670B3"/>
    <w:rsid w:val="00E76003"/>
    <w:rsid w:val="00E93E2B"/>
    <w:rsid w:val="00EA7E92"/>
    <w:rsid w:val="00EE4BD8"/>
    <w:rsid w:val="00F120F6"/>
    <w:rsid w:val="00F23808"/>
    <w:rsid w:val="00F31320"/>
    <w:rsid w:val="00F36951"/>
    <w:rsid w:val="00F42FA9"/>
    <w:rsid w:val="00F4685C"/>
    <w:rsid w:val="00F55AEC"/>
    <w:rsid w:val="00F565B8"/>
    <w:rsid w:val="00F70739"/>
    <w:rsid w:val="00F71815"/>
    <w:rsid w:val="00F72649"/>
    <w:rsid w:val="00F7539B"/>
    <w:rsid w:val="00F8329D"/>
    <w:rsid w:val="00F93BF0"/>
    <w:rsid w:val="00F95ED8"/>
    <w:rsid w:val="00FB7954"/>
    <w:rsid w:val="00FC6EF3"/>
    <w:rsid w:val="00FD41E7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65CA757"/>
  <w15:docId w15:val="{430A5AD3-2973-4DF5-BA26-9D0C2600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rFonts w:ascii="CG Times" w:hAnsi="CG Times"/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1719EE"/>
    <w:pPr>
      <w:ind w:left="720" w:right="18"/>
      <w:contextualSpacing/>
      <w:outlineLvl w:val="0"/>
    </w:pPr>
    <w:rPr>
      <w:rFonts w:ascii="Times New Roman" w:hAnsi="Times New Roman"/>
      <w:color w:val="000000" w:themeColor="text1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034C0DA662344A853A99D8BD3D7C8" ma:contentTypeVersion="" ma:contentTypeDescription="Create a new document." ma:contentTypeScope="" ma:versionID="a9c7d3a6a3d45b3a61aac1a001a62b83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EQC Preparation</Topi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A3ED8-7918-4A74-8D6B-207525B8C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47E34-868C-4E6A-AA2D-ECEB94B91116}">
  <ds:schemaRefs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15D7226-2581-48B5-A5FC-ECD5A1ACBF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EQCInformationalItemMemo</vt:lpstr>
    </vt:vector>
  </TitlesOfParts>
  <Company>Department of Environmental Quality</Company>
  <LinksUpToDate>false</LinksUpToDate>
  <CharactersWithSpaces>3955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EQCInformationalItemMemo</dc:title>
  <dc:creator>Stephanie Clark</dc:creator>
  <cp:lastModifiedBy>GIBSON Lynda</cp:lastModifiedBy>
  <cp:revision>2</cp:revision>
  <cp:lastPrinted>2018-04-30T22:16:00Z</cp:lastPrinted>
  <dcterms:created xsi:type="dcterms:W3CDTF">2018-11-19T20:10:00Z</dcterms:created>
  <dcterms:modified xsi:type="dcterms:W3CDTF">2018-11-19T20:10:00Z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0x01010015B034C0DA662344A853A99D8BD3D7C8</vt:lpwstr>
  </property>
</Properties>
</file>