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bookmarkStart w:id="0" w:name="_GoBack"/>
      <w:bookmarkEnd w:id="0"/>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6004789E"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778C8" w14:paraId="045AFD87" w14:textId="77777777" w:rsidTr="00493F21">
        <w:trPr>
          <w:trHeight w:val="356"/>
        </w:trPr>
        <w:tc>
          <w:tcPr>
            <w:tcW w:w="2235" w:type="dxa"/>
          </w:tcPr>
          <w:p w14:paraId="024D8175" w14:textId="77777777" w:rsidR="006778C8" w:rsidRDefault="006778C8" w:rsidP="00493F21">
            <w:pPr>
              <w:ind w:left="45"/>
            </w:pPr>
            <w:r>
              <w:t>Project Coordinator</w:t>
            </w:r>
          </w:p>
        </w:tc>
        <w:tc>
          <w:tcPr>
            <w:tcW w:w="2454" w:type="dxa"/>
            <w:vAlign w:val="center"/>
          </w:tcPr>
          <w:p w14:paraId="726C0532" w14:textId="77777777" w:rsidR="006778C8" w:rsidRDefault="006778C8" w:rsidP="00493F21">
            <w:pPr>
              <w:ind w:left="0"/>
              <w:jc w:val="center"/>
            </w:pPr>
            <w:r>
              <w:t>Denise Miller</w:t>
            </w:r>
          </w:p>
        </w:tc>
        <w:tc>
          <w:tcPr>
            <w:tcW w:w="1403" w:type="dxa"/>
            <w:vAlign w:val="center"/>
          </w:tcPr>
          <w:p w14:paraId="35104900" w14:textId="77777777" w:rsidR="006778C8" w:rsidRDefault="006778C8" w:rsidP="00493F21">
            <w:pPr>
              <w:ind w:left="0"/>
              <w:jc w:val="center"/>
            </w:pPr>
            <w:r>
              <w:t>3/4/19</w:t>
            </w:r>
          </w:p>
        </w:tc>
        <w:tc>
          <w:tcPr>
            <w:tcW w:w="1403" w:type="dxa"/>
            <w:vAlign w:val="center"/>
          </w:tcPr>
          <w:p w14:paraId="4CCD5CE4" w14:textId="77777777" w:rsidR="006778C8" w:rsidRDefault="006778C8" w:rsidP="00493F21">
            <w:pPr>
              <w:ind w:left="-14"/>
              <w:jc w:val="center"/>
            </w:pPr>
          </w:p>
        </w:tc>
        <w:tc>
          <w:tcPr>
            <w:tcW w:w="1403" w:type="dxa"/>
            <w:vAlign w:val="center"/>
          </w:tcPr>
          <w:p w14:paraId="7D717323" w14:textId="77777777" w:rsidR="006778C8" w:rsidRDefault="006778C8" w:rsidP="00493F21">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6778C8">
        <w:trPr>
          <w:trHeight w:val="356"/>
        </w:trPr>
        <w:tc>
          <w:tcPr>
            <w:tcW w:w="2235" w:type="dxa"/>
          </w:tcPr>
          <w:p w14:paraId="24F6388B" w14:textId="28413722" w:rsidR="005B1EBF" w:rsidRDefault="005B1EBF" w:rsidP="00CF600C">
            <w:pPr>
              <w:ind w:left="45"/>
            </w:pPr>
            <w:r>
              <w:t>Rules Team</w:t>
            </w:r>
          </w:p>
        </w:tc>
        <w:tc>
          <w:tcPr>
            <w:tcW w:w="245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6778C8">
        <w:trPr>
          <w:trHeight w:val="356"/>
        </w:trPr>
        <w:tc>
          <w:tcPr>
            <w:tcW w:w="2235" w:type="dxa"/>
          </w:tcPr>
          <w:p w14:paraId="7015AA45" w14:textId="35FB0A44" w:rsidR="005B1EBF" w:rsidRDefault="005B1EBF" w:rsidP="00CF600C">
            <w:pPr>
              <w:ind w:left="45"/>
            </w:pPr>
            <w:r>
              <w:t>Rules Team</w:t>
            </w:r>
          </w:p>
        </w:tc>
        <w:tc>
          <w:tcPr>
            <w:tcW w:w="245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6778C8">
        <w:trPr>
          <w:trHeight w:val="356"/>
        </w:trPr>
        <w:tc>
          <w:tcPr>
            <w:tcW w:w="2235" w:type="dxa"/>
          </w:tcPr>
          <w:p w14:paraId="460EE7F4" w14:textId="3EA78776" w:rsidR="005B1EBF" w:rsidRDefault="005B1EBF" w:rsidP="00CF600C">
            <w:pPr>
              <w:ind w:left="45"/>
            </w:pPr>
            <w:r>
              <w:t>Rules Team</w:t>
            </w:r>
          </w:p>
        </w:tc>
        <w:tc>
          <w:tcPr>
            <w:tcW w:w="245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00473313" w:rsidRPr="000D1E1C">
          <w:rPr>
            <w:rStyle w:val="Hyperlink"/>
            <w:noProof/>
          </w:rPr>
          <w:t>DEQ Recommendation to the EQC</w:t>
        </w:r>
        <w:r w:rsidR="00473313">
          <w:rPr>
            <w:noProof/>
            <w:webHidden/>
          </w:rPr>
          <w:tab/>
        </w:r>
        <w:r w:rsidR="00473313">
          <w:rPr>
            <w:noProof/>
            <w:webHidden/>
          </w:rPr>
          <w:fldChar w:fldCharType="begin"/>
        </w:r>
        <w:r w:rsidR="00473313">
          <w:rPr>
            <w:noProof/>
            <w:webHidden/>
          </w:rPr>
          <w:instrText xml:space="preserve"> PAGEREF _Toc2703366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09B0FBB1" w14:textId="75C98FD8"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00473313" w:rsidRPr="000D1E1C">
          <w:rPr>
            <w:rStyle w:val="Hyperlink"/>
            <w:noProof/>
          </w:rPr>
          <w:t>Overview</w:t>
        </w:r>
        <w:r w:rsidR="00473313">
          <w:rPr>
            <w:noProof/>
            <w:webHidden/>
          </w:rPr>
          <w:tab/>
        </w:r>
        <w:r w:rsidR="00473313">
          <w:rPr>
            <w:noProof/>
            <w:webHidden/>
          </w:rPr>
          <w:fldChar w:fldCharType="begin"/>
        </w:r>
        <w:r w:rsidR="00473313">
          <w:rPr>
            <w:noProof/>
            <w:webHidden/>
          </w:rPr>
          <w:instrText xml:space="preserve"> PAGEREF _Toc2703367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65B460FB" w14:textId="1E4EACF2"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00473313" w:rsidRPr="000D1E1C">
          <w:rPr>
            <w:rStyle w:val="Hyperlink"/>
            <w:noProof/>
          </w:rPr>
          <w:t>Statement of Need</w:t>
        </w:r>
        <w:r w:rsidR="00473313">
          <w:rPr>
            <w:noProof/>
            <w:webHidden/>
          </w:rPr>
          <w:tab/>
        </w:r>
        <w:r w:rsidR="00473313">
          <w:rPr>
            <w:noProof/>
            <w:webHidden/>
          </w:rPr>
          <w:fldChar w:fldCharType="begin"/>
        </w:r>
        <w:r w:rsidR="00473313">
          <w:rPr>
            <w:noProof/>
            <w:webHidden/>
          </w:rPr>
          <w:instrText xml:space="preserve"> PAGEREF _Toc2703368 \h </w:instrText>
        </w:r>
        <w:r w:rsidR="00473313">
          <w:rPr>
            <w:noProof/>
            <w:webHidden/>
          </w:rPr>
        </w:r>
        <w:r w:rsidR="00473313">
          <w:rPr>
            <w:noProof/>
            <w:webHidden/>
          </w:rPr>
          <w:fldChar w:fldCharType="separate"/>
        </w:r>
        <w:r w:rsidR="00473313">
          <w:rPr>
            <w:noProof/>
            <w:webHidden/>
          </w:rPr>
          <w:t>5</w:t>
        </w:r>
        <w:r w:rsidR="00473313">
          <w:rPr>
            <w:noProof/>
            <w:webHidden/>
          </w:rPr>
          <w:fldChar w:fldCharType="end"/>
        </w:r>
      </w:hyperlink>
    </w:p>
    <w:p w14:paraId="53F9796A" w14:textId="177C21E6"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00473313" w:rsidRPr="000D1E1C">
          <w:rPr>
            <w:rStyle w:val="Hyperlink"/>
            <w:noProof/>
          </w:rPr>
          <w:t>Rules Affected, Authorities, Supporting Documents</w:t>
        </w:r>
        <w:r w:rsidR="00473313">
          <w:rPr>
            <w:noProof/>
            <w:webHidden/>
          </w:rPr>
          <w:tab/>
        </w:r>
        <w:r w:rsidR="00473313">
          <w:rPr>
            <w:noProof/>
            <w:webHidden/>
          </w:rPr>
          <w:fldChar w:fldCharType="begin"/>
        </w:r>
        <w:r w:rsidR="00473313">
          <w:rPr>
            <w:noProof/>
            <w:webHidden/>
          </w:rPr>
          <w:instrText xml:space="preserve"> PAGEREF _Toc2703369 \h </w:instrText>
        </w:r>
        <w:r w:rsidR="00473313">
          <w:rPr>
            <w:noProof/>
            <w:webHidden/>
          </w:rPr>
        </w:r>
        <w:r w:rsidR="00473313">
          <w:rPr>
            <w:noProof/>
            <w:webHidden/>
          </w:rPr>
          <w:fldChar w:fldCharType="separate"/>
        </w:r>
        <w:r w:rsidR="00473313">
          <w:rPr>
            <w:noProof/>
            <w:webHidden/>
          </w:rPr>
          <w:t>6</w:t>
        </w:r>
        <w:r w:rsidR="00473313">
          <w:rPr>
            <w:noProof/>
            <w:webHidden/>
          </w:rPr>
          <w:fldChar w:fldCharType="end"/>
        </w:r>
      </w:hyperlink>
    </w:p>
    <w:p w14:paraId="24B3B77E" w14:textId="324C45ED"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00473313" w:rsidRPr="000D1E1C">
          <w:rPr>
            <w:rStyle w:val="Hyperlink"/>
            <w:noProof/>
          </w:rPr>
          <w:t>Fee Analysis</w:t>
        </w:r>
        <w:r w:rsidR="00473313">
          <w:rPr>
            <w:noProof/>
            <w:webHidden/>
          </w:rPr>
          <w:tab/>
        </w:r>
        <w:r w:rsidR="00473313">
          <w:rPr>
            <w:noProof/>
            <w:webHidden/>
          </w:rPr>
          <w:fldChar w:fldCharType="begin"/>
        </w:r>
        <w:r w:rsidR="00473313">
          <w:rPr>
            <w:noProof/>
            <w:webHidden/>
          </w:rPr>
          <w:instrText xml:space="preserve"> PAGEREF _Toc2703370 \h </w:instrText>
        </w:r>
        <w:r w:rsidR="00473313">
          <w:rPr>
            <w:noProof/>
            <w:webHidden/>
          </w:rPr>
        </w:r>
        <w:r w:rsidR="00473313">
          <w:rPr>
            <w:noProof/>
            <w:webHidden/>
          </w:rPr>
          <w:fldChar w:fldCharType="separate"/>
        </w:r>
        <w:r w:rsidR="00473313">
          <w:rPr>
            <w:noProof/>
            <w:webHidden/>
          </w:rPr>
          <w:t>8</w:t>
        </w:r>
        <w:r w:rsidR="00473313">
          <w:rPr>
            <w:noProof/>
            <w:webHidden/>
          </w:rPr>
          <w:fldChar w:fldCharType="end"/>
        </w:r>
      </w:hyperlink>
    </w:p>
    <w:p w14:paraId="1D932A67" w14:textId="3E4FC22D"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00473313" w:rsidRPr="000D1E1C">
          <w:rPr>
            <w:rStyle w:val="Hyperlink"/>
            <w:bCs/>
            <w:noProof/>
          </w:rPr>
          <w:t>Statement of Fiscal and Economic Impact</w:t>
        </w:r>
        <w:r w:rsidR="00473313">
          <w:rPr>
            <w:noProof/>
            <w:webHidden/>
          </w:rPr>
          <w:tab/>
        </w:r>
        <w:r w:rsidR="00473313">
          <w:rPr>
            <w:noProof/>
            <w:webHidden/>
          </w:rPr>
          <w:fldChar w:fldCharType="begin"/>
        </w:r>
        <w:r w:rsidR="00473313">
          <w:rPr>
            <w:noProof/>
            <w:webHidden/>
          </w:rPr>
          <w:instrText xml:space="preserve"> PAGEREF _Toc2703371 \h </w:instrText>
        </w:r>
        <w:r w:rsidR="00473313">
          <w:rPr>
            <w:noProof/>
            <w:webHidden/>
          </w:rPr>
        </w:r>
        <w:r w:rsidR="00473313">
          <w:rPr>
            <w:noProof/>
            <w:webHidden/>
          </w:rPr>
          <w:fldChar w:fldCharType="separate"/>
        </w:r>
        <w:r w:rsidR="00473313">
          <w:rPr>
            <w:noProof/>
            <w:webHidden/>
          </w:rPr>
          <w:t>18</w:t>
        </w:r>
        <w:r w:rsidR="00473313">
          <w:rPr>
            <w:noProof/>
            <w:webHidden/>
          </w:rPr>
          <w:fldChar w:fldCharType="end"/>
        </w:r>
      </w:hyperlink>
    </w:p>
    <w:p w14:paraId="31CE6BCA" w14:textId="27A462B5"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00473313" w:rsidRPr="000D1E1C">
          <w:rPr>
            <w:rStyle w:val="Hyperlink"/>
            <w:noProof/>
          </w:rPr>
          <w:t>Federal Relationship</w:t>
        </w:r>
        <w:r w:rsidR="00473313">
          <w:rPr>
            <w:noProof/>
            <w:webHidden/>
          </w:rPr>
          <w:tab/>
        </w:r>
        <w:r w:rsidR="00473313">
          <w:rPr>
            <w:noProof/>
            <w:webHidden/>
          </w:rPr>
          <w:fldChar w:fldCharType="begin"/>
        </w:r>
        <w:r w:rsidR="00473313">
          <w:rPr>
            <w:noProof/>
            <w:webHidden/>
          </w:rPr>
          <w:instrText xml:space="preserve"> PAGEREF _Toc2703372 \h </w:instrText>
        </w:r>
        <w:r w:rsidR="00473313">
          <w:rPr>
            <w:noProof/>
            <w:webHidden/>
          </w:rPr>
        </w:r>
        <w:r w:rsidR="00473313">
          <w:rPr>
            <w:noProof/>
            <w:webHidden/>
          </w:rPr>
          <w:fldChar w:fldCharType="separate"/>
        </w:r>
        <w:r w:rsidR="00473313">
          <w:rPr>
            <w:noProof/>
            <w:webHidden/>
          </w:rPr>
          <w:t>26</w:t>
        </w:r>
        <w:r w:rsidR="00473313">
          <w:rPr>
            <w:noProof/>
            <w:webHidden/>
          </w:rPr>
          <w:fldChar w:fldCharType="end"/>
        </w:r>
      </w:hyperlink>
    </w:p>
    <w:p w14:paraId="5709EAF7" w14:textId="0A1508FE"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00473313" w:rsidRPr="000D1E1C">
          <w:rPr>
            <w:rStyle w:val="Hyperlink"/>
            <w:noProof/>
          </w:rPr>
          <w:t>Land Use</w:t>
        </w:r>
        <w:r w:rsidR="00473313">
          <w:rPr>
            <w:noProof/>
            <w:webHidden/>
          </w:rPr>
          <w:tab/>
        </w:r>
        <w:r w:rsidR="00473313">
          <w:rPr>
            <w:noProof/>
            <w:webHidden/>
          </w:rPr>
          <w:fldChar w:fldCharType="begin"/>
        </w:r>
        <w:r w:rsidR="00473313">
          <w:rPr>
            <w:noProof/>
            <w:webHidden/>
          </w:rPr>
          <w:instrText xml:space="preserve"> PAGEREF _Toc2703373 \h </w:instrText>
        </w:r>
        <w:r w:rsidR="00473313">
          <w:rPr>
            <w:noProof/>
            <w:webHidden/>
          </w:rPr>
        </w:r>
        <w:r w:rsidR="00473313">
          <w:rPr>
            <w:noProof/>
            <w:webHidden/>
          </w:rPr>
          <w:fldChar w:fldCharType="separate"/>
        </w:r>
        <w:r w:rsidR="00473313">
          <w:rPr>
            <w:noProof/>
            <w:webHidden/>
          </w:rPr>
          <w:t>27</w:t>
        </w:r>
        <w:r w:rsidR="00473313">
          <w:rPr>
            <w:noProof/>
            <w:webHidden/>
          </w:rPr>
          <w:fldChar w:fldCharType="end"/>
        </w:r>
      </w:hyperlink>
    </w:p>
    <w:p w14:paraId="3287E39E" w14:textId="0B35F691"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00473313" w:rsidRPr="000D1E1C">
          <w:rPr>
            <w:rStyle w:val="Hyperlink"/>
            <w:noProof/>
          </w:rPr>
          <w:t>EQC Prior Involvement</w:t>
        </w:r>
        <w:r w:rsidR="00473313">
          <w:rPr>
            <w:noProof/>
            <w:webHidden/>
          </w:rPr>
          <w:tab/>
        </w:r>
        <w:r w:rsidR="00473313">
          <w:rPr>
            <w:noProof/>
            <w:webHidden/>
          </w:rPr>
          <w:fldChar w:fldCharType="begin"/>
        </w:r>
        <w:r w:rsidR="00473313">
          <w:rPr>
            <w:noProof/>
            <w:webHidden/>
          </w:rPr>
          <w:instrText xml:space="preserve"> PAGEREF _Toc2703374 \h </w:instrText>
        </w:r>
        <w:r w:rsidR="00473313">
          <w:rPr>
            <w:noProof/>
            <w:webHidden/>
          </w:rPr>
        </w:r>
        <w:r w:rsidR="00473313">
          <w:rPr>
            <w:noProof/>
            <w:webHidden/>
          </w:rPr>
          <w:fldChar w:fldCharType="separate"/>
        </w:r>
        <w:r w:rsidR="00473313">
          <w:rPr>
            <w:noProof/>
            <w:webHidden/>
          </w:rPr>
          <w:t>28</w:t>
        </w:r>
        <w:r w:rsidR="00473313">
          <w:rPr>
            <w:noProof/>
            <w:webHidden/>
          </w:rPr>
          <w:fldChar w:fldCharType="end"/>
        </w:r>
      </w:hyperlink>
    </w:p>
    <w:p w14:paraId="2233EEBB" w14:textId="5D3115B8"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00473313" w:rsidRPr="000D1E1C">
          <w:rPr>
            <w:rStyle w:val="Hyperlink"/>
            <w:noProof/>
          </w:rPr>
          <w:t>Advisory Committee</w:t>
        </w:r>
        <w:r w:rsidR="00473313">
          <w:rPr>
            <w:noProof/>
            <w:webHidden/>
          </w:rPr>
          <w:tab/>
        </w:r>
        <w:r w:rsidR="00473313">
          <w:rPr>
            <w:noProof/>
            <w:webHidden/>
          </w:rPr>
          <w:fldChar w:fldCharType="begin"/>
        </w:r>
        <w:r w:rsidR="00473313">
          <w:rPr>
            <w:noProof/>
            <w:webHidden/>
          </w:rPr>
          <w:instrText xml:space="preserve"> PAGEREF _Toc2703375 \h </w:instrText>
        </w:r>
        <w:r w:rsidR="00473313">
          <w:rPr>
            <w:noProof/>
            <w:webHidden/>
          </w:rPr>
        </w:r>
        <w:r w:rsidR="00473313">
          <w:rPr>
            <w:noProof/>
            <w:webHidden/>
          </w:rPr>
          <w:fldChar w:fldCharType="separate"/>
        </w:r>
        <w:r w:rsidR="00473313">
          <w:rPr>
            <w:noProof/>
            <w:webHidden/>
          </w:rPr>
          <w:t>29</w:t>
        </w:r>
        <w:r w:rsidR="00473313">
          <w:rPr>
            <w:noProof/>
            <w:webHidden/>
          </w:rPr>
          <w:fldChar w:fldCharType="end"/>
        </w:r>
      </w:hyperlink>
    </w:p>
    <w:p w14:paraId="3D5A369A" w14:textId="55AACC60"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00473313" w:rsidRPr="000D1E1C">
          <w:rPr>
            <w:rStyle w:val="Hyperlink"/>
            <w:noProof/>
          </w:rPr>
          <w:t>Public Engagement</w:t>
        </w:r>
        <w:r w:rsidR="00473313">
          <w:rPr>
            <w:noProof/>
            <w:webHidden/>
          </w:rPr>
          <w:tab/>
        </w:r>
        <w:r w:rsidR="00473313">
          <w:rPr>
            <w:noProof/>
            <w:webHidden/>
          </w:rPr>
          <w:fldChar w:fldCharType="begin"/>
        </w:r>
        <w:r w:rsidR="00473313">
          <w:rPr>
            <w:noProof/>
            <w:webHidden/>
          </w:rPr>
          <w:instrText xml:space="preserve"> PAGEREF _Toc2703376 \h </w:instrText>
        </w:r>
        <w:r w:rsidR="00473313">
          <w:rPr>
            <w:noProof/>
            <w:webHidden/>
          </w:rPr>
        </w:r>
        <w:r w:rsidR="00473313">
          <w:rPr>
            <w:noProof/>
            <w:webHidden/>
          </w:rPr>
          <w:fldChar w:fldCharType="separate"/>
        </w:r>
        <w:r w:rsidR="00473313">
          <w:rPr>
            <w:noProof/>
            <w:webHidden/>
          </w:rPr>
          <w:t>30</w:t>
        </w:r>
        <w:r w:rsidR="00473313">
          <w:rPr>
            <w:noProof/>
            <w:webHidden/>
          </w:rPr>
          <w:fldChar w:fldCharType="end"/>
        </w:r>
      </w:hyperlink>
    </w:p>
    <w:p w14:paraId="48ED9467" w14:textId="0B773A6C"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00473313" w:rsidRPr="000D1E1C">
          <w:rPr>
            <w:rStyle w:val="Hyperlink"/>
            <w:noProof/>
          </w:rPr>
          <w:t>Public Hearing</w:t>
        </w:r>
        <w:r w:rsidR="00473313">
          <w:rPr>
            <w:noProof/>
            <w:webHidden/>
          </w:rPr>
          <w:tab/>
        </w:r>
        <w:r w:rsidR="00473313">
          <w:rPr>
            <w:noProof/>
            <w:webHidden/>
          </w:rPr>
          <w:fldChar w:fldCharType="begin"/>
        </w:r>
        <w:r w:rsidR="00473313">
          <w:rPr>
            <w:noProof/>
            <w:webHidden/>
          </w:rPr>
          <w:instrText xml:space="preserve"> PAGEREF _Toc2703377 \h </w:instrText>
        </w:r>
        <w:r w:rsidR="00473313">
          <w:rPr>
            <w:noProof/>
            <w:webHidden/>
          </w:rPr>
        </w:r>
        <w:r w:rsidR="00473313">
          <w:rPr>
            <w:noProof/>
            <w:webHidden/>
          </w:rPr>
          <w:fldChar w:fldCharType="separate"/>
        </w:r>
        <w:r w:rsidR="00473313">
          <w:rPr>
            <w:noProof/>
            <w:webHidden/>
          </w:rPr>
          <w:t>31</w:t>
        </w:r>
        <w:r w:rsidR="00473313">
          <w:rPr>
            <w:noProof/>
            <w:webHidden/>
          </w:rPr>
          <w:fldChar w:fldCharType="end"/>
        </w:r>
      </w:hyperlink>
    </w:p>
    <w:p w14:paraId="5D6300D1" w14:textId="07A92421"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00473313" w:rsidRPr="000D1E1C">
          <w:rPr>
            <w:rStyle w:val="Hyperlink"/>
            <w:noProof/>
          </w:rPr>
          <w:t>Summary of Public Comments and DEQ Responses</w:t>
        </w:r>
        <w:r w:rsidR="00473313">
          <w:rPr>
            <w:noProof/>
            <w:webHidden/>
          </w:rPr>
          <w:tab/>
        </w:r>
        <w:r w:rsidR="00473313">
          <w:rPr>
            <w:noProof/>
            <w:webHidden/>
          </w:rPr>
          <w:fldChar w:fldCharType="begin"/>
        </w:r>
        <w:r w:rsidR="00473313">
          <w:rPr>
            <w:noProof/>
            <w:webHidden/>
          </w:rPr>
          <w:instrText xml:space="preserve"> PAGEREF _Toc2703378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3A23441E" w14:textId="54C1FF42"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00473313" w:rsidRPr="000D1E1C">
          <w:rPr>
            <w:rStyle w:val="Hyperlink"/>
            <w:rFonts w:cs="Arial"/>
            <w:noProof/>
          </w:rPr>
          <w:t>Public comment period</w:t>
        </w:r>
        <w:r w:rsidR="00473313">
          <w:rPr>
            <w:noProof/>
            <w:webHidden/>
          </w:rPr>
          <w:tab/>
        </w:r>
        <w:r w:rsidR="00473313">
          <w:rPr>
            <w:noProof/>
            <w:webHidden/>
          </w:rPr>
          <w:fldChar w:fldCharType="begin"/>
        </w:r>
        <w:r w:rsidR="00473313">
          <w:rPr>
            <w:noProof/>
            <w:webHidden/>
          </w:rPr>
          <w:instrText xml:space="preserve"> PAGEREF _Toc2703379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75F905D7" w14:textId="7414C1D5"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00473313" w:rsidRPr="000D1E1C">
          <w:rPr>
            <w:rStyle w:val="Hyperlink"/>
            <w:noProof/>
          </w:rPr>
          <w:t>Five-year review – Leave Blank – Will be Completed by Agency Rules Coordinator</w:t>
        </w:r>
        <w:r w:rsidR="00473313">
          <w:rPr>
            <w:noProof/>
            <w:webHidden/>
          </w:rPr>
          <w:tab/>
        </w:r>
        <w:r w:rsidR="00473313">
          <w:rPr>
            <w:noProof/>
            <w:webHidden/>
          </w:rPr>
          <w:fldChar w:fldCharType="begin"/>
        </w:r>
        <w:r w:rsidR="00473313">
          <w:rPr>
            <w:noProof/>
            <w:webHidden/>
          </w:rPr>
          <w:instrText xml:space="preserve"> PAGEREF _Toc2703380 \h </w:instrText>
        </w:r>
        <w:r w:rsidR="00473313">
          <w:rPr>
            <w:noProof/>
            <w:webHidden/>
          </w:rPr>
        </w:r>
        <w:r w:rsidR="00473313">
          <w:rPr>
            <w:noProof/>
            <w:webHidden/>
          </w:rPr>
          <w:fldChar w:fldCharType="separate"/>
        </w:r>
        <w:r w:rsidR="00473313">
          <w:rPr>
            <w:noProof/>
            <w:webHidden/>
          </w:rPr>
          <w:t>34</w:t>
        </w:r>
        <w:r w:rsidR="00473313">
          <w:rPr>
            <w:noProof/>
            <w:webHidden/>
          </w:rPr>
          <w:fldChar w:fldCharType="end"/>
        </w:r>
      </w:hyperlink>
    </w:p>
    <w:p w14:paraId="6D620C3A" w14:textId="55F2BC01"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00473313" w:rsidRPr="000D1E1C">
          <w:rPr>
            <w:rStyle w:val="Hyperlink"/>
            <w:noProof/>
          </w:rPr>
          <w:t>Draft Rules – With Edits Highlighted</w:t>
        </w:r>
        <w:r w:rsidR="00473313">
          <w:rPr>
            <w:noProof/>
            <w:webHidden/>
          </w:rPr>
          <w:tab/>
        </w:r>
        <w:r w:rsidR="00473313">
          <w:rPr>
            <w:noProof/>
            <w:webHidden/>
          </w:rPr>
          <w:fldChar w:fldCharType="begin"/>
        </w:r>
        <w:r w:rsidR="00473313">
          <w:rPr>
            <w:noProof/>
            <w:webHidden/>
          </w:rPr>
          <w:instrText xml:space="preserve"> PAGEREF _Toc2703381 \h </w:instrText>
        </w:r>
        <w:r w:rsidR="00473313">
          <w:rPr>
            <w:noProof/>
            <w:webHidden/>
          </w:rPr>
        </w:r>
        <w:r w:rsidR="00473313">
          <w:rPr>
            <w:noProof/>
            <w:webHidden/>
          </w:rPr>
          <w:fldChar w:fldCharType="separate"/>
        </w:r>
        <w:r w:rsidR="00473313">
          <w:rPr>
            <w:noProof/>
            <w:webHidden/>
          </w:rPr>
          <w:t>36</w:t>
        </w:r>
        <w:r w:rsidR="00473313">
          <w:rPr>
            <w:noProof/>
            <w:webHidden/>
          </w:rPr>
          <w:fldChar w:fldCharType="end"/>
        </w:r>
      </w:hyperlink>
    </w:p>
    <w:p w14:paraId="657C087A" w14:textId="733BDF13"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00473313" w:rsidRPr="000D1E1C">
          <w:rPr>
            <w:rStyle w:val="Hyperlink"/>
            <w:noProof/>
          </w:rPr>
          <w:t>Draft Rules – With Edits Included</w:t>
        </w:r>
        <w:r w:rsidR="00473313">
          <w:rPr>
            <w:noProof/>
            <w:webHidden/>
          </w:rPr>
          <w:tab/>
        </w:r>
        <w:r w:rsidR="00473313">
          <w:rPr>
            <w:noProof/>
            <w:webHidden/>
          </w:rPr>
          <w:fldChar w:fldCharType="begin"/>
        </w:r>
        <w:r w:rsidR="00473313">
          <w:rPr>
            <w:noProof/>
            <w:webHidden/>
          </w:rPr>
          <w:instrText xml:space="preserve"> PAGEREF _Toc2703382 \h </w:instrText>
        </w:r>
        <w:r w:rsidR="00473313">
          <w:rPr>
            <w:noProof/>
            <w:webHidden/>
          </w:rPr>
        </w:r>
        <w:r w:rsidR="00473313">
          <w:rPr>
            <w:noProof/>
            <w:webHidden/>
          </w:rPr>
          <w:fldChar w:fldCharType="separate"/>
        </w:r>
        <w:r w:rsidR="00473313">
          <w:rPr>
            <w:noProof/>
            <w:webHidden/>
          </w:rPr>
          <w:t>37</w:t>
        </w:r>
        <w:r w:rsidR="00473313">
          <w:rPr>
            <w:noProof/>
            <w:webHidden/>
          </w:rPr>
          <w:fldChar w:fldCharType="end"/>
        </w:r>
      </w:hyperlink>
    </w:p>
    <w:p w14:paraId="625E1074" w14:textId="32328BBD" w:rsidR="00473313" w:rsidRDefault="003E164A">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00473313" w:rsidRPr="000D1E1C">
          <w:rPr>
            <w:rStyle w:val="Hyperlink"/>
            <w:noProof/>
          </w:rPr>
          <w:t>Supporting Documents</w:t>
        </w:r>
        <w:r w:rsidR="00473313">
          <w:rPr>
            <w:noProof/>
            <w:webHidden/>
          </w:rPr>
          <w:tab/>
        </w:r>
        <w:r w:rsidR="00473313">
          <w:rPr>
            <w:noProof/>
            <w:webHidden/>
          </w:rPr>
          <w:fldChar w:fldCharType="begin"/>
        </w:r>
        <w:r w:rsidR="00473313">
          <w:rPr>
            <w:noProof/>
            <w:webHidden/>
          </w:rPr>
          <w:instrText xml:space="preserve"> PAGEREF _Toc2703383 \h </w:instrText>
        </w:r>
        <w:r w:rsidR="00473313">
          <w:rPr>
            <w:noProof/>
            <w:webHidden/>
          </w:rPr>
        </w:r>
        <w:r w:rsidR="00473313">
          <w:rPr>
            <w:noProof/>
            <w:webHidden/>
          </w:rPr>
          <w:fldChar w:fldCharType="separate"/>
        </w:r>
        <w:r w:rsidR="00473313">
          <w:rPr>
            <w:noProof/>
            <w:webHidden/>
          </w:rPr>
          <w:t>38</w:t>
        </w:r>
        <w:r w:rsidR="00473313">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1" w:name="_Toc2703365"/>
            <w:r>
              <w:t>Accessibility Information</w:t>
            </w:r>
            <w:bookmarkEnd w:id="1"/>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2" w:name="_Toc2703366"/>
            <w:r w:rsidRPr="001404B0">
              <w:t xml:space="preserve">DEQ </w:t>
            </w:r>
            <w:r w:rsidR="00635335">
              <w:t>R</w:t>
            </w:r>
            <w:r w:rsidRPr="001404B0">
              <w:t>ecommendation to the EQC</w:t>
            </w:r>
            <w:bookmarkEnd w:id="2"/>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3" w:name="_Toc2703367"/>
            <w:r w:rsidRPr="001404B0">
              <w:t>Overview</w:t>
            </w:r>
            <w:bookmarkEnd w:id="3"/>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7777777"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this program rather than </w:t>
      </w:r>
      <w:r>
        <w:rPr>
          <w:bCs/>
        </w:rPr>
        <w:t xml:space="preserve">having </w:t>
      </w:r>
      <w:r w:rsidRPr="002B0DC7">
        <w:rPr>
          <w:bCs/>
        </w:rPr>
        <w:t>the U.S. Environmental Protection Agency</w:t>
      </w:r>
      <w:r>
        <w:rPr>
          <w:bCs/>
        </w:rPr>
        <w:t xml:space="preserve"> run the program</w:t>
      </w:r>
      <w:r w:rsidRPr="002B0DC7">
        <w:rPr>
          <w:bCs/>
        </w:rPr>
        <w:t xml:space="preserve">. This ensures flexibility and responsiveness in implementing the </w:t>
      </w:r>
      <w:r>
        <w:rPr>
          <w:bCs/>
        </w:rPr>
        <w:t>Hazardous Waste P</w:t>
      </w:r>
      <w:r w:rsidRPr="002B0DC7">
        <w:rPr>
          <w:bCs/>
        </w:rPr>
        <w:t>rogram in Oregon.</w:t>
      </w:r>
    </w:p>
    <w:p w14:paraId="7E636E40" w14:textId="55CFB4E5"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 or Resource Conservation and Recovery Act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7777777"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R</w:t>
      </w:r>
      <w:r w:rsidRPr="008D2B9B">
        <w:rPr>
          <w:rFonts w:ascii="Times New Roman" w:eastAsia="Times" w:hAnsi="Times New Roman" w:cs="Times New Roman"/>
          <w:b w:val="0"/>
          <w:bCs w:val="0"/>
          <w:color w:val="auto"/>
          <w:sz w:val="24"/>
          <w:szCs w:val="24"/>
        </w:rPr>
        <w:t xml:space="preserve">equired </w:t>
      </w:r>
      <w:r>
        <w:rPr>
          <w:rFonts w:ascii="Times New Roman" w:eastAsia="Times" w:hAnsi="Times New Roman" w:cs="Times New Roman"/>
          <w:b w:val="0"/>
          <w:bCs w:val="0"/>
          <w:color w:val="auto"/>
          <w:sz w:val="24"/>
          <w:szCs w:val="24"/>
        </w:rPr>
        <w:t>G</w:t>
      </w:r>
      <w:r w:rsidRPr="008D2B9B">
        <w:rPr>
          <w:rFonts w:ascii="Times New Roman" w:eastAsia="Times" w:hAnsi="Times New Roman" w:cs="Times New Roman"/>
          <w:b w:val="0"/>
          <w:bCs w:val="0"/>
          <w:color w:val="auto"/>
          <w:sz w:val="24"/>
          <w:szCs w:val="24"/>
        </w:rPr>
        <w:t xml:space="preserve">eneral </w:t>
      </w:r>
      <w:r>
        <w:rPr>
          <w:rFonts w:ascii="Times New Roman" w:eastAsia="Times" w:hAnsi="Times New Roman" w:cs="Times New Roman"/>
          <w:b w:val="0"/>
          <w:bCs w:val="0"/>
          <w:color w:val="auto"/>
          <w:sz w:val="24"/>
          <w:szCs w:val="24"/>
        </w:rPr>
        <w:t>F</w:t>
      </w:r>
      <w:r w:rsidRPr="008D2B9B">
        <w:rPr>
          <w:rFonts w:ascii="Times New Roman" w:eastAsia="Times" w:hAnsi="Times New Roman" w:cs="Times New Roman"/>
          <w:b w:val="0"/>
          <w:bCs w:val="0"/>
          <w:color w:val="auto"/>
          <w:sz w:val="24"/>
          <w:szCs w:val="24"/>
        </w:rPr>
        <w:t xml:space="preserve">und reductions and shifts to </w:t>
      </w:r>
      <w:r>
        <w:rPr>
          <w:rFonts w:ascii="Times New Roman" w:eastAsia="Times" w:hAnsi="Times New Roman" w:cs="Times New Roman"/>
          <w:b w:val="0"/>
          <w:bCs w:val="0"/>
          <w:color w:val="auto"/>
          <w:sz w:val="24"/>
          <w:szCs w:val="24"/>
        </w:rPr>
        <w:t xml:space="preserve">a </w:t>
      </w:r>
      <w:r w:rsidRPr="008D2B9B">
        <w:rPr>
          <w:rFonts w:ascii="Times New Roman" w:eastAsia="Times" w:hAnsi="Times New Roman" w:cs="Times New Roman"/>
          <w:b w:val="0"/>
          <w:bCs w:val="0"/>
          <w:color w:val="auto"/>
          <w:sz w:val="24"/>
          <w:szCs w:val="24"/>
        </w:rPr>
        <w:t>grant- and fee-based program</w:t>
      </w:r>
      <w:r>
        <w:rPr>
          <w:rFonts w:ascii="Times New Roman" w:eastAsia="Times" w:hAnsi="Times New Roman" w:cs="Times New Roman"/>
          <w:b w:val="0"/>
          <w:bCs w:val="0"/>
          <w:color w:val="auto"/>
          <w:sz w:val="24"/>
          <w:szCs w:val="24"/>
        </w:rPr>
        <w:t xml:space="preserve"> ended the program’s General Fund allocation in 2014.</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34264484"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Pr>
          <w:bCs/>
        </w:rPr>
        <w:t>retain</w:t>
      </w:r>
      <w:r w:rsidRPr="002B0DC7">
        <w:rPr>
          <w:bCs/>
        </w:rPr>
        <w:t xml:space="preserve"> federal </w:t>
      </w:r>
      <w:r>
        <w:rPr>
          <w:bCs/>
        </w:rPr>
        <w:t>authorization</w:t>
      </w:r>
      <w:r w:rsidRPr="002B0DC7">
        <w:rPr>
          <w:bCs/>
        </w:rPr>
        <w:t xml:space="preserve"> of the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00A45E70"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TSD d</w:t>
      </w:r>
      <w:r>
        <w:rPr>
          <w:spacing w:val="-3"/>
        </w:rPr>
        <w:t xml:space="preserve">isposal 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4" w:name="_Toc2703368"/>
            <w:r w:rsidRPr="001404B0">
              <w:t>Statement of Need</w:t>
            </w:r>
            <w:bookmarkEnd w:id="4"/>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p w14:paraId="1FE6A2BF" w14:textId="77777777" w:rsidR="007405E4" w:rsidRDefault="007405E4" w:rsidP="007405E4">
      <w:pPr>
        <w:ind w:left="0" w:right="-360"/>
        <w:rPr>
          <w:rFonts w:eastAsia="Times"/>
          <w:b/>
          <w:bCs/>
        </w:rPr>
      </w:pPr>
      <w:r w:rsidRPr="00A50053">
        <w:rPr>
          <w:rFonts w:eastAsia="Times"/>
        </w:rPr>
        <w:t xml:space="preserve">The majority of 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75118035"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hazardous waste program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77777777" w:rsidR="007405E4" w:rsidRDefault="007405E4" w:rsidP="00C16C0C">
      <w:pPr>
        <w:pStyle w:val="ListParagraph"/>
        <w:numPr>
          <w:ilvl w:val="0"/>
          <w:numId w:val="7"/>
        </w:numPr>
        <w:ind w:right="-360"/>
      </w:pPr>
      <w:r>
        <w:t xml:space="preserve">Better align fees with the program‘s workload at these facilities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5"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5"/>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3E164A" w:rsidP="007405E4">
            <w:pPr>
              <w:ind w:left="0" w:right="0"/>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3E164A" w:rsidP="007405E4">
            <w:pPr>
              <w:ind w:left="0" w:right="0"/>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3E164A"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3E164A"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3E164A"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6" w:name="_Toc2703370"/>
            <w:r w:rsidRPr="001404B0">
              <w:t>Fee Analysis</w:t>
            </w:r>
            <w:bookmarkEnd w:id="6"/>
          </w:p>
          <w:p w14:paraId="3733C628" w14:textId="59A8A62C" w:rsidR="006778C8" w:rsidRPr="006778C8" w:rsidRDefault="006778C8" w:rsidP="006778C8"/>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013B3D2E" w:rsidR="007405E4" w:rsidRPr="00D42752" w:rsidRDefault="007405E4" w:rsidP="007405E4">
      <w:pPr>
        <w:ind w:left="0" w:right="-432"/>
        <w:rPr>
          <w:bCs/>
        </w:rPr>
      </w:pPr>
      <w:r w:rsidRPr="00D42752">
        <w:t>The</w:t>
      </w:r>
      <w:r w:rsidR="00570161">
        <w:t xml:space="preserve"> </w:t>
      </w:r>
      <w:r w:rsidR="00473313">
        <w:t>C</w:t>
      </w:r>
      <w:r w:rsidR="00822894">
        <w:t>ommission</w:t>
      </w:r>
      <w:r>
        <w:t>’s</w:t>
      </w:r>
      <w:r w:rsidRPr="00D42752">
        <w:t xml:space="preserve"> approval of this rule proposal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822894">
        <w:t xml:space="preserve">Commission </w:t>
      </w:r>
      <w:r w:rsidRPr="00D42752">
        <w:t>authority to act on the proposed fees 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77777777" w:rsidR="007405E4" w:rsidRPr="00303B1B" w:rsidRDefault="007405E4" w:rsidP="007405E4">
      <w:pPr>
        <w:ind w:left="0" w:right="-432"/>
      </w:pPr>
      <w:r w:rsidRPr="00D42752">
        <w:t xml:space="preserve">The proposed fees would address </w:t>
      </w:r>
      <w:r>
        <w:t>the</w:t>
      </w:r>
      <w:r>
        <w:rPr>
          <w:spacing w:val="-3"/>
        </w:rPr>
        <w:t xml:space="preserve"> projected funding shortfall in the 2019-21 biennium revenue for the Hazardous Waste Program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043CCD49"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the Chemical </w:t>
      </w:r>
      <w:r w:rsidRPr="00C2217D">
        <w:t xml:space="preserve">Waste Management’s Arlington </w:t>
      </w:r>
      <w:r w:rsidR="006D7A83">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t>Change in other fund revenue</w:t>
      </w:r>
      <w:r w:rsidRPr="006778C8">
        <w:rPr>
          <w:b/>
          <w:bCs/>
        </w:rPr>
        <w:t xml:space="preserve"> </w:t>
      </w:r>
    </w:p>
    <w:p w14:paraId="5B2E428C" w14:textId="77777777" w:rsidR="007405E4" w:rsidRDefault="007405E4" w:rsidP="007405E4">
      <w:pPr>
        <w:ind w:left="360" w:right="-432"/>
      </w:pPr>
      <w:r w:rsidRPr="00C2217D">
        <w:t xml:space="preserve">Since 2004, </w:t>
      </w:r>
      <w:r>
        <w:t>the</w:t>
      </w:r>
      <w:r w:rsidRPr="00C2217D">
        <w:t xml:space="preserve"> program</w:t>
      </w:r>
      <w:r>
        <w:t>’s</w:t>
      </w:r>
      <w:r w:rsidRPr="00C2217D">
        <w:t xml:space="preserve"> EPA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1854D044" w:rsidR="007405E4" w:rsidRDefault="007405E4" w:rsidP="007405E4">
      <w:pPr>
        <w:ind w:left="360"/>
      </w:pPr>
      <w:r w:rsidRPr="00C2217D">
        <w:t>Most program fees remain</w:t>
      </w:r>
      <w:r>
        <w:t>ed</w:t>
      </w:r>
      <w:r w:rsidRPr="00C2217D">
        <w:t xml:space="preserve"> unchanged for nearly 20 years</w:t>
      </w:r>
      <w:r>
        <w:t xml:space="preserve"> without adjustment for inflation. Increased program costs include, but are not limited to, salaries, benefits</w:t>
      </w:r>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1FE6848A" w:rsidR="007405E4" w:rsidRDefault="007405E4" w:rsidP="007405E4">
      <w:pPr>
        <w:ind w:left="360" w:right="-432"/>
        <w:rPr>
          <w:bCs/>
          <w:color w:val="C45911" w:themeColor="accent2" w:themeShade="BF"/>
        </w:rPr>
      </w:pPr>
      <w:r>
        <w:t>The program has two currently operating TSD permitted facilities. Permit modification fees remain at the 1997 level, without any inflation increase.</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small ending fund balance. </w:t>
      </w:r>
    </w:p>
    <w:p w14:paraId="3CC3A610" w14:textId="77777777" w:rsidR="007405E4" w:rsidRDefault="007405E4" w:rsidP="007405E4">
      <w:pPr>
        <w:ind w:left="360"/>
      </w:pPr>
    </w:p>
    <w:p w14:paraId="38C688A2" w14:textId="77777777" w:rsidR="007405E4" w:rsidRPr="006778C8" w:rsidRDefault="007405E4" w:rsidP="006778C8">
      <w:pPr>
        <w:ind w:left="360" w:right="-432"/>
        <w:rPr>
          <w:b/>
        </w:rPr>
      </w:pPr>
      <w:r w:rsidRPr="006778C8">
        <w:rPr>
          <w:b/>
        </w:rPr>
        <w:t xml:space="preserve">Static number of base fee payers </w:t>
      </w:r>
    </w:p>
    <w:p w14:paraId="33747A01" w14:textId="77777777"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77777777"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p>
    <w:p w14:paraId="35561368" w14:textId="77777777" w:rsidR="007405E4" w:rsidRDefault="007405E4" w:rsidP="007405E4">
      <w:pPr>
        <w:ind w:left="0" w:right="-432"/>
      </w:pPr>
    </w:p>
    <w:p w14:paraId="42335DD0" w14:textId="77777777" w:rsidR="007405E4" w:rsidRPr="00D7024E" w:rsidRDefault="007405E4" w:rsidP="007405E4">
      <w:pPr>
        <w:ind w:left="0" w:right="-432"/>
      </w:pPr>
      <w:r>
        <w:t>In addition, the program considered the following, which requires changing the controlling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7B1CA414" w:rsidR="007405E4" w:rsidRPr="0021412C" w:rsidRDefault="007405E4" w:rsidP="00C16C0C">
      <w:pPr>
        <w:pStyle w:val="ListParagraph"/>
        <w:numPr>
          <w:ilvl w:val="0"/>
          <w:numId w:val="9"/>
        </w:numPr>
        <w:ind w:right="-432"/>
      </w:pPr>
      <w:r>
        <w:rPr>
          <w:bCs/>
        </w:rPr>
        <w:t xml:space="preserve">Inflation or </w:t>
      </w:r>
      <w:r w:rsidR="006D7A83">
        <w:rPr>
          <w:bCs/>
        </w:rPr>
        <w:t>C</w:t>
      </w:r>
      <w:r>
        <w:rPr>
          <w:bCs/>
        </w:rPr>
        <w:t xml:space="preserve">onsumer </w:t>
      </w:r>
      <w:r w:rsidR="006D7A83">
        <w:rPr>
          <w:bCs/>
        </w:rPr>
        <w:t>P</w:t>
      </w:r>
      <w:r>
        <w:rPr>
          <w:bCs/>
        </w:rPr>
        <w:t xml:space="preserve">rice </w:t>
      </w:r>
      <w:r w:rsidR="006D7A83">
        <w:rPr>
          <w:bCs/>
        </w:rPr>
        <w:t>I</w:t>
      </w:r>
      <w:r>
        <w:rPr>
          <w:bCs/>
        </w:rPr>
        <w:t>ndex consideration</w:t>
      </w:r>
    </w:p>
    <w:p w14:paraId="3FEB0139" w14:textId="77777777" w:rsidR="007405E4" w:rsidRPr="0021412C" w:rsidRDefault="007405E4" w:rsidP="00C16C0C">
      <w:pPr>
        <w:pStyle w:val="ListParagraph"/>
        <w:numPr>
          <w:ilvl w:val="0"/>
          <w:numId w:val="9"/>
        </w:numPr>
        <w:ind w:right="-432"/>
      </w:pPr>
      <w:r>
        <w:rPr>
          <w:bCs/>
        </w:rPr>
        <w:t>Cost recovery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 xml:space="preserve">When </w:t>
      </w:r>
      <w:proofErr w:type="gramStart"/>
      <w:r w:rsidRPr="00580597">
        <w:rPr>
          <w:rFonts w:ascii="Arial" w:hAnsi="Arial" w:cs="Arial"/>
          <w:b/>
        </w:rPr>
        <w:t>were these fees</w:t>
      </w:r>
      <w:proofErr w:type="gramEnd"/>
      <w:r w:rsidRPr="00580597">
        <w:rPr>
          <w:rFonts w:ascii="Arial" w:hAnsi="Arial" w:cs="Arial"/>
          <w:b/>
        </w:rPr>
        <w:t xml:space="preserve"> last increased?</w:t>
      </w:r>
    </w:p>
    <w:p w14:paraId="797726C2" w14:textId="77777777" w:rsidR="007405E4" w:rsidRDefault="007405E4" w:rsidP="00C16C0C">
      <w:pPr>
        <w:pStyle w:val="ListParagraph"/>
        <w:numPr>
          <w:ilvl w:val="0"/>
          <w:numId w:val="10"/>
        </w:numPr>
        <w:ind w:right="-432"/>
      </w:pPr>
      <w:r>
        <w:t>The generator management method factor has not changed since established in 1992</w:t>
      </w:r>
    </w:p>
    <w:p w14:paraId="6B16D92F" w14:textId="77777777" w:rsidR="007405E4" w:rsidRDefault="007405E4" w:rsidP="00C16C0C">
      <w:pPr>
        <w:pStyle w:val="ListParagraph"/>
        <w:numPr>
          <w:ilvl w:val="0"/>
          <w:numId w:val="10"/>
        </w:numPr>
        <w:ind w:right="-432"/>
      </w:pPr>
      <w:r>
        <w:t xml:space="preserve">The generator annual activity verification fee last changed in 1997, when the small quantity generator fee increased from $200 to $300 and the large quantity generator fee increased from $350 to $525 </w:t>
      </w:r>
    </w:p>
    <w:p w14:paraId="6696D1E3" w14:textId="36972607"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3E7A91BD" w:rsidR="007405E4" w:rsidRPr="00D42752" w:rsidRDefault="007405E4">
            <w:pPr>
              <w:ind w:left="0" w:right="-432"/>
              <w:rPr>
                <w:bCs/>
              </w:rPr>
            </w:pPr>
            <w:r w:rsidRPr="00D42752">
              <w:rPr>
                <w:bCs/>
              </w:rPr>
              <w:t xml:space="preserve">Fee </w:t>
            </w:r>
            <w:proofErr w:type="spellStart"/>
            <w:r w:rsidRPr="00D42752">
              <w:rPr>
                <w:bCs/>
              </w:rPr>
              <w:t>ast</w:t>
            </w:r>
            <w:proofErr w:type="spellEnd"/>
            <w:r w:rsidRPr="00D42752">
              <w:rPr>
                <w:bCs/>
              </w:rPr>
              <w:t xml:space="preserve">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7777777" w:rsidR="007405E4" w:rsidRPr="006872DA" w:rsidRDefault="007405E4" w:rsidP="007405E4">
      <w:pPr>
        <w:ind w:left="0"/>
      </w:pPr>
      <w:r w:rsidRPr="006872DA">
        <w:t xml:space="preserve">DEQ is looking at several fee-funding alternatives in a multi-year </w:t>
      </w:r>
      <w:r>
        <w:t>effort</w:t>
      </w:r>
      <w:r w:rsidRPr="006872DA">
        <w:t xml:space="preserve"> to address this deficit</w:t>
      </w:r>
      <w:r>
        <w:t xml:space="preserve"> by 2026</w:t>
      </w:r>
      <w:r w:rsidRPr="006872DA">
        <w:t xml:space="preserve">. </w:t>
      </w:r>
      <w:r>
        <w:t>Phase I, this rulemaking will address those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77777777"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p>
    <w:p w14:paraId="0413FB60" w14:textId="77777777"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X $130 X management method factor</w:t>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77777777" w:rsidR="007405E4" w:rsidRDefault="007405E4" w:rsidP="007405E4">
      <w:pPr>
        <w:ind w:left="0"/>
        <w:rPr>
          <w:lang w:val="en-ZW"/>
        </w:rPr>
      </w:pPr>
      <w:r>
        <w:rPr>
          <w:lang w:val="en-ZW"/>
        </w:rPr>
        <w:t xml:space="preserve">The fee is </w:t>
      </w:r>
      <w:r w:rsidRPr="007A41B4">
        <w:rPr>
          <w:lang w:val="en-ZW"/>
        </w:rPr>
        <w:t xml:space="preserve">based on generator category. All generators of hazardous waste </w:t>
      </w:r>
      <w:r>
        <w:rPr>
          <w:lang w:val="en-ZW"/>
        </w:rPr>
        <w:t>that</w:t>
      </w:r>
      <w:r w:rsidRPr="007A41B4">
        <w:rPr>
          <w:lang w:val="en-ZW"/>
        </w:rPr>
        <w:t xml:space="preserve"> notified DEQ of their activities and obtained 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proofErr w:type="gramStart"/>
      <w:r w:rsidRPr="00266C5D">
        <w:rPr>
          <w:lang w:val="en-ZW"/>
        </w:rPr>
        <w:t>a</w:t>
      </w:r>
      <w:proofErr w:type="gramEnd"/>
      <w:r w:rsidRPr="00266C5D">
        <w:rPr>
          <w:lang w:val="en-ZW"/>
        </w:rPr>
        <w:t>.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proofErr w:type="gramStart"/>
      <w:r w:rsidRPr="00FE46CF">
        <w:rPr>
          <w:lang w:val="en-ZW"/>
        </w:rPr>
        <w:t>a</w:t>
      </w:r>
      <w:proofErr w:type="gramEnd"/>
      <w:r w:rsidRPr="00FE46CF">
        <w:rPr>
          <w:lang w:val="en-ZW"/>
        </w:rPr>
        <w:t>. Current Management Method Factors are</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77777777" w:rsidR="007405E4" w:rsidRPr="00FE46CF" w:rsidRDefault="007405E4" w:rsidP="007405E4">
      <w:pPr>
        <w:ind w:left="0"/>
        <w:rPr>
          <w:bCs/>
          <w:u w:val="single"/>
        </w:rPr>
      </w:pPr>
      <w:proofErr w:type="gramStart"/>
      <w:r w:rsidRPr="00FE46CF">
        <w:t>b</w:t>
      </w:r>
      <w:proofErr w:type="gramEnd"/>
      <w:r w:rsidRPr="00FE46CF">
        <w:t xml:space="preserve">. </w:t>
      </w:r>
      <w:r w:rsidRPr="00FE46CF">
        <w:rPr>
          <w:bCs/>
        </w:rPr>
        <w:t>Proposed Management Method Factor schedule:</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w:t>
      </w:r>
      <w:proofErr w:type="gramStart"/>
      <w:r w:rsidRPr="00496505">
        <w:rPr>
          <w:bCs/>
        </w:rPr>
        <w:t>)(</w:t>
      </w:r>
      <w:proofErr w:type="gramEnd"/>
      <w:r w:rsidRPr="00496505">
        <w:rPr>
          <w:bCs/>
        </w:rPr>
        <w:t>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1496D4CE" w:rsidR="007405E4" w:rsidRDefault="007405E4" w:rsidP="007405E4">
      <w:pPr>
        <w:spacing w:before="120"/>
        <w:ind w:left="0" w:right="-432"/>
      </w:pPr>
      <w:r>
        <w:t xml:space="preserve">The proposed rule would add a new management method factor to encourage brownfield or orphaned industrial property site cleanups receiving grant funding. DEQ identified two sites in the last six years that would meet this criteria.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70E002D" w:rsidR="007405E4" w:rsidRPr="0035501E" w:rsidRDefault="007405E4" w:rsidP="007405E4">
      <w:pPr>
        <w:ind w:left="0"/>
        <w:rPr>
          <w:bCs/>
          <w:i/>
        </w:rPr>
      </w:pPr>
      <w:r>
        <w:t xml:space="preserve">As background, </w:t>
      </w:r>
      <w:r>
        <w:rPr>
          <w:bCs/>
        </w:rPr>
        <w:t>e</w:t>
      </w:r>
      <w:r w:rsidRPr="0035501E">
        <w:rPr>
          <w:bCs/>
        </w:rPr>
        <w:t xml:space="preserve">ach permitted hazardous waste </w:t>
      </w:r>
      <w:r>
        <w:rPr>
          <w:bCs/>
        </w:rPr>
        <w:t>TSD</w:t>
      </w:r>
      <w:r w:rsidRPr="0035501E">
        <w:rPr>
          <w:bCs/>
        </w:rPr>
        <w:t xml:space="preserve"> facility subject to 40 C</w:t>
      </w:r>
      <w:r>
        <w:rPr>
          <w:bCs/>
        </w:rPr>
        <w:t>.</w:t>
      </w:r>
      <w:r w:rsidRPr="0035501E">
        <w:rPr>
          <w:bCs/>
        </w:rPr>
        <w:t>F</w:t>
      </w:r>
      <w:r>
        <w:rPr>
          <w:bCs/>
        </w:rPr>
        <w:t>.</w:t>
      </w:r>
      <w:r w:rsidRPr="0035501E">
        <w:rPr>
          <w:bCs/>
        </w:rPr>
        <w:t>R</w:t>
      </w:r>
      <w:r>
        <w:rPr>
          <w:bCs/>
        </w:rPr>
        <w:t>.</w:t>
      </w:r>
      <w:r w:rsidRPr="0035501E">
        <w:rPr>
          <w:bCs/>
        </w:rPr>
        <w:t xml:space="preserve"> 264, 265, 270 and OAR 340, with an active operating hazardous waste unit(s)</w:t>
      </w:r>
      <w:r>
        <w:rPr>
          <w:bCs/>
        </w:rPr>
        <w:t>,</w:t>
      </w:r>
      <w:r w:rsidRPr="0035501E">
        <w:rPr>
          <w:bCs/>
        </w:rPr>
        <w:t xml:space="preserve"> is 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E241E78"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1475E08"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6778C8">
          <w:pgSz w:w="12240" w:h="15840"/>
          <w:pgMar w:top="1440" w:right="1440" w:bottom="126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7" w:name="_Toc2703371"/>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77777777" w:rsidR="007405E4" w:rsidRDefault="007405E4" w:rsidP="007405E4">
      <w:pPr>
        <w:ind w:left="0"/>
      </w:pPr>
      <w:r>
        <w:t>The proposed generator rules will increase the annual hazardous waste reporting fees for businesses generating more than 220 pounds of hazardous waste a calendar month, generating 2.2 pounds of acutely hazardous waste a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7405E4">
      <w:pPr>
        <w:pStyle w:val="Heading3"/>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7777777"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77777777"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This may result in potentially $495,000 in additional revenue based on ~ 90,000 tons annually disposed to 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tcPr>
          <w:p w14:paraId="4D50630B" w14:textId="77777777"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Impact depends on the classification of work needed. A 20-year average identified submission of three permit modifications a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3443B33F" w14:textId="25275852" w:rsidR="007405E4" w:rsidRDefault="007405E4" w:rsidP="007405E4">
      <w:pPr>
        <w:ind w:left="0"/>
      </w:pPr>
      <w:r>
        <w:rPr>
          <w:bCs/>
          <w:color w:val="000000"/>
        </w:rPr>
        <w:t>DEQ anticipates adopting the rules will have no indirect fiscal impacts to permitted TSD businesses. The businesses already report annually, and the proposed rules do not add facilities.</w:t>
      </w:r>
    </w:p>
    <w:p w14:paraId="24404BF5" w14:textId="795C1FFA" w:rsidR="007405E4" w:rsidRDefault="007405E4" w:rsidP="007405E4">
      <w:pPr>
        <w:ind w:left="0"/>
        <w:rPr>
          <w:bCs/>
          <w:color w:val="000000"/>
        </w:rPr>
      </w:pPr>
    </w:p>
    <w:p w14:paraId="1525AE78" w14:textId="77777777" w:rsidR="007D6511" w:rsidRDefault="007D6511" w:rsidP="007405E4">
      <w:pPr>
        <w:ind w:left="0"/>
        <w:rPr>
          <w:bCs/>
          <w:color w:val="000000"/>
        </w:rPr>
      </w:pPr>
    </w:p>
    <w:p w14:paraId="51AEC833" w14:textId="77777777" w:rsidR="007405E4" w:rsidRPr="00FD5758" w:rsidRDefault="007405E4" w:rsidP="007405E4">
      <w:pPr>
        <w:pStyle w:val="Heading3"/>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7405E4">
            <w:pPr>
              <w:ind w:left="0"/>
              <w:jc w:val="center"/>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7405E4">
            <w:pPr>
              <w:ind w:left="0"/>
              <w:jc w:val="center"/>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77777777" w:rsidR="007405E4" w:rsidRDefault="007405E4" w:rsidP="007405E4">
            <w:pPr>
              <w:ind w:left="0"/>
              <w:rPr>
                <w:bCs/>
              </w:rPr>
            </w:pPr>
            <w:r w:rsidRPr="004273F7">
              <w:rPr>
                <w:bCs/>
              </w:rPr>
              <w:t xml:space="preserve">Management Method </w:t>
            </w:r>
            <w:r>
              <w:rPr>
                <w:bCs/>
              </w:rPr>
              <w:t>Fee factors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(To provide the most accurate representation of future impacts, this analysis does not include spills, cleanup, remediation or closed facilities.)</w:t>
            </w:r>
          </w:p>
        </w:tc>
        <w:tc>
          <w:tcPr>
            <w:tcW w:w="4585" w:type="dxa"/>
            <w:gridSpan w:val="2"/>
            <w:vAlign w:val="center"/>
          </w:tcPr>
          <w:p w14:paraId="319DD4DD" w14:textId="77777777" w:rsidR="007405E4" w:rsidRDefault="007405E4" w:rsidP="007405E4">
            <w:pPr>
              <w:ind w:left="0"/>
              <w:jc w:val="center"/>
              <w:rPr>
                <w:bCs/>
              </w:rPr>
            </w:pPr>
          </w:p>
          <w:p w14:paraId="13A6C626" w14:textId="77777777" w:rsidR="007405E4" w:rsidRDefault="007405E4" w:rsidP="007405E4">
            <w:pPr>
              <w:ind w:left="0"/>
              <w:jc w:val="center"/>
              <w:rPr>
                <w:bCs/>
              </w:rPr>
            </w:pPr>
          </w:p>
          <w:p w14:paraId="3015A354" w14:textId="42856CAB" w:rsidR="007405E4" w:rsidRDefault="007405E4" w:rsidP="007405E4">
            <w:pPr>
              <w:ind w:left="0"/>
              <w:jc w:val="center"/>
              <w:rPr>
                <w:bCs/>
              </w:rPr>
            </w:pPr>
            <w:r w:rsidRPr="00DA26DC">
              <w:rPr>
                <w:bCs/>
              </w:rPr>
              <w:t>SQG: $</w:t>
            </w:r>
            <w:r>
              <w:rPr>
                <w:bCs/>
              </w:rPr>
              <w:t>695</w:t>
            </w:r>
            <w:r w:rsidRPr="00DA26DC">
              <w:rPr>
                <w:bCs/>
              </w:rPr>
              <w:t xml:space="preserve"> average increase</w:t>
            </w:r>
            <w:r>
              <w:rPr>
                <w:bCs/>
              </w:rPr>
              <w:t xml:space="preserve"> (80 small businesses)</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0E5487F5" w14:textId="77777777" w:rsidR="007405E4" w:rsidRDefault="007405E4" w:rsidP="007405E4">
            <w:pPr>
              <w:ind w:left="0"/>
              <w:jc w:val="center"/>
              <w:rPr>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77777777"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will also have the opportunity to comment though the public comment and public hearing.</w:t>
      </w:r>
    </w:p>
    <w:p w14:paraId="430C68C3" w14:textId="77777777" w:rsidR="007405E4" w:rsidRPr="006778C8" w:rsidRDefault="007405E4" w:rsidP="007405E4">
      <w:pPr>
        <w:pStyle w:val="Heading2"/>
        <w:ind w:left="0" w:right="-432"/>
        <w:rPr>
          <w:sz w:val="24"/>
          <w:szCs w:val="24"/>
        </w:rPr>
      </w:pPr>
    </w:p>
    <w:p w14:paraId="4E1BD6C8" w14:textId="77777777" w:rsidR="007405E4" w:rsidRPr="00476D38" w:rsidRDefault="007405E4" w:rsidP="007405E4">
      <w:pPr>
        <w:pStyle w:val="Heading2"/>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1B3E69F4" w14:textId="77777777" w:rsidR="000B3009" w:rsidRDefault="000B3009" w:rsidP="007405E4">
      <w:pPr>
        <w:shd w:val="clear" w:color="auto" w:fill="FFFFFF" w:themeFill="background1"/>
        <w:ind w:left="0"/>
        <w:rPr>
          <w:rFonts w:ascii="Arial" w:hAnsi="Arial" w:cs="Arial"/>
          <w:b/>
        </w:rPr>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77777777"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not readily available,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4"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8" w:name="_Toc2703372"/>
            <w:r w:rsidRPr="001404B0">
              <w:t xml:space="preserve">Federal </w:t>
            </w:r>
            <w:r w:rsidR="00635335">
              <w:t>R</w:t>
            </w:r>
            <w:r w:rsidRPr="001404B0">
              <w:t>elationship</w:t>
            </w:r>
            <w:bookmarkEnd w:id="8"/>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64F33ACF"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9" w:name="_Toc2703373"/>
            <w:r w:rsidRPr="001404B0">
              <w:t>Land Use</w:t>
            </w:r>
            <w:bookmarkEnd w:id="9"/>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473313" w:rsidRPr="001A4DE1" w:rsidRDefault="00473313"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473313" w:rsidRDefault="00473313"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473313" w:rsidRPr="001A4DE1" w:rsidRDefault="00473313"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473313" w:rsidRDefault="00473313"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77777777"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10" w:name="_Toc2703374"/>
            <w:r w:rsidRPr="001404B0">
              <w:t>EQC Prior Involvement</w:t>
            </w:r>
            <w:bookmarkEnd w:id="10"/>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62544E9D" w:rsidR="00C961E7" w:rsidRPr="001404B0" w:rsidRDefault="00B7024C" w:rsidP="00C961E7">
      <w:pPr>
        <w:sectPr w:rsidR="00C961E7" w:rsidRPr="001404B0" w:rsidSect="005F45A9">
          <w:pgSz w:w="12240" w:h="15840"/>
          <w:pgMar w:top="1440" w:right="1440" w:bottom="1440" w:left="1440" w:header="720" w:footer="720" w:gutter="432"/>
          <w:cols w:space="720"/>
          <w:docGrid w:linePitch="360"/>
        </w:sectPr>
      </w:pPr>
      <w:r>
        <w:t xml:space="preserve">On Jan 24, 2019 </w:t>
      </w:r>
      <w:r w:rsidR="000C5AFD" w:rsidRPr="0038253B">
        <w:t xml:space="preserve">DEQ did present </w:t>
      </w:r>
      <w:r w:rsidR="000B3009">
        <w:t xml:space="preserve">to the EQC </w:t>
      </w:r>
      <w:r w:rsidR="000C5AFD">
        <w:t xml:space="preserve">general program information as </w:t>
      </w:r>
      <w:proofErr w:type="gramStart"/>
      <w:r w:rsidR="000C5AFD">
        <w:t>a pre-inform</w:t>
      </w:r>
      <w:proofErr w:type="gramEnd"/>
      <w:r w:rsidR="000C5AFD">
        <w:t xml:space="preserve"> </w:t>
      </w:r>
      <w:r>
        <w:t>f</w:t>
      </w:r>
      <w:r w:rsidR="000C5AFD" w:rsidRPr="0038253B">
        <w:t>o</w:t>
      </w:r>
      <w:r>
        <w:t>r</w:t>
      </w:r>
      <w:r w:rsidR="000C5AFD" w:rsidRPr="0038253B">
        <w:t xml:space="preserve"> this proposed rule revision</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1" w:name="_Toc2703375"/>
            <w:r w:rsidRPr="001404B0">
              <w:t>Advisory Committee</w:t>
            </w:r>
            <w:bookmarkEnd w:id="11"/>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5"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5F7167A3" w14:textId="71B68E74" w:rsidR="00B7024C" w:rsidRDefault="00B7024C" w:rsidP="00B7024C">
      <w:pPr>
        <w:ind w:left="0" w:right="-432"/>
      </w:pPr>
      <w:r>
        <w:t>To notify people about the advisory committee’s activities, DEQ:</w:t>
      </w:r>
    </w:p>
    <w:p w14:paraId="0383EDB5" w14:textId="77777777" w:rsidR="00B7024C" w:rsidRDefault="00B7024C" w:rsidP="00B7024C">
      <w:pPr>
        <w:ind w:left="0" w:right="-432"/>
      </w:pPr>
    </w:p>
    <w:p w14:paraId="4F7DD60F" w14:textId="3C25E8CE" w:rsidR="00B7024C" w:rsidRDefault="00B7024C" w:rsidP="00B7024C">
      <w:pPr>
        <w:pStyle w:val="ListParagraph"/>
        <w:numPr>
          <w:ilvl w:val="0"/>
          <w:numId w:val="20"/>
        </w:numPr>
        <w:ind w:left="360" w:right="-432"/>
      </w:pPr>
      <w:r>
        <w:t>Notified 23,744 people about the Advisory Committee’s activities by:</w:t>
      </w:r>
    </w:p>
    <w:p w14:paraId="2989E706" w14:textId="525FF9A2" w:rsidR="00B7024C" w:rsidRDefault="00E44C81" w:rsidP="00B7024C">
      <w:pPr>
        <w:pStyle w:val="ListParagraph"/>
        <w:numPr>
          <w:ilvl w:val="0"/>
          <w:numId w:val="1"/>
        </w:numPr>
        <w:ind w:left="0" w:right="-432" w:firstLine="0"/>
      </w:pPr>
      <w:r>
        <w:t>On Jul 25, 2018</w:t>
      </w:r>
      <w:r w:rsidR="00545745">
        <w:t>, Sep 4, 2018 and Oct 10, 2018</w:t>
      </w:r>
      <w:r>
        <w:t xml:space="preserve"> s</w:t>
      </w:r>
      <w:r w:rsidR="00B7024C" w:rsidRPr="001B50FB">
        <w:t>en</w:t>
      </w:r>
      <w:r>
        <w:t>t</w:t>
      </w:r>
      <w:r w:rsidR="00B7024C" w:rsidRPr="001B50FB">
        <w:t xml:space="preserve"> 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77777777" w:rsidR="00B7024C" w:rsidRDefault="00B7024C" w:rsidP="00B7024C">
      <w:pPr>
        <w:pStyle w:val="ListParagraph"/>
        <w:numPr>
          <w:ilvl w:val="0"/>
          <w:numId w:val="1"/>
        </w:numPr>
        <w:ind w:left="1080" w:right="-432"/>
      </w:pPr>
      <w:r>
        <w:t>Hazardous Waste Training – 6,599</w:t>
      </w:r>
    </w:p>
    <w:p w14:paraId="74A80AA0" w14:textId="77777777" w:rsidR="00B7024C" w:rsidRDefault="00B7024C" w:rsidP="00B7024C">
      <w:pPr>
        <w:pStyle w:val="ListParagraph"/>
        <w:numPr>
          <w:ilvl w:val="0"/>
          <w:numId w:val="1"/>
        </w:numPr>
        <w:ind w:left="1080" w:right="-432"/>
      </w:pPr>
      <w:r>
        <w:t>Toxics Use and Hazardous Waste Reduction Program – 2,783</w:t>
      </w:r>
    </w:p>
    <w:p w14:paraId="6DAC8399" w14:textId="77777777" w:rsidR="00B7024C" w:rsidRDefault="00B7024C" w:rsidP="00B7024C">
      <w:pPr>
        <w:pStyle w:val="ListParagraph"/>
        <w:numPr>
          <w:ilvl w:val="0"/>
          <w:numId w:val="1"/>
        </w:numPr>
        <w:ind w:left="1080" w:right="-432"/>
      </w:pPr>
      <w:r>
        <w:t>Rulemaking – 8,316</w:t>
      </w:r>
    </w:p>
    <w:p w14:paraId="0E417EF1" w14:textId="77777777" w:rsidR="00B7024C" w:rsidRDefault="00B7024C" w:rsidP="00B7024C">
      <w:pPr>
        <w:pStyle w:val="ListParagraph"/>
        <w:numPr>
          <w:ilvl w:val="0"/>
          <w:numId w:val="1"/>
        </w:numPr>
        <w:ind w:left="1080" w:right="-432"/>
      </w:pPr>
      <w:r>
        <w:t>DEQ Public Notices – 3,037</w:t>
      </w:r>
    </w:p>
    <w:p w14:paraId="01AFAEDC" w14:textId="5CAB30D1" w:rsidR="00B7024C" w:rsidRDefault="00B7024C" w:rsidP="00B7024C">
      <w:pPr>
        <w:pStyle w:val="ListParagraph"/>
        <w:numPr>
          <w:ilvl w:val="1"/>
          <w:numId w:val="1"/>
        </w:numPr>
        <w:ind w:left="360" w:right="-432"/>
      </w:pPr>
      <w:r>
        <w:t xml:space="preserve">DEQ also sent on </w:t>
      </w:r>
      <w:r w:rsidR="00700000">
        <w:t>same dates above</w:t>
      </w:r>
      <w:r>
        <w:t>,</w:t>
      </w:r>
      <w:r>
        <w:rPr>
          <w:color w:val="C45911" w:themeColor="accent2" w:themeShade="BF"/>
        </w:rPr>
        <w:t xml:space="preserve"> </w:t>
      </w:r>
      <w:r w:rsidRPr="001B50FB">
        <w:t>notice</w:t>
      </w:r>
      <w:r>
        <w:t>s</w:t>
      </w:r>
      <w:r w:rsidRPr="001B50FB">
        <w:t xml:space="preserve"> to</w:t>
      </w:r>
      <w:r>
        <w:t xml:space="preserve"> the above GovDelivery subscribers to describe how to sign up for committee meeting notices</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6"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2" w:name="_Toc2703376"/>
            <w:r w:rsidRPr="001404B0">
              <w:t xml:space="preserve">Public </w:t>
            </w:r>
            <w:r w:rsidR="00460D8E" w:rsidRPr="001404B0">
              <w:t>Engagement</w:t>
            </w:r>
            <w:bookmarkEnd w:id="12"/>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33C03088" w14:textId="48C38008" w:rsidR="00700000" w:rsidRDefault="00700000" w:rsidP="00700000">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6F12A476" w14:textId="77777777" w:rsidR="00700000" w:rsidRDefault="00700000" w:rsidP="00700000">
      <w:pPr>
        <w:pStyle w:val="ListParagraph"/>
        <w:ind w:left="0" w:right="-432"/>
      </w:pPr>
    </w:p>
    <w:p w14:paraId="393C3D43" w14:textId="00C12FD9" w:rsidR="00700000" w:rsidRDefault="00700000" w:rsidP="00700000">
      <w:pPr>
        <w:pStyle w:val="ListParagraph"/>
        <w:numPr>
          <w:ilvl w:val="0"/>
          <w:numId w:val="21"/>
        </w:numPr>
        <w:ind w:left="0" w:right="-432" w:firstLine="0"/>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67C0C9FE" w:rsidR="00700000" w:rsidRDefault="00700000" w:rsidP="00700000">
      <w:pPr>
        <w:pStyle w:val="ListParagraph"/>
        <w:numPr>
          <w:ilvl w:val="0"/>
          <w:numId w:val="21"/>
        </w:numPr>
        <w:ind w:left="0" w:right="-432" w:firstLine="0"/>
      </w:pPr>
      <w:r>
        <w:t xml:space="preserve">Posted the Notice, Invitation to Comment and Draft Rules on the webpage for this rulemaking, located at: </w:t>
      </w:r>
      <w:hyperlink r:id="rId27" w:history="1">
        <w:r>
          <w:rPr>
            <w:rStyle w:val="Hyperlink"/>
          </w:rPr>
          <w:t>Hazardous Waste Fees 2019 Rulemaking</w:t>
        </w:r>
      </w:hyperlink>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77777777" w:rsidR="00700000" w:rsidRDefault="00700000" w:rsidP="00700000">
      <w:pPr>
        <w:pStyle w:val="ListParagraph"/>
        <w:numPr>
          <w:ilvl w:val="0"/>
          <w:numId w:val="21"/>
        </w:numPr>
        <w:ind w:right="-432"/>
      </w:pPr>
      <w:r>
        <w:t>Hazardous Waste Training – 6,599</w:t>
      </w:r>
    </w:p>
    <w:p w14:paraId="4AF92A90" w14:textId="77777777" w:rsidR="00700000" w:rsidRDefault="00700000" w:rsidP="00700000">
      <w:pPr>
        <w:pStyle w:val="ListParagraph"/>
        <w:numPr>
          <w:ilvl w:val="0"/>
          <w:numId w:val="21"/>
        </w:numPr>
        <w:ind w:right="-432"/>
      </w:pPr>
      <w:r>
        <w:t>Toxics Use and Hazardous Waste Reduction Program – 2,783</w:t>
      </w:r>
    </w:p>
    <w:p w14:paraId="53E2A24A" w14:textId="77777777" w:rsidR="00700000" w:rsidRDefault="00700000" w:rsidP="00700000">
      <w:pPr>
        <w:pStyle w:val="ListParagraph"/>
        <w:numPr>
          <w:ilvl w:val="0"/>
          <w:numId w:val="21"/>
        </w:numPr>
        <w:ind w:right="-432"/>
      </w:pPr>
      <w:r>
        <w:t>Rulemaking – 8,316</w:t>
      </w:r>
    </w:p>
    <w:p w14:paraId="3878D1C4" w14:textId="77777777" w:rsidR="00700000" w:rsidRDefault="00700000" w:rsidP="00700000">
      <w:pPr>
        <w:pStyle w:val="ListParagraph"/>
        <w:numPr>
          <w:ilvl w:val="0"/>
          <w:numId w:val="21"/>
        </w:numPr>
        <w:ind w:right="-432"/>
      </w:pPr>
      <w:r>
        <w:t>DEQ Public Notices – 3,037</w:t>
      </w:r>
    </w:p>
    <w:p w14:paraId="0E1420BA" w14:textId="32B4DB32"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1014</w:t>
      </w:r>
      <w:r w:rsidRPr="00C35797">
        <w:rPr>
          <w:rStyle w:val="Emphasis"/>
          <w:vanish w:val="0"/>
          <w:color w:val="C45911" w:themeColor="accent2" w:themeShade="BF"/>
          <w:sz w:val="24"/>
        </w:rPr>
        <w:t xml:space="preserve"> </w:t>
      </w:r>
      <w:r>
        <w:t>hazardous waste generator reporters for last three years</w:t>
      </w:r>
      <w:r w:rsidRPr="00233537">
        <w:t xml:space="preserve"> </w:t>
      </w:r>
      <w:r>
        <w:t>i</w:t>
      </w:r>
      <w:r w:rsidRPr="00233537">
        <w:t xml:space="preserve">n </w:t>
      </w:r>
      <w:r>
        <w:t>DEQ’s reporting database</w:t>
      </w:r>
      <w:r>
        <w:rPr>
          <w:rStyle w:val="Emphasis"/>
          <w:rFonts w:ascii="Arial" w:hAnsi="Arial"/>
          <w:vanish w:val="0"/>
          <w:color w:val="C45911" w:themeColor="accent2" w:themeShade="BF"/>
          <w:sz w:val="24"/>
        </w:rPr>
        <w:t>.</w:t>
      </w:r>
      <w:r w:rsidRPr="00C35797">
        <w:rPr>
          <w:rStyle w:val="Emphasis"/>
          <w:rFonts w:ascii="Arial" w:hAnsi="Arial"/>
          <w:vanish w:val="0"/>
          <w:color w:val="C45911" w:themeColor="accent2" w:themeShade="BF"/>
          <w:sz w:val="24"/>
        </w:rPr>
        <w:t xml:space="preserve"> </w:t>
      </w:r>
    </w:p>
    <w:p w14:paraId="35382EDA" w14:textId="1DDD38B4" w:rsidR="00700000" w:rsidRDefault="00700000" w:rsidP="00700000">
      <w:pPr>
        <w:pStyle w:val="ListParagraph"/>
        <w:numPr>
          <w:ilvl w:val="0"/>
          <w:numId w:val="21"/>
        </w:numPr>
        <w:ind w:left="0" w:right="-432" w:firstLine="0"/>
      </w:pPr>
      <w:r>
        <w:t>Emailed t</w:t>
      </w:r>
      <w:r w:rsidRPr="006F1FBD">
        <w:t xml:space="preserve">he following key legislators required under </w:t>
      </w:r>
      <w:hyperlink r:id="rId28" w:history="1">
        <w:r w:rsidRPr="00AF3598">
          <w:t>ORS 183.335</w:t>
        </w:r>
      </w:hyperlink>
      <w:r w:rsidRPr="00AF3598">
        <w:t>:</w:t>
      </w:r>
    </w:p>
    <w:p w14:paraId="476A2C46"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Chair, Senate Interim Committee on Environment and Natural Resources </w:t>
      </w:r>
    </w:p>
    <w:p w14:paraId="4F31536B"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Vice-Chair, Senate Interim Committee on Environment and Natural Resources </w:t>
      </w:r>
    </w:p>
    <w:p w14:paraId="325A0F7B" w14:textId="77777777"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Chair, House Interim Committee on Energy and Environment </w:t>
      </w:r>
    </w:p>
    <w:p w14:paraId="4410B2D5" w14:textId="59508DF1" w:rsidR="00700000" w:rsidRPr="004B0C8D" w:rsidRDefault="00700000" w:rsidP="00700000">
      <w:pPr>
        <w:pStyle w:val="ListParagraph"/>
        <w:numPr>
          <w:ilvl w:val="0"/>
          <w:numId w:val="21"/>
        </w:numPr>
        <w:ind w:right="-432"/>
        <w:rPr>
          <w:rStyle w:val="Emphasis"/>
          <w:vanish w:val="0"/>
          <w:color w:val="000000" w:themeColor="text1"/>
          <w:sz w:val="24"/>
        </w:rPr>
      </w:pPr>
      <w:r w:rsidRPr="004B0C8D">
        <w:t>Representative Karin Power, Vice-Chair,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00FEE723" w:rsidR="00074343" w:rsidRPr="004B0C8D" w:rsidRDefault="00074343" w:rsidP="00074343">
      <w:pPr>
        <w:pStyle w:val="ListParagraph"/>
        <w:numPr>
          <w:ilvl w:val="0"/>
          <w:numId w:val="22"/>
        </w:numPr>
        <w:ind w:left="0" w:right="-432" w:firstLine="0"/>
        <w:contextualSpacing w:val="0"/>
      </w:pPr>
      <w:r>
        <w:t xml:space="preserve">Added announcements </w:t>
      </w:r>
      <w:r w:rsidRPr="004B0C8D">
        <w:t>t</w:t>
      </w:r>
      <w:r>
        <w:t>o</w:t>
      </w:r>
      <w:r w:rsidRPr="004B0C8D">
        <w:t xml:space="preserve"> DEQ</w:t>
      </w:r>
      <w:r>
        <w:t>’s</w:t>
      </w:r>
      <w:r w:rsidRPr="004B0C8D">
        <w:t xml:space="preserve"> calendar</w:t>
      </w:r>
      <w:r>
        <w:t xml:space="preserve"> of public meetings on</w:t>
      </w:r>
      <w:r w:rsidRPr="004B0C8D">
        <w:t xml:space="preserve">: </w:t>
      </w:r>
      <w:hyperlink r:id="rId29" w:history="1">
        <w:r w:rsidRPr="004B0C8D">
          <w:rPr>
            <w:rStyle w:val="Hyperlink"/>
          </w:rPr>
          <w:t>DEQ Calendar</w:t>
        </w:r>
      </w:hyperlink>
    </w:p>
    <w:p w14:paraId="307BBBC5" w14:textId="519B8320" w:rsidR="00700000" w:rsidRPr="004B0C8D" w:rsidRDefault="00700000" w:rsidP="00700000">
      <w:pPr>
        <w:pStyle w:val="ListParagraph"/>
        <w:numPr>
          <w:ilvl w:val="0"/>
          <w:numId w:val="22"/>
        </w:numPr>
        <w:ind w:left="0" w:right="-432" w:firstLine="0"/>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3" w:name="_Toc2703377"/>
            <w:r w:rsidRPr="001404B0">
              <w:t>Public Hearing</w:t>
            </w:r>
            <w:bookmarkEnd w:id="13"/>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1D48977E"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1E058BFB" w:rsidR="00981F21" w:rsidRPr="00E7606B" w:rsidRDefault="00074343" w:rsidP="005F45A9">
            <w:pPr>
              <w:ind w:left="0"/>
              <w:rPr>
                <w:rStyle w:val="Emphasis"/>
                <w:vanish w:val="0"/>
                <w:color w:val="auto"/>
                <w:sz w:val="24"/>
              </w:rPr>
            </w:pPr>
            <w:r w:rsidRPr="00E7606B">
              <w:rPr>
                <w:rStyle w:val="Emphasis"/>
                <w:vanish w:val="0"/>
                <w:color w:val="auto"/>
                <w:sz w:val="24"/>
              </w:rPr>
              <w:t>Jan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77777777" w:rsidR="00074343" w:rsidRPr="00E7606B" w:rsidRDefault="00074343" w:rsidP="005F45A9">
            <w:pPr>
              <w:ind w:left="0"/>
              <w:rPr>
                <w:rStyle w:val="Emphasis"/>
                <w:vanish w:val="0"/>
                <w:color w:val="auto"/>
                <w:sz w:val="24"/>
              </w:rPr>
            </w:pPr>
            <w:r w:rsidRPr="00E7606B">
              <w:rPr>
                <w:rStyle w:val="Emphasis"/>
                <w:vanish w:val="0"/>
                <w:color w:val="auto"/>
                <w:sz w:val="24"/>
              </w:rPr>
              <w:t>700 NE Multnomah St,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6E2E03F4" w:rsidR="00981F21" w:rsidRPr="00E7606B" w:rsidRDefault="00074343" w:rsidP="005F45A9">
            <w:pPr>
              <w:ind w:left="0"/>
              <w:rPr>
                <w:rStyle w:val="Emphasis"/>
                <w:vanish w:val="0"/>
                <w:color w:val="auto"/>
                <w:sz w:val="24"/>
              </w:rPr>
            </w:pPr>
            <w:r w:rsidRPr="00E7606B">
              <w:rPr>
                <w:rStyle w:val="Emphasis"/>
                <w:vanish w:val="0"/>
                <w:color w:val="auto"/>
                <w:sz w:val="24"/>
              </w:rPr>
              <w:t>6:00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4" w:name="_Toc2703378"/>
            <w:r w:rsidRPr="001404B0">
              <w:t xml:space="preserve">Summary of </w:t>
            </w:r>
            <w:r w:rsidR="001404B0" w:rsidRPr="001404B0">
              <w:t>Public Comments and DEQ R</w:t>
            </w:r>
            <w:r w:rsidRPr="001404B0">
              <w:t>esponses</w:t>
            </w:r>
            <w:bookmarkEnd w:id="14"/>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E7606B">
      <w:pPr>
        <w:pStyle w:val="Heading1"/>
        <w:spacing w:after="0"/>
        <w:rPr>
          <w:rFonts w:cs="Arial"/>
          <w:b w:val="0"/>
        </w:rPr>
      </w:pPr>
      <w:bookmarkStart w:id="15" w:name="_Toc2703379"/>
      <w:r w:rsidRPr="001404B0">
        <w:rPr>
          <w:rFonts w:cs="Arial"/>
        </w:rPr>
        <w:t>Public comment period</w:t>
      </w:r>
      <w:bookmarkEnd w:id="15"/>
    </w:p>
    <w:p w14:paraId="4739CF7C" w14:textId="77777777" w:rsidR="00635335" w:rsidRPr="001404B0" w:rsidRDefault="00635335" w:rsidP="00E7606B">
      <w:pPr>
        <w:ind w:left="0"/>
        <w:rPr>
          <w:szCs w:val="22"/>
        </w:rPr>
      </w:pPr>
    </w:p>
    <w:p w14:paraId="0FD99D65" w14:textId="59D9467D"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 14, 2018</w:t>
      </w:r>
      <w:r w:rsidRPr="00E7606B">
        <w:rPr>
          <w:rFonts w:ascii="Times New Roman" w:hAnsi="Times New Roman" w:cs="Times New Roman"/>
          <w:b w:val="0"/>
          <w:color w:val="auto"/>
          <w:sz w:val="24"/>
          <w:szCs w:val="24"/>
        </w:rPr>
        <w:t xml:space="preserve"> until 4:00 p.m. on </w:t>
      </w:r>
      <w:r w:rsidR="00E7606B">
        <w:rPr>
          <w:rFonts w:ascii="Times New Roman" w:hAnsi="Times New Roman" w:cs="Times New Roman"/>
          <w:b w:val="0"/>
          <w:color w:val="auto"/>
          <w:sz w:val="24"/>
          <w:szCs w:val="24"/>
        </w:rPr>
        <w:t>Tuesday, Jan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r w:rsidRPr="001404B0">
        <w:rPr>
          <w:color w:val="000000" w:themeColor="text1"/>
        </w:rPr>
        <w:t>DEQ did not change the proposed rules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BB682F">
      <w:pPr>
        <w:pStyle w:val="Heading2"/>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7652D202" w14:textId="4FEF5F8F" w:rsidR="00CE4F05" w:rsidRDefault="00CE4F05" w:rsidP="006778C8">
      <w:pPr>
        <w:pStyle w:val="ListParagraph"/>
        <w:numPr>
          <w:ilvl w:val="0"/>
          <w:numId w:val="21"/>
        </w:numPr>
        <w:spacing w:before="120"/>
        <w:ind w:left="360" w:right="-432"/>
      </w:pPr>
      <w:r>
        <w:t xml:space="preserve">File notice </w:t>
      </w:r>
      <w:r w:rsidRPr="009575DF">
        <w:t>with the Oregon Secretary of State</w:t>
      </w:r>
      <w:r>
        <w:t xml:space="preserve"> May 2019 </w:t>
      </w:r>
      <w:r w:rsidRPr="009575DF">
        <w:t xml:space="preserve">for publication in the </w:t>
      </w:r>
      <w:r>
        <w:t>Jul</w:t>
      </w:r>
      <w:r w:rsidRPr="00A264D3">
        <w:t xml:space="preserve"> 2019</w:t>
      </w:r>
      <w:r w:rsidRPr="009575DF">
        <w:t xml:space="preserve"> Oregon Bulletin</w:t>
      </w:r>
    </w:p>
    <w:p w14:paraId="624F9175" w14:textId="69ED3045" w:rsidR="00CE4F05" w:rsidRDefault="00CE4F05" w:rsidP="00CE4F05">
      <w:pPr>
        <w:pStyle w:val="ListParagraph"/>
        <w:numPr>
          <w:ilvl w:val="0"/>
          <w:numId w:val="21"/>
        </w:numPr>
        <w:ind w:left="0" w:right="-432" w:firstLine="0"/>
      </w:pPr>
      <w:r>
        <w:t>Notify Region 10 EPA by email</w:t>
      </w:r>
    </w:p>
    <w:p w14:paraId="218C23BA" w14:textId="384336F5" w:rsidR="00CE4F05" w:rsidRDefault="00CE4F05" w:rsidP="00CE4F05">
      <w:pPr>
        <w:pStyle w:val="ListParagraph"/>
        <w:numPr>
          <w:ilvl w:val="0"/>
          <w:numId w:val="21"/>
        </w:numPr>
        <w:ind w:left="360" w:right="-432"/>
      </w:pPr>
      <w:r>
        <w:t xml:space="preserve">Post the announcement on the </w:t>
      </w:r>
      <w:hyperlink r:id="rId30" w:history="1">
        <w:r>
          <w:rPr>
            <w:rStyle w:val="Hyperlink"/>
          </w:rPr>
          <w:t>Hazardous Waste Fees 2019 Rulemaking</w:t>
        </w:r>
      </w:hyperlink>
      <w:r>
        <w:rPr>
          <w:rStyle w:val="Hyperlink"/>
        </w:rPr>
        <w:t xml:space="preserve"> </w:t>
      </w:r>
      <w:r>
        <w:t xml:space="preserve">webpage for this rulemaking, as well as on the DEQ Hazardous Waste Reporting and Hazardous Waste Rules webpages at: </w:t>
      </w:r>
      <w:hyperlink r:id="rId31" w:history="1">
        <w:r>
          <w:rPr>
            <w:rStyle w:val="Hyperlink"/>
          </w:rPr>
          <w:t>Hazardous Waste Reporting</w:t>
        </w:r>
      </w:hyperlink>
      <w:r w:rsidRPr="00CE4F05">
        <w:rPr>
          <w:rStyle w:val="Hyperlink"/>
          <w:u w:val="none"/>
        </w:rPr>
        <w:t xml:space="preserve"> </w:t>
      </w:r>
      <w:r>
        <w:rPr>
          <w:rStyle w:val="Hyperlink"/>
          <w:color w:val="auto"/>
          <w:u w:val="none"/>
        </w:rPr>
        <w:t xml:space="preserve">and </w:t>
      </w:r>
      <w:hyperlink r:id="rId32" w:history="1">
        <w:r w:rsidRPr="00CE4F05">
          <w:rPr>
            <w:rStyle w:val="Hyperlink"/>
          </w:rPr>
          <w:t>Oregon Hazardous Waste Rules</w:t>
        </w:r>
      </w:hyperlink>
      <w:r>
        <w:rPr>
          <w:rStyle w:val="Hyperlink"/>
          <w:color w:val="auto"/>
          <w:u w:val="none"/>
        </w:rPr>
        <w:t xml:space="preserve"> respectively</w:t>
      </w:r>
    </w:p>
    <w:p w14:paraId="18435177" w14:textId="22C87276" w:rsidR="00CE4F05" w:rsidRDefault="00CE4F05" w:rsidP="00CE4F05">
      <w:pPr>
        <w:pStyle w:val="ListParagraph"/>
        <w:numPr>
          <w:ilvl w:val="0"/>
          <w:numId w:val="21"/>
        </w:numPr>
        <w:ind w:left="0" w:right="-432" w:firstLine="0"/>
      </w:pPr>
      <w:r>
        <w:t xml:space="preserve">Email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77777777" w:rsidR="00CE4F05" w:rsidRDefault="00CE4F05" w:rsidP="00CE4F05">
      <w:pPr>
        <w:pStyle w:val="ListParagraph"/>
        <w:numPr>
          <w:ilvl w:val="0"/>
          <w:numId w:val="21"/>
        </w:numPr>
        <w:ind w:right="-432"/>
      </w:pPr>
      <w:r>
        <w:t>Hazardous Waste Training – 6,599</w:t>
      </w:r>
    </w:p>
    <w:p w14:paraId="3FBE11E9" w14:textId="77777777" w:rsidR="00CE4F05" w:rsidRDefault="00CE4F05" w:rsidP="00CE4F05">
      <w:pPr>
        <w:pStyle w:val="ListParagraph"/>
        <w:numPr>
          <w:ilvl w:val="0"/>
          <w:numId w:val="21"/>
        </w:numPr>
        <w:ind w:right="-432"/>
      </w:pPr>
      <w:r>
        <w:t>Toxics Use and Hazardous Waste Reduction Program – 2,783</w:t>
      </w:r>
    </w:p>
    <w:p w14:paraId="79C1E006" w14:textId="77777777" w:rsidR="00CE4F05" w:rsidRDefault="00CE4F05" w:rsidP="00CE4F05">
      <w:pPr>
        <w:pStyle w:val="ListParagraph"/>
        <w:numPr>
          <w:ilvl w:val="0"/>
          <w:numId w:val="21"/>
        </w:numPr>
        <w:ind w:right="-432"/>
      </w:pPr>
      <w:r>
        <w:t>Rulemaking – 8,316</w:t>
      </w:r>
    </w:p>
    <w:p w14:paraId="1DBC31DB" w14:textId="77777777" w:rsidR="00CE4F05" w:rsidRDefault="00CE4F05" w:rsidP="00CE4F05">
      <w:pPr>
        <w:pStyle w:val="ListParagraph"/>
        <w:numPr>
          <w:ilvl w:val="0"/>
          <w:numId w:val="21"/>
        </w:numPr>
        <w:ind w:right="-432"/>
      </w:pPr>
      <w:r>
        <w:t>DEQ Public Notices – 3,037</w:t>
      </w:r>
    </w:p>
    <w:p w14:paraId="1286BEF7" w14:textId="45DBEA25" w:rsidR="00D811AC" w:rsidRDefault="00D811AC" w:rsidP="00D811AC">
      <w:pPr>
        <w:pStyle w:val="ListParagraph"/>
        <w:numPr>
          <w:ilvl w:val="0"/>
          <w:numId w:val="21"/>
        </w:numPr>
        <w:ind w:left="360" w:right="-432"/>
      </w:pPr>
      <w:r w:rsidRPr="004B0C8D">
        <w:t>Email Advisory Committee</w:t>
      </w:r>
      <w:r>
        <w:t xml:space="preserve"> members</w:t>
      </w:r>
    </w:p>
    <w:p w14:paraId="5658C3CD" w14:textId="79A9BF42" w:rsidR="00D811AC" w:rsidRPr="004B0C8D" w:rsidRDefault="00D811AC" w:rsidP="00D811AC">
      <w:pPr>
        <w:pStyle w:val="ListParagraph"/>
        <w:numPr>
          <w:ilvl w:val="0"/>
          <w:numId w:val="21"/>
        </w:numPr>
        <w:ind w:left="360" w:right="-432"/>
        <w:contextualSpacing w:val="0"/>
      </w:pPr>
      <w:r>
        <w:t xml:space="preserve">Add announcement </w:t>
      </w:r>
      <w:r w:rsidRPr="004B0C8D">
        <w:t>t</w:t>
      </w:r>
      <w:r>
        <w:t>o</w:t>
      </w:r>
      <w:r w:rsidRPr="004B0C8D">
        <w:t xml:space="preserve"> DEQ</w:t>
      </w:r>
      <w:r>
        <w:t>’s</w:t>
      </w:r>
      <w:r w:rsidRPr="004B0C8D">
        <w:t xml:space="preserve"> calendar</w:t>
      </w:r>
      <w:r>
        <w:t xml:space="preserve"> of public meetings on</w:t>
      </w:r>
      <w:r w:rsidRPr="004B0C8D">
        <w:t xml:space="preserve">: </w:t>
      </w:r>
      <w:hyperlink r:id="rId33" w:history="1">
        <w:r w:rsidRPr="004B0C8D">
          <w:rPr>
            <w:rStyle w:val="Hyperlink"/>
          </w:rPr>
          <w:t>DEQ Calendar</w:t>
        </w:r>
      </w:hyperlink>
    </w:p>
    <w:p w14:paraId="265C608C" w14:textId="4602DCA4" w:rsidR="00D811AC" w:rsidRPr="004B0C8D" w:rsidRDefault="00D811AC" w:rsidP="00D811AC">
      <w:pPr>
        <w:pStyle w:val="ListParagraph"/>
        <w:numPr>
          <w:ilvl w:val="0"/>
          <w:numId w:val="21"/>
        </w:numPr>
        <w:ind w:left="360" w:right="-432"/>
        <w:contextualSpacing w:val="0"/>
      </w:pPr>
      <w:r>
        <w:t xml:space="preserve">Provide notice and links to information through postings </w:t>
      </w:r>
      <w:r w:rsidRPr="004B0C8D">
        <w:t>on Twitter and Facebook</w:t>
      </w:r>
    </w:p>
    <w:p w14:paraId="2E74AD96" w14:textId="77777777" w:rsidR="00C961E7" w:rsidRPr="001404B0" w:rsidRDefault="00C961E7" w:rsidP="00C961E7">
      <w:pPr>
        <w:spacing w:after="120"/>
        <w:ind w:left="0" w:right="1008"/>
        <w:rPr>
          <w:bCs/>
          <w:color w:val="000000" w:themeColor="text1"/>
        </w:rPr>
      </w:pPr>
    </w:p>
    <w:p w14:paraId="4D342217" w14:textId="06692E44"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and reporting</w:t>
      </w:r>
    </w:p>
    <w:p w14:paraId="640CBAF3" w14:textId="2F8D433E" w:rsidR="00C961E7" w:rsidRPr="00D811AC"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D811AC">
        <w:rPr>
          <w:rStyle w:val="Emphasis"/>
          <w:vanish w:val="0"/>
          <w:color w:val="000000" w:themeColor="text1"/>
          <w:sz w:val="24"/>
        </w:rPr>
        <w:t>notify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1014</w:t>
      </w:r>
      <w:r w:rsidR="00D811AC" w:rsidRPr="00C35797">
        <w:rPr>
          <w:rStyle w:val="Emphasis"/>
          <w:vanish w:val="0"/>
          <w:color w:val="C45911" w:themeColor="accent2" w:themeShade="BF"/>
          <w:sz w:val="24"/>
        </w:rPr>
        <w:t xml:space="preserve"> </w:t>
      </w:r>
      <w:r w:rsidR="00D811AC">
        <w:t>hazardous waste 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C961E7">
      <w:pPr>
        <w:ind w:left="0" w:right="1008"/>
        <w:rPr>
          <w:color w:val="000000" w:themeColor="text1"/>
        </w:rPr>
      </w:pPr>
    </w:p>
    <w:p w14:paraId="49395935"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1B3E6E4C" w:rsidR="00C961E7" w:rsidRPr="001404B0" w:rsidRDefault="00C961E7" w:rsidP="00D811AC">
      <w:pPr>
        <w:pStyle w:val="ListParagraph"/>
        <w:numPr>
          <w:ilvl w:val="0"/>
          <w:numId w:val="2"/>
        </w:numPr>
        <w:spacing w:after="120"/>
        <w:ind w:left="360" w:right="1008"/>
        <w:contextualSpacing w:val="0"/>
        <w:rPr>
          <w:color w:val="000000" w:themeColor="text1"/>
        </w:rPr>
      </w:pPr>
      <w:r w:rsidRPr="001404B0">
        <w:rPr>
          <w:color w:val="000000" w:themeColor="text1"/>
        </w:rPr>
        <w:t xml:space="preserve">Website - </w:t>
      </w:r>
      <w:r w:rsidR="00D811AC">
        <w:t xml:space="preserve">post </w:t>
      </w:r>
      <w:r w:rsidR="006C1804">
        <w:t>fees</w:t>
      </w:r>
      <w:r w:rsidR="00D811AC">
        <w:t xml:space="preserve"> factsheet on DEQ’s program website</w:t>
      </w:r>
      <w:r w:rsidR="006C1804">
        <w:t>s</w:t>
      </w:r>
    </w:p>
    <w:p w14:paraId="43736AC7" w14:textId="08F18A11"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6C1804">
        <w:rPr>
          <w:color w:val="000000" w:themeColor="text1"/>
        </w:rPr>
        <w:t>amend database for new fees</w:t>
      </w:r>
    </w:p>
    <w:p w14:paraId="3DD43A0C" w14:textId="273268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6C1804">
        <w:rPr>
          <w:color w:val="000000" w:themeColor="text1"/>
        </w:rPr>
        <w:t>send invoices to hazardous waste reporters with new fees</w:t>
      </w:r>
    </w:p>
    <w:p w14:paraId="11C3AB77" w14:textId="77777777" w:rsidR="00C961E7" w:rsidRPr="001404B0" w:rsidRDefault="00C961E7" w:rsidP="00C961E7">
      <w:pPr>
        <w:ind w:left="86" w:right="1008"/>
        <w:rPr>
          <w:color w:val="000000" w:themeColor="text1"/>
        </w:rPr>
      </w:pPr>
    </w:p>
    <w:p w14:paraId="1A95A430"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79C88280" w14:textId="340E4D5C"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6C1804">
        <w:rPr>
          <w:color w:val="000000" w:themeColor="text1"/>
        </w:rPr>
        <w:t xml:space="preserve">make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F22E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162BB8">
        <w:rPr>
          <w:color w:val="000000" w:themeColor="text1"/>
        </w:rPr>
        <w:t xml:space="preserve">train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6" w:name="_Toc2703380"/>
            <w:r w:rsidRPr="001404B0">
              <w:t>Five-year review</w:t>
            </w:r>
            <w:r w:rsidR="00125935">
              <w:t xml:space="preserve"> – </w:t>
            </w:r>
            <w:r w:rsidR="00125935">
              <w:rPr>
                <w:color w:val="BF8F00" w:themeColor="accent4" w:themeShade="BF"/>
              </w:rPr>
              <w:t>Leave Blank – Will be Completed by Agency Rules Coordinator</w:t>
            </w:r>
            <w:bookmarkEnd w:id="16"/>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w:t>
      </w:r>
      <w:proofErr w:type="gramStart"/>
      <w:r w:rsidRPr="001404B0">
        <w:t>)(</w:t>
      </w:r>
      <w:proofErr w:type="gramEnd"/>
      <w:r w:rsidRPr="001404B0">
        <w:t>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w:t>
      </w:r>
      <w:proofErr w:type="gramStart"/>
      <w:r w:rsidRPr="001404B0">
        <w:t>)(</w:t>
      </w:r>
      <w:proofErr w:type="gramEnd"/>
      <w:r w:rsidRPr="001404B0">
        <w:t>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w:t>
      </w:r>
      <w:proofErr w:type="gramStart"/>
      <w:r w:rsidRPr="001404B0">
        <w:t>)(</w:t>
      </w:r>
      <w:proofErr w:type="gramEnd"/>
      <w:r w:rsidRPr="001404B0">
        <w:t>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7" w:name="_Toc2703381"/>
            <w:r w:rsidRPr="001404B0">
              <w:t>Draft Rules – With Edits Highlighted</w:t>
            </w:r>
            <w:bookmarkEnd w:id="17"/>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8" w:name="_Toc2703382"/>
            <w:r w:rsidRPr="001404B0">
              <w:t>Draft Rules – With Edits Included</w:t>
            </w:r>
            <w:bookmarkEnd w:id="18"/>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473313" w:rsidRDefault="00473313" w:rsidP="002D6C99">
      <w:r>
        <w:separator/>
      </w:r>
    </w:p>
  </w:endnote>
  <w:endnote w:type="continuationSeparator" w:id="0">
    <w:p w14:paraId="11DF33BA" w14:textId="77777777" w:rsidR="00473313" w:rsidRDefault="0047331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473313" w:rsidRDefault="00473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5BA7A384" w:rsidR="00473313" w:rsidRDefault="00473313">
        <w:pPr>
          <w:pStyle w:val="Footer"/>
          <w:jc w:val="right"/>
        </w:pPr>
        <w:r>
          <w:fldChar w:fldCharType="begin"/>
        </w:r>
        <w:r>
          <w:instrText xml:space="preserve"> PAGE   \* MERGEFORMAT </w:instrText>
        </w:r>
        <w:r>
          <w:fldChar w:fldCharType="separate"/>
        </w:r>
        <w:r w:rsidR="003E164A">
          <w:rPr>
            <w:noProof/>
          </w:rPr>
          <w:t>21</w:t>
        </w:r>
        <w:r>
          <w:rPr>
            <w:noProof/>
          </w:rPr>
          <w:fldChar w:fldCharType="end"/>
        </w:r>
      </w:p>
    </w:sdtContent>
  </w:sdt>
  <w:p w14:paraId="214F9908" w14:textId="77777777" w:rsidR="00473313" w:rsidRPr="002B4E71" w:rsidRDefault="00473313"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473313" w:rsidRDefault="0047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473313" w:rsidRDefault="00473313" w:rsidP="002D6C99">
      <w:r>
        <w:separator/>
      </w:r>
    </w:p>
  </w:footnote>
  <w:footnote w:type="continuationSeparator" w:id="0">
    <w:p w14:paraId="777EAEB4" w14:textId="77777777" w:rsidR="00473313" w:rsidRDefault="0047331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473313" w:rsidRDefault="00473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473313" w:rsidRDefault="00473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473313" w:rsidRDefault="00473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638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745"/>
    <w:rsid w:val="00545A38"/>
    <w:rsid w:val="00550120"/>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05E4"/>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yperlink" Target="https://www.oregon.gov/deq/Hazards-and-Cleanup/hw/Pages/HW-Rules.aspx" TargetMode="Externa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oregon.gov/deq/Hazards-and-Cleanup/hw/Pages/HW-Repor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terms/"/>
  </ds:schemaRefs>
</ds:datastoreItem>
</file>

<file path=customXml/itemProps4.xml><?xml version="1.0" encoding="utf-8"?>
<ds:datastoreItem xmlns:ds="http://schemas.openxmlformats.org/officeDocument/2006/customXml" ds:itemID="{3909C616-0257-497C-980A-53651B42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37</Pages>
  <Words>8146</Words>
  <Characters>46437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8</cp:revision>
  <cp:lastPrinted>2019-03-04T23:34:00Z</cp:lastPrinted>
  <dcterms:created xsi:type="dcterms:W3CDTF">2019-03-05T01:23:00Z</dcterms:created>
  <dcterms:modified xsi:type="dcterms:W3CDTF">2019-03-07T14:44:00Z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