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77777777" w:rsidR="00636FD5" w:rsidRPr="006C645E" w:rsidRDefault="00636FD5" w:rsidP="00B35B09">
      <w:r>
        <w:rPr>
          <w:rFonts w:ascii="Arial" w:hAnsi="Arial" w:cs="Arial"/>
          <w:b/>
          <w:sz w:val="28"/>
          <w:szCs w:val="28"/>
        </w:rPr>
        <w:t xml:space="preserve">Rulemaking Name: </w:t>
      </w:r>
    </w:p>
    <w:p w14:paraId="38113264" w14:textId="77777777" w:rsidR="00636FD5" w:rsidRDefault="00636FD5" w:rsidP="00B35B09"/>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1875"/>
        <w:gridCol w:w="2814"/>
        <w:gridCol w:w="1403"/>
        <w:gridCol w:w="1403"/>
        <w:gridCol w:w="1403"/>
      </w:tblGrid>
      <w:tr w:rsidR="00636FD5" w14:paraId="70DD1571" w14:textId="77777777" w:rsidTr="00CF600C">
        <w:trPr>
          <w:trHeight w:val="356"/>
        </w:trPr>
        <w:tc>
          <w:tcPr>
            <w:tcW w:w="187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81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CF600C">
        <w:trPr>
          <w:trHeight w:val="356"/>
        </w:trPr>
        <w:tc>
          <w:tcPr>
            <w:tcW w:w="1875" w:type="dxa"/>
          </w:tcPr>
          <w:p w14:paraId="6C8C85D6" w14:textId="77777777" w:rsidR="00636FD5" w:rsidRDefault="00636FD5" w:rsidP="00CF600C">
            <w:pPr>
              <w:ind w:left="45"/>
            </w:pPr>
            <w:r>
              <w:t>Program Mgr</w:t>
            </w:r>
          </w:p>
        </w:tc>
        <w:tc>
          <w:tcPr>
            <w:tcW w:w="281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77777777"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CF600C">
        <w:trPr>
          <w:trHeight w:val="356"/>
        </w:trPr>
        <w:tc>
          <w:tcPr>
            <w:tcW w:w="1875" w:type="dxa"/>
          </w:tcPr>
          <w:p w14:paraId="6AE6505C" w14:textId="77777777" w:rsidR="00636FD5" w:rsidRDefault="00636FD5" w:rsidP="00CF600C">
            <w:pPr>
              <w:ind w:left="45"/>
            </w:pPr>
            <w:r>
              <w:t>Communications</w:t>
            </w:r>
          </w:p>
        </w:tc>
        <w:tc>
          <w:tcPr>
            <w:tcW w:w="2814" w:type="dxa"/>
            <w:vAlign w:val="center"/>
          </w:tcPr>
          <w:p w14:paraId="3DBE336A" w14:textId="77777777" w:rsidR="005B1EBF" w:rsidRDefault="005B1EBF" w:rsidP="00CF600C">
            <w:pPr>
              <w:ind w:left="0"/>
              <w:jc w:val="center"/>
            </w:pPr>
            <w:r>
              <w:t xml:space="preserve">Susan Mills or </w:t>
            </w:r>
          </w:p>
          <w:p w14:paraId="20A5DA3A" w14:textId="10B653EC" w:rsidR="00636FD5" w:rsidRDefault="00CF600C" w:rsidP="00CF600C">
            <w:pPr>
              <w:ind w:left="0"/>
              <w:jc w:val="center"/>
            </w:pPr>
            <w:r>
              <w:t>Katherine Benenati</w:t>
            </w:r>
          </w:p>
        </w:tc>
        <w:tc>
          <w:tcPr>
            <w:tcW w:w="1403" w:type="dxa"/>
            <w:vAlign w:val="center"/>
          </w:tcPr>
          <w:p w14:paraId="15B19FD7" w14:textId="77777777" w:rsidR="00636FD5" w:rsidRDefault="00636FD5" w:rsidP="00CF600C">
            <w:pPr>
              <w:ind w:left="0"/>
              <w:jc w:val="center"/>
            </w:pP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CF600C">
        <w:trPr>
          <w:trHeight w:val="356"/>
        </w:trPr>
        <w:tc>
          <w:tcPr>
            <w:tcW w:w="1875" w:type="dxa"/>
          </w:tcPr>
          <w:p w14:paraId="374ADCC0" w14:textId="77777777" w:rsidR="00636FD5" w:rsidRDefault="00636FD5" w:rsidP="00CF600C">
            <w:pPr>
              <w:ind w:left="45"/>
            </w:pPr>
            <w:r>
              <w:t>DA</w:t>
            </w:r>
          </w:p>
        </w:tc>
        <w:tc>
          <w:tcPr>
            <w:tcW w:w="281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CF600C">
        <w:trPr>
          <w:trHeight w:val="356"/>
        </w:trPr>
        <w:tc>
          <w:tcPr>
            <w:tcW w:w="1875" w:type="dxa"/>
          </w:tcPr>
          <w:p w14:paraId="4862EAE4" w14:textId="77777777" w:rsidR="00636FD5" w:rsidRDefault="00636FD5" w:rsidP="00CF600C">
            <w:pPr>
              <w:ind w:left="45"/>
            </w:pPr>
            <w:r>
              <w:t>ARC or AQRC</w:t>
            </w:r>
          </w:p>
        </w:tc>
        <w:tc>
          <w:tcPr>
            <w:tcW w:w="281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CF600C">
        <w:trPr>
          <w:trHeight w:val="356"/>
        </w:trPr>
        <w:tc>
          <w:tcPr>
            <w:tcW w:w="1875" w:type="dxa"/>
          </w:tcPr>
          <w:p w14:paraId="25C1C4F4" w14:textId="77777777" w:rsidR="00636FD5" w:rsidRDefault="00636FD5" w:rsidP="00CF600C">
            <w:pPr>
              <w:ind w:left="45"/>
            </w:pPr>
            <w:r>
              <w:t>Other</w:t>
            </w:r>
          </w:p>
        </w:tc>
        <w:tc>
          <w:tcPr>
            <w:tcW w:w="281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77777777" w:rsidR="00636FD5" w:rsidRDefault="00636FD5" w:rsidP="00CF600C">
            <w:pPr>
              <w:ind w:left="0"/>
              <w:jc w:val="center"/>
            </w:pP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36FD5" w14:paraId="4A6B6D2A" w14:textId="77777777" w:rsidTr="00CF600C">
        <w:trPr>
          <w:trHeight w:val="356"/>
        </w:trPr>
        <w:tc>
          <w:tcPr>
            <w:tcW w:w="1875" w:type="dxa"/>
          </w:tcPr>
          <w:p w14:paraId="37273C68" w14:textId="77777777" w:rsidR="00636FD5" w:rsidRDefault="00636FD5" w:rsidP="00CF600C">
            <w:pPr>
              <w:ind w:left="45"/>
            </w:pPr>
            <w:r>
              <w:t>Other</w:t>
            </w:r>
          </w:p>
        </w:tc>
        <w:tc>
          <w:tcPr>
            <w:tcW w:w="281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CF600C">
        <w:trPr>
          <w:trHeight w:val="356"/>
        </w:trPr>
        <w:tc>
          <w:tcPr>
            <w:tcW w:w="1875" w:type="dxa"/>
          </w:tcPr>
          <w:p w14:paraId="1647CEF5" w14:textId="77777777" w:rsidR="00636FD5" w:rsidRDefault="00636FD5" w:rsidP="00CF600C">
            <w:pPr>
              <w:ind w:left="45"/>
            </w:pPr>
            <w:r>
              <w:t>Other</w:t>
            </w:r>
          </w:p>
        </w:tc>
        <w:tc>
          <w:tcPr>
            <w:tcW w:w="281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CF600C">
        <w:trPr>
          <w:trHeight w:val="356"/>
        </w:trPr>
        <w:tc>
          <w:tcPr>
            <w:tcW w:w="1875" w:type="dxa"/>
          </w:tcPr>
          <w:p w14:paraId="792076E5" w14:textId="5CC9E111" w:rsidR="00CF600C" w:rsidRDefault="00CF600C" w:rsidP="00CF600C">
            <w:pPr>
              <w:ind w:left="45"/>
            </w:pPr>
            <w:r>
              <w:t>Other</w:t>
            </w:r>
          </w:p>
        </w:tc>
        <w:tc>
          <w:tcPr>
            <w:tcW w:w="281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CF600C">
        <w:trPr>
          <w:trHeight w:val="356"/>
        </w:trPr>
        <w:tc>
          <w:tcPr>
            <w:tcW w:w="1875" w:type="dxa"/>
          </w:tcPr>
          <w:p w14:paraId="3E3DD465" w14:textId="170D2A5D" w:rsidR="00CF600C" w:rsidRDefault="00CF600C" w:rsidP="00CF600C">
            <w:pPr>
              <w:ind w:left="45"/>
            </w:pPr>
            <w:r>
              <w:t>Other</w:t>
            </w:r>
          </w:p>
        </w:tc>
        <w:tc>
          <w:tcPr>
            <w:tcW w:w="281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CF600C">
        <w:trPr>
          <w:trHeight w:val="356"/>
        </w:trPr>
        <w:tc>
          <w:tcPr>
            <w:tcW w:w="1875" w:type="dxa"/>
          </w:tcPr>
          <w:p w14:paraId="24F6388B" w14:textId="28413722" w:rsidR="005B1EBF" w:rsidRDefault="005B1EBF" w:rsidP="00CF600C">
            <w:pPr>
              <w:ind w:left="45"/>
            </w:pPr>
            <w:r>
              <w:t>Rules Team</w:t>
            </w:r>
          </w:p>
        </w:tc>
        <w:tc>
          <w:tcPr>
            <w:tcW w:w="281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CF600C">
        <w:trPr>
          <w:trHeight w:val="356"/>
        </w:trPr>
        <w:tc>
          <w:tcPr>
            <w:tcW w:w="1875" w:type="dxa"/>
          </w:tcPr>
          <w:p w14:paraId="7015AA45" w14:textId="35FB0A44" w:rsidR="005B1EBF" w:rsidRDefault="005B1EBF" w:rsidP="00CF600C">
            <w:pPr>
              <w:ind w:left="45"/>
            </w:pPr>
            <w:r>
              <w:t>Rules Team</w:t>
            </w:r>
          </w:p>
        </w:tc>
        <w:tc>
          <w:tcPr>
            <w:tcW w:w="281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CF600C">
        <w:trPr>
          <w:trHeight w:val="356"/>
        </w:trPr>
        <w:tc>
          <w:tcPr>
            <w:tcW w:w="1875" w:type="dxa"/>
          </w:tcPr>
          <w:p w14:paraId="460EE7F4" w14:textId="3EA78776" w:rsidR="005B1EBF" w:rsidRDefault="005B1EBF" w:rsidP="00CF600C">
            <w:pPr>
              <w:ind w:left="45"/>
            </w:pPr>
            <w:r>
              <w:t>Rules Team</w:t>
            </w:r>
          </w:p>
        </w:tc>
        <w:tc>
          <w:tcPr>
            <w:tcW w:w="281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77777777"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14:paraId="2B127B35" w14:textId="77777777" w:rsidR="00C961E7" w:rsidRPr="001404B0" w:rsidRDefault="00C961E7" w:rsidP="00C961E7">
      <w:pPr>
        <w:jc w:val="center"/>
        <w:rPr>
          <w:rStyle w:val="Strong"/>
        </w:rPr>
      </w:pPr>
    </w:p>
    <w:p w14:paraId="7F0D6842" w14:textId="77777777"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14:paraId="40659B2C" w14:textId="77777777"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14FEAFBE" w14:textId="77777777"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14:paraId="09A8CDD0" w14:textId="77777777"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14:paraId="2BEC6A79" w14:textId="77777777"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14:paraId="0A25D5AE" w14:textId="77777777" w:rsidTr="00B35B09">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14:paraId="27BD697E" w14:textId="77777777" w:rsidR="00C96373" w:rsidRPr="001404B0" w:rsidRDefault="00C96373" w:rsidP="00B35B09">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4CFD5" w14:textId="77777777" w:rsidR="00C96373" w:rsidRPr="001404B0" w:rsidRDefault="00C96373" w:rsidP="00B35B09">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14:paraId="78926737" w14:textId="77777777" w:rsidTr="00B35B09">
        <w:trPr>
          <w:trHeight w:val="802"/>
          <w:jc w:val="center"/>
        </w:trPr>
        <w:tc>
          <w:tcPr>
            <w:tcW w:w="5017" w:type="dxa"/>
            <w:gridSpan w:val="2"/>
            <w:tcBorders>
              <w:top w:val="single" w:sz="2" w:space="0" w:color="000000" w:themeColor="text1"/>
            </w:tcBorders>
            <w:shd w:val="clear" w:color="auto" w:fill="C5E0B3" w:themeFill="accent6" w:themeFillTint="66"/>
            <w:vAlign w:val="center"/>
          </w:tcPr>
          <w:p w14:paraId="688329A2"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14:paraId="0AE11940"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14:paraId="73F57E40" w14:textId="77777777" w:rsidTr="00B35B09">
        <w:trPr>
          <w:trHeight w:val="802"/>
          <w:jc w:val="center"/>
        </w:trPr>
        <w:tc>
          <w:tcPr>
            <w:tcW w:w="5017" w:type="dxa"/>
            <w:gridSpan w:val="2"/>
            <w:tcBorders>
              <w:top w:val="single" w:sz="2" w:space="0" w:color="000000" w:themeColor="text1"/>
            </w:tcBorders>
            <w:shd w:val="clear" w:color="auto" w:fill="A8D08D" w:themeFill="accent6" w:themeFillTint="99"/>
            <w:vAlign w:val="center"/>
          </w:tcPr>
          <w:p w14:paraId="238EA750"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14:paraId="32B56521"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14:paraId="0E477CC6" w14:textId="77777777" w:rsidTr="00B35B09">
        <w:trPr>
          <w:jc w:val="center"/>
        </w:trPr>
        <w:tc>
          <w:tcPr>
            <w:tcW w:w="2453" w:type="dxa"/>
            <w:vAlign w:val="center"/>
          </w:tcPr>
          <w:p w14:paraId="2BF9403B"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1421EF54" w14:textId="77777777" w:rsidR="00C96373" w:rsidRPr="001404B0" w:rsidRDefault="00C96373" w:rsidP="00B35B09">
            <w:r w:rsidRPr="001404B0">
              <w:t>Data (Times New Roman 12)</w:t>
            </w:r>
          </w:p>
        </w:tc>
        <w:tc>
          <w:tcPr>
            <w:tcW w:w="2615" w:type="dxa"/>
            <w:vAlign w:val="center"/>
          </w:tcPr>
          <w:p w14:paraId="74E71F76" w14:textId="77777777" w:rsidR="00C96373" w:rsidRPr="001404B0" w:rsidRDefault="00C96373" w:rsidP="00B35B09">
            <w:r w:rsidRPr="001404B0">
              <w:t>Data (Times New Roman 12)</w:t>
            </w:r>
          </w:p>
        </w:tc>
        <w:tc>
          <w:tcPr>
            <w:tcW w:w="2402" w:type="dxa"/>
            <w:vAlign w:val="center"/>
          </w:tcPr>
          <w:p w14:paraId="61AEE9AD" w14:textId="77777777" w:rsidR="00C96373" w:rsidRPr="001404B0" w:rsidRDefault="00C96373" w:rsidP="00B35B09">
            <w:r w:rsidRPr="001404B0">
              <w:t>Data (Times New Roman 12)</w:t>
            </w:r>
          </w:p>
        </w:tc>
      </w:tr>
      <w:tr w:rsidR="00C96373" w:rsidRPr="001404B0" w14:paraId="65437D9C" w14:textId="77777777" w:rsidTr="00B35B09">
        <w:trPr>
          <w:jc w:val="center"/>
        </w:trPr>
        <w:tc>
          <w:tcPr>
            <w:tcW w:w="2453" w:type="dxa"/>
            <w:vAlign w:val="center"/>
          </w:tcPr>
          <w:p w14:paraId="678A731F"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456F5922" w14:textId="77777777" w:rsidR="00C96373" w:rsidRPr="001404B0" w:rsidRDefault="00C96373" w:rsidP="00B35B09">
            <w:r w:rsidRPr="001404B0">
              <w:t>Data (Times New Roman 12)</w:t>
            </w:r>
          </w:p>
        </w:tc>
        <w:tc>
          <w:tcPr>
            <w:tcW w:w="2615" w:type="dxa"/>
            <w:vAlign w:val="center"/>
          </w:tcPr>
          <w:p w14:paraId="5BBB4444" w14:textId="77777777" w:rsidR="00C96373" w:rsidRPr="001404B0" w:rsidRDefault="00C96373" w:rsidP="00B35B09">
            <w:r w:rsidRPr="001404B0">
              <w:t>Data (Times New Roman 12)</w:t>
            </w:r>
          </w:p>
        </w:tc>
        <w:tc>
          <w:tcPr>
            <w:tcW w:w="2402" w:type="dxa"/>
            <w:vAlign w:val="center"/>
          </w:tcPr>
          <w:p w14:paraId="3A36D984" w14:textId="77777777" w:rsidR="00C96373" w:rsidRPr="001404B0" w:rsidRDefault="00C96373" w:rsidP="00B35B09">
            <w:r w:rsidRPr="001404B0">
              <w:t>Data (Times New Roman 12)</w:t>
            </w:r>
          </w:p>
        </w:tc>
      </w:tr>
    </w:tbl>
    <w:p w14:paraId="6936AFA6"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1EBEA805"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13408616"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2D64AB4C"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0A0C4A05"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14805944"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1AED4911"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1C18CFF8"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EEF18CF"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3597B47C"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7F3D97B"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00EB14C3"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55881E7B"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620643E0"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2566E2F6"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771DB122"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49216747"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2183E76F"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5C526297" w14:textId="77777777" w:rsidR="0064316E" w:rsidRPr="001404B0" w:rsidRDefault="00B35B09">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F9D2FD1"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r>
              <w:t>Accessibility Information</w:t>
            </w:r>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77777777" w:rsidR="00000132" w:rsidRPr="002175B6" w:rsidRDefault="00000132" w:rsidP="00000132">
      <w:pPr>
        <w:ind w:left="0" w:right="-432"/>
      </w:pPr>
      <w:r>
        <w:t>700 NE Multnomah St., Ste. 600</w:t>
      </w:r>
    </w:p>
    <w:p w14:paraId="4FD63B63" w14:textId="77777777"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28961B90" w14:textId="39F52798" w:rsidR="00000132" w:rsidRDefault="00000132" w:rsidP="00000132">
      <w:pPr>
        <w:spacing w:after="120"/>
        <w:ind w:left="0"/>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3" w:history="1">
        <w:r w:rsidR="00B35B09" w:rsidRPr="00B35B09">
          <w:rPr>
            <w:rStyle w:val="Hyperlink"/>
          </w:rPr>
          <w:t>mailto:deqinfo@deq.state.or.us</w:t>
        </w:r>
      </w:hyperlink>
      <w:r w:rsidR="00B35B09">
        <w:t xml:space="preserve">. </w:t>
      </w:r>
      <w:r w:rsidRPr="002175B6">
        <w:t>Hearing impaired persons may call 711</w:t>
      </w:r>
      <w:r>
        <w:t>.</w:t>
      </w: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77777777"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r w:rsidRPr="001404B0">
              <w:t>Overview</w:t>
            </w:r>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77777777"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consumer price index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77777777"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77777777"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r>
        <w:rPr>
          <w:rFonts w:ascii="Times New Roman" w:eastAsia="Times" w:hAnsi="Times New Roman" w:cs="Times New Roman"/>
          <w:b w:val="0"/>
          <w:bCs w:val="0"/>
          <w:color w:val="auto"/>
          <w:sz w:val="24"/>
          <w:szCs w:val="24"/>
        </w:rPr>
        <w:t>h</w:t>
      </w:r>
      <w:r w:rsidRPr="008D2B9B">
        <w:rPr>
          <w:rFonts w:ascii="Times New Roman" w:eastAsia="Times" w:hAnsi="Times New Roman" w:cs="Times New Roman"/>
          <w:b w:val="0"/>
          <w:bCs w:val="0"/>
          <w:color w:val="auto"/>
          <w:sz w:val="24"/>
          <w:szCs w:val="24"/>
        </w:rPr>
        <w:t xml:space="preserve">azardous </w:t>
      </w:r>
      <w:r>
        <w:rPr>
          <w:rFonts w:ascii="Times New Roman" w:eastAsia="Times" w:hAnsi="Times New Roman" w:cs="Times New Roman"/>
          <w:b w:val="0"/>
          <w:bCs w:val="0"/>
          <w:color w:val="auto"/>
          <w:sz w:val="24"/>
          <w:szCs w:val="24"/>
        </w:rPr>
        <w:t>w</w:t>
      </w:r>
      <w:r w:rsidRPr="008D2B9B">
        <w:rPr>
          <w:rFonts w:ascii="Times New Roman" w:eastAsia="Times" w:hAnsi="Times New Roman" w:cs="Times New Roman"/>
          <w:b w:val="0"/>
          <w:bCs w:val="0"/>
          <w:color w:val="auto"/>
          <w:sz w:val="24"/>
          <w:szCs w:val="24"/>
        </w:rPr>
        <w:t xml:space="preserve">aste </w:t>
      </w:r>
      <w:r>
        <w:rPr>
          <w:rFonts w:ascii="Times New Roman" w:eastAsia="Times" w:hAnsi="Times New Roman" w:cs="Times New Roman"/>
          <w:b w:val="0"/>
          <w:bCs w:val="0"/>
          <w:color w:val="auto"/>
          <w:sz w:val="24"/>
          <w:szCs w:val="24"/>
        </w:rPr>
        <w:t>program,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77777777"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Treatment, Storage, and Disposal facility compliance determination fees </w:t>
      </w:r>
    </w:p>
    <w:p w14:paraId="12033DA4" w14:textId="77777777" w:rsidR="00B35B09" w:rsidRDefault="00B35B09" w:rsidP="00C16C0C">
      <w:pPr>
        <w:pStyle w:val="ListParagraph"/>
        <w:numPr>
          <w:ilvl w:val="0"/>
          <w:numId w:val="5"/>
        </w:numPr>
      </w:pPr>
      <w:r>
        <w:rPr>
          <w:spacing w:val="-3"/>
        </w:rPr>
        <w:t xml:space="preserve">TSD permit </w:t>
      </w:r>
      <w:r>
        <w:t xml:space="preserve">modification fees </w:t>
      </w:r>
    </w:p>
    <w:p w14:paraId="21606843" w14:textId="77777777"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77777777"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Pr>
          <w:color w:val="000000"/>
          <w:lang w:val="en"/>
        </w:rPr>
        <w:t>TSD</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1" w:name="_Toc490121545"/>
            <w:r w:rsidRPr="001404B0">
              <w:t>Statement of Need</w:t>
            </w:r>
            <w:bookmarkEnd w:id="1"/>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48CB935A"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77777777"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 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7777777"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management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77777777" w:rsidR="007405E4" w:rsidRDefault="007405E4" w:rsidP="007405E4">
      <w:pPr>
        <w:ind w:left="0" w:right="-360"/>
      </w:pPr>
      <w:r>
        <w:t>If EQC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2"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2"/>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2181D235"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AB558B" w:rsidRDefault="007405E4" w:rsidP="007405E4">
      <w:pPr>
        <w:ind w:left="360" w:right="360" w:firstLine="360"/>
        <w:rPr>
          <w:rFonts w:ascii="Arial" w:hAnsi="Arial" w:cs="Arial"/>
        </w:rPr>
      </w:pPr>
      <w:r w:rsidRPr="00AB558B">
        <w:rPr>
          <w:rFonts w:ascii="Arial" w:hAnsi="Arial" w:cs="Arial"/>
        </w:rPr>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7405E4" w:rsidP="007405E4">
            <w:pPr>
              <w:ind w:left="0" w:right="0"/>
              <w:rPr>
                <w:rStyle w:val="Hyperlink"/>
                <w:bCs/>
              </w:rPr>
            </w:pPr>
            <w:hyperlink r:id="rId14" w:history="1">
              <w:r w:rsidRPr="00DF7140">
                <w:rPr>
                  <w:rStyle w:val="Hyperlink"/>
                  <w:bCs/>
                </w:rPr>
                <w:t>2019-21 DEQ Agency Request Budget</w:t>
              </w:r>
            </w:hyperlink>
          </w:p>
          <w:p w14:paraId="46A4803D" w14:textId="77777777" w:rsidR="007405E4" w:rsidRPr="00DF7140" w:rsidRDefault="007405E4" w:rsidP="007405E4">
            <w:pPr>
              <w:ind w:left="0" w:right="0"/>
              <w:rPr>
                <w:rStyle w:val="Hyperlink"/>
                <w:bCs/>
              </w:rPr>
            </w:pPr>
            <w:hyperlink r:id="rId15" w:history="1">
              <w:r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7405E4" w:rsidP="007405E4">
            <w:pPr>
              <w:ind w:left="0" w:right="0"/>
              <w:rPr>
                <w:highlight w:val="yellow"/>
              </w:rPr>
            </w:pPr>
            <w:hyperlink r:id="rId16" w:anchor="meetings" w:history="1">
              <w:r w:rsidRPr="00DF7140">
                <w:rPr>
                  <w:rStyle w:val="Hyperlink"/>
                  <w:bCs/>
                </w:rPr>
                <w:t>2018 Hazardous Waste Fees Advisory Committee Notes</w:t>
              </w:r>
              <w:r>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7405E4" w:rsidP="007405E4">
            <w:pPr>
              <w:ind w:left="0" w:right="0"/>
              <w:rPr>
                <w:color w:val="C45911" w:themeColor="accent2" w:themeShade="BF"/>
                <w:highlight w:val="yellow"/>
              </w:rPr>
            </w:pPr>
            <w:hyperlink r:id="rId17" w:history="1">
              <w:r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7405E4" w:rsidP="007405E4">
            <w:pPr>
              <w:ind w:left="0" w:right="-432"/>
              <w:rPr>
                <w:bCs/>
              </w:rPr>
            </w:pPr>
            <w:hyperlink r:id="rId18" w:history="1">
              <w:r w:rsidRPr="00DF7140">
                <w:rPr>
                  <w:rStyle w:val="Hyperlink"/>
                  <w:bCs/>
                </w:rPr>
                <w:t>2018 US Bureau of Labor Statistics Consumer Price Index</w:t>
              </w:r>
            </w:hyperlink>
            <w:r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58C5CC19" w14:textId="5D076754" w:rsidR="00C961E7" w:rsidRPr="001404B0" w:rsidRDefault="00C961E7" w:rsidP="005F45A9">
            <w:pPr>
              <w:pStyle w:val="Heading1"/>
              <w:rPr>
                <w:color w:val="BF8F00" w:themeColor="accent4" w:themeShade="BF"/>
              </w:rPr>
            </w:pPr>
            <w:bookmarkStart w:id="3" w:name="_Toc490121547"/>
            <w:r w:rsidRPr="001404B0">
              <w:t>Fee Analysis</w:t>
            </w:r>
            <w:bookmarkEnd w:id="3"/>
          </w:p>
          <w:p w14:paraId="3733C628" w14:textId="77777777" w:rsidR="00F84B7C" w:rsidRPr="001404B0" w:rsidRDefault="00F84B7C" w:rsidP="00F84B7C"/>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2705728D"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77777777" w:rsidR="007405E4" w:rsidRPr="00D42752" w:rsidRDefault="007405E4" w:rsidP="007405E4">
      <w:pPr>
        <w:ind w:left="0" w:right="-432"/>
        <w:rPr>
          <w:bCs/>
        </w:rPr>
      </w:pPr>
      <w:r w:rsidRPr="00D42752">
        <w:t>The EQC</w:t>
      </w:r>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Pr="00D42752">
        <w:t>EQC 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77777777"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Default="007405E4" w:rsidP="00C16C0C">
      <w:pPr>
        <w:pStyle w:val="ListParagraph"/>
        <w:numPr>
          <w:ilvl w:val="0"/>
          <w:numId w:val="11"/>
        </w:numPr>
        <w:ind w:right="-432" w:firstLine="0"/>
      </w:pPr>
      <w:r>
        <w:t>C</w:t>
      </w:r>
      <w:r w:rsidRPr="00D42752">
        <w:t xml:space="preserve">hange in </w:t>
      </w:r>
      <w:r>
        <w:t>state</w:t>
      </w:r>
      <w:r w:rsidRPr="00D42752">
        <w:t xml:space="preserv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Default="007405E4" w:rsidP="00C16C0C">
      <w:pPr>
        <w:pStyle w:val="ListParagraph"/>
        <w:numPr>
          <w:ilvl w:val="0"/>
          <w:numId w:val="11"/>
        </w:numPr>
        <w:ind w:right="-432" w:firstLine="0"/>
      </w:pPr>
      <w:r>
        <w:t>Change in fee revenue</w:t>
      </w:r>
    </w:p>
    <w:p w14:paraId="6071B44E" w14:textId="77777777"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Waste Management’s Arlington landfill hazardous waste tipping fees</w:t>
      </w:r>
      <w:r>
        <w:t xml:space="preserve"> (approximately 60 percent)</w:t>
      </w:r>
      <w:r w:rsidRPr="00C2217D">
        <w:t xml:space="preserve"> and Hazardous Waste Permit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C304D7" w:rsidRDefault="007405E4" w:rsidP="00C16C0C">
      <w:pPr>
        <w:pStyle w:val="ListParagraph"/>
        <w:numPr>
          <w:ilvl w:val="0"/>
          <w:numId w:val="10"/>
        </w:numPr>
        <w:ind w:right="-432"/>
        <w:rPr>
          <w:bCs/>
        </w:rPr>
      </w:pPr>
      <w:r w:rsidRPr="00C304D7">
        <w:t>Change in other fund revenue</w:t>
      </w:r>
      <w:r w:rsidRPr="00C304D7">
        <w:rPr>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C304D7" w:rsidRDefault="007405E4" w:rsidP="00C16C0C">
      <w:pPr>
        <w:pStyle w:val="ListParagraph"/>
        <w:numPr>
          <w:ilvl w:val="0"/>
          <w:numId w:val="10"/>
        </w:numPr>
        <w:ind w:right="-432"/>
      </w:pPr>
      <w:r w:rsidRPr="00C304D7">
        <w:t xml:space="preserve">Increased program costs </w:t>
      </w:r>
    </w:p>
    <w:p w14:paraId="53E3121A" w14:textId="77777777"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Default="007405E4" w:rsidP="00C16C0C">
      <w:pPr>
        <w:pStyle w:val="ListParagraph"/>
        <w:numPr>
          <w:ilvl w:val="0"/>
          <w:numId w:val="10"/>
        </w:numPr>
        <w:ind w:right="-432"/>
      </w:pPr>
      <w:r>
        <w:t>Change in transaction costs</w:t>
      </w:r>
    </w:p>
    <w:p w14:paraId="1246E984" w14:textId="77777777" w:rsidR="007405E4" w:rsidRDefault="007405E4" w:rsidP="007405E4">
      <w:pPr>
        <w:ind w:left="360" w:right="-432"/>
        <w:rPr>
          <w:bCs/>
          <w:color w:val="C45911" w:themeColor="accent2" w:themeShade="BF"/>
        </w:rPr>
      </w:pPr>
      <w:r>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CA64B4" w:rsidRDefault="007405E4" w:rsidP="00C16C0C">
      <w:pPr>
        <w:pStyle w:val="ListParagraph"/>
        <w:numPr>
          <w:ilvl w:val="0"/>
          <w:numId w:val="10"/>
        </w:numPr>
        <w:ind w:right="-432"/>
      </w:pPr>
      <w:r w:rsidRPr="00CA64B4">
        <w:rPr>
          <w:bCs/>
        </w:rPr>
        <w:t>Program</w:t>
      </w:r>
      <w:r w:rsidRPr="00CA64B4">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Default="007405E4" w:rsidP="00C16C0C">
      <w:pPr>
        <w:numPr>
          <w:ilvl w:val="0"/>
          <w:numId w:val="8"/>
        </w:numPr>
        <w:ind w:left="360" w:right="-432" w:firstLine="0"/>
      </w:pPr>
      <w:r>
        <w:t xml:space="preserve">Static </w:t>
      </w:r>
      <w:r w:rsidRPr="00D42752">
        <w:t>number of base fee payers</w:t>
      </w:r>
      <w:r>
        <w:t xml:space="preserve"> </w:t>
      </w:r>
    </w:p>
    <w:p w14:paraId="33747A01" w14:textId="77777777" w:rsidR="007405E4" w:rsidRPr="00D42752" w:rsidRDefault="007405E4" w:rsidP="007405E4">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7405E4">
      <w:pPr>
        <w:ind w:left="0"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77777777" w:rsidR="007405E4" w:rsidRPr="0021412C" w:rsidRDefault="007405E4" w:rsidP="00C16C0C">
      <w:pPr>
        <w:pStyle w:val="ListParagraph"/>
        <w:numPr>
          <w:ilvl w:val="0"/>
          <w:numId w:val="9"/>
        </w:numPr>
        <w:ind w:right="-432"/>
      </w:pPr>
      <w:r>
        <w:rPr>
          <w:bCs/>
        </w:rPr>
        <w:t>Inflation or consumer price index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77777777"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77777777"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EQC 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 xml:space="preserve">When </w:t>
      </w:r>
      <w:proofErr w:type="gramStart"/>
      <w:r w:rsidRPr="00580597">
        <w:rPr>
          <w:rFonts w:ascii="Arial" w:hAnsi="Arial" w:cs="Arial"/>
          <w:b/>
        </w:rPr>
        <w:t>were these fees</w:t>
      </w:r>
      <w:proofErr w:type="gramEnd"/>
      <w:r w:rsidRPr="00580597">
        <w:rPr>
          <w:rFonts w:ascii="Arial" w:hAnsi="Arial" w:cs="Arial"/>
          <w:b/>
        </w:rPr>
        <w:t xml:space="preserve">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7777777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77777777" w:rsidR="007405E4" w:rsidRPr="00D42752" w:rsidRDefault="007405E4" w:rsidP="007405E4">
            <w:pPr>
              <w:ind w:left="0" w:right="-432"/>
              <w:rPr>
                <w:bCs/>
              </w:rPr>
            </w:pPr>
            <w:r w:rsidRPr="00D42752">
              <w:rPr>
                <w:bCs/>
              </w:rPr>
              <w:t>Fee Last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payers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77777777"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proofErr w:type="gramStart"/>
      <w:r w:rsidRPr="00266C5D">
        <w:rPr>
          <w:lang w:val="en-ZW"/>
        </w:rPr>
        <w:t>a</w:t>
      </w:r>
      <w:proofErr w:type="gramEnd"/>
      <w:r w:rsidRPr="00266C5D">
        <w:rPr>
          <w:lang w:val="en-ZW"/>
        </w:rPr>
        <w:t>. Current Annual Activity Verification Fees are:</w:t>
      </w:r>
    </w:p>
    <w:p w14:paraId="04ED3DF4" w14:textId="77777777" w:rsidR="007405E4" w:rsidRPr="007A41B4" w:rsidRDefault="007405E4" w:rsidP="00C16C0C">
      <w:pPr>
        <w:pStyle w:val="ListParagraph"/>
        <w:numPr>
          <w:ilvl w:val="0"/>
          <w:numId w:val="9"/>
        </w:numPr>
        <w:rPr>
          <w:lang w:val="en-ZW"/>
        </w:rPr>
      </w:pPr>
      <w:r w:rsidRPr="007A41B4">
        <w:rPr>
          <w:lang w:val="en-ZW"/>
        </w:rPr>
        <w:t>Large Quantity Generators $525</w:t>
      </w:r>
    </w:p>
    <w:p w14:paraId="1C6E73F0" w14:textId="77777777" w:rsidR="007405E4" w:rsidRPr="007A41B4" w:rsidRDefault="007405E4" w:rsidP="00C16C0C">
      <w:pPr>
        <w:pStyle w:val="ListParagraph"/>
        <w:numPr>
          <w:ilvl w:val="0"/>
          <w:numId w:val="9"/>
        </w:numPr>
        <w:rPr>
          <w:lang w:val="en-ZW"/>
        </w:rPr>
      </w:pPr>
      <w:r w:rsidRPr="007A41B4">
        <w:rPr>
          <w:lang w:val="en-ZW"/>
        </w:rPr>
        <w:t>Small Quantity Generators $300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p w14:paraId="224F04C5" w14:textId="77777777" w:rsidR="007405E4" w:rsidRDefault="007405E4" w:rsidP="007405E4">
      <w:pPr>
        <w:spacing w:after="120"/>
        <w:ind w:left="0"/>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77777777" w:rsidR="007405E4" w:rsidRDefault="007405E4" w:rsidP="007405E4">
      <w:pPr>
        <w:spacing w:after="120"/>
        <w:ind w:left="0" w:right="-612"/>
      </w:pPr>
      <w:r>
        <w:t>The examples below shows how DEQ calculates the hazardous waste generator fees:</w:t>
      </w:r>
    </w:p>
    <w:p w14:paraId="60028840" w14:textId="77777777" w:rsidR="007405E4" w:rsidRDefault="007405E4" w:rsidP="007405E4">
      <w:pPr>
        <w:spacing w:after="120"/>
        <w:ind w:left="0" w:right="-612"/>
      </w:pPr>
    </w:p>
    <w:p w14:paraId="5C31F556" w14:textId="77777777" w:rsidR="007405E4" w:rsidRDefault="007405E4" w:rsidP="007405E4">
      <w:pPr>
        <w:spacing w:after="120"/>
        <w:ind w:left="0" w:right="-612"/>
      </w:pPr>
    </w:p>
    <w:p w14:paraId="039DC847" w14:textId="77777777" w:rsidR="007405E4" w:rsidRDefault="007405E4" w:rsidP="007405E4">
      <w:pPr>
        <w:spacing w:after="120"/>
        <w:ind w:left="0" w:right="-612"/>
      </w:pPr>
    </w:p>
    <w:p w14:paraId="5718EBB6" w14:textId="77777777" w:rsidR="007405E4" w:rsidRDefault="007405E4" w:rsidP="007405E4">
      <w:pPr>
        <w:spacing w:after="120"/>
        <w:ind w:left="0" w:right="-612"/>
      </w:pPr>
    </w:p>
    <w:p w14:paraId="72178D7D" w14:textId="77777777" w:rsidR="007405E4" w:rsidRDefault="007405E4" w:rsidP="007405E4">
      <w:pPr>
        <w:spacing w:after="120"/>
        <w:ind w:left="0" w:right="-612"/>
      </w:pPr>
    </w:p>
    <w:p w14:paraId="0C9BF597" w14:textId="77777777" w:rsidR="007405E4" w:rsidRDefault="007405E4" w:rsidP="007405E4">
      <w:pPr>
        <w:spacing w:after="120"/>
        <w:ind w:left="0" w:right="-612"/>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457C9789" w14:textId="77777777" w:rsidR="007405E4" w:rsidRDefault="007405E4" w:rsidP="007405E4">
      <w:pPr>
        <w:ind w:left="0"/>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77777777" w:rsidR="007405E4" w:rsidRDefault="007405E4" w:rsidP="007405E4">
      <w:pPr>
        <w:tabs>
          <w:tab w:val="left" w:pos="180"/>
        </w:tabs>
        <w:spacing w:before="120"/>
        <w:ind w:left="0"/>
      </w:pPr>
      <w:r>
        <w:t>A three-year phase-in will increase the Annual Hazardous Waste Activity Verification Fee as defined in OAR 340-102-0065(4). The fee will increase by 80 percent to better align with the consumer price index (</w:t>
      </w:r>
      <w:r w:rsidRPr="00F0527E">
        <w:rPr>
          <w:i/>
        </w:rPr>
        <w:t>1997</w:t>
      </w:r>
      <w:r>
        <w:rPr>
          <w:i/>
        </w:rPr>
        <w:t>-2021:</w:t>
      </w:r>
      <w:r w:rsidRPr="00F0527E">
        <w:rPr>
          <w:i/>
        </w:rPr>
        <w:t xml:space="preserve"> 7</w:t>
      </w:r>
      <w:r>
        <w:rPr>
          <w:i/>
        </w:rPr>
        <w:t>2</w:t>
      </w:r>
      <w:r w:rsidRPr="00F0527E">
        <w:rPr>
          <w:i/>
        </w:rPr>
        <w:t>%</w:t>
      </w:r>
      <w:r>
        <w:t>). The increase will follow this schedule:</w:t>
      </w:r>
    </w:p>
    <w:p w14:paraId="69023CAE" w14:textId="77777777" w:rsidR="007405E4" w:rsidRDefault="007405E4" w:rsidP="007405E4">
      <w:pPr>
        <w:ind w:left="36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373"/>
      </w:tblGrid>
      <w:tr w:rsidR="007405E4" w:rsidRPr="00D42752" w14:paraId="1CE3D418" w14:textId="77777777" w:rsidTr="007405E4">
        <w:trPr>
          <w:trHeight w:val="494"/>
          <w:jc w:val="center"/>
        </w:trPr>
        <w:tc>
          <w:tcPr>
            <w:tcW w:w="906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7405E4">
        <w:trPr>
          <w:trHeight w:val="492"/>
          <w:jc w:val="center"/>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49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7405E4">
        <w:trPr>
          <w:trHeight w:val="870"/>
          <w:jc w:val="center"/>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r>
      <w:tr w:rsidR="007405E4" w:rsidRPr="00D42752" w14:paraId="18882662" w14:textId="77777777" w:rsidTr="007405E4">
        <w:trPr>
          <w:trHeight w:val="357"/>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7405E4">
        <w:trPr>
          <w:trHeight w:val="501"/>
          <w:jc w:val="center"/>
        </w:trPr>
        <w:tc>
          <w:tcPr>
            <w:tcW w:w="906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proofErr w:type="gramStart"/>
      <w:r w:rsidRPr="00FE46CF">
        <w:rPr>
          <w:lang w:val="en-ZW"/>
        </w:rPr>
        <w:t>a</w:t>
      </w:r>
      <w:proofErr w:type="gramEnd"/>
      <w:r w:rsidRPr="00FE46CF">
        <w:rPr>
          <w:lang w:val="en-ZW"/>
        </w:rPr>
        <w:t>.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proofErr w:type="gramStart"/>
      <w:r w:rsidRPr="00FE46CF">
        <w:t>b</w:t>
      </w:r>
      <w:proofErr w:type="gramEnd"/>
      <w:r w:rsidRPr="00FE46CF">
        <w:t xml:space="preserve">. </w:t>
      </w:r>
      <w:r w:rsidRPr="00FE46CF">
        <w:rPr>
          <w:bCs/>
        </w:rPr>
        <w:t>Proposed Management Method Factor schedule:</w:t>
      </w:r>
    </w:p>
    <w:p w14:paraId="4FF77D71" w14:textId="77777777"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w:t>
      </w:r>
      <w:proofErr w:type="gramStart"/>
      <w:r w:rsidRPr="00496505">
        <w:rPr>
          <w:bCs/>
        </w:rPr>
        <w:t>)(</w:t>
      </w:r>
      <w:proofErr w:type="gramEnd"/>
      <w:r w:rsidRPr="00496505">
        <w:rPr>
          <w:bCs/>
        </w:rPr>
        <w:t>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align with the consumer price index (</w:t>
      </w:r>
      <w:r w:rsidRPr="002D2671">
        <w:rPr>
          <w:bCs/>
          <w:i/>
        </w:rPr>
        <w:t>1992</w:t>
      </w:r>
      <w:r>
        <w:rPr>
          <w:bCs/>
          <w:i/>
        </w:rPr>
        <w:t>-2021:</w:t>
      </w:r>
      <w:r w:rsidRPr="002D2671">
        <w:rPr>
          <w:bCs/>
          <w:i/>
        </w:rPr>
        <w:t xml:space="preserve"> 9</w:t>
      </w:r>
      <w:r>
        <w:rPr>
          <w:bCs/>
          <w:i/>
        </w:rPr>
        <w:t>4</w:t>
      </w:r>
      <w:r w:rsidRPr="002D2671">
        <w:rPr>
          <w:bCs/>
          <w:i/>
        </w:rPr>
        <w: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18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7405E4">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7405E4">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7405E4">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7405E4">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7405E4" w:rsidRPr="00D42752" w14:paraId="6E732E0C" w14:textId="77777777" w:rsidTr="007405E4">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7405E4" w:rsidRDefault="007405E4"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7405E4" w:rsidRPr="005C328A" w:rsidRDefault="007405E4"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77777777"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p w14:paraId="4F523AA8" w14:textId="77777777" w:rsidR="007405E4" w:rsidRDefault="007405E4" w:rsidP="007405E4">
      <w:pPr>
        <w:ind w:left="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7405E4">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7405E4">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7777777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7405E4">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777777"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77777777"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consumer price index (</w:t>
      </w:r>
      <w:r w:rsidRPr="00CD7240">
        <w:rPr>
          <w:bCs/>
          <w:i/>
        </w:rPr>
        <w:t>1997-2021: 72%</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77777777" w:rsidR="007405E4" w:rsidRPr="00CD7240" w:rsidRDefault="007405E4" w:rsidP="007405E4">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77777777" w:rsidR="007405E4" w:rsidRPr="0091744D" w:rsidRDefault="007405E4" w:rsidP="007405E4">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852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3775"/>
        <w:gridCol w:w="1710"/>
        <w:gridCol w:w="3042"/>
      </w:tblGrid>
      <w:tr w:rsidR="007405E4" w:rsidRPr="00D42752" w14:paraId="6B24C05B" w14:textId="77777777" w:rsidTr="007405E4">
        <w:trPr>
          <w:trHeight w:val="261"/>
          <w:tblHeader/>
          <w:jc w:val="center"/>
        </w:trPr>
        <w:tc>
          <w:tcPr>
            <w:tcW w:w="8527"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7405E4">
        <w:trPr>
          <w:trHeight w:val="19"/>
          <w:tblHeade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42"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7405E4">
        <w:trPr>
          <w:trHeight w:val="492"/>
          <w:jc w:val="center"/>
        </w:trPr>
        <w:tc>
          <w:tcPr>
            <w:tcW w:w="8527"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7777777" w:rsidR="007405E4" w:rsidRPr="00CD7240" w:rsidRDefault="007405E4" w:rsidP="007405E4">
            <w:pPr>
              <w:ind w:left="0" w:right="0"/>
              <w:jc w:val="right"/>
            </w:pPr>
            <w:r w:rsidRPr="00CD7240">
              <w:t>Potential Additional Revenue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7405E4">
        <w:trPr>
          <w:jc w:val="center"/>
        </w:trPr>
        <w:tc>
          <w:tcPr>
            <w:tcW w:w="8527"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77777777"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the consumer price index (</w:t>
      </w:r>
      <w:r w:rsidRPr="00BA7229">
        <w:rPr>
          <w:bCs/>
          <w:i/>
        </w:rPr>
        <w:t>1992-2021: 94%</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8815" w:type="dxa"/>
        <w:jc w:val="center"/>
        <w:tblCellMar>
          <w:top w:w="72" w:type="dxa"/>
          <w:left w:w="72" w:type="dxa"/>
          <w:bottom w:w="72" w:type="dxa"/>
          <w:right w:w="72" w:type="dxa"/>
        </w:tblCellMar>
        <w:tblLook w:val="04A0" w:firstRow="1" w:lastRow="0" w:firstColumn="1" w:lastColumn="0" w:noHBand="0" w:noVBand="1"/>
      </w:tblPr>
      <w:tblGrid>
        <w:gridCol w:w="3235"/>
        <w:gridCol w:w="1800"/>
        <w:gridCol w:w="1878"/>
        <w:gridCol w:w="1902"/>
      </w:tblGrid>
      <w:tr w:rsidR="007405E4" w:rsidRPr="00D42752" w14:paraId="5C19E819" w14:textId="77777777" w:rsidTr="007405E4">
        <w:trPr>
          <w:trHeight w:val="261"/>
          <w:tblHeader/>
          <w:jc w:val="center"/>
        </w:trPr>
        <w:tc>
          <w:tcPr>
            <w:tcW w:w="8815"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7405E4">
        <w:trPr>
          <w:trHeight w:val="19"/>
          <w:tblHeade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7405E4">
        <w:trPr>
          <w:jc w:val="center"/>
        </w:trPr>
        <w:tc>
          <w:tcPr>
            <w:tcW w:w="8815"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7405E4">
        <w:trPr>
          <w:jc w:val="center"/>
        </w:trPr>
        <w:tc>
          <w:tcPr>
            <w:tcW w:w="8815"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7405E4">
          <w:pgSz w:w="12240" w:h="15840"/>
          <w:pgMar w:top="1440" w:right="1440" w:bottom="135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4" w:name="_Toc490121548"/>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4"/>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1B9DE98B"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77777777"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77777777"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77777777"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2672E7DD" w14:textId="77777777" w:rsidR="007405E4" w:rsidRDefault="007405E4" w:rsidP="007405E4">
      <w:pPr>
        <w:pStyle w:val="Heading3"/>
        <w:ind w:right="-432"/>
      </w:pPr>
      <w:r w:rsidRPr="007F0170">
        <w:t>Public</w:t>
      </w:r>
    </w:p>
    <w:p w14:paraId="2135D8B6" w14:textId="77777777" w:rsidR="007405E4" w:rsidRPr="00E53B5D" w:rsidRDefault="007405E4" w:rsidP="007405E4"/>
    <w:p w14:paraId="29C78646" w14:textId="77777777"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66770232" w14:textId="77777777" w:rsidR="007405E4" w:rsidRDefault="007405E4" w:rsidP="007405E4">
      <w:pPr>
        <w:ind w:left="0"/>
        <w:rPr>
          <w:bCs/>
          <w:color w:val="000000"/>
        </w:rPr>
      </w:pP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5DFBE0E6" w14:textId="77777777" w:rsidR="007405E4" w:rsidRDefault="007405E4" w:rsidP="007405E4">
      <w:pPr>
        <w:ind w:left="0"/>
        <w:rPr>
          <w:rFonts w:ascii="Arial" w:hAnsi="Arial" w:cs="Arial"/>
        </w:rPr>
      </w:pP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7777777" w:rsidR="007405E4" w:rsidRPr="00CD16FC" w:rsidRDefault="007405E4" w:rsidP="007405E4">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77777777" w:rsidR="007405E4" w:rsidRPr="00DE3B5F" w:rsidRDefault="007405E4" w:rsidP="007405E4">
            <w:pPr>
              <w:ind w:left="0"/>
              <w:rPr>
                <w:bCs/>
              </w:rPr>
            </w:pPr>
            <w:r>
              <w:rPr>
                <w:bCs/>
              </w:rPr>
              <w:t>*This increase would result in thirteen (13) additional LQGs reaching the cap.</w:t>
            </w:r>
          </w:p>
        </w:tc>
      </w:tr>
    </w:tbl>
    <w:p w14:paraId="2819C90B" w14:textId="77777777" w:rsidR="007405E4" w:rsidRDefault="007405E4" w:rsidP="007405E4">
      <w:pPr>
        <w:ind w:left="0"/>
        <w:rPr>
          <w:bCs/>
          <w:color w:val="000000"/>
        </w:rPr>
      </w:pPr>
    </w:p>
    <w:tbl>
      <w:tblPr>
        <w:tblStyle w:val="TableGrid"/>
        <w:tblW w:w="84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824"/>
        <w:gridCol w:w="1559"/>
        <w:gridCol w:w="2174"/>
        <w:gridCol w:w="2880"/>
      </w:tblGrid>
      <w:tr w:rsidR="007405E4" w:rsidRPr="00B70BA5" w14:paraId="44FA54A3" w14:textId="77777777" w:rsidTr="007405E4">
        <w:trPr>
          <w:trHeight w:val="262"/>
          <w:jc w:val="center"/>
        </w:trPr>
        <w:tc>
          <w:tcPr>
            <w:tcW w:w="843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7405E4">
        <w:trPr>
          <w:trHeight w:val="262"/>
          <w:jc w:val="center"/>
        </w:trPr>
        <w:tc>
          <w:tcPr>
            <w:tcW w:w="3383"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5054"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7405E4">
        <w:trPr>
          <w:trHeight w:val="199"/>
          <w:jc w:val="center"/>
        </w:trPr>
        <w:tc>
          <w:tcPr>
            <w:tcW w:w="1824"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1559"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74"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88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7405E4">
        <w:trPr>
          <w:trHeight w:val="298"/>
          <w:jc w:val="center"/>
        </w:trPr>
        <w:tc>
          <w:tcPr>
            <w:tcW w:w="1824"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1559"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74"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88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7405E4">
        <w:trPr>
          <w:trHeight w:val="298"/>
          <w:jc w:val="center"/>
        </w:trPr>
        <w:tc>
          <w:tcPr>
            <w:tcW w:w="1824"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1559"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74"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88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7405E4">
        <w:trPr>
          <w:trHeight w:val="298"/>
          <w:jc w:val="center"/>
        </w:trPr>
        <w:tc>
          <w:tcPr>
            <w:tcW w:w="1824"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1559"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74"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88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7405E4">
        <w:trPr>
          <w:trHeight w:val="298"/>
          <w:jc w:val="center"/>
        </w:trPr>
        <w:tc>
          <w:tcPr>
            <w:tcW w:w="1824"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1559"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74"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88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7405E4">
        <w:trPr>
          <w:trHeight w:val="298"/>
          <w:jc w:val="center"/>
        </w:trPr>
        <w:tc>
          <w:tcPr>
            <w:tcW w:w="1824"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1559"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74"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88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7405E4">
        <w:trPr>
          <w:trHeight w:val="298"/>
          <w:jc w:val="center"/>
        </w:trPr>
        <w:tc>
          <w:tcPr>
            <w:tcW w:w="843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929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598"/>
      </w:tblGrid>
      <w:tr w:rsidR="007405E4" w:rsidRPr="00E11ABF" w14:paraId="48A8A06C" w14:textId="77777777" w:rsidTr="007405E4">
        <w:trPr>
          <w:trHeight w:val="486"/>
          <w:tblHeader/>
          <w:jc w:val="center"/>
        </w:trPr>
        <w:tc>
          <w:tcPr>
            <w:tcW w:w="9293"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7405E4">
        <w:trPr>
          <w:trHeight w:val="510"/>
          <w:tblHeader/>
          <w:jc w:val="center"/>
        </w:trPr>
        <w:tc>
          <w:tcPr>
            <w:tcW w:w="2695" w:type="dxa"/>
            <w:shd w:val="clear" w:color="auto" w:fill="E2EFD9" w:themeFill="accent6" w:themeFillTint="33"/>
            <w:vAlign w:val="center"/>
          </w:tcPr>
          <w:p w14:paraId="081F342B" w14:textId="77777777" w:rsidR="007405E4" w:rsidRPr="00250855" w:rsidRDefault="007405E4" w:rsidP="007405E4">
            <w:pPr>
              <w:ind w:left="0"/>
              <w:jc w:val="center"/>
              <w:rPr>
                <w:rFonts w:ascii="Arial" w:hAnsi="Arial" w:cs="Arial"/>
                <w:bCs/>
              </w:rPr>
            </w:pPr>
            <w:r w:rsidRPr="00250855">
              <w:rPr>
                <w:rFonts w:ascii="Arial" w:hAnsi="Arial" w:cs="Arial"/>
                <w:b/>
                <w:bCs/>
              </w:rPr>
              <w:t>Proposed - Fee type</w:t>
            </w:r>
          </w:p>
        </w:tc>
        <w:tc>
          <w:tcPr>
            <w:tcW w:w="6598"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7405E4">
        <w:trPr>
          <w:trHeight w:val="1023"/>
          <w:jc w:val="center"/>
        </w:trPr>
        <w:tc>
          <w:tcPr>
            <w:tcW w:w="2695"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98"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7405E4">
        <w:trPr>
          <w:trHeight w:val="260"/>
          <w:jc w:val="center"/>
        </w:trPr>
        <w:tc>
          <w:tcPr>
            <w:tcW w:w="2695" w:type="dxa"/>
            <w:shd w:val="clear" w:color="auto" w:fill="C5E0B3" w:themeFill="accent6" w:themeFillTint="66"/>
            <w:vAlign w:val="center"/>
          </w:tcPr>
          <w:p w14:paraId="6B1E71D4" w14:textId="77777777" w:rsidR="007405E4" w:rsidRPr="00E11ABF" w:rsidDel="00147FB5" w:rsidRDefault="007405E4" w:rsidP="007405E4">
            <w:pPr>
              <w:ind w:left="0"/>
              <w:rPr>
                <w:bCs/>
              </w:rPr>
            </w:pPr>
            <w:r w:rsidRPr="00E11ABF">
              <w:rPr>
                <w:bCs/>
              </w:rPr>
              <w:t>New Operating TSD Disposal Administrative Fee</w:t>
            </w:r>
          </w:p>
        </w:tc>
        <w:tc>
          <w:tcPr>
            <w:tcW w:w="6598"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7405E4">
        <w:trPr>
          <w:trHeight w:val="2022"/>
          <w:jc w:val="center"/>
        </w:trPr>
        <w:tc>
          <w:tcPr>
            <w:tcW w:w="2695"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98"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77777777"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7777777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77777777" w:rsidR="007405E4" w:rsidRDefault="007405E4" w:rsidP="007405E4">
      <w:pPr>
        <w:ind w:left="0"/>
      </w:pPr>
      <w:r>
        <w:rPr>
          <w:bCs/>
          <w:color w:val="000000"/>
        </w:rPr>
        <w:t>DEQ anticipates adopting the rules will have no indirect fiscal impacts to permitted TSD businesses. The businesses already report annually, and the proposed rules do not add facilities.</w:t>
      </w:r>
    </w:p>
    <w:p w14:paraId="24404BF5" w14:textId="4E75B821"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97"/>
        <w:gridCol w:w="4585"/>
      </w:tblGrid>
      <w:tr w:rsidR="007405E4" w:rsidRPr="00D7024E" w14:paraId="1A530C10" w14:textId="77777777" w:rsidTr="007405E4">
        <w:trPr>
          <w:trHeight w:val="441"/>
          <w:jc w:val="center"/>
        </w:trPr>
        <w:tc>
          <w:tcPr>
            <w:tcW w:w="4297" w:type="dxa"/>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7405E4">
        <w:trPr>
          <w:trHeight w:val="510"/>
          <w:jc w:val="center"/>
        </w:trPr>
        <w:tc>
          <w:tcPr>
            <w:tcW w:w="4297" w:type="dxa"/>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7405E4">
        <w:trPr>
          <w:trHeight w:val="528"/>
          <w:jc w:val="center"/>
        </w:trPr>
        <w:tc>
          <w:tcPr>
            <w:tcW w:w="4297" w:type="dxa"/>
            <w:vMerge/>
            <w:shd w:val="clear" w:color="auto" w:fill="auto"/>
          </w:tcPr>
          <w:p w14:paraId="16DEC91C" w14:textId="77777777" w:rsidR="007405E4" w:rsidRPr="004273F7" w:rsidRDefault="007405E4" w:rsidP="007405E4">
            <w:pPr>
              <w:ind w:left="0"/>
              <w:rPr>
                <w:bCs/>
              </w:rPr>
            </w:pPr>
          </w:p>
        </w:tc>
        <w:tc>
          <w:tcPr>
            <w:tcW w:w="4585" w:type="dxa"/>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7D6511">
        <w:trPr>
          <w:trHeight w:val="690"/>
          <w:jc w:val="center"/>
        </w:trPr>
        <w:tc>
          <w:tcPr>
            <w:tcW w:w="4297" w:type="dxa"/>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7405E4">
        <w:trPr>
          <w:trHeight w:val="942"/>
          <w:jc w:val="center"/>
        </w:trPr>
        <w:tc>
          <w:tcPr>
            <w:tcW w:w="4297" w:type="dxa"/>
            <w:vMerge/>
            <w:shd w:val="clear" w:color="auto" w:fill="auto"/>
          </w:tcPr>
          <w:p w14:paraId="0012CCF0" w14:textId="77777777" w:rsidR="007405E4" w:rsidRPr="004273F7" w:rsidRDefault="007405E4" w:rsidP="007405E4">
            <w:pPr>
              <w:ind w:left="0"/>
              <w:rPr>
                <w:bCs/>
              </w:rPr>
            </w:pPr>
          </w:p>
        </w:tc>
        <w:tc>
          <w:tcPr>
            <w:tcW w:w="4585" w:type="dxa"/>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bl>
    <w:p w14:paraId="116CF785" w14:textId="77777777" w:rsidR="007405E4" w:rsidRDefault="007405E4" w:rsidP="007405E4">
      <w:pPr>
        <w:ind w:left="0" w:right="-432"/>
        <w:rPr>
          <w:b/>
        </w:rPr>
      </w:pPr>
    </w:p>
    <w:p w14:paraId="3B4CE175" w14:textId="77777777" w:rsidR="007405E4" w:rsidRDefault="007405E4" w:rsidP="007405E4">
      <w:pPr>
        <w:ind w:left="0" w:right="-432"/>
        <w:rPr>
          <w:b/>
        </w:rPr>
      </w:pPr>
    </w:p>
    <w:tbl>
      <w:tblPr>
        <w:tblStyle w:val="TableGrid"/>
        <w:tblW w:w="8879" w:type="dxa"/>
        <w:tblInd w:w="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09"/>
        <w:gridCol w:w="1980"/>
        <w:gridCol w:w="1890"/>
        <w:gridCol w:w="2700"/>
      </w:tblGrid>
      <w:tr w:rsidR="007405E4" w:rsidRPr="00B70BA5" w14:paraId="1759B273" w14:textId="77777777" w:rsidTr="007405E4">
        <w:trPr>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357D2">
        <w:trPr>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357D2">
        <w:trPr>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357D2">
        <w:trPr>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357D2">
        <w:trPr>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357D2">
        <w:trPr>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357D2">
        <w:trPr>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357D2">
        <w:trPr>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7405E4">
        <w:trPr>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77777777" w:rsidR="007405E4" w:rsidRPr="0021412C" w:rsidRDefault="007405E4" w:rsidP="007405E4">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77777777"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Default="007405E4" w:rsidP="007405E4">
      <w:pPr>
        <w:pStyle w:val="Heading2"/>
        <w:ind w:left="0" w:right="-432"/>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25DB376A" w14:textId="77777777"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5"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p w14:paraId="0F39924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5" w:name="_Toc490121549"/>
            <w:r w:rsidRPr="001404B0">
              <w:t xml:space="preserve">Federal </w:t>
            </w:r>
            <w:r w:rsidR="00635335">
              <w:t>R</w:t>
            </w:r>
            <w:r w:rsidRPr="001404B0">
              <w:t>elationship</w:t>
            </w:r>
            <w:bookmarkEnd w:id="5"/>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25ABE76D" w14:textId="77777777" w:rsidR="007405E4" w:rsidRPr="001A4DE1" w:rsidRDefault="007405E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7405E4" w:rsidRDefault="007405E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6" w:name="_Toc490121550"/>
            <w:r w:rsidRPr="001404B0">
              <w:t>Land Use</w:t>
            </w:r>
            <w:bookmarkEnd w:id="6"/>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7405E4" w:rsidRPr="001A4DE1" w:rsidRDefault="007405E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405E4" w:rsidRDefault="007405E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4E2B458A" w14:textId="77777777" w:rsidR="007405E4" w:rsidRPr="001A4DE1" w:rsidRDefault="007405E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7405E4" w:rsidRDefault="007405E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4B0649">
        <w:tc>
          <w:tcPr>
            <w:tcW w:w="1255" w:type="dxa"/>
          </w:tcPr>
          <w:p w14:paraId="05F2BFA0" w14:textId="77777777" w:rsidR="000C5AFD" w:rsidRPr="0038253B" w:rsidRDefault="000C5AFD" w:rsidP="004B064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4B064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4B0649">
        <w:tc>
          <w:tcPr>
            <w:tcW w:w="1255" w:type="dxa"/>
          </w:tcPr>
          <w:p w14:paraId="0322A3B0" w14:textId="77777777" w:rsidR="000C5AFD" w:rsidRPr="0038253B" w:rsidRDefault="000C5AFD" w:rsidP="004B0649">
            <w:pPr>
              <w:pStyle w:val="ListParagraph"/>
              <w:ind w:left="0" w:right="-432"/>
              <w:jc w:val="center"/>
            </w:pPr>
            <w:r w:rsidRPr="0038253B">
              <w:t>5</w:t>
            </w:r>
          </w:p>
        </w:tc>
        <w:tc>
          <w:tcPr>
            <w:tcW w:w="7663" w:type="dxa"/>
          </w:tcPr>
          <w:p w14:paraId="62EE48C3" w14:textId="77777777" w:rsidR="000C5AFD" w:rsidRPr="0038253B" w:rsidRDefault="000C5AFD" w:rsidP="004B0649">
            <w:pPr>
              <w:pStyle w:val="ListParagraph"/>
              <w:ind w:left="0" w:right="-432"/>
            </w:pPr>
            <w:r w:rsidRPr="0038253B">
              <w:t>Open Spaces, Scenic and Historic Areas, and Natural Resources</w:t>
            </w:r>
          </w:p>
        </w:tc>
      </w:tr>
      <w:tr w:rsidR="000C5AFD" w:rsidRPr="0038253B" w14:paraId="63AE2F8D" w14:textId="77777777" w:rsidTr="004B0649">
        <w:tc>
          <w:tcPr>
            <w:tcW w:w="1255" w:type="dxa"/>
          </w:tcPr>
          <w:p w14:paraId="0CE63983" w14:textId="77777777" w:rsidR="000C5AFD" w:rsidRPr="0038253B" w:rsidRDefault="000C5AFD" w:rsidP="004B0649">
            <w:pPr>
              <w:pStyle w:val="ListParagraph"/>
              <w:ind w:left="0" w:right="-432"/>
              <w:jc w:val="center"/>
            </w:pPr>
            <w:r w:rsidRPr="0038253B">
              <w:t>6</w:t>
            </w:r>
          </w:p>
        </w:tc>
        <w:tc>
          <w:tcPr>
            <w:tcW w:w="7663" w:type="dxa"/>
          </w:tcPr>
          <w:p w14:paraId="77391381" w14:textId="77777777" w:rsidR="000C5AFD" w:rsidRPr="0038253B" w:rsidRDefault="000C5AFD" w:rsidP="004B0649">
            <w:pPr>
              <w:tabs>
                <w:tab w:val="right" w:pos="1440"/>
                <w:tab w:val="left" w:pos="1980"/>
              </w:tabs>
              <w:ind w:left="0" w:right="-432"/>
            </w:pPr>
            <w:r w:rsidRPr="0038253B">
              <w:t>Air, Water and Land Resources Quality</w:t>
            </w:r>
          </w:p>
        </w:tc>
      </w:tr>
      <w:tr w:rsidR="000C5AFD" w:rsidRPr="0038253B" w14:paraId="0EBC5E13" w14:textId="77777777" w:rsidTr="004B0649">
        <w:tc>
          <w:tcPr>
            <w:tcW w:w="1255" w:type="dxa"/>
          </w:tcPr>
          <w:p w14:paraId="2C631F72" w14:textId="77777777" w:rsidR="000C5AFD" w:rsidRPr="0038253B" w:rsidRDefault="000C5AFD" w:rsidP="004B0649">
            <w:pPr>
              <w:pStyle w:val="ListParagraph"/>
              <w:ind w:left="0" w:right="-432"/>
              <w:jc w:val="center"/>
            </w:pPr>
            <w:r w:rsidRPr="0038253B">
              <w:t>9</w:t>
            </w:r>
          </w:p>
        </w:tc>
        <w:tc>
          <w:tcPr>
            <w:tcW w:w="7663" w:type="dxa"/>
          </w:tcPr>
          <w:p w14:paraId="71BA2F7A" w14:textId="77777777" w:rsidR="000C5AFD" w:rsidRPr="0038253B" w:rsidRDefault="000C5AFD" w:rsidP="004B0649">
            <w:pPr>
              <w:pStyle w:val="ListParagraph"/>
              <w:ind w:left="0" w:right="-432"/>
            </w:pPr>
            <w:r w:rsidRPr="0038253B">
              <w:t>Ocean Resources</w:t>
            </w:r>
          </w:p>
        </w:tc>
      </w:tr>
      <w:tr w:rsidR="000C5AFD" w:rsidRPr="0038253B" w14:paraId="5D36C600" w14:textId="77777777" w:rsidTr="004B0649">
        <w:tc>
          <w:tcPr>
            <w:tcW w:w="1255" w:type="dxa"/>
          </w:tcPr>
          <w:p w14:paraId="6B71B107" w14:textId="77777777" w:rsidR="000C5AFD" w:rsidRPr="0038253B" w:rsidRDefault="000C5AFD" w:rsidP="004B0649">
            <w:pPr>
              <w:pStyle w:val="ListParagraph"/>
              <w:ind w:left="0" w:right="-432"/>
              <w:jc w:val="center"/>
            </w:pPr>
            <w:r w:rsidRPr="0038253B">
              <w:t>11</w:t>
            </w:r>
          </w:p>
        </w:tc>
        <w:tc>
          <w:tcPr>
            <w:tcW w:w="7663" w:type="dxa"/>
          </w:tcPr>
          <w:p w14:paraId="03A1473E" w14:textId="77777777" w:rsidR="000C5AFD" w:rsidRPr="0038253B" w:rsidRDefault="000C5AFD" w:rsidP="004B0649">
            <w:pPr>
              <w:pStyle w:val="ListParagraph"/>
              <w:ind w:left="0" w:right="-432"/>
            </w:pPr>
            <w:r w:rsidRPr="0038253B">
              <w:t>Public Facilities and Services</w:t>
            </w:r>
          </w:p>
        </w:tc>
      </w:tr>
      <w:tr w:rsidR="000C5AFD" w:rsidRPr="0038253B" w14:paraId="1C5AA07E" w14:textId="77777777" w:rsidTr="004B0649">
        <w:tc>
          <w:tcPr>
            <w:tcW w:w="1255" w:type="dxa"/>
          </w:tcPr>
          <w:p w14:paraId="1956DBD9" w14:textId="77777777" w:rsidR="000C5AFD" w:rsidRPr="0038253B" w:rsidRDefault="000C5AFD" w:rsidP="004B0649">
            <w:pPr>
              <w:pStyle w:val="ListParagraph"/>
              <w:ind w:left="0" w:right="-432"/>
              <w:jc w:val="center"/>
            </w:pPr>
            <w:r w:rsidRPr="0038253B">
              <w:t>16</w:t>
            </w:r>
          </w:p>
        </w:tc>
        <w:tc>
          <w:tcPr>
            <w:tcW w:w="7663" w:type="dxa"/>
          </w:tcPr>
          <w:p w14:paraId="343CD240" w14:textId="77777777" w:rsidR="000C5AFD" w:rsidRPr="0038253B" w:rsidRDefault="000C5AFD" w:rsidP="004B064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p w14:paraId="40D1890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r w:rsidRPr="001404B0">
              <w:t xml:space="preserve">EQC Prior Involvement </w:t>
            </w:r>
          </w:p>
          <w:p w14:paraId="52C97D27" w14:textId="77777777" w:rsidR="00A76B37" w:rsidRPr="001404B0" w:rsidRDefault="00A76B37" w:rsidP="00A76B37"/>
        </w:tc>
      </w:tr>
    </w:tbl>
    <w:p w14:paraId="6CA73AC8" w14:textId="77777777" w:rsidR="000C5AFD" w:rsidRDefault="000C5AFD" w:rsidP="00C961E7"/>
    <w:p w14:paraId="3D1BBDC0" w14:textId="22002B37"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ins w:id="7" w:author="DEQ\jacomb" w:date="2019-02-21T11:46:00Z">
        <w:r>
          <w:t xml:space="preserve">On Jan 24, 2019 </w:t>
        </w:r>
      </w:ins>
      <w:r w:rsidR="000C5AFD" w:rsidRPr="0038253B">
        <w:t xml:space="preserve">DEQ did </w:t>
      </w:r>
      <w:del w:id="8" w:author="DEQ\jacomb" w:date="2019-02-21T11:44:00Z">
        <w:r w:rsidR="000C5AFD" w:rsidRPr="0038253B" w:rsidDel="000C5AFD">
          <w:delText xml:space="preserve">not </w:delText>
        </w:r>
      </w:del>
      <w:r w:rsidR="000C5AFD" w:rsidRPr="0038253B">
        <w:t xml:space="preserve">present </w:t>
      </w:r>
      <w:ins w:id="9" w:author="DEQ\jacomb" w:date="2019-02-21T11:44:00Z">
        <w:r w:rsidR="000C5AFD">
          <w:t>general program information a</w:t>
        </w:r>
      </w:ins>
      <w:ins w:id="10" w:author="DEQ\jacomb" w:date="2019-02-21T11:46:00Z">
        <w:r w:rsidR="000C5AFD">
          <w:t xml:space="preserve">s </w:t>
        </w:r>
        <w:proofErr w:type="gramStart"/>
        <w:r w:rsidR="000C5AFD">
          <w:t>a</w:t>
        </w:r>
      </w:ins>
      <w:ins w:id="11" w:author="DEQ\jacomb" w:date="2019-02-21T11:44:00Z">
        <w:r w:rsidR="000C5AFD">
          <w:t xml:space="preserve"> pre-inform</w:t>
        </w:r>
        <w:proofErr w:type="gramEnd"/>
        <w:r w:rsidR="000C5AFD">
          <w:t xml:space="preserve"> </w:t>
        </w:r>
      </w:ins>
      <w:del w:id="12" w:author="DEQ\jacomb" w:date="2019-02-21T11:45:00Z">
        <w:r w:rsidR="000C5AFD" w:rsidRPr="0038253B" w:rsidDel="000C5AFD">
          <w:delText>additional infor</w:delText>
        </w:r>
      </w:del>
      <w:del w:id="13" w:author="DEQ\jacomb" w:date="2019-02-21T11:46:00Z">
        <w:r w:rsidR="000C5AFD" w:rsidRPr="0038253B" w:rsidDel="000C5AFD">
          <w:delText>mation</w:delText>
        </w:r>
      </w:del>
      <w:del w:id="14" w:author="DEQ\jacomb" w:date="2019-02-21T11:47:00Z">
        <w:r w:rsidR="000C5AFD" w:rsidRPr="0038253B" w:rsidDel="00B7024C">
          <w:delText xml:space="preserve"> specific</w:delText>
        </w:r>
      </w:del>
      <w:r w:rsidR="000C5AFD" w:rsidRPr="0038253B">
        <w:t xml:space="preserve"> </w:t>
      </w:r>
      <w:del w:id="15" w:author="DEQ\jacomb" w:date="2019-02-21T11:47:00Z">
        <w:r w:rsidR="000C5AFD" w:rsidRPr="0038253B" w:rsidDel="00B7024C">
          <w:delText>t</w:delText>
        </w:r>
      </w:del>
      <w:ins w:id="16" w:author="DEQ\jacomb" w:date="2019-02-21T11:47:00Z">
        <w:r>
          <w:t>f</w:t>
        </w:r>
      </w:ins>
      <w:r w:rsidR="000C5AFD" w:rsidRPr="0038253B">
        <w:t>o</w:t>
      </w:r>
      <w:ins w:id="17" w:author="DEQ\jacomb" w:date="2019-02-21T11:47:00Z">
        <w:r>
          <w:t>r</w:t>
        </w:r>
      </w:ins>
      <w:r w:rsidR="000C5AFD" w:rsidRPr="0038253B">
        <w:t xml:space="preserve"> this proposed rule revision</w:t>
      </w:r>
      <w:ins w:id="18" w:author="DEQ\jacomb" w:date="2019-02-21T11:47:00Z">
        <w:r>
          <w:t>.</w:t>
        </w:r>
      </w:ins>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9" w:name="_Toc490121551"/>
            <w:r w:rsidRPr="001404B0">
              <w:t>Advisory Committee</w:t>
            </w:r>
            <w:bookmarkEnd w:id="19"/>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6"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4B064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4B0649">
            <w:pPr>
              <w:pStyle w:val="Tableheading"/>
              <w:ind w:left="0" w:right="0"/>
            </w:pPr>
            <w:r>
              <w:rPr>
                <w:sz w:val="32"/>
                <w:szCs w:val="32"/>
              </w:rPr>
              <w:t>Hazardous Waste Fees Rulemaking Advisory Committee</w:t>
            </w:r>
          </w:p>
        </w:tc>
      </w:tr>
      <w:tr w:rsidR="00B7024C" w:rsidRPr="005B626A" w14:paraId="592F1CC5" w14:textId="77777777" w:rsidTr="004B064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4B064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4B064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4B064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4B0649">
            <w:pPr>
              <w:ind w:left="0" w:right="0"/>
              <w:rPr>
                <w:szCs w:val="22"/>
              </w:rPr>
            </w:pPr>
            <w:r>
              <w:rPr>
                <w:szCs w:val="22"/>
              </w:rPr>
              <w:t xml:space="preserve">Large Quantity Generator, Northwest </w:t>
            </w:r>
          </w:p>
        </w:tc>
      </w:tr>
      <w:tr w:rsidR="00B7024C" w:rsidRPr="005B626A" w14:paraId="0AEF2935"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4B064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4B0649">
            <w:pPr>
              <w:ind w:left="0" w:right="0"/>
              <w:rPr>
                <w:szCs w:val="22"/>
              </w:rPr>
            </w:pPr>
            <w:r>
              <w:rPr>
                <w:szCs w:val="22"/>
              </w:rPr>
              <w:t xml:space="preserve">Hazardous Waste Permittee, Large Quantity Generator, Eastern </w:t>
            </w:r>
          </w:p>
        </w:tc>
      </w:tr>
      <w:tr w:rsidR="00B7024C" w:rsidRPr="005B626A" w14:paraId="02C9D9A1"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4B064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4B0649">
            <w:pPr>
              <w:ind w:left="0" w:right="0"/>
              <w:rPr>
                <w:szCs w:val="22"/>
              </w:rPr>
            </w:pPr>
            <w:r>
              <w:rPr>
                <w:szCs w:val="22"/>
              </w:rPr>
              <w:t>Small Business, Small Quantity Generator, Northwest</w:t>
            </w:r>
          </w:p>
        </w:tc>
      </w:tr>
      <w:tr w:rsidR="00B7024C" w:rsidRPr="005B626A" w14:paraId="72DE7473"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4B064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4B0649">
            <w:pPr>
              <w:ind w:left="0" w:right="0"/>
              <w:rPr>
                <w:szCs w:val="22"/>
              </w:rPr>
            </w:pPr>
            <w:r>
              <w:rPr>
                <w:szCs w:val="22"/>
              </w:rPr>
              <w:t>Environment, Statewide</w:t>
            </w:r>
          </w:p>
        </w:tc>
      </w:tr>
      <w:tr w:rsidR="00B7024C" w:rsidRPr="005B626A" w14:paraId="0C8C0854"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4B064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4B0649">
            <w:pPr>
              <w:ind w:left="0" w:right="0"/>
              <w:rPr>
                <w:szCs w:val="22"/>
              </w:rPr>
            </w:pPr>
            <w:r>
              <w:rPr>
                <w:szCs w:val="22"/>
              </w:rPr>
              <w:t xml:space="preserve">Large Quantity Generator, Eastern </w:t>
            </w:r>
          </w:p>
        </w:tc>
      </w:tr>
      <w:tr w:rsidR="00B7024C" w:rsidRPr="005B626A" w14:paraId="21C36838"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4B064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4B0649">
            <w:pPr>
              <w:ind w:left="0" w:right="0"/>
              <w:rPr>
                <w:szCs w:val="22"/>
              </w:rPr>
            </w:pPr>
            <w:r>
              <w:rPr>
                <w:szCs w:val="22"/>
              </w:rPr>
              <w:t xml:space="preserve">Environment, Small Businesses Statewide, Eastern </w:t>
            </w:r>
          </w:p>
        </w:tc>
      </w:tr>
      <w:tr w:rsidR="00B7024C" w:rsidRPr="005B626A" w14:paraId="7E0CD63D"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4B064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4B0649">
            <w:pPr>
              <w:ind w:left="0" w:right="0"/>
              <w:rPr>
                <w:szCs w:val="22"/>
              </w:rPr>
            </w:pPr>
            <w:r>
              <w:rPr>
                <w:szCs w:val="22"/>
              </w:rPr>
              <w:t>Hazardous Waste Permittee, Large Quantity Generator, Northwest</w:t>
            </w:r>
          </w:p>
        </w:tc>
      </w:tr>
      <w:tr w:rsidR="00B7024C" w:rsidRPr="005B626A" w14:paraId="09E54524"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4B064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4B0649">
            <w:pPr>
              <w:ind w:left="0" w:right="0"/>
              <w:rPr>
                <w:szCs w:val="22"/>
              </w:rPr>
            </w:pPr>
            <w:r>
              <w:rPr>
                <w:szCs w:val="22"/>
              </w:rPr>
              <w:t xml:space="preserve">Small Quantity Generator, Small Business, Western </w:t>
            </w:r>
          </w:p>
        </w:tc>
      </w:tr>
      <w:tr w:rsidR="00B7024C" w:rsidRPr="005B626A" w14:paraId="298D3437"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4B064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4B0649">
            <w:pPr>
              <w:ind w:left="0" w:right="0"/>
              <w:rPr>
                <w:szCs w:val="22"/>
              </w:rPr>
            </w:pPr>
            <w:r>
              <w:rPr>
                <w:szCs w:val="22"/>
              </w:rPr>
              <w:t>Oregon Business &amp; Industry, Small Businesses, Statewide</w:t>
            </w:r>
          </w:p>
        </w:tc>
      </w:tr>
      <w:tr w:rsidR="00B7024C" w:rsidRPr="005B626A" w14:paraId="66DB5DEC"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4B064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4B0649">
            <w:pPr>
              <w:ind w:left="0" w:right="0"/>
              <w:rPr>
                <w:szCs w:val="22"/>
              </w:rPr>
            </w:pPr>
            <w:r>
              <w:rPr>
                <w:szCs w:val="22"/>
              </w:rPr>
              <w:t>Hazardous Waste Permittee, Large Quantity Generator, Northwest</w:t>
            </w:r>
          </w:p>
        </w:tc>
      </w:tr>
      <w:tr w:rsidR="00B7024C" w:rsidRPr="005B626A" w14:paraId="5670461B"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4B064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4B0649">
            <w:pPr>
              <w:ind w:left="0" w:right="0"/>
              <w:rPr>
                <w:szCs w:val="22"/>
              </w:rPr>
            </w:pPr>
            <w:r>
              <w:rPr>
                <w:szCs w:val="22"/>
              </w:rPr>
              <w:t xml:space="preserve">Large Quantity Generator, Eastern </w:t>
            </w:r>
          </w:p>
        </w:tc>
      </w:tr>
      <w:tr w:rsidR="00B7024C" w:rsidRPr="005B626A" w14:paraId="6443653C" w14:textId="77777777" w:rsidTr="004B064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4B064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4B0649">
            <w:pPr>
              <w:ind w:left="0" w:right="0"/>
              <w:rPr>
                <w:szCs w:val="22"/>
              </w:rPr>
            </w:pPr>
            <w:r>
              <w:rPr>
                <w:szCs w:val="22"/>
              </w:rPr>
              <w:t>Hazardous Waste Permittee, Large Quantity Generator, Eastern</w:t>
            </w:r>
          </w:p>
        </w:tc>
      </w:tr>
      <w:tr w:rsidR="00B7024C" w:rsidRPr="005B626A" w14:paraId="67B963AC" w14:textId="77777777" w:rsidTr="004B064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4B064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4B064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w:t>
      </w:r>
      <w:r>
        <w:t>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77777777"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7"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20" w:name="_Toc490121552"/>
            <w:r w:rsidRPr="001404B0">
              <w:t xml:space="preserve">Public </w:t>
            </w:r>
            <w:r w:rsidR="00460D8E" w:rsidRPr="001404B0">
              <w:t>Engagement</w:t>
            </w:r>
            <w:bookmarkEnd w:id="20"/>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370C4061"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w:t>
      </w:r>
      <w:r>
        <w:t xml:space="preserve">n December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w:t>
      </w:r>
      <w:r>
        <w:t>ied</w:t>
      </w:r>
      <w:r>
        <w:t xml:space="preserve"> </w:t>
      </w:r>
      <w:r>
        <w:t xml:space="preserve">Region 10 </w:t>
      </w:r>
      <w:r>
        <w:t xml:space="preserve">EPA by </w:t>
      </w:r>
      <w:r>
        <w:t>e</w:t>
      </w:r>
      <w:r>
        <w:t>mail</w:t>
      </w:r>
    </w:p>
    <w:p w14:paraId="45C7E16A" w14:textId="100BCFB5" w:rsidR="00700000" w:rsidRDefault="00700000" w:rsidP="00700000">
      <w:pPr>
        <w:pStyle w:val="ListParagraph"/>
        <w:numPr>
          <w:ilvl w:val="0"/>
          <w:numId w:val="21"/>
        </w:numPr>
        <w:ind w:left="0" w:right="-432" w:firstLine="0"/>
      </w:pPr>
      <w:r>
        <w:t>Post</w:t>
      </w:r>
      <w:r>
        <w:t>ed</w:t>
      </w:r>
      <w:r>
        <w:t xml:space="preserve"> the Notice, Invitation to Comment and Draft Rules on the web page for this rulemaking, located at: </w:t>
      </w:r>
      <w:hyperlink r:id="rId28"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Email</w:t>
      </w:r>
      <w:r>
        <w:t>ed</w:t>
      </w:r>
      <w:r>
        <w:t xml:space="preserve">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w:t>
      </w:r>
      <w:r>
        <w:t>ed</w:t>
      </w:r>
      <w:r>
        <w:t xml:space="preserve"> t</w:t>
      </w:r>
      <w:r w:rsidRPr="006F1FBD">
        <w:t xml:space="preserve">he following key legislators required under </w:t>
      </w:r>
      <w:hyperlink r:id="rId29"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w:t>
      </w:r>
      <w:r>
        <w:t>on</w:t>
      </w:r>
      <w:r w:rsidRPr="004B0C8D">
        <w:t xml:space="preserve">: </w:t>
      </w:r>
      <w:hyperlink r:id="rId30" w:history="1">
        <w:r w:rsidRPr="004B0C8D">
          <w:rPr>
            <w:rStyle w:val="Hyperlink"/>
          </w:rPr>
          <w:t>DEQ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r w:rsidRPr="001404B0">
              <w:t>Public Hearing</w:t>
            </w:r>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402A1259"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del w:id="21" w:author="DEQ\jacomb" w:date="2019-02-21T13:09:00Z">
        <w:r w:rsidRPr="001404B0" w:rsidDel="00074343">
          <w:rPr>
            <w:bCs/>
            <w:color w:val="000000" w:themeColor="text1"/>
          </w:rPr>
          <w:delText xml:space="preserve">Later sections of this document include a summary of the </w:delText>
        </w:r>
        <w:r w:rsidR="00A11C0D" w:rsidRPr="001404B0" w:rsidDel="00074343">
          <w:rPr>
            <w:bCs/>
            <w:color w:val="000000" w:themeColor="text1"/>
          </w:rPr>
          <w:delText>XX</w:delText>
        </w:r>
        <w:r w:rsidRPr="001404B0" w:rsidDel="00074343">
          <w:rPr>
            <w:bCs/>
            <w:color w:val="000000" w:themeColor="text1"/>
          </w:rPr>
          <w:delText xml:space="preserve"> comments received during the open public comment period, DEQ’s responses, and a list of the commenters. Original comments are on file with DEQ.</w:delText>
        </w:r>
      </w:del>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64F76689" w:rsidR="005F45A9" w:rsidRPr="001404B0" w:rsidRDefault="005F45A9" w:rsidP="005F45A9">
      <w:pPr>
        <w:pStyle w:val="Heading3"/>
        <w:spacing w:before="0"/>
        <w:rPr>
          <w:rFonts w:cs="Arial"/>
          <w:b w:val="0"/>
        </w:rPr>
      </w:pPr>
      <w:r w:rsidRPr="001404B0">
        <w:rPr>
          <w:rFonts w:cs="Arial"/>
        </w:rPr>
        <w:t xml:space="preserve">Hearing </w:t>
      </w:r>
      <w:del w:id="22" w:author="DEQ\jacomb" w:date="2019-02-21T13:09:00Z">
        <w:r w:rsidRPr="001404B0" w:rsidDel="00074343">
          <w:rPr>
            <w:rFonts w:cs="Arial"/>
          </w:rPr>
          <w:delText>1</w:delText>
        </w:r>
      </w:del>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5E51E343" w14:textId="1AA2BD1A" w:rsidR="00A11C0D" w:rsidRPr="00E7606B" w:rsidRDefault="00A11C0D" w:rsidP="005F45A9">
      <w:pPr>
        <w:ind w:left="0"/>
        <w:rPr>
          <w:rStyle w:val="Emphasis"/>
          <w:vanish w:val="0"/>
          <w:color w:val="auto"/>
          <w:sz w:val="24"/>
        </w:rPr>
      </w:pPr>
      <w:commentRangeStart w:id="23"/>
      <w:r w:rsidRPr="001404B0">
        <w:rPr>
          <w:rStyle w:val="Emphasis"/>
          <w:vanish w:val="0"/>
          <w:color w:val="000000" w:themeColor="text1"/>
          <w:sz w:val="24"/>
        </w:rPr>
        <w:t>Date</w:t>
      </w:r>
      <w:r w:rsidR="00C507DE" w:rsidRPr="001404B0">
        <w:rPr>
          <w:rStyle w:val="Emphasis"/>
          <w:vanish w:val="0"/>
          <w:color w:val="000000" w:themeColor="text1"/>
          <w:sz w:val="24"/>
        </w:rPr>
        <w:t>:</w:t>
      </w:r>
      <w:r w:rsidR="00E7606B">
        <w:rPr>
          <w:rStyle w:val="Emphasis"/>
          <w:vanish w:val="0"/>
          <w:color w:val="000000" w:themeColor="text1"/>
          <w:sz w:val="24"/>
        </w:rPr>
        <w:t xml:space="preserve"> </w:t>
      </w:r>
      <w:r w:rsidR="00E7606B" w:rsidRPr="00E7606B">
        <w:rPr>
          <w:rStyle w:val="Emphasis"/>
          <w:vanish w:val="0"/>
          <w:color w:val="auto"/>
          <w:sz w:val="24"/>
        </w:rPr>
        <w:t>Jan 17, 2019</w:t>
      </w:r>
    </w:p>
    <w:p w14:paraId="50209E39" w14:textId="3D1227BC" w:rsidR="00E7606B" w:rsidRPr="00E7606B" w:rsidRDefault="00A11C0D" w:rsidP="005F45A9">
      <w:pPr>
        <w:ind w:left="0"/>
        <w:rPr>
          <w:rStyle w:val="Emphasis"/>
          <w:vanish w:val="0"/>
          <w:color w:val="auto"/>
          <w:sz w:val="24"/>
        </w:rPr>
      </w:pPr>
      <w:r w:rsidRPr="00E7606B">
        <w:rPr>
          <w:rStyle w:val="Emphasis"/>
          <w:vanish w:val="0"/>
          <w:color w:val="auto"/>
          <w:sz w:val="24"/>
        </w:rPr>
        <w:t>Place</w:t>
      </w:r>
      <w:r w:rsidR="00C507DE" w:rsidRPr="00E7606B">
        <w:rPr>
          <w:rStyle w:val="Emphasis"/>
          <w:vanish w:val="0"/>
          <w:color w:val="auto"/>
          <w:sz w:val="24"/>
        </w:rPr>
        <w:t>:</w:t>
      </w:r>
      <w:r w:rsidR="00E7606B" w:rsidRPr="00E7606B">
        <w:rPr>
          <w:rStyle w:val="Emphasis"/>
          <w:vanish w:val="0"/>
          <w:color w:val="auto"/>
          <w:sz w:val="24"/>
        </w:rPr>
        <w:t xml:space="preserve"> </w:t>
      </w:r>
      <w:r w:rsidR="00E7606B" w:rsidRPr="00E7606B">
        <w:rPr>
          <w:rStyle w:val="Emphasis"/>
          <w:vanish w:val="0"/>
          <w:color w:val="auto"/>
          <w:sz w:val="24"/>
        </w:rPr>
        <w:t>Oregon DEQ, 700 NE Multnomah St,</w:t>
      </w:r>
      <w:r w:rsidR="005F45A9" w:rsidRPr="00E7606B">
        <w:rPr>
          <w:rStyle w:val="Emphasis"/>
          <w:vanish w:val="0"/>
          <w:color w:val="auto"/>
          <w:sz w:val="24"/>
        </w:rPr>
        <w:t xml:space="preserve"> Portland, OR</w:t>
      </w:r>
      <w:r w:rsidR="00E7606B" w:rsidRPr="00E7606B">
        <w:rPr>
          <w:rStyle w:val="Emphasis"/>
          <w:vanish w:val="0"/>
          <w:color w:val="auto"/>
          <w:sz w:val="24"/>
        </w:rPr>
        <w:t xml:space="preserve"> 97232</w:t>
      </w:r>
      <w:r w:rsidR="00E7606B" w:rsidRPr="00E7606B">
        <w:rPr>
          <w:rStyle w:val="Emphasis"/>
          <w:vanish w:val="0"/>
          <w:color w:val="auto"/>
          <w:sz w:val="24"/>
        </w:rPr>
        <w:t xml:space="preserve">, </w:t>
      </w:r>
      <w:r w:rsidR="00E7606B" w:rsidRPr="00E7606B">
        <w:rPr>
          <w:rStyle w:val="Emphasis"/>
          <w:vanish w:val="0"/>
          <w:color w:val="auto"/>
          <w:sz w:val="24"/>
        </w:rPr>
        <w:tab/>
      </w:r>
    </w:p>
    <w:p w14:paraId="068872C9" w14:textId="1BD77012" w:rsidR="005F45A9" w:rsidRPr="00E7606B" w:rsidRDefault="00E7606B" w:rsidP="005F45A9">
      <w:pPr>
        <w:ind w:left="0"/>
        <w:rPr>
          <w:rStyle w:val="Emphasis"/>
          <w:vanish w:val="0"/>
          <w:color w:val="auto"/>
          <w:sz w:val="24"/>
        </w:rPr>
      </w:pPr>
      <w:r w:rsidRPr="00E7606B">
        <w:rPr>
          <w:rStyle w:val="Emphasis"/>
          <w:vanish w:val="0"/>
          <w:color w:val="auto"/>
          <w:sz w:val="24"/>
        </w:rPr>
        <w:t>6th Floor Conference Room</w:t>
      </w:r>
    </w:p>
    <w:p w14:paraId="3BA83CA5" w14:textId="5E037F2C" w:rsidR="004A1BB3" w:rsidRPr="00E7606B" w:rsidRDefault="004A1BB3" w:rsidP="005F45A9">
      <w:pPr>
        <w:ind w:left="0"/>
        <w:rPr>
          <w:rStyle w:val="Emphasis"/>
          <w:vanish w:val="0"/>
          <w:color w:val="auto"/>
          <w:sz w:val="24"/>
        </w:rPr>
      </w:pPr>
      <w:r w:rsidRPr="00E7606B">
        <w:rPr>
          <w:rStyle w:val="Emphasis"/>
          <w:vanish w:val="0"/>
          <w:color w:val="auto"/>
          <w:sz w:val="24"/>
        </w:rPr>
        <w:t xml:space="preserve">Start </w:t>
      </w:r>
      <w:r w:rsidR="00C507DE" w:rsidRPr="00E7606B">
        <w:rPr>
          <w:rStyle w:val="Emphasis"/>
          <w:vanish w:val="0"/>
          <w:color w:val="auto"/>
          <w:sz w:val="24"/>
        </w:rPr>
        <w:t>Time:</w:t>
      </w:r>
      <w:r w:rsidR="00E7606B" w:rsidRPr="00E7606B">
        <w:rPr>
          <w:rStyle w:val="Emphasis"/>
          <w:vanish w:val="0"/>
          <w:color w:val="auto"/>
          <w:sz w:val="24"/>
        </w:rPr>
        <w:t xml:space="preserve"> Jan 17, 2018; 6:00 p.m.</w:t>
      </w:r>
    </w:p>
    <w:p w14:paraId="2CBE35F4" w14:textId="6712D5A7" w:rsidR="00E7606B" w:rsidRPr="00E7606B" w:rsidRDefault="004A1BB3" w:rsidP="00E7606B">
      <w:pPr>
        <w:ind w:left="0"/>
      </w:pPr>
      <w:r w:rsidRPr="00E7606B">
        <w:rPr>
          <w:rStyle w:val="Emphasis"/>
          <w:vanish w:val="0"/>
          <w:color w:val="auto"/>
          <w:sz w:val="24"/>
        </w:rPr>
        <w:t>Ending Time:</w:t>
      </w:r>
      <w:r w:rsidR="00E7606B" w:rsidRPr="00E7606B">
        <w:rPr>
          <w:rStyle w:val="Emphasis"/>
          <w:vanish w:val="0"/>
          <w:color w:val="auto"/>
          <w:sz w:val="24"/>
        </w:rPr>
        <w:t xml:space="preserve"> </w:t>
      </w:r>
      <w:r w:rsidR="00E7606B" w:rsidRPr="00E7606B">
        <w:rPr>
          <w:rStyle w:val="Emphasis"/>
          <w:vanish w:val="0"/>
          <w:color w:val="auto"/>
          <w:sz w:val="24"/>
        </w:rPr>
        <w:t xml:space="preserve">Jan 17, 2018; </w:t>
      </w:r>
      <w:r w:rsidR="00E7606B" w:rsidRPr="00E7606B">
        <w:rPr>
          <w:rStyle w:val="Emphasis"/>
          <w:vanish w:val="0"/>
          <w:color w:val="auto"/>
          <w:sz w:val="24"/>
        </w:rPr>
        <w:t>8</w:t>
      </w:r>
      <w:r w:rsidR="00E7606B" w:rsidRPr="00E7606B">
        <w:rPr>
          <w:rStyle w:val="Emphasis"/>
          <w:vanish w:val="0"/>
          <w:color w:val="auto"/>
          <w:sz w:val="24"/>
        </w:rPr>
        <w:t>:0</w:t>
      </w:r>
      <w:r w:rsidR="00E7606B" w:rsidRPr="00E7606B">
        <w:rPr>
          <w:rStyle w:val="Emphasis"/>
          <w:vanish w:val="0"/>
          <w:color w:val="auto"/>
          <w:sz w:val="24"/>
        </w:rPr>
        <w:t>1</w:t>
      </w:r>
      <w:r w:rsidR="00E7606B" w:rsidRPr="00E7606B">
        <w:rPr>
          <w:rStyle w:val="Emphasis"/>
          <w:vanish w:val="0"/>
          <w:color w:val="auto"/>
          <w:sz w:val="24"/>
        </w:rPr>
        <w:t xml:space="preserve"> p.m</w:t>
      </w:r>
      <w:r w:rsidR="00E7606B" w:rsidRPr="00E7606B">
        <w:t>.</w:t>
      </w:r>
    </w:p>
    <w:p w14:paraId="5BE3A35E" w14:textId="2CBA7688" w:rsidR="005F45A9" w:rsidRPr="001404B0" w:rsidRDefault="005F45A9" w:rsidP="00E7606B">
      <w:pPr>
        <w:ind w:left="0"/>
        <w:rPr>
          <w:color w:val="000000" w:themeColor="text1"/>
        </w:rPr>
      </w:pPr>
      <w:r w:rsidRPr="001404B0">
        <w:rPr>
          <w:color w:val="000000" w:themeColor="text1"/>
        </w:rPr>
        <w:t xml:space="preserve">Presiding Officer: </w:t>
      </w:r>
      <w:r w:rsidR="00E7606B">
        <w:rPr>
          <w:color w:val="000000" w:themeColor="text1"/>
        </w:rPr>
        <w:t>Mary Fritzmann</w:t>
      </w:r>
      <w:commentRangeEnd w:id="23"/>
      <w:r w:rsidR="00E7606B">
        <w:rPr>
          <w:rStyle w:val="CommentReference"/>
        </w:rPr>
        <w:commentReference w:id="23"/>
      </w:r>
    </w:p>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24" w:name="_Toc490121553"/>
            <w:r w:rsidRPr="001404B0">
              <w:t xml:space="preserve">Summary of </w:t>
            </w:r>
            <w:r w:rsidR="001404B0" w:rsidRPr="001404B0">
              <w:t>Public Comments and DEQ R</w:t>
            </w:r>
            <w:r w:rsidRPr="001404B0">
              <w:t>esponses</w:t>
            </w:r>
            <w:bookmarkEnd w:id="2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r w:rsidRPr="001404B0">
        <w:rPr>
          <w:rFonts w:cs="Arial"/>
        </w:rPr>
        <w:t>Public comment period</w:t>
      </w:r>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25" w:name="_Toc490121555"/>
            <w:r w:rsidRPr="00A6210C">
              <w:rPr>
                <w:rFonts w:ascii="Arial" w:hAnsi="Arial" w:cs="Arial"/>
                <w:b/>
                <w:sz w:val="36"/>
                <w:szCs w:val="36"/>
              </w:rPr>
              <w:t>Implementation</w:t>
            </w:r>
            <w:bookmarkEnd w:id="25"/>
            <w:r w:rsidRPr="00A6210C">
              <w:rPr>
                <w:rFonts w:ascii="Arial" w:hAnsi="Arial" w:cs="Arial"/>
                <w:b/>
                <w:sz w:val="36"/>
                <w:szCs w:val="36"/>
              </w:rPr>
              <w:t xml:space="preserve">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68F3BFF5" w14:textId="77777777" w:rsidR="00CE4F05" w:rsidRPr="001404B0" w:rsidRDefault="00CE4F05" w:rsidP="00C961E7">
      <w:pPr>
        <w:ind w:left="0" w:right="1008"/>
        <w:rPr>
          <w:color w:val="000000" w:themeColor="text1"/>
        </w:rPr>
      </w:pPr>
    </w:p>
    <w:p w14:paraId="7652D202" w14:textId="4FEF5F8F" w:rsidR="00CE4F05" w:rsidRDefault="00CE4F05" w:rsidP="00CE4F05">
      <w:pPr>
        <w:pStyle w:val="ListParagraph"/>
        <w:numPr>
          <w:ilvl w:val="0"/>
          <w:numId w:val="21"/>
        </w:numPr>
        <w:ind w:left="0" w:right="-432" w:firstLine="0"/>
      </w:pPr>
      <w:r>
        <w:t xml:space="preserve">File notice </w:t>
      </w:r>
      <w:r w:rsidRPr="009575DF">
        <w:t>with the Oregon Secretary of State</w:t>
      </w:r>
      <w:r>
        <w:t xml:space="preserve"> </w:t>
      </w:r>
      <w:r>
        <w:t>May 2019</w:t>
      </w:r>
      <w:r>
        <w:t xml:space="preserve"> </w:t>
      </w:r>
      <w:r w:rsidRPr="009575DF">
        <w:t xml:space="preserve">for publication in the </w:t>
      </w:r>
      <w:r>
        <w:t>J</w:t>
      </w:r>
      <w:r>
        <w:t>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w:t>
      </w:r>
      <w:r>
        <w:t>y</w:t>
      </w:r>
      <w:r>
        <w:t xml:space="preserve"> Region 10 EPA by email</w:t>
      </w:r>
    </w:p>
    <w:p w14:paraId="218C23BA" w14:textId="5396CA85" w:rsidR="00CE4F05" w:rsidRDefault="00CE4F05" w:rsidP="00CE4F05">
      <w:pPr>
        <w:pStyle w:val="ListParagraph"/>
        <w:numPr>
          <w:ilvl w:val="0"/>
          <w:numId w:val="21"/>
        </w:numPr>
        <w:ind w:left="360" w:right="-432"/>
      </w:pPr>
      <w:r>
        <w:t xml:space="preserve">Post the </w:t>
      </w:r>
      <w:r>
        <w:t xml:space="preserve">announcement </w:t>
      </w:r>
      <w:r>
        <w:t xml:space="preserve">on the </w:t>
      </w:r>
      <w:hyperlink r:id="rId33" w:history="1">
        <w:r>
          <w:rPr>
            <w:rStyle w:val="Hyperlink"/>
          </w:rPr>
          <w:t>Hazardous Waste Fees 2019 Rulemaking</w:t>
        </w:r>
      </w:hyperlink>
      <w:r>
        <w:rPr>
          <w:rStyle w:val="Hyperlink"/>
        </w:rPr>
        <w:t xml:space="preserve"> </w:t>
      </w:r>
      <w:r>
        <w:t xml:space="preserve">web page for this rulemaking, </w:t>
      </w:r>
      <w:r>
        <w:t>as well as on the DEQ Hazardous Waste Reporting and Hazardous Waste Rules webpages</w:t>
      </w:r>
      <w:r>
        <w:t xml:space="preserve"> at: </w:t>
      </w:r>
      <w:r>
        <w:rPr>
          <w:rStyle w:val="Hyperlink"/>
        </w:rPr>
        <w:fldChar w:fldCharType="begin"/>
      </w:r>
      <w:r>
        <w:rPr>
          <w:rStyle w:val="Hyperlink"/>
        </w:rPr>
        <w:instrText>HYPERLINK "https://www.oregon.gov/deq/Hazards-and-Cleanup/hw/Pages/HW-Reporting.aspx"</w:instrText>
      </w:r>
      <w:r>
        <w:rPr>
          <w:rStyle w:val="Hyperlink"/>
        </w:rPr>
      </w:r>
      <w:r>
        <w:rPr>
          <w:rStyle w:val="Hyperlink"/>
        </w:rPr>
        <w:fldChar w:fldCharType="separate"/>
      </w:r>
      <w:r>
        <w:rPr>
          <w:rStyle w:val="Hyperlink"/>
        </w:rPr>
        <w:t>Hazardous Waste Reporting</w:t>
      </w:r>
      <w:r>
        <w:rPr>
          <w:rStyle w:val="Hyperlink"/>
        </w:rPr>
        <w:fldChar w:fldCharType="end"/>
      </w:r>
      <w:r w:rsidRPr="00CE4F05">
        <w:rPr>
          <w:rStyle w:val="Hyperlink"/>
          <w:u w:val="none"/>
        </w:rPr>
        <w:t xml:space="preserve"> </w:t>
      </w:r>
      <w:r>
        <w:rPr>
          <w:rStyle w:val="Hyperlink"/>
          <w:color w:val="auto"/>
          <w:u w:val="none"/>
        </w:rPr>
        <w:t xml:space="preserve">and </w:t>
      </w:r>
      <w:hyperlink r:id="rId34" w:history="1">
        <w:r w:rsidRPr="00CE4F05">
          <w:rPr>
            <w:rStyle w:val="Hyperlink"/>
          </w:rPr>
          <w:t>Oregon Hazardous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5"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DEQ’s reporting database</w:t>
      </w:r>
      <w:r w:rsidR="00D811AC">
        <w:t xml:space="preserv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train staff and make the information rea</w:t>
      </w:r>
      <w:bookmarkStart w:id="26" w:name="_GoBack"/>
      <w:bookmarkEnd w:id="26"/>
      <w:r w:rsidR="00162BB8">
        <w:rPr>
          <w:color w:val="000000" w:themeColor="text1"/>
        </w:rPr>
        <w:t xml:space="preserve">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27" w:name="_Toc490121556"/>
            <w:r w:rsidRPr="001404B0">
              <w:t>Five-year review</w:t>
            </w:r>
            <w:bookmarkEnd w:id="27"/>
            <w:r w:rsidR="00125935">
              <w:t xml:space="preserve"> – </w:t>
            </w:r>
            <w:r w:rsidR="00125935">
              <w:rPr>
                <w:color w:val="BF8F00" w:themeColor="accent4" w:themeShade="BF"/>
              </w:rPr>
              <w:t>Leave Blank – Will be Completed by Agency Rules Coordinator</w:t>
            </w:r>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28" w:name="_Toc490121557"/>
            <w:r w:rsidRPr="001404B0">
              <w:t>Draft Rules – With Edits Highlighted</w:t>
            </w:r>
            <w:bookmarkEnd w:id="28"/>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29" w:name="_Toc490121558"/>
            <w:r w:rsidRPr="001404B0">
              <w:t>Draft Rules – With Edits Included</w:t>
            </w:r>
            <w:bookmarkEnd w:id="29"/>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A539A8E"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00C4F986"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045D0CE9" w14:textId="77777777" w:rsidR="00C961E7" w:rsidRPr="001404B0" w:rsidRDefault="00C961E7" w:rsidP="00125935">
            <w:pPr>
              <w:pStyle w:val="Heading1"/>
              <w:tabs>
                <w:tab w:val="left" w:pos="8622"/>
              </w:tabs>
              <w:spacing w:after="0"/>
              <w:ind w:right="0"/>
            </w:pPr>
            <w:bookmarkStart w:id="30" w:name="_Toc490121559"/>
            <w:r w:rsidRPr="001404B0">
              <w:t>Supporting Documents</w:t>
            </w:r>
            <w:bookmarkEnd w:id="30"/>
          </w:p>
        </w:tc>
      </w:tr>
    </w:tbl>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DEQ\jacomb" w:date="2019-02-21T13:18:00Z" w:initials="AJ">
    <w:p w14:paraId="069237D2" w14:textId="1A1B8AA7" w:rsidR="00E7606B" w:rsidRDefault="00E7606B">
      <w:pPr>
        <w:pStyle w:val="CommentText"/>
      </w:pPr>
      <w:r>
        <w:rPr>
          <w:rStyle w:val="CommentReference"/>
        </w:rPr>
        <w:annotationRef/>
      </w:r>
      <w:r>
        <w:t>Meyer, do we need this duplicated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9237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7405E4" w:rsidRDefault="007405E4" w:rsidP="002D6C99">
      <w:r>
        <w:separator/>
      </w:r>
    </w:p>
  </w:endnote>
  <w:endnote w:type="continuationSeparator" w:id="0">
    <w:p w14:paraId="11DF33BA" w14:textId="77777777" w:rsidR="007405E4" w:rsidRDefault="007405E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7405E4" w:rsidRDefault="0074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3E28D3D3" w:rsidR="007405E4" w:rsidRDefault="007405E4">
        <w:pPr>
          <w:pStyle w:val="Footer"/>
          <w:jc w:val="right"/>
        </w:pPr>
        <w:r>
          <w:fldChar w:fldCharType="begin"/>
        </w:r>
        <w:r>
          <w:instrText xml:space="preserve"> PAGE   \* MERGEFORMAT </w:instrText>
        </w:r>
        <w:r>
          <w:fldChar w:fldCharType="separate"/>
        </w:r>
        <w:r w:rsidR="00162BB8">
          <w:rPr>
            <w:noProof/>
          </w:rPr>
          <w:t>37</w:t>
        </w:r>
        <w:r>
          <w:rPr>
            <w:noProof/>
          </w:rPr>
          <w:fldChar w:fldCharType="end"/>
        </w:r>
      </w:p>
    </w:sdtContent>
  </w:sdt>
  <w:p w14:paraId="214F9908" w14:textId="77777777" w:rsidR="007405E4" w:rsidRPr="002B4E71" w:rsidRDefault="007405E4"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7405E4" w:rsidRDefault="0074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7405E4" w:rsidRDefault="007405E4" w:rsidP="002D6C99">
      <w:r>
        <w:separator/>
      </w:r>
    </w:p>
  </w:footnote>
  <w:footnote w:type="continuationSeparator" w:id="0">
    <w:p w14:paraId="777EAEB4" w14:textId="77777777" w:rsidR="007405E4" w:rsidRDefault="007405E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7405E4" w:rsidRDefault="0074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7405E4" w:rsidRDefault="00740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7405E4" w:rsidRDefault="0074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0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4C81"/>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18" Type="http://schemas.openxmlformats.org/officeDocument/2006/relationships/hyperlink" Target="https://data.bls.gov/timeseries/CUUR0400SA0?amp%253bdata_tool=XGtable&amp;output_view=data&amp;include_graphs=true" TargetMode="Externa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oregon.gov/deq/Hazards-and-Cleanup/hw/Pages/HW-Rule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ualityinfo.org/bi"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Regulations/rulemaking/Pages/rhwfees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Regulations/rulemaking/Pages/rhwfees2019.aspx" TargetMode="External"/><Relationship Id="rId20" Type="http://schemas.openxmlformats.org/officeDocument/2006/relationships/header" Target="header2.xm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1/relationships/commentsExtended" Target="commentsExtended.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FilterDocs/1719LAB.pdf" TargetMode="External"/><Relationship Id="rId23" Type="http://schemas.openxmlformats.org/officeDocument/2006/relationships/header" Target="header3.xml"/><Relationship Id="rId28" Type="http://schemas.openxmlformats.org/officeDocument/2006/relationships/hyperlink" Target="https://www.oregon.gov/deq/Regulations/rulemaking/Pages/rhwfees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ARB-2019-21.pdf" TargetMode="External"/><Relationship Id="rId22" Type="http://schemas.openxmlformats.org/officeDocument/2006/relationships/footer" Target="footer2.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www.oregon.gov/deq/Get-Involved/Pages/Calendar.aspx" TargetMode="External"/><Relationship Id="rId35"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1E442-C309-4B2A-81AD-E1646ABE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38</Pages>
  <Words>8297</Words>
  <Characters>47293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60</cp:revision>
  <cp:lastPrinted>2013-02-28T21:12:00Z</cp:lastPrinted>
  <dcterms:created xsi:type="dcterms:W3CDTF">2017-05-09T17:00:00Z</dcterms:created>
  <dcterms:modified xsi:type="dcterms:W3CDTF">2019-02-21T23:23:00Z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