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69310300"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r w:rsidR="00A412C3">
        <w:fldChar w:fldCharType="begin"/>
      </w:r>
      <w:r w:rsidR="00A412C3">
        <w:instrText xml:space="preserve"> HYPERLINK \l "_Toc4051276" </w:instrText>
      </w:r>
      <w:r w:rsidR="00A412C3">
        <w:fldChar w:fldCharType="separate"/>
      </w:r>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ins w:id="0" w:author="OBRIEN Audrey" w:date="2019-05-28T10:02:00Z">
        <w:r w:rsidR="0000047B">
          <w:rPr>
            <w:noProof/>
            <w:webHidden/>
          </w:rPr>
          <w:t>2</w:t>
        </w:r>
      </w:ins>
      <w:del w:id="1" w:author="OBRIEN Audrey" w:date="2019-05-28T10:02:00Z">
        <w:r w:rsidR="00295FCD" w:rsidDel="0000047B">
          <w:rPr>
            <w:noProof/>
            <w:webHidden/>
          </w:rPr>
          <w:delText>1</w:delText>
        </w:r>
      </w:del>
      <w:r w:rsidR="00295FCD">
        <w:rPr>
          <w:noProof/>
          <w:webHidden/>
        </w:rPr>
        <w:fldChar w:fldCharType="end"/>
      </w:r>
      <w:r w:rsidR="00A412C3">
        <w:rPr>
          <w:noProof/>
        </w:rPr>
        <w:fldChar w:fldCharType="end"/>
      </w:r>
    </w:p>
    <w:p w14:paraId="267B9D79" w14:textId="3FD3A11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"_Toc4051277" </w:instrText>
      </w:r>
      <w:r>
        <w:fldChar w:fldCharType="separate"/>
      </w:r>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ins w:id="2" w:author="OBRIEN Audrey" w:date="2019-05-28T10:02:00Z">
        <w:r w:rsidR="0000047B">
          <w:rPr>
            <w:noProof/>
            <w:webHidden/>
          </w:rPr>
          <w:t>3</w:t>
        </w:r>
      </w:ins>
      <w:del w:id="3" w:author="OBRIEN Audrey" w:date="2019-05-28T10:02:00Z">
        <w:r w:rsidR="0000047B" w:rsidDel="0000047B">
          <w:rPr>
            <w:noProof/>
            <w:webHidden/>
          </w:rPr>
          <w:delText>2</w:delText>
        </w:r>
      </w:del>
      <w:r w:rsidR="00295FCD">
        <w:rPr>
          <w:noProof/>
          <w:webHidden/>
        </w:rPr>
        <w:fldChar w:fldCharType="end"/>
      </w:r>
      <w:r>
        <w:rPr>
          <w:noProof/>
        </w:rPr>
        <w:fldChar w:fldCharType="end"/>
      </w:r>
    </w:p>
    <w:p w14:paraId="6F54DFEE" w14:textId="5DF8B6D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"_Toc4051278" </w:instrText>
      </w:r>
      <w:r>
        <w:fldChar w:fldCharType="separate"/>
      </w:r>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fldChar w:fldCharType="separate"/>
      </w:r>
      <w:ins w:id="4" w:author="OBRIEN Audrey" w:date="2019-05-28T10:02:00Z">
        <w:r w:rsidR="0000047B">
          <w:rPr>
            <w:b/>
            <w:bCs w:val="0"/>
            <w:noProof/>
            <w:webHidden/>
          </w:rPr>
          <w:t>Error! Bookmark not defined.</w:t>
        </w:r>
      </w:ins>
      <w:del w:id="5" w:author="OBRIEN Audrey" w:date="2019-05-28T10:02:00Z">
        <w:r w:rsidR="00295FCD" w:rsidDel="0000047B">
          <w:rPr>
            <w:noProof/>
            <w:webHidden/>
          </w:rPr>
          <w:delText>3</w:delText>
        </w:r>
      </w:del>
      <w:r w:rsidR="00295FCD">
        <w:rPr>
          <w:noProof/>
          <w:webHidden/>
        </w:rPr>
        <w:fldChar w:fldCharType="end"/>
      </w:r>
      <w:r>
        <w:rPr>
          <w:noProof/>
        </w:rPr>
        <w:fldChar w:fldCharType="end"/>
      </w:r>
    </w:p>
    <w:p w14:paraId="261F9769" w14:textId="3D2508DF"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"_Toc4051279" </w:instrText>
      </w:r>
      <w:r>
        <w:fldChar w:fldCharType="separate"/>
      </w:r>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ins w:id="6" w:author="OBRIEN Audrey" w:date="2019-05-28T10:02:00Z">
        <w:r w:rsidR="0000047B">
          <w:rPr>
            <w:noProof/>
            <w:webHidden/>
          </w:rPr>
          <w:t>5</w:t>
        </w:r>
      </w:ins>
      <w:del w:id="7" w:author="OBRIEN Audrey" w:date="2019-05-28T10:02:00Z">
        <w:r w:rsidR="00295FCD" w:rsidDel="0000047B">
          <w:rPr>
            <w:noProof/>
            <w:webHidden/>
          </w:rPr>
          <w:delText>4</w:delText>
        </w:r>
      </w:del>
      <w:r w:rsidR="00295FCD">
        <w:rPr>
          <w:noProof/>
          <w:webHidden/>
        </w:rPr>
        <w:fldChar w:fldCharType="end"/>
      </w:r>
      <w:r>
        <w:rPr>
          <w:noProof/>
        </w:rPr>
        <w:fldChar w:fldCharType="end"/>
      </w:r>
    </w:p>
    <w:p w14:paraId="25006AFE" w14:textId="27CAD2FE"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"_Toc4051280" </w:instrText>
      </w:r>
      <w:r>
        <w:fldChar w:fldCharType="separate"/>
      </w:r>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ins w:id="8" w:author="OBRIEN Audrey" w:date="2019-05-28T10:02:00Z">
        <w:r w:rsidR="0000047B">
          <w:rPr>
            <w:noProof/>
            <w:webHidden/>
          </w:rPr>
          <w:t>7</w:t>
        </w:r>
      </w:ins>
      <w:del w:id="9" w:author="OBRIEN Audrey" w:date="2019-05-28T10:02:00Z">
        <w:r w:rsidR="00295FCD" w:rsidDel="0000047B">
          <w:rPr>
            <w:noProof/>
            <w:webHidden/>
          </w:rPr>
          <w:delText>5</w:delText>
        </w:r>
      </w:del>
      <w:r w:rsidR="00295FCD">
        <w:rPr>
          <w:noProof/>
          <w:webHidden/>
        </w:rPr>
        <w:fldChar w:fldCharType="end"/>
      </w:r>
      <w:r>
        <w:rPr>
          <w:noProof/>
        </w:rPr>
        <w:fldChar w:fldCharType="end"/>
      </w:r>
    </w:p>
    <w:p w14:paraId="1C154F91" w14:textId="32C922E6"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"_Toc4051281" </w:instrText>
      </w:r>
      <w:r>
        <w:fldChar w:fldCharType="separate"/>
      </w:r>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ins w:id="10" w:author="OBRIEN Audrey" w:date="2019-05-28T10:02:00Z">
        <w:r w:rsidR="0000047B">
          <w:rPr>
            <w:noProof/>
            <w:webHidden/>
          </w:rPr>
          <w:t>9</w:t>
        </w:r>
      </w:ins>
      <w:del w:id="11" w:author="OBRIEN Audrey" w:date="2019-05-28T10:02:00Z">
        <w:r w:rsidR="00295FCD" w:rsidDel="0000047B">
          <w:rPr>
            <w:noProof/>
            <w:webHidden/>
          </w:rPr>
          <w:delText>6</w:delText>
        </w:r>
      </w:del>
      <w:r w:rsidR="00295FCD">
        <w:rPr>
          <w:noProof/>
          <w:webHidden/>
        </w:rPr>
        <w:fldChar w:fldCharType="end"/>
      </w:r>
      <w:r>
        <w:rPr>
          <w:noProof/>
        </w:rPr>
        <w:fldChar w:fldCharType="end"/>
      </w:r>
    </w:p>
    <w:p w14:paraId="789A377A" w14:textId="3E5AC7B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"_Toc4051282" </w:instrText>
      </w:r>
      <w:r>
        <w:fldChar w:fldCharType="separate"/>
      </w:r>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ins w:id="12" w:author="OBRIEN Audrey" w:date="2019-05-28T10:02:00Z">
        <w:r w:rsidR="0000047B">
          <w:rPr>
            <w:noProof/>
            <w:webHidden/>
          </w:rPr>
          <w:t>10</w:t>
        </w:r>
      </w:ins>
      <w:del w:id="13" w:author="OBRIEN Audrey" w:date="2019-05-28T10:02:00Z">
        <w:r w:rsidR="00295FCD" w:rsidDel="0000047B">
          <w:rPr>
            <w:noProof/>
            <w:webHidden/>
          </w:rPr>
          <w:delText>7</w:delText>
        </w:r>
      </w:del>
      <w:r w:rsidR="00295FCD">
        <w:rPr>
          <w:noProof/>
          <w:webHidden/>
        </w:rPr>
        <w:fldChar w:fldCharType="end"/>
      </w:r>
      <w:r>
        <w:rPr>
          <w:noProof/>
        </w:rPr>
        <w:fldChar w:fldCharType="end"/>
      </w:r>
    </w:p>
    <w:p w14:paraId="4F4F404D" w14:textId="73A6AED2"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"_Toc4051283" </w:instrText>
      </w:r>
      <w:r>
        <w:fldChar w:fldCharType="separate"/>
      </w:r>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ins w:id="14" w:author="OBRIEN Audrey" w:date="2019-05-28T10:02:00Z">
        <w:r w:rsidR="0000047B">
          <w:rPr>
            <w:noProof/>
            <w:webHidden/>
          </w:rPr>
          <w:t>14</w:t>
        </w:r>
      </w:ins>
      <w:del w:id="15" w:author="OBRIEN Audrey" w:date="2019-05-28T10:02:00Z">
        <w:r w:rsidR="00295FCD" w:rsidDel="0000047B">
          <w:rPr>
            <w:noProof/>
            <w:webHidden/>
          </w:rPr>
          <w:delText>8</w:delText>
        </w:r>
      </w:del>
      <w:r w:rsidR="00295FCD">
        <w:rPr>
          <w:noProof/>
          <w:webHidden/>
        </w:rPr>
        <w:fldChar w:fldCharType="end"/>
      </w:r>
      <w:r>
        <w:rPr>
          <w:noProof/>
        </w:rPr>
        <w:fldChar w:fldCharType="end"/>
      </w:r>
    </w:p>
    <w:p w14:paraId="2E62A2EA" w14:textId="3ECE532A"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"_Toc4051284" </w:instrText>
      </w:r>
      <w:r>
        <w:fldChar w:fldCharType="separate"/>
      </w:r>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ins w:id="16" w:author="OBRIEN Audrey" w:date="2019-05-28T10:02:00Z">
        <w:r w:rsidR="0000047B">
          <w:rPr>
            <w:noProof/>
            <w:webHidden/>
          </w:rPr>
          <w:t>15</w:t>
        </w:r>
      </w:ins>
      <w:del w:id="17" w:author="OBRIEN Audrey" w:date="2019-05-28T10:02:00Z">
        <w:r w:rsidR="00295FCD" w:rsidDel="0000047B">
          <w:rPr>
            <w:noProof/>
            <w:webHidden/>
          </w:rPr>
          <w:delText>9</w:delText>
        </w:r>
      </w:del>
      <w:r w:rsidR="00295FCD">
        <w:rPr>
          <w:noProof/>
          <w:webHidden/>
        </w:rPr>
        <w:fldChar w:fldCharType="end"/>
      </w:r>
      <w:r>
        <w:rPr>
          <w:noProof/>
        </w:rPr>
        <w:fldChar w:fldCharType="end"/>
      </w:r>
    </w:p>
    <w:p w14:paraId="1910B5CA" w14:textId="57679CA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"_Toc4051285" </w:instrText>
      </w:r>
      <w:r>
        <w:fldChar w:fldCharType="separate"/>
      </w:r>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ins w:id="18" w:author="OBRIEN Audrey" w:date="2019-05-28T10:02:00Z">
        <w:r w:rsidR="0000047B">
          <w:rPr>
            <w:noProof/>
            <w:webHidden/>
          </w:rPr>
          <w:t>17</w:t>
        </w:r>
      </w:ins>
      <w:del w:id="19" w:author="OBRIEN Audrey" w:date="2019-05-28T10:02:00Z">
        <w:r w:rsidR="00295FCD" w:rsidDel="0000047B">
          <w:rPr>
            <w:noProof/>
            <w:webHidden/>
          </w:rPr>
          <w:delText>10</w:delText>
        </w:r>
      </w:del>
      <w:r w:rsidR="00295FCD">
        <w:rPr>
          <w:noProof/>
          <w:webHidden/>
        </w:rPr>
        <w:fldChar w:fldCharType="end"/>
      </w:r>
      <w:r>
        <w:rPr>
          <w:noProof/>
        </w:rPr>
        <w:fldChar w:fldCharType="end"/>
      </w:r>
    </w:p>
    <w:p w14:paraId="311AC480" w14:textId="264FB726"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"_Toc4051286" </w:instrText>
      </w:r>
      <w:r>
        <w:fldChar w:fldCharType="separate"/>
      </w:r>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ins w:id="20" w:author="OBRIEN Audrey" w:date="2019-05-28T10:02:00Z">
        <w:r w:rsidR="0000047B">
          <w:rPr>
            <w:noProof/>
            <w:webHidden/>
          </w:rPr>
          <w:t>18</w:t>
        </w:r>
      </w:ins>
      <w:del w:id="21" w:author="OBRIEN Audrey" w:date="2019-05-28T10:02:00Z">
        <w:r w:rsidR="00295FCD" w:rsidDel="0000047B">
          <w:rPr>
            <w:noProof/>
            <w:webHidden/>
          </w:rPr>
          <w:delText>11</w:delText>
        </w:r>
      </w:del>
      <w:r w:rsidR="00295FCD">
        <w:rPr>
          <w:noProof/>
          <w:webHidden/>
        </w:rPr>
        <w:fldChar w:fldCharType="end"/>
      </w:r>
      <w:r>
        <w:rPr>
          <w:noProof/>
        </w:rPr>
        <w:fldChar w:fldCharType="end"/>
      </w:r>
    </w:p>
    <w:p w14:paraId="6AF12C3A" w14:textId="28C59EA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"_Toc4051287" </w:instrText>
      </w:r>
      <w:r>
        <w:fldChar w:fldCharType="separate"/>
      </w:r>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ins w:id="22" w:author="OBRIEN Audrey" w:date="2019-05-28T10:02:00Z">
        <w:r w:rsidR="0000047B">
          <w:rPr>
            <w:noProof/>
            <w:webHidden/>
          </w:rPr>
          <w:t>20</w:t>
        </w:r>
      </w:ins>
      <w:del w:id="23" w:author="OBRIEN Audrey" w:date="2019-05-28T10:02:00Z">
        <w:r w:rsidR="00295FCD" w:rsidDel="0000047B">
          <w:rPr>
            <w:noProof/>
            <w:webHidden/>
          </w:rPr>
          <w:delText>12</w:delText>
        </w:r>
      </w:del>
      <w:r w:rsidR="00295FCD">
        <w:rPr>
          <w:noProof/>
          <w:webHidden/>
        </w:rPr>
        <w:fldChar w:fldCharType="end"/>
      </w:r>
      <w:r>
        <w:rPr>
          <w:noProof/>
        </w:rPr>
        <w:fldChar w:fldCharType="end"/>
      </w:r>
    </w:p>
    <w:p w14:paraId="413AA315" w14:textId="68B70CEA"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"_Toc4051288" </w:instrText>
      </w:r>
      <w:r>
        <w:fldChar w:fldCharType="separate"/>
      </w:r>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ins w:id="24" w:author="OBRIEN Audrey" w:date="2019-05-28T10:02:00Z">
        <w:r w:rsidR="0000047B">
          <w:rPr>
            <w:noProof/>
            <w:webHidden/>
          </w:rPr>
          <w:t>21</w:t>
        </w:r>
      </w:ins>
      <w:del w:id="25" w:author="OBRIEN Audrey" w:date="2019-05-28T10:02:00Z">
        <w:r w:rsidR="00295FCD" w:rsidDel="0000047B">
          <w:rPr>
            <w:noProof/>
            <w:webHidden/>
          </w:rPr>
          <w:delText>13</w:delText>
        </w:r>
      </w:del>
      <w:r w:rsidR="00295FCD">
        <w:rPr>
          <w:noProof/>
          <w:webHidden/>
        </w:rPr>
        <w:fldChar w:fldCharType="end"/>
      </w:r>
      <w:r>
        <w:rPr>
          <w:noProof/>
        </w:rPr>
        <w:fldChar w:fldCharType="end"/>
      </w:r>
    </w:p>
    <w:p w14:paraId="018F39C5" w14:textId="691F1668"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"_Toc4051289" </w:instrText>
      </w:r>
      <w:r>
        <w:fldChar w:fldCharType="separate"/>
      </w:r>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ins w:id="26" w:author="OBRIEN Audrey" w:date="2019-05-28T10:02:00Z">
        <w:r w:rsidR="0000047B">
          <w:rPr>
            <w:noProof/>
            <w:webHidden/>
          </w:rPr>
          <w:t>23</w:t>
        </w:r>
      </w:ins>
      <w:del w:id="27" w:author="OBRIEN Audrey" w:date="2019-05-28T10:02:00Z">
        <w:r w:rsidR="00295FCD" w:rsidDel="0000047B">
          <w:rPr>
            <w:noProof/>
            <w:webHidden/>
          </w:rPr>
          <w:delText>14</w:delText>
        </w:r>
      </w:del>
      <w:r w:rsidR="00295FCD">
        <w:rPr>
          <w:noProof/>
          <w:webHidden/>
        </w:rPr>
        <w:fldChar w:fldCharType="end"/>
      </w:r>
      <w:r>
        <w:rPr>
          <w:noProof/>
        </w:rPr>
        <w:fldChar w:fldCharType="end"/>
      </w:r>
    </w:p>
    <w:p w14:paraId="6EA7E593" w14:textId="15344BF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"_Toc4051290" </w:instrText>
      </w:r>
      <w:r>
        <w:fldChar w:fldCharType="separate"/>
      </w:r>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ins w:id="28" w:author="OBRIEN Audrey" w:date="2019-05-28T10:02:00Z">
        <w:r w:rsidR="0000047B">
          <w:rPr>
            <w:noProof/>
            <w:webHidden/>
          </w:rPr>
          <w:t>27</w:t>
        </w:r>
      </w:ins>
      <w:del w:id="29" w:author="OBRIEN Audrey" w:date="2019-05-28T10:02:00Z">
        <w:r w:rsidR="00295FCD" w:rsidDel="0000047B">
          <w:rPr>
            <w:noProof/>
            <w:webHidden/>
          </w:rPr>
          <w:delText>17</w:delText>
        </w:r>
      </w:del>
      <w:r w:rsidR="00295FCD">
        <w:rPr>
          <w:noProof/>
          <w:webHidden/>
        </w:rPr>
        <w:fldChar w:fldCharType="end"/>
      </w:r>
      <w:r>
        <w:rPr>
          <w:noProof/>
        </w:rPr>
        <w:fldChar w:fldCharType="end"/>
      </w:r>
    </w:p>
    <w:p w14:paraId="3A1F1C49" w14:textId="74D864B3"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"_Toc4051291" </w:instrText>
      </w:r>
      <w:r>
        <w:fldChar w:fldCharType="separate"/>
      </w:r>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ins w:id="30" w:author="OBRIEN Audrey" w:date="2019-05-28T10:02:00Z">
        <w:r w:rsidR="0000047B">
          <w:rPr>
            <w:noProof/>
            <w:webHidden/>
          </w:rPr>
          <w:t>29</w:t>
        </w:r>
      </w:ins>
      <w:del w:id="31" w:author="OBRIEN Audrey" w:date="2019-05-28T10:02:00Z">
        <w:r w:rsidR="00295FCD" w:rsidDel="0000047B">
          <w:rPr>
            <w:noProof/>
            <w:webHidden/>
          </w:rPr>
          <w:delText>18</w:delText>
        </w:r>
      </w:del>
      <w:r w:rsidR="00295FCD">
        <w:rPr>
          <w:noProof/>
          <w:webHidden/>
        </w:rPr>
        <w:fldChar w:fldCharType="end"/>
      </w:r>
      <w:r>
        <w:rPr>
          <w:noProof/>
        </w:rPr>
        <w:fldChar w:fldCharType="end"/>
      </w:r>
    </w:p>
    <w:p w14:paraId="568CE07A" w14:textId="7AC294F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"_Toc4051292" </w:instrText>
      </w:r>
      <w:r>
        <w:fldChar w:fldCharType="separate"/>
      </w:r>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ins w:id="32" w:author="OBRIEN Audrey" w:date="2019-05-28T10:02:00Z">
        <w:r w:rsidR="0000047B">
          <w:rPr>
            <w:noProof/>
            <w:webHidden/>
          </w:rPr>
          <w:t>31</w:t>
        </w:r>
      </w:ins>
      <w:del w:id="33" w:author="OBRIEN Audrey" w:date="2019-05-28T10:02:00Z">
        <w:r w:rsidR="00295FCD" w:rsidDel="0000047B">
          <w:rPr>
            <w:noProof/>
            <w:webHidden/>
          </w:rPr>
          <w:delText>19</w:delText>
        </w:r>
      </w:del>
      <w:r w:rsidR="00295FCD">
        <w:rPr>
          <w:noProof/>
          <w:webHidden/>
        </w:rPr>
        <w:fldChar w:fldCharType="end"/>
      </w:r>
      <w:r>
        <w:rPr>
          <w:noProof/>
        </w:rPr>
        <w:fldChar w:fldCharType="end"/>
      </w:r>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34" w:name="_Toc2849069"/>
    </w:p>
    <w:p w14:paraId="2EB71F09" w14:textId="77777777" w:rsidR="002F2F6F" w:rsidRDefault="002F2F6F" w:rsidP="002F2F6F">
      <w:pPr>
        <w:pStyle w:val="Heading1"/>
      </w:pPr>
      <w:bookmarkStart w:id="35" w:name="_Toc3988344"/>
      <w:bookmarkStart w:id="36" w:name="_Toc4051276"/>
      <w:bookmarkEnd w:id="34"/>
      <w:r>
        <w:lastRenderedPageBreak/>
        <w:t>DEQ Recommendation to the EQC</w:t>
      </w:r>
      <w:bookmarkEnd w:id="35"/>
      <w:bookmarkEnd w:id="36"/>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7" w:name="_Toc3988345"/>
      <w:bookmarkStart w:id="38" w:name="_Toc4051277"/>
      <w:r>
        <w:lastRenderedPageBreak/>
        <w:t>Introduction</w:t>
      </w:r>
      <w:bookmarkEnd w:id="37"/>
      <w:bookmarkEnd w:id="38"/>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39" w:name="_Toc3976525"/>
      <w:r>
        <w:t>Brief history</w:t>
      </w:r>
      <w:bookmarkEnd w:id="39"/>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40" w:name="_Toc3976526"/>
      <w:r>
        <w:t>Regulated parties</w:t>
      </w:r>
      <w:bookmarkEnd w:id="40"/>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41" w:name="_Toc3976527"/>
      <w:r>
        <w:t>Outreach efforts</w:t>
      </w:r>
      <w:bookmarkEnd w:id="41"/>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42" w:author="LEE Michael" w:date="2019-04-24T11:49:00Z"/>
          <w:rPrChange w:id="43" w:author="LEE Michael" w:date="2019-04-24T11:49:00Z">
            <w:rPr>
              <w:ins w:id="44"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45"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46" w:author="LEE Michael" w:date="2019-04-24T11:49:00Z"/>
          <w:rPrChange w:id="47" w:author="LEE Michael" w:date="2019-04-24T11:49:00Z">
            <w:rPr>
              <w:ins w:id="48" w:author="LEE Michael" w:date="2019-04-24T11:49:00Z"/>
              <w:color w:val="000000"/>
            </w:rPr>
          </w:rPrChange>
        </w:rPr>
      </w:pPr>
      <w:ins w:id="49"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50" w:author="LEE Michael" w:date="2019-04-24T11:50:00Z"/>
          <w:rPrChange w:id="51" w:author="LEE Michael" w:date="2019-04-24T11:50:00Z">
            <w:rPr>
              <w:ins w:id="52" w:author="LEE Michael" w:date="2019-04-24T11:50:00Z"/>
              <w:color w:val="000000"/>
            </w:rPr>
          </w:rPrChange>
        </w:rPr>
      </w:pPr>
      <w:ins w:id="53"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54" w:author="LEE Michael" w:date="2019-04-24T11:53:00Z"/>
        </w:rPr>
        <w:pPrChange w:id="55" w:author="LEE Michael" w:date="2019-04-24T11:53:00Z">
          <w:pPr/>
        </w:pPrChange>
      </w:pPr>
      <w:r>
        <w:t xml:space="preserve">DEQ </w:t>
      </w:r>
      <w:ins w:id="56" w:author="LEE Michael" w:date="2019-04-24T11:52:00Z">
        <w:r w:rsidR="0002499F">
          <w:t>accepted</w:t>
        </w:r>
      </w:ins>
      <w:del w:id="57" w:author="LEE Michael" w:date="2019-04-24T11:52:00Z">
        <w:r w:rsidDel="0002499F">
          <w:delText>is accepting</w:delText>
        </w:r>
      </w:del>
      <w:r>
        <w:t xml:space="preserve"> public comments on the permanent rule </w:t>
      </w:r>
      <w:ins w:id="58"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59"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60" w:name="_Toc3988347"/>
      <w:bookmarkStart w:id="61" w:name="_Toc4051279"/>
      <w:r w:rsidRPr="003C26EE">
        <w:lastRenderedPageBreak/>
        <w:t>Statement of need</w:t>
      </w:r>
      <w:bookmarkEnd w:id="60"/>
      <w:bookmarkEnd w:id="61"/>
    </w:p>
    <w:p w14:paraId="2FDF0A64" w14:textId="77777777" w:rsidR="00FD5497" w:rsidRDefault="00FD5497" w:rsidP="00FD5497">
      <w:pPr>
        <w:pStyle w:val="Heading2"/>
      </w:pPr>
      <w:bookmarkStart w:id="62"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62"/>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63" w:name="_Toc3988348"/>
      <w:bookmarkStart w:id="64" w:name="_Toc4051280"/>
      <w:r w:rsidRPr="003C26EE">
        <w:lastRenderedPageBreak/>
        <w:t>Rules affected, authorities, supporting documents</w:t>
      </w:r>
      <w:bookmarkEnd w:id="63"/>
      <w:bookmarkEnd w:id="64"/>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65" w:name="SupportingDocuments"/>
      <w:r w:rsidRPr="0038253B">
        <w:t>Documents relied on for rulemaking</w:t>
      </w:r>
      <w:bookmarkEnd w:id="65"/>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A412C3"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A412C3"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A412C3"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A412C3"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66" w:name="_Toc3988349"/>
      <w:bookmarkStart w:id="67" w:name="_Toc4051281"/>
      <w:r w:rsidRPr="003C26EE">
        <w:lastRenderedPageBreak/>
        <w:t>Fee Analysis</w:t>
      </w:r>
      <w:bookmarkEnd w:id="66"/>
      <w:bookmarkEnd w:id="67"/>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68" w:name="RANGE!A226:B243"/>
      <w:bookmarkEnd w:id="68"/>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69" w:name="_Toc3988350"/>
      <w:bookmarkStart w:id="70" w:name="_Toc4051282"/>
      <w:r w:rsidRPr="003C26EE">
        <w:lastRenderedPageBreak/>
        <w:t>Statement of fiscal and economic impact</w:t>
      </w:r>
      <w:bookmarkEnd w:id="69"/>
      <w:bookmarkEnd w:id="70"/>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71" w:name="_Toc3988351"/>
      <w:bookmarkStart w:id="72" w:name="_Toc4051283"/>
      <w:r w:rsidRPr="003C26EE">
        <w:lastRenderedPageBreak/>
        <w:t>Federal relationship</w:t>
      </w:r>
      <w:bookmarkEnd w:id="71"/>
      <w:bookmarkEnd w:id="72"/>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73" w:name="_Toc3988352"/>
      <w:bookmarkStart w:id="74" w:name="_Toc4051284"/>
      <w:r w:rsidRPr="003C26EE">
        <w:lastRenderedPageBreak/>
        <w:t>Land use</w:t>
      </w:r>
      <w:bookmarkEnd w:id="73"/>
      <w:bookmarkEnd w:id="74"/>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w:t>
      </w:r>
      <w:r>
        <w:lastRenderedPageBreak/>
        <w:t>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75" w:name="_Toc3988353"/>
      <w:bookmarkStart w:id="76" w:name="_Toc4051285"/>
      <w:r w:rsidRPr="003C26EE">
        <w:lastRenderedPageBreak/>
        <w:t>EQC Prior Involvement</w:t>
      </w:r>
      <w:bookmarkEnd w:id="75"/>
      <w:bookmarkEnd w:id="76"/>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77" w:name="_Toc3988354"/>
      <w:bookmarkStart w:id="78" w:name="_Toc4051286"/>
      <w:r w:rsidRPr="003C26EE">
        <w:lastRenderedPageBreak/>
        <w:t>Advisory Committee</w:t>
      </w:r>
      <w:bookmarkEnd w:id="77"/>
      <w:bookmarkEnd w:id="78"/>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79" w:name="_Toc3988355"/>
      <w:bookmarkStart w:id="80" w:name="_Toc4051287"/>
      <w:r w:rsidRPr="003C26EE">
        <w:lastRenderedPageBreak/>
        <w:t>Public Engagement</w:t>
      </w:r>
      <w:bookmarkEnd w:id="79"/>
      <w:bookmarkEnd w:id="80"/>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A412C3" w:rsidRPr="001A4DE1" w:rsidRDefault="00A412C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412C3" w:rsidRDefault="00A412C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81" w:name="_Toc3988356"/>
      <w:bookmarkStart w:id="82" w:name="_Toc4051288"/>
      <w:r>
        <w:lastRenderedPageBreak/>
        <w:t>Public Hearing</w:t>
      </w:r>
      <w:bookmarkEnd w:id="81"/>
      <w:bookmarkEnd w:id="82"/>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8BB5B9E"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ins w:id="83" w:author="LEE Michael" w:date="2019-05-23T17:03:00Z">
        <w:r w:rsidR="00F672B1">
          <w:t xml:space="preserve"> seven</w:t>
        </w:r>
      </w:ins>
      <w:r w:rsidRPr="00A135B0">
        <w:rPr>
          <w:rStyle w:val="instructionsChar"/>
        </w:rPr>
        <w:t xml:space="preserve"> </w:t>
      </w:r>
      <w:del w:id="84" w:author="LEE Michael" w:date="2019-05-23T17:03:00Z">
        <w:r w:rsidRPr="00A135B0" w:rsidDel="00F672B1">
          <w:rPr>
            <w:rStyle w:val="instructionsChar"/>
          </w:rPr>
          <w:delText>XX</w:delText>
        </w:r>
        <w:r w:rsidRPr="001404B0" w:rsidDel="00F672B1">
          <w:delText xml:space="preserve"> </w:delText>
        </w:r>
      </w:del>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700 NE Multnomah Street, Conference Room, Thirdy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77777777" w:rsidR="00F672B1" w:rsidRDefault="00F672B1" w:rsidP="00F672B1">
      <w:pPr>
        <w:tabs>
          <w:tab w:val="left" w:pos="-1440"/>
          <w:tab w:val="left" w:pos="-720"/>
        </w:tabs>
        <w:suppressAutoHyphens/>
      </w:pPr>
      <w:r>
        <w:t xml:space="preserve">One person attended the hearing in person. </w:t>
      </w:r>
      <w:r w:rsidRPr="001404B0">
        <w:t>The presiding officer convened the hearing</w:t>
      </w:r>
      <w:r>
        <w:t xml:space="preserve"> and explained that the hearing was for the compost permanent rulemaking. Signs were posted stating that </w:t>
      </w:r>
      <w:r w:rsidRPr="001404B0">
        <w:t xml:space="preserve">DEQ was recording the hearing. </w:t>
      </w:r>
      <w:r>
        <w:t>No person presented any oral testimony or written comments.</w:t>
      </w:r>
    </w:p>
    <w:p w14:paraId="4654EC0B" w14:textId="77777777" w:rsidR="00F672B1" w:rsidRDefault="00F672B1" w:rsidP="00F672B1">
      <w:pPr>
        <w:tabs>
          <w:tab w:val="left" w:pos="-1440"/>
          <w:tab w:val="left" w:pos="-720"/>
        </w:tabs>
        <w:suppressAutoHyphens/>
      </w:pPr>
    </w:p>
    <w:p w14:paraId="6563864C" w14:textId="388B5B72" w:rsidR="002F2F6F" w:rsidRPr="001404B0" w:rsidDel="00F672B1" w:rsidRDefault="002F2F6F" w:rsidP="002F2F6F">
      <w:pPr>
        <w:tabs>
          <w:tab w:val="left" w:pos="-1440"/>
          <w:tab w:val="left" w:pos="-720"/>
        </w:tabs>
        <w:suppressAutoHyphens/>
        <w:rPr>
          <w:del w:id="85" w:author="LEE Michael" w:date="2019-05-23T17:02:00Z"/>
        </w:rPr>
      </w:pPr>
      <w:del w:id="86" w:author="LEE Michael" w:date="2019-05-23T17:02:00Z">
        <w:r w:rsidRPr="001404B0" w:rsidDel="00F672B1">
          <w:delText xml:space="preserve">The presiding officer convened the hearing, summarized procedures for the hearing, and explained that DEQ was recording the hearing. The presiding officer </w:delText>
        </w:r>
        <w:r w:rsidRPr="00A135B0" w:rsidDel="00F672B1">
          <w:delText>a</w:delText>
        </w:r>
        <w:r w:rsidRPr="001404B0" w:rsidDel="00F672B1">
          <w:delTex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delText>
        </w:r>
      </w:del>
    </w:p>
    <w:p w14:paraId="36240A2B" w14:textId="553FF722" w:rsidR="002F2F6F" w:rsidRPr="001404B0" w:rsidDel="00F672B1" w:rsidRDefault="002F2F6F" w:rsidP="002F2F6F">
      <w:pPr>
        <w:tabs>
          <w:tab w:val="left" w:pos="-1440"/>
          <w:tab w:val="left" w:pos="-720"/>
        </w:tabs>
        <w:suppressAutoHyphens/>
        <w:rPr>
          <w:del w:id="87" w:author="LEE Michael" w:date="2019-05-23T17:02:00Z"/>
        </w:rPr>
      </w:pPr>
    </w:p>
    <w:p w14:paraId="1FA6F76E" w14:textId="03CF1CB7" w:rsidR="002F2F6F" w:rsidRPr="001404B0" w:rsidDel="00F672B1" w:rsidRDefault="002F2F6F" w:rsidP="002F2F6F">
      <w:pPr>
        <w:tabs>
          <w:tab w:val="left" w:pos="-1440"/>
          <w:tab w:val="left" w:pos="-720"/>
        </w:tabs>
        <w:suppressAutoHyphens/>
        <w:rPr>
          <w:del w:id="88" w:author="LEE Michael" w:date="2019-05-23T17:02:00Z"/>
        </w:rPr>
      </w:pPr>
      <w:del w:id="89" w:author="LEE Michael" w:date="2019-05-23T17:02:00Z">
        <w:r w:rsidRPr="001404B0" w:rsidDel="00F672B1">
          <w:delText>As Oregon Administrative Rule 137-001-0030 requires, the presiding officer summarized the content of the rulemaking notice.</w:delText>
        </w:r>
      </w:del>
    </w:p>
    <w:p w14:paraId="636EE856" w14:textId="3B8D3F12" w:rsidR="002F2F6F" w:rsidRPr="001404B0" w:rsidDel="00F672B1" w:rsidRDefault="002F2F6F" w:rsidP="002F2F6F">
      <w:pPr>
        <w:tabs>
          <w:tab w:val="left" w:pos="-1440"/>
          <w:tab w:val="left" w:pos="-720"/>
        </w:tabs>
        <w:suppressAutoHyphens/>
        <w:rPr>
          <w:del w:id="90" w:author="LEE Michael" w:date="2019-05-23T17:02:00Z"/>
        </w:rPr>
      </w:pPr>
    </w:p>
    <w:p w14:paraId="30D41FFB" w14:textId="35B5FAE5" w:rsidR="002F2F6F" w:rsidRPr="001404B0" w:rsidDel="008C60CC" w:rsidRDefault="002F2F6F" w:rsidP="00A83AA3">
      <w:pPr>
        <w:pStyle w:val="instructions"/>
        <w:rPr>
          <w:del w:id="91" w:author="LEE Michael" w:date="2019-05-23T10:20:00Z"/>
        </w:rPr>
      </w:pPr>
      <w:del w:id="92"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93" w:author="LEE Michael" w:date="2019-05-23T10:20:00Z"/>
        </w:rPr>
      </w:pPr>
    </w:p>
    <w:p w14:paraId="0C768A1D" w14:textId="46355C5A" w:rsidR="002F2F6F" w:rsidRPr="001404B0" w:rsidDel="008C60CC" w:rsidRDefault="002F2F6F" w:rsidP="002F2F6F">
      <w:pPr>
        <w:tabs>
          <w:tab w:val="left" w:pos="-1440"/>
          <w:tab w:val="left" w:pos="-720"/>
        </w:tabs>
        <w:suppressAutoHyphens/>
        <w:rPr>
          <w:del w:id="94" w:author="LEE Michael" w:date="2019-05-23T10:20:00Z"/>
        </w:rPr>
      </w:pPr>
      <w:del w:id="95"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96" w:author="LEE Michael" w:date="2019-05-23T10:20:00Z"/>
        </w:rPr>
      </w:pPr>
    </w:p>
    <w:p w14:paraId="3C25ED50" w14:textId="18384A40" w:rsidR="002F2F6F" w:rsidRPr="00DE281B" w:rsidDel="008C60CC" w:rsidRDefault="002F2F6F" w:rsidP="00A83AA3">
      <w:pPr>
        <w:pStyle w:val="instructions"/>
        <w:rPr>
          <w:del w:id="97" w:author="LEE Michael" w:date="2019-05-23T10:20:00Z"/>
        </w:rPr>
      </w:pPr>
      <w:del w:id="98" w:author="LEE Michael" w:date="2019-05-23T10:20:00Z">
        <w:r w:rsidRPr="001404B0" w:rsidDel="008C60CC">
          <w:lastRenderedPageBreak/>
          <w:delText>OR:</w:delText>
        </w:r>
      </w:del>
    </w:p>
    <w:p w14:paraId="160DE8DC" w14:textId="42852D66" w:rsidR="002F2F6F" w:rsidRPr="001404B0" w:rsidDel="008C60CC" w:rsidRDefault="002F2F6F" w:rsidP="002F2F6F">
      <w:pPr>
        <w:rPr>
          <w:del w:id="99" w:author="LEE Michael" w:date="2019-05-23T10:20:00Z"/>
        </w:rPr>
      </w:pPr>
    </w:p>
    <w:p w14:paraId="2EAB0EBF" w14:textId="42F03C82" w:rsidR="002F2F6F" w:rsidRDefault="002F2F6F" w:rsidP="002F2F6F">
      <w:del w:id="100" w:author="LEE Michael" w:date="2019-05-23T17:02:00Z">
        <w:r w:rsidRPr="001404B0" w:rsidDel="00F672B1">
          <w:delText xml:space="preserve">No person presented any oral testimony or written comments. </w:delText>
        </w:r>
      </w:del>
      <w:r>
        <w:br w:type="page"/>
      </w:r>
    </w:p>
    <w:p w14:paraId="73619285" w14:textId="77777777" w:rsidR="002F2F6F" w:rsidRPr="001404B0" w:rsidRDefault="002F2F6F" w:rsidP="001F7800">
      <w:pPr>
        <w:pStyle w:val="Heading2"/>
      </w:pPr>
      <w:bookmarkStart w:id="101" w:name="_Toc2850647"/>
      <w:bookmarkStart w:id="102" w:name="_Toc3988357"/>
      <w:bookmarkStart w:id="103" w:name="_Toc4051289"/>
      <w:r w:rsidRPr="001404B0">
        <w:lastRenderedPageBreak/>
        <w:t>Summary of Public Comments and DEQ Responses</w:t>
      </w:r>
      <w:bookmarkEnd w:id="101"/>
      <w:bookmarkEnd w:id="102"/>
      <w:bookmarkEnd w:id="103"/>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717A5088" w:rsidR="002F2F6F" w:rsidRPr="001404B0" w:rsidDel="00DA3C47" w:rsidRDefault="00E20641" w:rsidP="002F2F6F">
      <w:pPr>
        <w:rPr>
          <w:del w:id="104"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105"/>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105"/>
      <w:r w:rsidR="00F47BEC">
        <w:rPr>
          <w:rStyle w:val="CommentReference"/>
        </w:rPr>
        <w:commentReference w:id="105"/>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The proposed rule change would not alter the treatment of biosolids, which will continue to be regulated by applicable federal and state regulations such as 40 C.F.R 503 and OAR Chapter 340, Division 50. The proposed rule change would change the application of pathogen limits to digestate, depending on the use of that digestate, but gives DEQ the authority to reinstate pathogen limits for all digestate if such compliance is necessary to protect human health or the environment. Digestate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digestate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52CE235F" w:rsidR="002001D0" w:rsidRDefault="002001D0" w:rsidP="002001D0">
      <w:r>
        <w:t>OAR 340-096-0140 has never required the processing of manure at a particular percentage</w:t>
      </w:r>
      <w:ins w:id="106" w:author="OBRIEN Audrey" w:date="2019-05-28T09:15:00Z">
        <w:r w:rsidR="00A412C3">
          <w:t xml:space="preserve"> for either on-farm or off-farm digesters</w:t>
        </w:r>
      </w:ins>
      <w:r>
        <w:t xml:space="preserve">. </w:t>
      </w:r>
      <w:ins w:id="107" w:author="OBRIEN Audrey" w:date="2019-05-28T09:11:00Z">
        <w:r w:rsidR="00A412C3">
          <w:t xml:space="preserve">When evaluating on-farm digesters, DEQ consulted with Oregon Department of Agriculture to evaluate whether on farm digesters </w:t>
        </w:r>
      </w:ins>
      <w:ins w:id="108" w:author="OBRIEN Audrey" w:date="2019-05-28T09:20:00Z">
        <w:r w:rsidR="00A412C3">
          <w:t xml:space="preserve">can be appropriately regulated by </w:t>
        </w:r>
      </w:ins>
      <w:ins w:id="109" w:author="OBRIEN Audrey" w:date="2019-05-28T09:11:00Z">
        <w:r w:rsidR="00A412C3">
          <w:t>the NPDES water quality permit required of confined animal feeding operations that O</w:t>
        </w:r>
      </w:ins>
      <w:ins w:id="110" w:author="OBRIEN Audrey" w:date="2019-05-28T09:14:00Z">
        <w:r w:rsidR="00A412C3">
          <w:t xml:space="preserve">regon </w:t>
        </w:r>
      </w:ins>
      <w:ins w:id="111" w:author="OBRIEN Audrey" w:date="2019-05-28T09:11:00Z">
        <w:r w:rsidR="00A412C3">
          <w:t>D</w:t>
        </w:r>
      </w:ins>
      <w:ins w:id="112" w:author="OBRIEN Audrey" w:date="2019-05-28T09:14:00Z">
        <w:r w:rsidR="00A412C3">
          <w:t xml:space="preserve">epartment of </w:t>
        </w:r>
      </w:ins>
      <w:ins w:id="113" w:author="OBRIEN Audrey" w:date="2019-05-28T09:11:00Z">
        <w:r w:rsidR="00A412C3">
          <w:t>A</w:t>
        </w:r>
      </w:ins>
      <w:ins w:id="114" w:author="OBRIEN Audrey" w:date="2019-05-28T09:14:00Z">
        <w:r w:rsidR="00A412C3">
          <w:t>griculture</w:t>
        </w:r>
      </w:ins>
      <w:ins w:id="115" w:author="OBRIEN Audrey" w:date="2019-05-28T09:11:00Z">
        <w:r w:rsidR="00A412C3">
          <w:t xml:space="preserve"> oversees. As long as on-farm digesters accept less than 15% off-farm wastes, DEQ and ODA consider that the on-farm digester is regulated appropriately through the water quality permits required of confined animial feeding operations and Oregon Department of Agriculture. </w:t>
        </w:r>
      </w:ins>
      <w:r>
        <w:t xml:space="preserve">An on-farm digester </w:t>
      </w:r>
      <w:r>
        <w:lastRenderedPageBreak/>
        <w:t xml:space="preserve">seeking to </w:t>
      </w:r>
      <w:ins w:id="116" w:author="OBRIEN Audrey" w:date="2019-05-28T09:14:00Z">
        <w:r w:rsidR="00A412C3">
          <w:t xml:space="preserve">accept non-manure feedstocks and </w:t>
        </w:r>
      </w:ins>
      <w:r>
        <w:t>operate on less than 85% manure</w:t>
      </w:r>
      <w:r w:rsidR="007C2D08">
        <w:t xml:space="preserve"> can</w:t>
      </w:r>
      <w:r w:rsidR="00D47215">
        <w:t xml:space="preserve"> </w:t>
      </w:r>
      <w:r w:rsidR="00F51933">
        <w:t>apply for a DEQ Solid Waste permit.</w:t>
      </w:r>
      <w:r>
        <w:t xml:space="preserve">. A number of on-farm digesters </w:t>
      </w:r>
      <w:ins w:id="117" w:author="OBRIEN Audrey" w:date="2019-05-28T09:14:00Z">
        <w:r w:rsidR="00A412C3">
          <w:t>currently operate</w:t>
        </w:r>
      </w:ins>
      <w:del w:id="118" w:author="OBRIEN Audrey" w:date="2019-05-28T09:15:00Z">
        <w:r w:rsidDel="00A412C3">
          <w:delText>are operating</w:delText>
        </w:r>
      </w:del>
      <w:r>
        <w:t xml:space="preserve"> under a DEQ </w:t>
      </w:r>
      <w:r w:rsidR="00F51933">
        <w:t xml:space="preserve">Solid Waste </w:t>
      </w:r>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BAC125A" w:rsidR="002001D0" w:rsidRDefault="002001D0" w:rsidP="002001D0">
      <w:r>
        <w:t>Th</w:t>
      </w:r>
      <w:ins w:id="119" w:author="OBRIEN Audrey" w:date="2019-05-28T09:22:00Z">
        <w:r w:rsidR="00902D4D">
          <w:t xml:space="preserve">is </w:t>
        </w:r>
      </w:ins>
      <w:del w:id="120" w:author="OBRIEN Audrey" w:date="2019-05-28T09:22:00Z">
        <w:r w:rsidDel="00902D4D">
          <w:delText>e</w:delText>
        </w:r>
      </w:del>
      <w:r>
        <w:t xml:space="preserve"> rulemaking </w:t>
      </w:r>
      <w:del w:id="121" w:author="OBRIEN Audrey" w:date="2019-05-28T09:22:00Z">
        <w:r w:rsidDel="00902D4D">
          <w:delText xml:space="preserve">is </w:delText>
        </w:r>
      </w:del>
      <w:r>
        <w:t>focused on pathogen limits for digestate</w:t>
      </w:r>
      <w:ins w:id="122" w:author="OBRIEN Audrey" w:date="2019-05-28T09:22:00Z">
        <w:r w:rsidR="00902D4D">
          <w:t xml:space="preserve"> and does not change any other requirements that apply to digestate</w:t>
        </w:r>
      </w:ins>
      <w:r>
        <w:t xml:space="preserve">. DEQ </w:t>
      </w:r>
      <w:ins w:id="123" w:author="OBRIEN Audrey" w:date="2019-05-28T09:21:00Z">
        <w:r w:rsidR="00902D4D">
          <w:t>must approve where digestate is land applied and works with ODA to make sure that digestate that is land applied is done so</w:t>
        </w:r>
      </w:ins>
      <w:ins w:id="124" w:author="OBRIEN Audrey" w:date="2019-05-28T09:22:00Z">
        <w:r w:rsidR="00902D4D">
          <w:t xml:space="preserve"> in compliance with requirements that protect </w:t>
        </w:r>
      </w:ins>
      <w:ins w:id="125" w:author="OBRIEN Audrey" w:date="2019-05-28T09:23:00Z">
        <w:r w:rsidR="00902D4D">
          <w:t>the environment and human health.</w:t>
        </w:r>
      </w:ins>
      <w:del w:id="126" w:author="OBRIEN Audrey" w:date="2019-05-28T09:23:00Z">
        <w:r w:rsidDel="00902D4D">
          <w:delText xml:space="preserve">may address testing for non-pathogen pollutants in finished compost materials in a subsequent rulemaking. </w:delText>
        </w:r>
      </w:del>
      <w:del w:id="127" w:author="LEE Michael" w:date="2019-05-23T17:06:00Z">
        <w:r w:rsidDel="00D47215">
          <w:delText xml:space="preserve">In the interim, </w:delText>
        </w:r>
      </w:del>
      <w:r>
        <w:t>DEQ will continue to monitor feedstock types and volumes and operations plans through existing solid waste and composting r</w:t>
      </w:r>
      <w:ins w:id="128" w:author="OBRIEN Audrey" w:date="2019-05-28T09:23:00Z">
        <w:r w:rsidR="00902D4D">
          <w:t>egulations</w:t>
        </w:r>
      </w:ins>
      <w:del w:id="129" w:author="OBRIEN Audrey" w:date="2019-05-28T09:23:00Z">
        <w:r w:rsidDel="00902D4D">
          <w:delText>ules</w:delText>
        </w:r>
      </w:del>
      <w:r>
        <w:t>,</w:t>
      </w:r>
      <w:ins w:id="130" w:author="LEE Michael" w:date="2019-05-23T17:06:00Z">
        <w:r w:rsidR="00D47215">
          <w:t xml:space="preserve"> and address non-pathogen pollutants as </w:t>
        </w:r>
      </w:ins>
      <w:ins w:id="131" w:author="LEE Michael" w:date="2019-05-23T17:07:00Z">
        <w:r w:rsidR="00D47215">
          <w:t>authority</w:t>
        </w:r>
      </w:ins>
      <w:ins w:id="132" w:author="LEE Michael" w:date="2019-05-23T17:06:00Z">
        <w:r w:rsidR="00D47215">
          <w:t xml:space="preserve"> </w:t>
        </w:r>
      </w:ins>
      <w:ins w:id="133" w:author="LEE Michael" w:date="2019-05-23T17:07:00Z">
        <w:r w:rsidR="00D47215">
          <w:t>allows under</w:t>
        </w:r>
      </w:ins>
      <w:del w:id="134" w:author="LEE Michael" w:date="2019-05-23T17:07:00Z">
        <w:r w:rsidDel="00D47215">
          <w:delText>; as well as</w:delText>
        </w:r>
      </w:del>
      <w:r>
        <w:t xml:space="preserve"> other existing </w:t>
      </w:r>
      <w:ins w:id="135" w:author="OBRIEN Audrey" w:date="2019-05-28T09:23:00Z">
        <w:r w:rsidR="00902D4D">
          <w:t xml:space="preserve">water quality, </w:t>
        </w:r>
      </w:ins>
      <w:r>
        <w:t xml:space="preserve">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7A9C86C0" w:rsidR="002001D0" w:rsidRDefault="002001D0" w:rsidP="002001D0">
      <w:r>
        <w:t xml:space="preserve">DEQ includes in its “Documents relied on for rulemaking” an EPA publication titled Control of Pathogens and Vector Attraction in Sewage Sludge, which </w:t>
      </w:r>
      <w:ins w:id="136" w:author="OBRIEN Audrey" w:date="2019-05-28T09:25:00Z">
        <w:r w:rsidR="00902D4D">
          <w:t xml:space="preserve">says </w:t>
        </w:r>
      </w:ins>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pPr>
        <w:rPr>
          <w:ins w:id="137" w:author="OBRIEN Audrey" w:date="2019-05-28T09:32:00Z"/>
        </w:rPr>
      </w:pPr>
      <w:ins w:id="138" w:author="OBRIEN Audrey" w:date="2019-05-28T09:32:00Z">
        <w:r>
          <w:t>The proposed rule change would exempt digestate that is land applied at agronomic rates and consistent with site restrictions in 40 C.F.R. §503.32(b)(5) from me</w:t>
        </w:r>
        <w:r>
          <w:t>eting the fecal coliform</w:t>
        </w:r>
        <w:r>
          <w:t xml:space="preserve"> limit of 1,000 Most Probable Number per gram of total solids, but does not eliminate the requirement to perform pathogen testing. Digesters subject to OAR 340-096-0140 must continue to test digestate for pathogen reduction and document and implement a pathogen reduction plan pursuant to sections 3, 4 and 5 of OAR 340-096-0140.</w:t>
        </w:r>
      </w:ins>
    </w:p>
    <w:p w14:paraId="77EFC0D6" w14:textId="77777777" w:rsidR="00BE10F9" w:rsidRDefault="00BE10F9" w:rsidP="002001D0">
      <w:pPr>
        <w:rPr>
          <w:ins w:id="139" w:author="OBRIEN Audrey" w:date="2019-05-28T09:32:00Z"/>
        </w:rPr>
      </w:pPr>
    </w:p>
    <w:p w14:paraId="69CC3757" w14:textId="6F741A53" w:rsidR="003168DF" w:rsidRDefault="00BE10F9" w:rsidP="002001D0">
      <w:ins w:id="140" w:author="OBRIEN Audrey" w:date="2019-05-28T09:32:00Z">
        <w:r>
          <w:t xml:space="preserve">In the EPA publication that the commenter cited, </w:t>
        </w:r>
      </w:ins>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w:t>
      </w:r>
      <w:r w:rsidR="002001D0">
        <w:lastRenderedPageBreak/>
        <w:t>The EPA guidance states, “</w:t>
      </w:r>
      <w:r w:rsidR="002001D0" w:rsidRPr="00902D4D">
        <w:rPr>
          <w:b/>
          <w:rPrChange w:id="141" w:author="OBRIEN Audrey" w:date="2019-05-28T09:28:00Z">
            <w:rPr/>
          </w:rPrChange>
        </w:rPr>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ins w:id="142"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143"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144" w:author="FLEMING Jeremy" w:date="2019-05-23T14:51:00Z">
        <w:r w:rsidR="007C2D08">
          <w:rPr>
            <w:rStyle w:val="Hyperlink"/>
          </w:rPr>
          <w:fldChar w:fldCharType="end"/>
        </w:r>
      </w:ins>
      <w:r w:rsidR="003168DF">
        <w:t xml:space="preserve"> </w:t>
      </w:r>
      <w:r w:rsidR="002001D0">
        <w:t xml:space="preserve">(pages 11, 15 and 38). </w:t>
      </w:r>
    </w:p>
    <w:p w14:paraId="2AD32575" w14:textId="77777777" w:rsidR="003168DF" w:rsidRDefault="003168DF" w:rsidP="002001D0"/>
    <w:p w14:paraId="00601619" w14:textId="287D6FA8" w:rsidR="002001D0" w:rsidRDefault="002001D0" w:rsidP="002001D0">
      <w:del w:id="145" w:author="FLEMING Jeremy" w:date="2019-05-23T14:51:00Z">
        <w:r w:rsidDel="007C2D08">
          <w:delText xml:space="preserve">Additionally, </w:delText>
        </w:r>
      </w:del>
      <w:ins w:id="146" w:author="FLEMING Jeremy" w:date="2019-05-23T14:52:00Z">
        <w:r w:rsidR="007C2D08">
          <w:t>B</w:t>
        </w:r>
      </w:ins>
      <w:del w:id="147" w:author="FLEMING Jeremy" w:date="2019-05-23T14:52:00Z">
        <w:r w:rsidDel="007C2D08">
          <w:delText>b</w:delText>
        </w:r>
      </w:del>
      <w:r>
        <w:t xml:space="preserve">iosolids </w:t>
      </w:r>
      <w:ins w:id="148" w:author="OBRIEN Audrey" w:date="2019-05-28T09:29:00Z">
        <w:r w:rsidR="00902D4D">
          <w:t xml:space="preserve">such as digested sewage sludges </w:t>
        </w:r>
      </w:ins>
      <w:r>
        <w:t>typically contain a high count of fecal coliforms, enteric bacteria that can be used as indicators of the likelihood of the presence of bacterial pathogens. Manure</w:t>
      </w:r>
      <w:ins w:id="149" w:author="OBRIEN Audrey" w:date="2019-05-28T09:29:00Z">
        <w:r w:rsidR="00902D4D">
          <w:t xml:space="preserve"> prior to digestion </w:t>
        </w:r>
      </w:ins>
      <w:del w:id="150" w:author="FLEMING Jeremy" w:date="2019-05-23T14:52:00Z">
        <w:r w:rsidDel="007C2D08">
          <w:delText xml:space="preserve">, which can be used as feedstock for digestate, </w:delText>
        </w:r>
      </w:del>
      <w:r>
        <w:t>also contains a very high fecal coliform count</w:t>
      </w:r>
      <w:ins w:id="151" w:author="OBRIEN Audrey" w:date="2019-05-28T09:29:00Z">
        <w:r w:rsidR="00902D4D">
          <w:t xml:space="preserve"> that is significantly reduced through digestion and then further reduced through the land </w:t>
        </w:r>
      </w:ins>
      <w:ins w:id="152" w:author="OBRIEN Audrey" w:date="2019-05-28T09:30:00Z">
        <w:r w:rsidR="00902D4D">
          <w:t>application</w:t>
        </w:r>
      </w:ins>
      <w:ins w:id="153" w:author="OBRIEN Audrey" w:date="2019-05-28T09:29:00Z">
        <w:r w:rsidR="00902D4D">
          <w:t xml:space="preserve"> </w:t>
        </w:r>
      </w:ins>
      <w:ins w:id="154" w:author="OBRIEN Audrey" w:date="2019-05-28T09:30:00Z">
        <w:r w:rsidR="00902D4D">
          <w:t>process allowed by the proposed regulations within the time frame required prior to crop growth</w:t>
        </w:r>
      </w:ins>
      <w:r>
        <w:t xml:space="preserve">. </w:t>
      </w:r>
      <w:del w:id="155" w:author="FLEMING Jeremy" w:date="2019-05-23T14:53:00Z">
        <w:r w:rsidDel="007C2D08">
          <w:delText>Other common kinds of</w:delText>
        </w:r>
      </w:del>
      <w:ins w:id="156" w:author="FLEMING Jeremy" w:date="2019-05-23T14:53:00Z">
        <w:r w:rsidR="007C2D08">
          <w:t>Common</w:t>
        </w:r>
      </w:ins>
      <w:r>
        <w:t xml:space="preserve"> Type 3 feedstock</w:t>
      </w:r>
      <w:ins w:id="157" w:author="FLEMING Jeremy" w:date="2019-05-23T14:53:00Z">
        <w:r w:rsidR="007C2D08">
          <w:t>s</w:t>
        </w:r>
      </w:ins>
      <w:r>
        <w:t>, such as food waste, fish processing waste and fats, oils and grease, generally contain a much lower fecal coliform count</w:t>
      </w:r>
      <w:ins w:id="158" w:author="OBRIEN Audrey" w:date="2019-05-28T09:31:00Z">
        <w:r w:rsidR="00902D4D">
          <w:t xml:space="preserve"> and </w:t>
        </w:r>
        <w:r w:rsidR="00BE10F9">
          <w:t>can generally meet the pathogen limits identified in rule</w:t>
        </w:r>
      </w:ins>
      <w:r>
        <w:t>.</w:t>
      </w:r>
    </w:p>
    <w:p w14:paraId="0150C5EF" w14:textId="77777777" w:rsidR="003168DF" w:rsidRDefault="003168DF" w:rsidP="002001D0"/>
    <w:p w14:paraId="013C7C40" w14:textId="0BB988D0" w:rsidR="002001D0" w:rsidDel="00BE10F9" w:rsidRDefault="002001D0" w:rsidP="002001D0">
      <w:pPr>
        <w:rPr>
          <w:del w:id="159" w:author="OBRIEN Audrey" w:date="2019-05-28T09:32:00Z"/>
        </w:rPr>
      </w:pPr>
      <w:del w:id="160" w:author="OBRIEN Audrey" w:date="2019-05-28T09:32:00Z">
        <w:r w:rsidDel="00BE10F9">
          <w:delText xml:space="preserve">The proposed rule change would </w:delText>
        </w:r>
      </w:del>
      <w:ins w:id="161" w:author="FLEMING Jeremy" w:date="2019-05-23T14:55:00Z">
        <w:del w:id="162" w:author="OBRIEN Audrey" w:date="2019-05-28T09:32:00Z">
          <w:r w:rsidR="007C2D08" w:rsidDel="00BE10F9">
            <w:delText>exempt digestate that is field</w:delText>
          </w:r>
        </w:del>
      </w:ins>
      <w:ins w:id="163" w:author="LEE Michael" w:date="2019-05-23T17:08:00Z">
        <w:del w:id="164" w:author="OBRIEN Audrey" w:date="2019-05-28T09:32:00Z">
          <w:r w:rsidR="00D47215" w:rsidDel="00BE10F9">
            <w:delText>land</w:delText>
          </w:r>
        </w:del>
      </w:ins>
      <w:ins w:id="165" w:author="FLEMING Jeremy" w:date="2019-05-23T14:55:00Z">
        <w:del w:id="166" w:author="OBRIEN Audrey" w:date="2019-05-28T09:32:00Z">
          <w:r w:rsidR="007C2D08" w:rsidDel="00BE10F9">
            <w:delText xml:space="preserve"> applied at agronomic rates </w:delText>
          </w:r>
        </w:del>
      </w:ins>
      <w:ins w:id="167" w:author="FLEMING Jeremy" w:date="2019-05-23T14:58:00Z">
        <w:del w:id="168" w:author="OBRIEN Audrey" w:date="2019-05-28T09:32:00Z">
          <w:r w:rsidR="007E01EC" w:rsidDel="00BE10F9">
            <w:delText xml:space="preserve">and consistent with site restrictions in 40 C.F.R. §503.32(b)(5) </w:delText>
          </w:r>
        </w:del>
      </w:ins>
      <w:ins w:id="169" w:author="FLEMING Jeremy" w:date="2019-05-23T14:55:00Z">
        <w:del w:id="170" w:author="OBRIEN Audrey" w:date="2019-05-28T09:32:00Z">
          <w:r w:rsidR="007C2D08" w:rsidDel="00BE10F9">
            <w:delText xml:space="preserve">from meeting the fecal coliform testing limit of 1,000 Most Probable Number per gram of total solids, but does </w:delText>
          </w:r>
        </w:del>
      </w:ins>
      <w:del w:id="171" w:author="OBRIEN Audrey" w:date="2019-05-28T09:32:00Z">
        <w:r w:rsidDel="00BE10F9">
          <w:delText>not eliminate testing requirements</w:delText>
        </w:r>
      </w:del>
      <w:ins w:id="172" w:author="FLEMING Jeremy" w:date="2019-05-23T14:56:00Z">
        <w:del w:id="173" w:author="OBRIEN Audrey" w:date="2019-05-28T09:32:00Z">
          <w:r w:rsidR="007C2D08" w:rsidDel="00BE10F9">
            <w:delText>the requirement to perform pathogen testing</w:delText>
          </w:r>
        </w:del>
      </w:ins>
      <w:del w:id="174" w:author="OBRIEN Audrey" w:date="2019-05-28T09:32:00Z">
        <w:r w:rsidDel="00BE10F9">
          <w:delText>. Digesters subject to OAR 340-096-0140 must continue to test digestate for pathogen reduction and document and implement a pathogen reduction plan pursuant to sections 3, 4 and 5 of OAR 340-096-0140.</w:delText>
        </w:r>
      </w:del>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4A9C4EA7" w:rsidR="002001D0" w:rsidRDefault="00BE10F9" w:rsidP="002001D0">
      <w:ins w:id="175" w:author="OBRIEN Audrey" w:date="2019-05-28T09:37:00Z">
        <w:r>
          <w:t xml:space="preserve">The proposed rule change does </w:t>
        </w:r>
      </w:ins>
      <w:moveToRangeStart w:id="176" w:author="OBRIEN Audrey" w:date="2019-05-28T09:37:00Z" w:name="move9928658"/>
      <w:moveTo w:id="177" w:author="OBRIEN Audrey" w:date="2019-05-28T09:37:00Z">
        <w:del w:id="178" w:author="OBRIEN Audrey" w:date="2019-05-28T09:37:00Z">
          <w:r w:rsidDel="00BE10F9">
            <w:delText xml:space="preserve">It would </w:delText>
          </w:r>
        </w:del>
        <w:r>
          <w:t xml:space="preserve">not alter the </w:t>
        </w:r>
      </w:moveTo>
      <w:ins w:id="179" w:author="OBRIEN Audrey" w:date="2019-05-28T09:37:00Z">
        <w:r>
          <w:t xml:space="preserve">federal and state </w:t>
        </w:r>
      </w:ins>
      <w:moveTo w:id="180" w:author="OBRIEN Audrey" w:date="2019-05-28T09:37:00Z">
        <w:r>
          <w:t>regulation of biosolids under 40 C.F.R 503 or OAR Chapter 340, Division 50. The proposed rule change also would not alter OAR 340-096-0140(3), which requires regulated compost facilities to document and implement a pathogen reduction plan that addresses requirements of the Code of Federal Regulations, 40 CFR Part 503.</w:t>
        </w:r>
      </w:moveTo>
      <w:moveToRangeEnd w:id="176"/>
      <w:ins w:id="181" w:author="OBRIEN Audrey" w:date="2019-05-28T09:35:00Z">
        <w:r>
          <w:t xml:space="preserve">DEQ is changing only the requirement to meet the pathogen limit and is not removing the requirements to meet all other federal or state requirements that </w:t>
        </w:r>
        <w:r>
          <w:lastRenderedPageBreak/>
          <w:t xml:space="preserve">apply to non-digested or digested wastes. </w:t>
        </w:r>
      </w:ins>
      <w:r w:rsidR="002001D0">
        <w:t>The pathogen testing limits of OAR 340-096-0140(2)</w:t>
      </w:r>
      <w:ins w:id="182" w:author="FLEMING Jeremy" w:date="2019-05-23T16:27:00Z">
        <w:r w:rsidR="00191E42">
          <w:t xml:space="preserve"> </w:t>
        </w:r>
      </w:ins>
      <w:ins w:id="183" w:author="OBRIEN Audrey" w:date="2019-05-28T09:38:00Z">
        <w:r>
          <w:t xml:space="preserve">equal </w:t>
        </w:r>
      </w:ins>
      <w:ins w:id="184" w:author="FLEMING Jeremy" w:date="2019-05-23T16:27:00Z">
        <w:del w:id="185" w:author="OBRIEN Audrey" w:date="2019-05-28T09:38:00Z">
          <w:r w:rsidR="00191E42" w:rsidDel="00BE10F9">
            <w:delText>mirror</w:delText>
          </w:r>
        </w:del>
      </w:ins>
      <w:del w:id="186" w:author="OBRIEN Audrey" w:date="2019-05-28T09:38:00Z">
        <w:r w:rsidR="002001D0" w:rsidDel="00BE10F9">
          <w:delText xml:space="preserve"> reproduce</w:delText>
        </w:r>
      </w:del>
      <w:r w:rsidR="002001D0">
        <w:t xml:space="preserve"> the analytical standards for Class A biosolids in 40 C.F.R. 503.32(a). The proposed rule change would change the </w:t>
      </w:r>
      <w:ins w:id="187" w:author="FLEMING Jeremy" w:date="2019-05-23T16:29:00Z">
        <w:r w:rsidR="00191E42">
          <w:t xml:space="preserve">applicability </w:t>
        </w:r>
      </w:ins>
      <w:del w:id="188" w:author="FLEMING Jeremy" w:date="2019-05-23T16:29:00Z">
        <w:r w:rsidR="002001D0" w:rsidDel="00191E42">
          <w:delText xml:space="preserve">application </w:delText>
        </w:r>
      </w:del>
      <w:r w:rsidR="002001D0">
        <w:t xml:space="preserve">of pathogen limits </w:t>
      </w:r>
      <w:ins w:id="189" w:author="FLEMING Jeremy" w:date="2019-05-23T16:29:00Z">
        <w:r w:rsidR="00191E42">
          <w:t>on</w:t>
        </w:r>
      </w:ins>
      <w:del w:id="190" w:author="FLEMING Jeremy" w:date="2019-05-23T16:29:00Z">
        <w:r w:rsidR="002001D0" w:rsidDel="00191E42">
          <w:delText>to</w:delText>
        </w:r>
      </w:del>
      <w:r w:rsidR="002001D0">
        <w:t xml:space="preserve"> digestate to more closely track the differing federal treatment of pathogen requirements for Class A and Class B biosolids. </w:t>
      </w:r>
      <w:moveFromRangeStart w:id="191" w:author="OBRIEN Audrey" w:date="2019-05-28T09:37:00Z" w:name="move9928658"/>
      <w:moveFrom w:id="192" w:author="OBRIEN Audrey" w:date="2019-05-28T09:37:00Z">
        <w:r w:rsidR="002001D0" w:rsidDel="00BE10F9">
          <w:t>It would not alter the regulation of biosolids</w:t>
        </w:r>
        <w:r w:rsidR="003168DF" w:rsidDel="00BE10F9">
          <w:t xml:space="preserve"> under </w:t>
        </w:r>
        <w:r w:rsidR="002001D0" w:rsidDel="00BE10F9">
          <w:t xml:space="preserve">40 C.F.R 503 </w:t>
        </w:r>
        <w:r w:rsidR="003168DF" w:rsidDel="00BE10F9">
          <w:t xml:space="preserve">or </w:t>
        </w:r>
        <w:r w:rsidR="002001D0" w:rsidDel="00BE10F9">
          <w:t>OAR Chapter 340, Division 50. The proposed rule change also would not alter OAR 340-096-0140(3), which requires regulated compost facilities to document and implement a pathogen reduction plan that addresses requirements of the Code of Federal Regulations, 40 CFR Part 503.</w:t>
        </w:r>
      </w:moveFrom>
      <w:moveFromRangeEnd w:id="191"/>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w:t>
      </w:r>
      <w:bookmarkStart w:id="193" w:name="_GoBack"/>
      <w:bookmarkEnd w:id="193"/>
      <w:r>
        <w:t>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194" w:name="_Toc3988358"/>
      <w:bookmarkStart w:id="195" w:name="_Toc4051290"/>
      <w:r>
        <w:t>Implementation</w:t>
      </w:r>
      <w:bookmarkEnd w:id="194"/>
      <w:bookmarkEnd w:id="195"/>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rPr>
          <w:ins w:id="196" w:author="LEE Michael" w:date="2019-05-23T16:44:00Z"/>
        </w:rPr>
      </w:pPr>
      <w:r>
        <w:t>posting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 xml:space="preserve">Affected parties – DEQ anticipates that two facilities would be subject to the proposed rule: Shell New Energies and the anaerobic digester of the Port of Tillamook Bay. Both currently have DEQ solid waste permits. Should either facility request a change in their operations </w:t>
      </w:r>
      <w:r>
        <w:lastRenderedPageBreak/>
        <w:t>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ins w:id="197" w:author="FLEMING Jeremy" w:date="2019-05-23T16:52:00Z">
        <w:r w:rsidR="00232B93">
          <w:t xml:space="preserve"> and Nutrient Management Pla</w:t>
        </w:r>
      </w:ins>
      <w:ins w:id="198" w:author="FLEMING Jeremy" w:date="2019-05-23T16:53:00Z">
        <w:r w:rsidR="00232B93">
          <w:t>ns</w:t>
        </w:r>
      </w:ins>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364319A1" w:rsidR="002F2F6F" w:rsidRDefault="00282991" w:rsidP="00282991">
      <w:r>
        <w:t xml:space="preserve">Invoicing - DEQ would use its existing </w:t>
      </w:r>
      <w:commentRangeStart w:id="199"/>
      <w:r>
        <w:t>database</w:t>
      </w:r>
      <w:commentRangeEnd w:id="199"/>
      <w:r w:rsidR="00F672B1">
        <w:rPr>
          <w:rStyle w:val="CommentReference"/>
        </w:rPr>
        <w:commentReference w:id="199"/>
      </w:r>
      <w:r>
        <w:t xml:space="preserv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200" w:name="_Toc3988359"/>
      <w:bookmarkStart w:id="201" w:name="_Toc4051291"/>
      <w:r>
        <w:lastRenderedPageBreak/>
        <w:t>Five Year Review</w:t>
      </w:r>
      <w:bookmarkEnd w:id="200"/>
      <w:bookmarkEnd w:id="201"/>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202" w:name="_Toc3988360"/>
      <w:bookmarkStart w:id="203" w:name="_Toc4051292"/>
      <w:r w:rsidRPr="003C26EE">
        <w:lastRenderedPageBreak/>
        <w:t>Accessibility Information</w:t>
      </w:r>
      <w:bookmarkEnd w:id="202"/>
      <w:bookmarkEnd w:id="203"/>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5" w:author="LEE Michael" w:date="2019-05-23T10:15:00Z" w:initials="LM">
    <w:p w14:paraId="61EF2057" w14:textId="2DF37FCB" w:rsidR="00A412C3" w:rsidRDefault="00A412C3">
      <w:pPr>
        <w:pStyle w:val="CommentText"/>
      </w:pPr>
      <w:r>
        <w:rPr>
          <w:rStyle w:val="CommentReference"/>
        </w:rPr>
        <w:annotationRef/>
      </w:r>
      <w:r>
        <w:t>Proposed language – I was thinking that if we use this, we can simply delete Comment 7 and its Response. But open to leaving both in.</w:t>
      </w:r>
    </w:p>
  </w:comment>
  <w:comment w:id="199" w:author="LEE Michael" w:date="2019-05-23T17:01:00Z" w:initials="LM">
    <w:p w14:paraId="473B0D9B" w14:textId="08DD1658" w:rsidR="00A412C3" w:rsidRDefault="00A412C3">
      <w:pPr>
        <w:pStyle w:val="CommentText"/>
      </w:pPr>
      <w:r>
        <w:rPr>
          <w:rStyle w:val="CommentReference"/>
        </w:rPr>
        <w:annotationRef/>
      </w:r>
      <w:r>
        <w:t>Audrey, what database do we use for invoicing?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EF2057" w15:done="0"/>
  <w15:commentEx w15:paraId="473B0D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A412C3" w:rsidRDefault="00A412C3" w:rsidP="002D6C99">
      <w:r>
        <w:separator/>
      </w:r>
    </w:p>
  </w:endnote>
  <w:endnote w:type="continuationSeparator" w:id="0">
    <w:p w14:paraId="205144B0" w14:textId="77777777" w:rsidR="00A412C3" w:rsidRDefault="00A412C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A412C3" w:rsidRDefault="00A412C3">
    <w:pPr>
      <w:pStyle w:val="Footer"/>
      <w:jc w:val="right"/>
    </w:pPr>
  </w:p>
  <w:p w14:paraId="5B118C26" w14:textId="77777777" w:rsidR="00A412C3" w:rsidRDefault="00A41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A412C3" w:rsidRDefault="00A412C3">
    <w:pPr>
      <w:pStyle w:val="Footer"/>
      <w:jc w:val="right"/>
    </w:pPr>
  </w:p>
  <w:p w14:paraId="45457C06" w14:textId="77777777" w:rsidR="00A412C3" w:rsidRDefault="00A41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5C6B5F6A" w:rsidR="00A412C3" w:rsidRDefault="00A412C3">
        <w:pPr>
          <w:pStyle w:val="Footer"/>
          <w:jc w:val="right"/>
        </w:pPr>
        <w:r>
          <w:fldChar w:fldCharType="begin"/>
        </w:r>
        <w:r>
          <w:instrText xml:space="preserve"> PAGE   \* MERGEFORMAT </w:instrText>
        </w:r>
        <w:r>
          <w:fldChar w:fldCharType="separate"/>
        </w:r>
        <w:r w:rsidR="0000047B">
          <w:rPr>
            <w:noProof/>
          </w:rPr>
          <w:t>14</w:t>
        </w:r>
        <w:r>
          <w:rPr>
            <w:noProof/>
          </w:rPr>
          <w:fldChar w:fldCharType="end"/>
        </w:r>
      </w:p>
    </w:sdtContent>
  </w:sdt>
  <w:p w14:paraId="36D7EECF" w14:textId="77777777" w:rsidR="00A412C3" w:rsidRDefault="00A412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A412C3" w:rsidRDefault="00A412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A412C3" w:rsidRDefault="00A412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A412C3" w:rsidRDefault="00A412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A412C3" w:rsidRDefault="00A412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16BC71C2" w:rsidR="00A412C3" w:rsidRPr="000F6EE6" w:rsidRDefault="00A412C3" w:rsidP="00A112DA">
        <w:pPr>
          <w:pStyle w:val="Footer"/>
        </w:pPr>
        <w:r w:rsidRPr="000F6EE6">
          <w:fldChar w:fldCharType="begin"/>
        </w:r>
        <w:r w:rsidRPr="000F6EE6">
          <w:instrText xml:space="preserve"> PAGE   \* MERGEFORMAT </w:instrText>
        </w:r>
        <w:r w:rsidRPr="000F6EE6">
          <w:fldChar w:fldCharType="separate"/>
        </w:r>
        <w:r w:rsidR="0000047B">
          <w:rPr>
            <w:noProof/>
          </w:rPr>
          <w:t>28</w:t>
        </w:r>
        <w:r w:rsidRPr="000F6EE6">
          <w:fldChar w:fldCharType="end"/>
        </w:r>
      </w:p>
    </w:sdtContent>
  </w:sdt>
  <w:p w14:paraId="40E79D34" w14:textId="77777777" w:rsidR="00A412C3" w:rsidRDefault="00A412C3">
    <w:pPr>
      <w:pStyle w:val="Footer"/>
    </w:pPr>
  </w:p>
  <w:p w14:paraId="1F7D81C9" w14:textId="77777777" w:rsidR="00A412C3" w:rsidRDefault="00A412C3"/>
  <w:p w14:paraId="1D19ABAA" w14:textId="77777777" w:rsidR="00A412C3" w:rsidRDefault="00A412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A412C3" w:rsidRDefault="00A412C3" w:rsidP="002D6C99">
      <w:r>
        <w:separator/>
      </w:r>
    </w:p>
  </w:footnote>
  <w:footnote w:type="continuationSeparator" w:id="0">
    <w:p w14:paraId="419F30DA" w14:textId="77777777" w:rsidR="00A412C3" w:rsidRDefault="00A412C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A412C3" w:rsidRDefault="00A412C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A412C3" w:rsidRPr="00F72D05" w:rsidRDefault="00A412C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A412C3" w:rsidRDefault="00A412C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RIEN Audrey">
    <w15:presenceInfo w15:providerId="AD" w15:userId="S-1-5-21-2124760015-1411717758-1302595720-72435"/>
  </w15:person>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4540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3B2BB-5B34-42DC-9420-49130D8B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6810</Words>
  <Characters>38818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OBRIEN Audrey</cp:lastModifiedBy>
  <cp:revision>2</cp:revision>
  <cp:lastPrinted>2019-05-28T17:02:00Z</cp:lastPrinted>
  <dcterms:created xsi:type="dcterms:W3CDTF">2019-05-28T17:02:00Z</dcterms:created>
  <dcterms:modified xsi:type="dcterms:W3CDTF">2019-05-28T17:02:00Z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