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072354">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B4308BE" w14:textId="77777777" w:rsidR="00072354" w:rsidRDefault="00072354" w:rsidP="002F2F6F">
      <w:pPr>
        <w:pStyle w:val="Heading1"/>
      </w:pPr>
      <w:bookmarkStart w:id="3" w:name="_Toc3988345"/>
      <w:bookmarkStart w:id="4" w:name="_Toc9938153"/>
    </w:p>
    <w:p w14:paraId="1AE569E1" w14:textId="02BED5C3" w:rsidR="00072354" w:rsidRDefault="00072354" w:rsidP="002F2F6F">
      <w:pPr>
        <w:pStyle w:val="Heading1"/>
      </w:pPr>
      <w:r w:rsidRPr="001404B0">
        <w:rPr>
          <w:noProof/>
        </w:rPr>
        <mc:AlternateContent>
          <mc:Choice Requires="wps">
            <w:drawing>
              <wp:inline distT="0" distB="0" distL="0" distR="0" wp14:anchorId="6E1B406D" wp14:editId="26838459">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2C4465F8"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E1B406D"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2C4465F8"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5920C20" w14:textId="4E868D3E" w:rsidR="002F2F6F" w:rsidRPr="003C26EE" w:rsidRDefault="002F2F6F" w:rsidP="002F2F6F">
      <w:pPr>
        <w:pStyle w:val="Heading1"/>
      </w:pPr>
      <w:r>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41B3EA72"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3CB6590A"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digestate based on whether or not the generating digester was considered an “agricultural operation,” as defined by ORS 467.120(2)(a). As a result, digestate </w:t>
      </w:r>
      <w:r w:rsidR="00072354">
        <w:t xml:space="preserve">a digester </w:t>
      </w:r>
      <w:r>
        <w:t xml:space="preserve">produced on an agricultural operation (e.g., a farm) did not have to meet a specified pathogen reduction limit. However, digestate </w:t>
      </w:r>
      <w:r w:rsidR="00072354">
        <w:t xml:space="preserve">an anaerobic digester </w:t>
      </w:r>
      <w:r>
        <w:t xml:space="preserve">produced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087C671A"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w:t>
      </w:r>
      <w:r>
        <w:rPr>
          <w:bCs/>
          <w:color w:val="000000"/>
        </w:rPr>
        <w:lastRenderedPageBreak/>
        <w:t xml:space="preserve">These federal biosolids requirements </w:t>
      </w:r>
      <w:r w:rsidR="00072354">
        <w:rPr>
          <w:bCs/>
          <w:color w:val="000000"/>
        </w:rPr>
        <w:t xml:space="preserve">consist of </w:t>
      </w:r>
      <w:r>
        <w:rPr>
          <w:bCs/>
          <w:color w:val="000000"/>
        </w:rPr>
        <w:t xml:space="preserve">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05965A04" w:rsidR="00451C40" w:rsidRPr="00215CBA" w:rsidRDefault="00451C40" w:rsidP="00451C40">
      <w:r>
        <w:t xml:space="preserve">The proposed rule would affect digestate anaerobic digesters </w:t>
      </w:r>
      <w:r w:rsidR="00072354">
        <w:t xml:space="preserve">produce </w:t>
      </w:r>
      <w:r>
        <w:t>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03528D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A8FCFE2" w:rsidR="002F2F6F" w:rsidRDefault="002F2F6F" w:rsidP="002F2F6F"/>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8" w:name="_Toc3988347"/>
      <w:bookmarkStart w:id="9" w:name="_Toc9938154"/>
      <w:r w:rsidRPr="003C26EE">
        <w:lastRenderedPageBreak/>
        <w:t>Statement of need</w:t>
      </w:r>
      <w:bookmarkEnd w:id="8"/>
      <w:bookmarkEnd w:id="9"/>
    </w:p>
    <w:p w14:paraId="2FDF0A64" w14:textId="66878134" w:rsidR="00FD5497" w:rsidRDefault="00FD5497" w:rsidP="00FD5497">
      <w:pPr>
        <w:pStyle w:val="Heading2"/>
      </w:pPr>
      <w:bookmarkStart w:id="10" w:name="RequestForOtherOptions"/>
    </w:p>
    <w:p w14:paraId="77748FD0" w14:textId="1E0A0C50" w:rsidR="00072354" w:rsidRPr="00072354" w:rsidRDefault="00072354" w:rsidP="00072354">
      <w:r w:rsidRPr="001404B0">
        <w:rPr>
          <w:noProof/>
        </w:rPr>
        <mc:AlternateContent>
          <mc:Choice Requires="wps">
            <w:drawing>
              <wp:inline distT="0" distB="0" distL="0" distR="0" wp14:anchorId="02872319" wp14:editId="155A14E1">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7B339923"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2872319"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7B339923"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0F59918" w14:textId="77777777" w:rsidR="00072354" w:rsidRDefault="00072354" w:rsidP="00FD5497">
      <w:pPr>
        <w:pStyle w:val="Heading2"/>
      </w:pPr>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digestate is exempt from pathogen reduction testing limits when it is applied to soil at agronomic application </w:t>
      </w:r>
      <w:r>
        <w:lastRenderedPageBreak/>
        <w:t>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If the proposed rule is not adopted, the temporary rule would expire in August 2019 and the inconsistent application of pathogen reduction testing limits, to digestate produced by 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10"/>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3C036421" w:rsidR="002F2F6F" w:rsidRDefault="002F2F6F" w:rsidP="00A83AA3">
      <w:pPr>
        <w:pStyle w:val="instructions"/>
      </w:pP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1" w:name="_Toc3988348"/>
      <w:bookmarkStart w:id="12" w:name="_Toc9938155"/>
      <w:r w:rsidRPr="003C26EE">
        <w:lastRenderedPageBreak/>
        <w:t>Rules affected, authorities, supporting documents</w:t>
      </w:r>
      <w:bookmarkEnd w:id="11"/>
      <w:bookmarkEnd w:id="12"/>
    </w:p>
    <w:p w14:paraId="37A77CF9" w14:textId="69304DB4" w:rsidR="00FD5497" w:rsidRPr="00FD5497" w:rsidRDefault="00072354" w:rsidP="00FD5497">
      <w:r w:rsidRPr="001404B0">
        <w:rPr>
          <w:noProof/>
        </w:rPr>
        <mc:AlternateContent>
          <mc:Choice Requires="wps">
            <w:drawing>
              <wp:inline distT="0" distB="0" distL="0" distR="0" wp14:anchorId="7D21D13F" wp14:editId="15655C72">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DAA5EDD"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D21D13F"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7DAA5EDD"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072354"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072354"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lastRenderedPageBreak/>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072354"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072354"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488435" w:rsidR="002F2F6F" w:rsidRDefault="002F2F6F" w:rsidP="00A83AA3">
      <w:pPr>
        <w:pStyle w:val="instructions"/>
      </w:pP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4" w:name="_Toc3988349"/>
      <w:bookmarkStart w:id="15" w:name="_Toc9938156"/>
      <w:r w:rsidRPr="003C26EE">
        <w:lastRenderedPageBreak/>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072354" w:rsidRPr="001A4DE1" w:rsidRDefault="0007235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072354" w:rsidRDefault="0007235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072354" w:rsidRPr="001A4DE1" w:rsidRDefault="0007235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072354" w:rsidRDefault="0007235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525A990B" w14:textId="694B6DB7" w:rsidR="00ED1C5F" w:rsidRDefault="00072354" w:rsidP="00ED1C5F">
      <w:pPr>
        <w:pStyle w:val="Heading2"/>
      </w:pPr>
      <w:r w:rsidRPr="001404B0">
        <w:rPr>
          <w:noProof/>
        </w:rPr>
        <mc:AlternateContent>
          <mc:Choice Requires="wps">
            <w:drawing>
              <wp:inline distT="0" distB="0" distL="0" distR="0" wp14:anchorId="0DBCE88A" wp14:editId="2331AE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7143626"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DBCE88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77143626"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lastRenderedPageBreak/>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4B00208A" w:rsidR="002F2F6F" w:rsidRDefault="002F2F6F" w:rsidP="002F2F6F"/>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9" w:name="_Toc3988351"/>
      <w:bookmarkStart w:id="20" w:name="_Toc9938158"/>
      <w:r w:rsidRPr="003C26EE">
        <w:lastRenderedPageBreak/>
        <w:t>Federal relationship</w:t>
      </w:r>
      <w:bookmarkEnd w:id="19"/>
      <w:bookmarkEnd w:id="20"/>
    </w:p>
    <w:p w14:paraId="41D06F32" w14:textId="6EE14C71" w:rsidR="00CF7D1B" w:rsidRDefault="00CF7D1B" w:rsidP="00CF7D1B"/>
    <w:p w14:paraId="543E8F99" w14:textId="4300438B" w:rsidR="00072354" w:rsidRDefault="00072354" w:rsidP="00CF7D1B">
      <w:r w:rsidRPr="001404B0">
        <w:rPr>
          <w:noProof/>
        </w:rPr>
        <mc:AlternateContent>
          <mc:Choice Requires="wps">
            <w:drawing>
              <wp:inline distT="0" distB="0" distL="0" distR="0" wp14:anchorId="7C2BFD3D" wp14:editId="3E9F13E2">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9ECD89C"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2BFD3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29ECD89C"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1D3661" w14:textId="77777777" w:rsidR="00072354" w:rsidRDefault="00072354"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1DDA0B47" w:rsidR="002F2F6F" w:rsidRDefault="002F2F6F" w:rsidP="002F2F6F"/>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1" w:name="_Toc3988352"/>
      <w:bookmarkStart w:id="22" w:name="_Toc9938159"/>
      <w:r w:rsidRPr="003C26EE">
        <w:lastRenderedPageBreak/>
        <w:t>Land use</w:t>
      </w:r>
      <w:bookmarkEnd w:id="21"/>
      <w:bookmarkEnd w:id="22"/>
    </w:p>
    <w:p w14:paraId="4E4D76B3" w14:textId="56993C2B" w:rsidR="005E3FBD" w:rsidRDefault="005E3FBD" w:rsidP="005E3FBD">
      <w:pPr>
        <w:pStyle w:val="Heading2"/>
      </w:pPr>
    </w:p>
    <w:p w14:paraId="4FA62BB1" w14:textId="1162EE4C" w:rsidR="00072354" w:rsidRDefault="00072354" w:rsidP="00072354">
      <w:r w:rsidRPr="001404B0">
        <w:rPr>
          <w:noProof/>
        </w:rPr>
        <mc:AlternateContent>
          <mc:Choice Requires="wps">
            <w:drawing>
              <wp:inline distT="0" distB="0" distL="0" distR="0" wp14:anchorId="1B5C89F1" wp14:editId="48249C18">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DEA20C4"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5C89F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DEA20C4"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1F0A720" w14:textId="77777777" w:rsidR="00072354" w:rsidRPr="00072354" w:rsidRDefault="00072354" w:rsidP="00072354"/>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lastRenderedPageBreak/>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digestate.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335CDF49" w:rsidR="002F2F6F" w:rsidRDefault="002F2F6F" w:rsidP="002F2F6F"/>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3" w:name="_Toc3988353"/>
      <w:bookmarkStart w:id="24" w:name="_Toc9938160"/>
      <w:r w:rsidRPr="003C26EE">
        <w:lastRenderedPageBreak/>
        <w:t>EQC Prior Involvement</w:t>
      </w:r>
      <w:bookmarkEnd w:id="23"/>
      <w:bookmarkEnd w:id="24"/>
    </w:p>
    <w:p w14:paraId="59065E79" w14:textId="7AA688FB" w:rsidR="00362F6B" w:rsidRDefault="00362F6B" w:rsidP="004B253F"/>
    <w:p w14:paraId="61E1FD72" w14:textId="20A94523" w:rsidR="00072354" w:rsidRDefault="00072354" w:rsidP="004B253F">
      <w:r w:rsidRPr="001404B0">
        <w:rPr>
          <w:noProof/>
        </w:rPr>
        <mc:AlternateContent>
          <mc:Choice Requires="wps">
            <w:drawing>
              <wp:inline distT="0" distB="0" distL="0" distR="0" wp14:anchorId="18CE1553" wp14:editId="3514E12D">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F7E4F8D"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8CE15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F7E4F8D"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41B4E07" w14:textId="25625422" w:rsidR="00072354" w:rsidRDefault="00072354" w:rsidP="004B253F"/>
    <w:p w14:paraId="484261E3" w14:textId="77777777" w:rsidR="00072354" w:rsidRDefault="00072354"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30035A57" w:rsidR="002F2F6F" w:rsidRPr="003C26EE" w:rsidRDefault="002F2F6F" w:rsidP="00A83AA3">
      <w:pPr>
        <w:pStyle w:val="instructions"/>
      </w:pP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5" w:name="_Toc3988354"/>
      <w:bookmarkStart w:id="26" w:name="_Toc9938161"/>
      <w:r w:rsidRPr="003C26EE">
        <w:lastRenderedPageBreak/>
        <w:t>Advisory Committee</w:t>
      </w:r>
      <w:bookmarkEnd w:id="25"/>
      <w:bookmarkEnd w:id="26"/>
    </w:p>
    <w:p w14:paraId="1757FAC1" w14:textId="21C98747" w:rsidR="00365E55" w:rsidRDefault="00365E55" w:rsidP="00365E55">
      <w:pPr>
        <w:pStyle w:val="Heading2"/>
      </w:pPr>
    </w:p>
    <w:p w14:paraId="4B5778BF" w14:textId="78052F06" w:rsidR="00072354" w:rsidRDefault="00072354" w:rsidP="00072354">
      <w:r w:rsidRPr="001404B0">
        <w:rPr>
          <w:noProof/>
        </w:rPr>
        <mc:AlternateContent>
          <mc:Choice Requires="wps">
            <w:drawing>
              <wp:inline distT="0" distB="0" distL="0" distR="0" wp14:anchorId="79E9E380" wp14:editId="1CC99C1D">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7E429"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E9E380"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3A27E429"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D4AA46C" w14:textId="7A7C76D8" w:rsidR="00072354" w:rsidRDefault="00072354" w:rsidP="00072354"/>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56D84794" w:rsidR="002F2F6F" w:rsidRDefault="002F2F6F" w:rsidP="002F2F6F"/>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2C9ACC11" w14:textId="659A2192" w:rsidR="00072354" w:rsidRDefault="00072354" w:rsidP="00072354"/>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4B4359" w14:textId="734AC36D" w:rsidR="00072354" w:rsidRDefault="00072354" w:rsidP="004A18B5">
      <w:pPr>
        <w:rPr>
          <w:rFonts w:eastAsiaTheme="majorEastAsia"/>
        </w:rPr>
      </w:pPr>
      <w:r w:rsidRPr="001404B0">
        <w:rPr>
          <w:noProof/>
        </w:rPr>
        <mc:AlternateContent>
          <mc:Choice Requires="wps">
            <w:drawing>
              <wp:inline distT="0" distB="0" distL="0" distR="0" wp14:anchorId="1638143A" wp14:editId="006CB0A4">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8501837"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638143A"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58501837" w14:textId="77777777" w:rsidR="00072354" w:rsidRPr="001A4DE1" w:rsidRDefault="0007235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072354" w:rsidRDefault="0007235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E1F8799" w14:textId="77777777" w:rsidR="00072354" w:rsidRPr="0038253B" w:rsidRDefault="00072354"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651DBC55"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61E4BC15"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No person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0" w:name="_Toc2850647"/>
      <w:bookmarkStart w:id="31" w:name="_Toc3988357"/>
      <w:r w:rsidRPr="001404B0">
        <w:t>Summary of Public Comments and DEQ Responses</w:t>
      </w:r>
      <w:bookmarkEnd w:id="30"/>
      <w:bookmarkEnd w:id="3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58644DA3"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357F92">
        <w:t xml:space="preserve">DEQ received some comments not </w:t>
      </w:r>
      <w:r w:rsidR="00357F92">
        <w:lastRenderedPageBreak/>
        <w:t xml:space="preserve">related to the permanent rulemaking. </w:t>
      </w:r>
      <w:r w:rsidR="00F17EE4">
        <w:t>DEQ is providing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17F2ACC4" w:rsidR="00F2435A" w:rsidRPr="003C26EE" w:rsidRDefault="00F2435A" w:rsidP="00F2435A">
            <w:pPr>
              <w:jc w:val="center"/>
            </w:pPr>
            <w:r>
              <w:rPr>
                <w:rFonts w:ascii="Arial" w:hAnsi="Arial" w:cs="Arial"/>
                <w:b/>
                <w:sz w:val="32"/>
                <w:szCs w:val="32"/>
              </w:rPr>
              <w:t>List of Comment</w:t>
            </w:r>
            <w:r w:rsidR="00072354">
              <w:rPr>
                <w:rFonts w:ascii="Arial" w:hAnsi="Arial" w:cs="Arial"/>
                <w:b/>
                <w:sz w:val="32"/>
                <w:szCs w:val="32"/>
              </w:rPr>
              <w:t>ers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68A9FB33" w:rsidR="002001D0" w:rsidRDefault="002001D0" w:rsidP="002001D0">
      <w:r>
        <w:t>The public comment period was not extended</w:t>
      </w:r>
      <w:r w:rsidR="00803A52">
        <w:t xml:space="preserve">. </w:t>
      </w:r>
      <w:r>
        <w:t>The reference to a deadline extension on the DEQ website was posted in error</w:t>
      </w:r>
      <w:r w:rsidR="004B662B">
        <w:t>. U</w:t>
      </w:r>
      <w:r>
        <w:t>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7E52376B" w:rsidR="002001D0" w:rsidRDefault="002001D0" w:rsidP="002001D0">
      <w:r>
        <w:t xml:space="preserve">The proposed rule change </w:t>
      </w:r>
      <w:r w:rsidR="00670B63">
        <w:t>does</w:t>
      </w:r>
      <w:r>
        <w:t xml:space="preserve"> not alter the treatment of biosolids</w:t>
      </w:r>
      <w:r w:rsidR="004B662B">
        <w:t xml:space="preserve">. This </w:t>
      </w:r>
      <w:r>
        <w:t xml:space="preserve">will continue to be regulated by applicable federal and state regulations such as 40 C.F.R </w:t>
      </w:r>
      <w:r w:rsidR="004B662B">
        <w:t xml:space="preserve">Part </w:t>
      </w:r>
      <w:r>
        <w:t xml:space="preserve">503 and OAR </w:t>
      </w:r>
      <w:r w:rsidR="004B662B">
        <w:lastRenderedPageBreak/>
        <w:t>c</w:t>
      </w:r>
      <w:r>
        <w:t xml:space="preserve">hapter 340, </w:t>
      </w:r>
      <w:r w:rsidR="004B662B">
        <w:t>d</w:t>
      </w:r>
      <w:r>
        <w:t>ivision 50. The proposed rule change would change the application of pathogen limits to digestate, depending on the use of that digestate</w:t>
      </w:r>
      <w:r w:rsidR="004B662B">
        <w:t>. However, the change g</w:t>
      </w:r>
      <w:r>
        <w:t>ives DEQ the authority to reinstate pathogen limits for all digestate if such compliance is necessary to protect human health or the environment. Digestate must still be tested for pathogens</w:t>
      </w:r>
      <w:r w:rsidR="004B662B">
        <w:t>. C</w:t>
      </w:r>
      <w:r>
        <w:t>omposting facilities subject to OAR 340-096-0140 must still document and implement a pathogen reduction plan that addresses the requirements of 40 C.F.R. Part 503 and must still receive DEQ’s written approval for any use of liquid digestate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Pr="00777BA7">
        <w:t>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FFBB0E7" w14:textId="3B85C8AD" w:rsidR="002001D0" w:rsidRDefault="009B4A3D" w:rsidP="002001D0">
      <w:r>
        <w:t>The proposed permanent rule change do</w:t>
      </w:r>
      <w:r w:rsidR="00DF28F2">
        <w:t>es</w:t>
      </w:r>
      <w:r>
        <w:t xml:space="preserve"> not change regulations regarding exemptions from the need for a solid waste permit or the types or volumes of feedstocks</w:t>
      </w:r>
      <w:r w:rsidR="00036A3D">
        <w:t xml:space="preserve"> that may be</w:t>
      </w:r>
      <w:r>
        <w:t xml:space="preserve"> accepted. </w:t>
      </w:r>
      <w:r w:rsidR="00670B63">
        <w:t xml:space="preserve">Effluent is defined as liquid </w:t>
      </w:r>
      <w:r w:rsidR="008E663A">
        <w:t xml:space="preserve">wastewater discharged into surface waters. </w:t>
      </w:r>
      <w:r w:rsidR="00E843FE">
        <w:t xml:space="preserve">Effluent discharges are regulated through water quality permits and water quality regulations. The proposed permanent rule change does not change how effluent is regulated. </w:t>
      </w:r>
    </w:p>
    <w:p w14:paraId="043BBB99" w14:textId="77777777" w:rsidR="004B662B" w:rsidRDefault="004B662B" w:rsidP="002001D0">
      <w:pPr>
        <w:pStyle w:val="Heading4"/>
      </w:pPr>
    </w:p>
    <w:p w14:paraId="45BE42E4" w14:textId="0C967CBB" w:rsidR="002001D0" w:rsidRDefault="002001D0" w:rsidP="002001D0">
      <w:pPr>
        <w:pStyle w:val="Heading4"/>
      </w:pPr>
      <w:r>
        <w:t>Comment 4</w:t>
      </w:r>
    </w:p>
    <w:p w14:paraId="3EB20947" w14:textId="77777777" w:rsidR="002001D0" w:rsidRDefault="002001D0" w:rsidP="002001D0"/>
    <w:p w14:paraId="2F190EC7" w14:textId="60B89018" w:rsidR="002001D0" w:rsidRDefault="002001D0" w:rsidP="002001D0">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FBDDC0D" w:rsidR="002001D0" w:rsidRDefault="002001D0" w:rsidP="002001D0">
      <w:r>
        <w:t>Th</w:t>
      </w:r>
      <w:r w:rsidR="00902D4D">
        <w:t xml:space="preserve">is </w:t>
      </w:r>
      <w:r>
        <w:t>rulemaking focuse</w:t>
      </w:r>
      <w:r w:rsidR="00DB633B">
        <w:t>s</w:t>
      </w:r>
      <w:r>
        <w:t xml:space="preserve"> on pathogen limits for digestate</w:t>
      </w:r>
      <w:r w:rsidR="00902D4D">
        <w:t xml:space="preserve"> and does not change any other requirements that apply to digestate</w:t>
      </w:r>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42F8D929"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 xml:space="preserve">4 </w:t>
      </w:r>
      <w:r>
        <w:lastRenderedPageBreak/>
        <w:t>shows that both bacteria and viruses survive longer in soil than the 30</w:t>
      </w:r>
      <w:r w:rsidR="003168DF">
        <w:t>-</w:t>
      </w:r>
      <w:r>
        <w:t>day restriction on harvest, grazing, and access. There is no evidence that DEQ considered or analyzed any common manure‐application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0AC368E" w:rsidR="00BE10F9" w:rsidRDefault="00BE10F9" w:rsidP="00BE10F9">
      <w:r>
        <w:t>The proposed rule change would exempt digestate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digestate for pathogen reduction and document and implement a pathogen reduction plan </w:t>
      </w:r>
      <w:r w:rsidR="004B662B">
        <w:t xml:space="preserve">under </w:t>
      </w:r>
      <w:r>
        <w:t>sections 3, 4 and 5 of OAR 340-096-0140.</w:t>
      </w:r>
    </w:p>
    <w:p w14:paraId="77EFC0D6" w14:textId="77777777" w:rsidR="00BE10F9" w:rsidRDefault="00BE10F9" w:rsidP="002001D0"/>
    <w:p w14:paraId="69CC3757" w14:textId="50586856"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hyperlink r:id="rId31" w:history="1">
        <w:r w:rsidR="004B662B">
          <w:rPr>
            <w:rStyle w:val="Hyperlink"/>
          </w:rPr>
          <w:t>Control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7963A484" w:rsidR="002001D0" w:rsidRDefault="007C2D08" w:rsidP="002001D0">
      <w:r>
        <w:t>B</w:t>
      </w:r>
      <w:r w:rsidR="002001D0">
        <w:t>iosolids</w:t>
      </w:r>
      <w:r w:rsidR="004B662B">
        <w:t>,</w:t>
      </w:r>
      <w:r w:rsidR="002001D0">
        <w:t xml:space="preserve"> </w:t>
      </w:r>
      <w:r w:rsidR="00902D4D">
        <w:t>such as digested sewage sludges</w:t>
      </w:r>
      <w:r w:rsidR="004B662B">
        <w:t>,</w:t>
      </w:r>
      <w:r w:rsidR="00902D4D">
        <w:t xml:space="preserve"> </w:t>
      </w:r>
      <w:r w:rsidR="002001D0">
        <w:t>typically contain a high count of fecal coliforms</w:t>
      </w:r>
      <w:r w:rsidR="004B662B">
        <w:t xml:space="preserve">. These are </w:t>
      </w:r>
      <w:r w:rsidR="002001D0">
        <w:t>enteric bacteria that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ABE4C0A" w:rsidR="002001D0" w:rsidRDefault="002001D0" w:rsidP="002001D0">
      <w:r>
        <w:t>The proposed rule adds only one brief fragment of 40 C.F.R. §503.32 with the proposed rule but chose not to add any regulations from earlier sections related to land application (§503.10 through §503.18)</w:t>
      </w:r>
      <w:r w:rsidR="00295132">
        <w:t xml:space="preserve">. These </w:t>
      </w:r>
      <w:r>
        <w:t>regulations apply to all the other anaerobic digesters in Oregon which can land-apply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3D92358" w:rsidR="002001D0" w:rsidRDefault="00BE10F9" w:rsidP="002001D0">
      <w:r>
        <w:lastRenderedPageBreak/>
        <w:t xml:space="preserve">The proposed rule change does not </w:t>
      </w:r>
      <w:r w:rsidR="00777BA7">
        <w:t xml:space="preserve">alter </w:t>
      </w:r>
      <w:r>
        <w:t>the</w:t>
      </w:r>
      <w:r w:rsidR="00F168F9">
        <w:t xml:space="preserve"> need to comply with</w:t>
      </w:r>
      <w:r>
        <w:t xml:space="preserve"> federal and state regulation</w:t>
      </w:r>
      <w:r w:rsidR="00F168F9">
        <w:t>s</w:t>
      </w:r>
      <w:r>
        <w:t xml:space="preserve"> of biosolids</w:t>
      </w:r>
      <w:r w:rsidR="00256D91">
        <w:t>,</w:t>
      </w:r>
      <w:r w:rsidR="00777BA7">
        <w:t xml:space="preserve"> </w:t>
      </w:r>
      <w:r w:rsidR="00256D91">
        <w:t xml:space="preserve">such as those set forth </w:t>
      </w:r>
      <w:r>
        <w:t xml:space="preserve">under 40 C.F.R 503 </w:t>
      </w:r>
      <w:r w:rsidR="00F168F9">
        <w:t>and</w:t>
      </w:r>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t xml:space="preserve">DEQ is changing only the </w:t>
      </w:r>
      <w:r w:rsidR="00F168F9">
        <w:t xml:space="preserve">pathogen limit </w:t>
      </w:r>
      <w:r>
        <w:t>requirement</w:t>
      </w:r>
      <w:r w:rsidR="00F168F9">
        <w:t>s</w:t>
      </w:r>
      <w:r>
        <w:t xml:space="preserve"> </w:t>
      </w:r>
      <w:r w:rsidR="001E5E4C">
        <w:t xml:space="preserve">for </w:t>
      </w:r>
      <w:r w:rsidR="001E5E4C" w:rsidRPr="00256D91">
        <w:t>digestate</w:t>
      </w:r>
      <w:r>
        <w:t xml:space="preserve">. </w:t>
      </w:r>
      <w:r w:rsidR="002001D0">
        <w:t>The pathogen testing limits of OAR 340-096-0140(2)</w:t>
      </w:r>
      <w:r w:rsidR="00191E42">
        <w:t xml:space="preserve"> </w:t>
      </w:r>
      <w:r w:rsidR="00F168F9">
        <w:t>replicate</w:t>
      </w:r>
      <w:r w:rsidR="002001D0">
        <w:t xml:space="preserve"> the analytical standards for Class A biosolids in 40 C.F.R. 503.32(a). The proposed rule change would change the </w:t>
      </w:r>
      <w:r w:rsidR="00191E42">
        <w:t xml:space="preserve">applicability </w:t>
      </w:r>
      <w:r w:rsidR="002001D0">
        <w:t xml:space="preserve">of pathogen limits </w:t>
      </w:r>
      <w:r w:rsidR="00191E42">
        <w:t>on</w:t>
      </w:r>
      <w:r w:rsidR="002001D0">
        <w:t xml:space="preserve"> digestate to more closely track the differing federal treatment of pathogen requirements for Class A and Class B biosolids. </w:t>
      </w:r>
      <w:r w:rsidR="00F168F9">
        <w:t>The proposed rule change would not change requirements for biosolids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47219BE1"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w:t>
      </w:r>
      <w:r w:rsidR="002D703B">
        <w:t xml:space="preserve">to </w:t>
      </w:r>
      <w:r w:rsidR="00256D91">
        <w:t xml:space="preserve">comments related to the proposed permanent rule. </w:t>
      </w:r>
    </w:p>
    <w:p w14:paraId="6398838B" w14:textId="1E6FCB83" w:rsidR="002F2F6F" w:rsidRDefault="002001D0" w:rsidP="002F2F6F">
      <w:r>
        <w:t xml:space="preserve"> </w:t>
      </w:r>
      <w:r w:rsidR="00242232">
        <w:t xml:space="preserve"> </w:t>
      </w:r>
    </w:p>
    <w:p w14:paraId="6CFB51EC" w14:textId="77777777" w:rsidR="002F2F6F" w:rsidRDefault="002F2F6F" w:rsidP="002F2F6F">
      <w:pPr>
        <w:pStyle w:val="Heading1"/>
      </w:pPr>
      <w:bookmarkStart w:id="32" w:name="_Toc3988358"/>
      <w:bookmarkStart w:id="33" w:name="_Toc9938163"/>
      <w:r>
        <w:t>Implementation</w:t>
      </w:r>
      <w:bookmarkEnd w:id="32"/>
      <w:bookmarkEnd w:id="33"/>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347D6CFF"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r w:rsidR="00295132">
        <w:t>will</w:t>
      </w:r>
      <w:r w:rsidRPr="001404B0">
        <w:t xml:space="preserve"> notify affected parties by:</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3BA3150F" w:rsidR="00282991" w:rsidRDefault="00282991" w:rsidP="00282991">
      <w:r>
        <w:lastRenderedPageBreak/>
        <w:t>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7A978BD8" w:rsidR="002F2F6F" w:rsidRDefault="00282991" w:rsidP="00282991">
      <w:r>
        <w:t xml:space="preserve">DEQ staff would process and review compliance reports </w:t>
      </w:r>
      <w:r w:rsidR="00D8389B">
        <w:t xml:space="preserve">affected parties </w:t>
      </w:r>
      <w:r>
        <w:t xml:space="preserve">submit </w:t>
      </w:r>
      <w:bookmarkStart w:id="34" w:name="_GoBack"/>
      <w:bookmarkEnd w:id="34"/>
      <w:r>
        <w:t>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6E92B3C6" w:rsidR="00282991" w:rsidRDefault="00282991" w:rsidP="00282991">
      <w:r>
        <w:t>Upon rule adoption, DEQ would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231E36B9" w:rsidR="00282991" w:rsidRDefault="00282991" w:rsidP="00282991">
      <w:r>
        <w:t>DEQ would update its existing SWIFT database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4B472B23" w:rsidR="002F2F6F" w:rsidRDefault="00282991" w:rsidP="00282991">
      <w:r>
        <w:t xml:space="preserve">DEQ would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77D4A02D" w:rsidR="00282991" w:rsidRDefault="00282991" w:rsidP="00282991">
      <w:r>
        <w:t>If the proposed rules are approved by EQC, permit writers will provide technical assistance to affected parties.</w:t>
      </w:r>
    </w:p>
    <w:p w14:paraId="3E03007C" w14:textId="77777777" w:rsidR="00D8389B" w:rsidRPr="00D8389B" w:rsidRDefault="00282991" w:rsidP="002F2F6F">
      <w:pPr>
        <w:rPr>
          <w:rFonts w:ascii="Arial" w:hAnsi="Arial" w:cs="Arial"/>
          <w:b/>
        </w:rPr>
      </w:pPr>
      <w:r w:rsidRPr="00D8389B">
        <w:rPr>
          <w:rFonts w:ascii="Arial" w:hAnsi="Arial" w:cs="Arial"/>
          <w:b/>
        </w:rPr>
        <w:lastRenderedPageBreak/>
        <w:t>DEQ staff</w:t>
      </w:r>
    </w:p>
    <w:p w14:paraId="4C7B07FA" w14:textId="77777777" w:rsidR="00D8389B" w:rsidRDefault="00D8389B" w:rsidP="002F2F6F"/>
    <w:p w14:paraId="6951B34C" w14:textId="4F0DDC3D" w:rsidR="002F2F6F" w:rsidRDefault="00282991" w:rsidP="002F2F6F">
      <w:r>
        <w:t xml:space="preserve">DEQ permit writers have been involved </w:t>
      </w:r>
      <w:r w:rsidR="00D8389B">
        <w:t>developing</w:t>
      </w:r>
      <w:r>
        <w:t xml:space="preserve"> the rule and could schedule internal trainings if needed.</w:t>
      </w:r>
    </w:p>
    <w:p w14:paraId="7E585621" w14:textId="554D8E10" w:rsidR="002F2F6F" w:rsidRDefault="002F2F6F" w:rsidP="002F2F6F"/>
    <w:p w14:paraId="1DED22EE" w14:textId="77777777" w:rsidR="002F2F6F" w:rsidRDefault="002F2F6F" w:rsidP="002F2F6F">
      <w:pPr>
        <w:pStyle w:val="Heading1"/>
      </w:pPr>
      <w:bookmarkStart w:id="35" w:name="_Toc3988359"/>
      <w:bookmarkStart w:id="36" w:name="_Toc9938164"/>
      <w:r>
        <w:t>Five Year Review</w:t>
      </w:r>
      <w:bookmarkEnd w:id="35"/>
      <w:bookmarkEnd w:id="36"/>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4A047AD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4B63E062" w:rsidR="002F2F6F" w:rsidRDefault="002F2F6F" w:rsidP="002F2F6F">
      <w:r w:rsidRPr="001404B0">
        <w:t xml:space="preserve">No later than </w:t>
      </w:r>
      <w:r w:rsidR="00D8389B">
        <w:t xml:space="preserve">five years after EQC adopts the proposed rule, </w:t>
      </w:r>
      <w:r w:rsidRPr="001404B0">
        <w:t>DEQ will review the newly adopted rules for which ORS 183.405 (1) requires review 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lastRenderedPageBreak/>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2"/>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7" w:name="_Toc3988360"/>
      <w:bookmarkStart w:id="38" w:name="_Toc9938165"/>
      <w:r w:rsidRPr="003C26EE">
        <w:lastRenderedPageBreak/>
        <w:t>Accessibility Information</w:t>
      </w:r>
      <w:bookmarkEnd w:id="37"/>
      <w:bookmarkEnd w:id="38"/>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3"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072354" w:rsidRDefault="00072354" w:rsidP="002D6C99">
      <w:r>
        <w:separator/>
      </w:r>
    </w:p>
  </w:endnote>
  <w:endnote w:type="continuationSeparator" w:id="0">
    <w:p w14:paraId="205144B0" w14:textId="77777777" w:rsidR="00072354" w:rsidRDefault="0007235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072354" w:rsidRDefault="00072354">
    <w:pPr>
      <w:pStyle w:val="Footer"/>
      <w:jc w:val="right"/>
    </w:pPr>
  </w:p>
  <w:p w14:paraId="5B118C26" w14:textId="77777777" w:rsidR="00072354" w:rsidRDefault="00072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072354" w:rsidRDefault="00072354">
    <w:pPr>
      <w:pStyle w:val="Footer"/>
      <w:jc w:val="right"/>
    </w:pPr>
  </w:p>
  <w:p w14:paraId="45457C06" w14:textId="77777777" w:rsidR="00072354" w:rsidRDefault="00072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07334BCA" w:rsidR="00072354" w:rsidRDefault="00072354">
        <w:pPr>
          <w:pStyle w:val="Footer"/>
          <w:jc w:val="right"/>
        </w:pPr>
        <w:r>
          <w:fldChar w:fldCharType="begin"/>
        </w:r>
        <w:r>
          <w:instrText xml:space="preserve"> PAGE   \* MERGEFORMAT </w:instrText>
        </w:r>
        <w:r>
          <w:fldChar w:fldCharType="separate"/>
        </w:r>
        <w:r w:rsidR="00D8389B">
          <w:rPr>
            <w:noProof/>
          </w:rPr>
          <w:t>14</w:t>
        </w:r>
        <w:r>
          <w:rPr>
            <w:noProof/>
          </w:rPr>
          <w:fldChar w:fldCharType="end"/>
        </w:r>
      </w:p>
    </w:sdtContent>
  </w:sdt>
  <w:p w14:paraId="36D7EECF" w14:textId="77777777" w:rsidR="00072354" w:rsidRDefault="000723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072354" w:rsidRDefault="000723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072354" w:rsidRDefault="000723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072354" w:rsidRDefault="000723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072354" w:rsidRDefault="000723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6DB8FBF5" w:rsidR="00072354" w:rsidRPr="000F6EE6" w:rsidRDefault="00072354" w:rsidP="00A112DA">
        <w:pPr>
          <w:pStyle w:val="Footer"/>
        </w:pPr>
        <w:r w:rsidRPr="000F6EE6">
          <w:fldChar w:fldCharType="begin"/>
        </w:r>
        <w:r w:rsidRPr="000F6EE6">
          <w:instrText xml:space="preserve"> PAGE   \* MERGEFORMAT </w:instrText>
        </w:r>
        <w:r w:rsidRPr="000F6EE6">
          <w:fldChar w:fldCharType="separate"/>
        </w:r>
        <w:r w:rsidR="00D8389B">
          <w:rPr>
            <w:noProof/>
          </w:rPr>
          <w:t>28</w:t>
        </w:r>
        <w:r w:rsidRPr="000F6EE6">
          <w:fldChar w:fldCharType="end"/>
        </w:r>
      </w:p>
    </w:sdtContent>
  </w:sdt>
  <w:p w14:paraId="40E79D34" w14:textId="77777777" w:rsidR="00072354" w:rsidRDefault="00072354">
    <w:pPr>
      <w:pStyle w:val="Footer"/>
    </w:pPr>
  </w:p>
  <w:p w14:paraId="1F7D81C9" w14:textId="77777777" w:rsidR="00072354" w:rsidRDefault="00072354"/>
  <w:p w14:paraId="1D19ABAA" w14:textId="77777777" w:rsidR="00072354" w:rsidRDefault="000723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072354" w:rsidRDefault="00072354" w:rsidP="002D6C99">
      <w:r>
        <w:separator/>
      </w:r>
    </w:p>
  </w:footnote>
  <w:footnote w:type="continuationSeparator" w:id="0">
    <w:p w14:paraId="419F30DA" w14:textId="77777777" w:rsidR="00072354" w:rsidRDefault="0007235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072354" w:rsidRDefault="00072354"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072354" w:rsidRPr="00F72D05" w:rsidRDefault="00072354"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072354" w:rsidRDefault="0007235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5769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62B"/>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D0243"/>
    <w:rsid w:val="00AD04B8"/>
    <w:rsid w:val="00AD1BBA"/>
    <w:rsid w:val="00AD33B5"/>
    <w:rsid w:val="00AD357E"/>
    <w:rsid w:val="00AD7DB9"/>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389B"/>
    <w:rsid w:val="00D84819"/>
    <w:rsid w:val="00D87563"/>
    <w:rsid w:val="00D90062"/>
    <w:rsid w:val="00D9108B"/>
    <w:rsid w:val="00D936A0"/>
    <w:rsid w:val="00D96929"/>
    <w:rsid w:val="00DA07DB"/>
    <w:rsid w:val="00DA0955"/>
    <w:rsid w:val="00DA3C4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epa.gov/sites/production/files/2015-04/documents/control_of_pathogens_and_vector_attraction_in_sewage_sludge_july_2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5A742-69EF-4FAD-ACBC-58DADBA2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29</Pages>
  <Words>5911</Words>
  <Characters>33695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GOLDSTEIN Meyer</cp:lastModifiedBy>
  <cp:revision>4</cp:revision>
  <cp:lastPrinted>2019-05-28T17:02:00Z</cp:lastPrinted>
  <dcterms:created xsi:type="dcterms:W3CDTF">2019-05-28T21:08:00Z</dcterms:created>
  <dcterms:modified xsi:type="dcterms:W3CDTF">2019-05-29T16:47:00Z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