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2"/>
        <w:gridCol w:w="1374"/>
        <w:gridCol w:w="1372"/>
        <w:gridCol w:w="1372"/>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3778CF73" w:rsidR="00B845D8" w:rsidRPr="003C26EE" w:rsidRDefault="000F398A" w:rsidP="001274E4">
            <w:r>
              <w:t xml:space="preserve">Audrey O’Brien </w:t>
            </w:r>
          </w:p>
        </w:tc>
        <w:tc>
          <w:tcPr>
            <w:tcW w:w="1375" w:type="dxa"/>
            <w:vAlign w:val="center"/>
          </w:tcPr>
          <w:p w14:paraId="36A81723" w14:textId="04156169" w:rsidR="00B845D8" w:rsidRPr="003C26EE" w:rsidRDefault="000F398A" w:rsidP="001274E4">
            <w:r>
              <w:t>5/28/2019</w:t>
            </w:r>
          </w:p>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043FF3BA" w14:textId="77777777" w:rsidR="00B845D8" w:rsidRDefault="00B845D8" w:rsidP="00B845D8"/>
    <w:p w14:paraId="566F3883" w14:textId="77777777" w:rsidR="000A7820" w:rsidRDefault="000A7820" w:rsidP="00B845D8">
      <w:pPr>
        <w:rPr>
          <w:rFonts w:ascii="Arial" w:hAnsi="Arial" w:cs="Arial"/>
        </w:rPr>
        <w:sectPr w:rsidR="000A7820" w:rsidSect="001274E4">
          <w:footerReference w:type="default" r:id="rId11"/>
          <w:headerReference w:type="first" r:id="rId12"/>
          <w:footerReference w:type="first" r:id="rId13"/>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4">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4EAC2B5A" w14:textId="77777777" w:rsidR="00883B55"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9938152" w:history="1">
        <w:r w:rsidR="00883B55" w:rsidRPr="0060138C">
          <w:rPr>
            <w:rStyle w:val="Hyperlink"/>
            <w:noProof/>
          </w:rPr>
          <w:t>DEQ Recommendation to the EQC</w:t>
        </w:r>
        <w:r w:rsidR="00883B55">
          <w:rPr>
            <w:noProof/>
            <w:webHidden/>
          </w:rPr>
          <w:tab/>
        </w:r>
        <w:r w:rsidR="00883B55">
          <w:rPr>
            <w:noProof/>
            <w:webHidden/>
          </w:rPr>
          <w:fldChar w:fldCharType="begin"/>
        </w:r>
        <w:r w:rsidR="00883B55">
          <w:rPr>
            <w:noProof/>
            <w:webHidden/>
          </w:rPr>
          <w:instrText xml:space="preserve"> PAGEREF _Toc9938152 \h </w:instrText>
        </w:r>
        <w:r w:rsidR="00883B55">
          <w:rPr>
            <w:noProof/>
            <w:webHidden/>
          </w:rPr>
        </w:r>
        <w:r w:rsidR="00883B55">
          <w:rPr>
            <w:noProof/>
            <w:webHidden/>
          </w:rPr>
          <w:fldChar w:fldCharType="separate"/>
        </w:r>
        <w:r w:rsidR="00883B55">
          <w:rPr>
            <w:noProof/>
            <w:webHidden/>
          </w:rPr>
          <w:t>2</w:t>
        </w:r>
        <w:r w:rsidR="00883B55">
          <w:rPr>
            <w:noProof/>
            <w:webHidden/>
          </w:rPr>
          <w:fldChar w:fldCharType="end"/>
        </w:r>
      </w:hyperlink>
    </w:p>
    <w:p w14:paraId="3E080C50" w14:textId="77777777" w:rsidR="00883B55" w:rsidRDefault="00777BA7">
      <w:pPr>
        <w:pStyle w:val="TOC1"/>
        <w:tabs>
          <w:tab w:val="right" w:leader="dot" w:pos="9350"/>
        </w:tabs>
        <w:rPr>
          <w:rFonts w:asciiTheme="minorHAnsi" w:eastAsiaTheme="minorEastAsia" w:hAnsiTheme="minorHAnsi" w:cstheme="minorBidi"/>
          <w:bCs w:val="0"/>
          <w:noProof/>
          <w:color w:val="auto"/>
          <w:sz w:val="22"/>
          <w:szCs w:val="22"/>
        </w:rPr>
      </w:pPr>
      <w:hyperlink w:anchor="_Toc9938153" w:history="1">
        <w:r w:rsidR="00883B55" w:rsidRPr="0060138C">
          <w:rPr>
            <w:rStyle w:val="Hyperlink"/>
            <w:noProof/>
          </w:rPr>
          <w:t>Introduction</w:t>
        </w:r>
        <w:r w:rsidR="00883B55">
          <w:rPr>
            <w:noProof/>
            <w:webHidden/>
          </w:rPr>
          <w:tab/>
        </w:r>
        <w:r w:rsidR="00883B55">
          <w:rPr>
            <w:noProof/>
            <w:webHidden/>
          </w:rPr>
          <w:fldChar w:fldCharType="begin"/>
        </w:r>
        <w:r w:rsidR="00883B55">
          <w:rPr>
            <w:noProof/>
            <w:webHidden/>
          </w:rPr>
          <w:instrText xml:space="preserve"> PAGEREF _Toc9938153 \h </w:instrText>
        </w:r>
        <w:r w:rsidR="00883B55">
          <w:rPr>
            <w:noProof/>
            <w:webHidden/>
          </w:rPr>
        </w:r>
        <w:r w:rsidR="00883B55">
          <w:rPr>
            <w:noProof/>
            <w:webHidden/>
          </w:rPr>
          <w:fldChar w:fldCharType="separate"/>
        </w:r>
        <w:r w:rsidR="00883B55">
          <w:rPr>
            <w:noProof/>
            <w:webHidden/>
          </w:rPr>
          <w:t>3</w:t>
        </w:r>
        <w:r w:rsidR="00883B55">
          <w:rPr>
            <w:noProof/>
            <w:webHidden/>
          </w:rPr>
          <w:fldChar w:fldCharType="end"/>
        </w:r>
      </w:hyperlink>
    </w:p>
    <w:p w14:paraId="55CD3320" w14:textId="77777777" w:rsidR="00883B55" w:rsidRDefault="00777BA7">
      <w:pPr>
        <w:pStyle w:val="TOC1"/>
        <w:tabs>
          <w:tab w:val="right" w:leader="dot" w:pos="9350"/>
        </w:tabs>
        <w:rPr>
          <w:rFonts w:asciiTheme="minorHAnsi" w:eastAsiaTheme="minorEastAsia" w:hAnsiTheme="minorHAnsi" w:cstheme="minorBidi"/>
          <w:bCs w:val="0"/>
          <w:noProof/>
          <w:color w:val="auto"/>
          <w:sz w:val="22"/>
          <w:szCs w:val="22"/>
        </w:rPr>
      </w:pPr>
      <w:hyperlink w:anchor="_Toc9938154" w:history="1">
        <w:r w:rsidR="00883B55" w:rsidRPr="0060138C">
          <w:rPr>
            <w:rStyle w:val="Hyperlink"/>
            <w:noProof/>
          </w:rPr>
          <w:t>Statement of need</w:t>
        </w:r>
        <w:r w:rsidR="00883B55">
          <w:rPr>
            <w:noProof/>
            <w:webHidden/>
          </w:rPr>
          <w:tab/>
        </w:r>
        <w:r w:rsidR="00883B55">
          <w:rPr>
            <w:noProof/>
            <w:webHidden/>
          </w:rPr>
          <w:fldChar w:fldCharType="begin"/>
        </w:r>
        <w:r w:rsidR="00883B55">
          <w:rPr>
            <w:noProof/>
            <w:webHidden/>
          </w:rPr>
          <w:instrText xml:space="preserve"> PAGEREF _Toc9938154 \h </w:instrText>
        </w:r>
        <w:r w:rsidR="00883B55">
          <w:rPr>
            <w:noProof/>
            <w:webHidden/>
          </w:rPr>
        </w:r>
        <w:r w:rsidR="00883B55">
          <w:rPr>
            <w:noProof/>
            <w:webHidden/>
          </w:rPr>
          <w:fldChar w:fldCharType="separate"/>
        </w:r>
        <w:r w:rsidR="00883B55">
          <w:rPr>
            <w:noProof/>
            <w:webHidden/>
          </w:rPr>
          <w:t>5</w:t>
        </w:r>
        <w:r w:rsidR="00883B55">
          <w:rPr>
            <w:noProof/>
            <w:webHidden/>
          </w:rPr>
          <w:fldChar w:fldCharType="end"/>
        </w:r>
      </w:hyperlink>
    </w:p>
    <w:p w14:paraId="3C2F3934" w14:textId="77777777" w:rsidR="00883B55" w:rsidRDefault="00777BA7">
      <w:pPr>
        <w:pStyle w:val="TOC1"/>
        <w:tabs>
          <w:tab w:val="right" w:leader="dot" w:pos="9350"/>
        </w:tabs>
        <w:rPr>
          <w:rFonts w:asciiTheme="minorHAnsi" w:eastAsiaTheme="minorEastAsia" w:hAnsiTheme="minorHAnsi" w:cstheme="minorBidi"/>
          <w:bCs w:val="0"/>
          <w:noProof/>
          <w:color w:val="auto"/>
          <w:sz w:val="22"/>
          <w:szCs w:val="22"/>
        </w:rPr>
      </w:pPr>
      <w:hyperlink w:anchor="_Toc9938155" w:history="1">
        <w:r w:rsidR="00883B55" w:rsidRPr="0060138C">
          <w:rPr>
            <w:rStyle w:val="Hyperlink"/>
            <w:noProof/>
          </w:rPr>
          <w:t>Rules affected, authorities, supporting documents</w:t>
        </w:r>
        <w:r w:rsidR="00883B55">
          <w:rPr>
            <w:noProof/>
            <w:webHidden/>
          </w:rPr>
          <w:tab/>
        </w:r>
        <w:r w:rsidR="00883B55">
          <w:rPr>
            <w:noProof/>
            <w:webHidden/>
          </w:rPr>
          <w:fldChar w:fldCharType="begin"/>
        </w:r>
        <w:r w:rsidR="00883B55">
          <w:rPr>
            <w:noProof/>
            <w:webHidden/>
          </w:rPr>
          <w:instrText xml:space="preserve"> PAGEREF _Toc9938155 \h </w:instrText>
        </w:r>
        <w:r w:rsidR="00883B55">
          <w:rPr>
            <w:noProof/>
            <w:webHidden/>
          </w:rPr>
        </w:r>
        <w:r w:rsidR="00883B55">
          <w:rPr>
            <w:noProof/>
            <w:webHidden/>
          </w:rPr>
          <w:fldChar w:fldCharType="separate"/>
        </w:r>
        <w:r w:rsidR="00883B55">
          <w:rPr>
            <w:noProof/>
            <w:webHidden/>
          </w:rPr>
          <w:t>7</w:t>
        </w:r>
        <w:r w:rsidR="00883B55">
          <w:rPr>
            <w:noProof/>
            <w:webHidden/>
          </w:rPr>
          <w:fldChar w:fldCharType="end"/>
        </w:r>
      </w:hyperlink>
    </w:p>
    <w:p w14:paraId="7AB24CEA" w14:textId="77777777" w:rsidR="00883B55" w:rsidRDefault="00777BA7">
      <w:pPr>
        <w:pStyle w:val="TOC1"/>
        <w:tabs>
          <w:tab w:val="right" w:leader="dot" w:pos="9350"/>
        </w:tabs>
        <w:rPr>
          <w:rFonts w:asciiTheme="minorHAnsi" w:eastAsiaTheme="minorEastAsia" w:hAnsiTheme="minorHAnsi" w:cstheme="minorBidi"/>
          <w:bCs w:val="0"/>
          <w:noProof/>
          <w:color w:val="auto"/>
          <w:sz w:val="22"/>
          <w:szCs w:val="22"/>
        </w:rPr>
      </w:pPr>
      <w:hyperlink w:anchor="_Toc9938156" w:history="1">
        <w:r w:rsidR="00883B55" w:rsidRPr="0060138C">
          <w:rPr>
            <w:rStyle w:val="Hyperlink"/>
            <w:noProof/>
          </w:rPr>
          <w:t>Fee Analysis</w:t>
        </w:r>
        <w:r w:rsidR="00883B55">
          <w:rPr>
            <w:noProof/>
            <w:webHidden/>
          </w:rPr>
          <w:tab/>
        </w:r>
        <w:r w:rsidR="00883B55">
          <w:rPr>
            <w:noProof/>
            <w:webHidden/>
          </w:rPr>
          <w:fldChar w:fldCharType="begin"/>
        </w:r>
        <w:r w:rsidR="00883B55">
          <w:rPr>
            <w:noProof/>
            <w:webHidden/>
          </w:rPr>
          <w:instrText xml:space="preserve"> PAGEREF _Toc9938156 \h </w:instrText>
        </w:r>
        <w:r w:rsidR="00883B55">
          <w:rPr>
            <w:noProof/>
            <w:webHidden/>
          </w:rPr>
        </w:r>
        <w:r w:rsidR="00883B55">
          <w:rPr>
            <w:noProof/>
            <w:webHidden/>
          </w:rPr>
          <w:fldChar w:fldCharType="separate"/>
        </w:r>
        <w:r w:rsidR="00883B55">
          <w:rPr>
            <w:noProof/>
            <w:webHidden/>
          </w:rPr>
          <w:t>9</w:t>
        </w:r>
        <w:r w:rsidR="00883B55">
          <w:rPr>
            <w:noProof/>
            <w:webHidden/>
          </w:rPr>
          <w:fldChar w:fldCharType="end"/>
        </w:r>
      </w:hyperlink>
    </w:p>
    <w:p w14:paraId="253DA2B9" w14:textId="77777777" w:rsidR="00883B55" w:rsidRDefault="00777BA7">
      <w:pPr>
        <w:pStyle w:val="TOC1"/>
        <w:tabs>
          <w:tab w:val="right" w:leader="dot" w:pos="9350"/>
        </w:tabs>
        <w:rPr>
          <w:rFonts w:asciiTheme="minorHAnsi" w:eastAsiaTheme="minorEastAsia" w:hAnsiTheme="minorHAnsi" w:cstheme="minorBidi"/>
          <w:bCs w:val="0"/>
          <w:noProof/>
          <w:color w:val="auto"/>
          <w:sz w:val="22"/>
          <w:szCs w:val="22"/>
        </w:rPr>
      </w:pPr>
      <w:hyperlink w:anchor="_Toc9938157" w:history="1">
        <w:r w:rsidR="00883B55" w:rsidRPr="0060138C">
          <w:rPr>
            <w:rStyle w:val="Hyperlink"/>
            <w:noProof/>
          </w:rPr>
          <w:t>Statement of fiscal and economic impact</w:t>
        </w:r>
        <w:r w:rsidR="00883B55">
          <w:rPr>
            <w:noProof/>
            <w:webHidden/>
          </w:rPr>
          <w:tab/>
        </w:r>
        <w:r w:rsidR="00883B55">
          <w:rPr>
            <w:noProof/>
            <w:webHidden/>
          </w:rPr>
          <w:fldChar w:fldCharType="begin"/>
        </w:r>
        <w:r w:rsidR="00883B55">
          <w:rPr>
            <w:noProof/>
            <w:webHidden/>
          </w:rPr>
          <w:instrText xml:space="preserve"> PAGEREF _Toc9938157 \h </w:instrText>
        </w:r>
        <w:r w:rsidR="00883B55">
          <w:rPr>
            <w:noProof/>
            <w:webHidden/>
          </w:rPr>
        </w:r>
        <w:r w:rsidR="00883B55">
          <w:rPr>
            <w:noProof/>
            <w:webHidden/>
          </w:rPr>
          <w:fldChar w:fldCharType="separate"/>
        </w:r>
        <w:r w:rsidR="00883B55">
          <w:rPr>
            <w:noProof/>
            <w:webHidden/>
          </w:rPr>
          <w:t>10</w:t>
        </w:r>
        <w:r w:rsidR="00883B55">
          <w:rPr>
            <w:noProof/>
            <w:webHidden/>
          </w:rPr>
          <w:fldChar w:fldCharType="end"/>
        </w:r>
      </w:hyperlink>
    </w:p>
    <w:p w14:paraId="48985478" w14:textId="77777777" w:rsidR="00883B55" w:rsidRDefault="00777BA7">
      <w:pPr>
        <w:pStyle w:val="TOC1"/>
        <w:tabs>
          <w:tab w:val="right" w:leader="dot" w:pos="9350"/>
        </w:tabs>
        <w:rPr>
          <w:rFonts w:asciiTheme="minorHAnsi" w:eastAsiaTheme="minorEastAsia" w:hAnsiTheme="minorHAnsi" w:cstheme="minorBidi"/>
          <w:bCs w:val="0"/>
          <w:noProof/>
          <w:color w:val="auto"/>
          <w:sz w:val="22"/>
          <w:szCs w:val="22"/>
        </w:rPr>
      </w:pPr>
      <w:hyperlink w:anchor="_Toc9938158" w:history="1">
        <w:r w:rsidR="00883B55" w:rsidRPr="0060138C">
          <w:rPr>
            <w:rStyle w:val="Hyperlink"/>
            <w:noProof/>
          </w:rPr>
          <w:t>Federal relationship</w:t>
        </w:r>
        <w:r w:rsidR="00883B55">
          <w:rPr>
            <w:noProof/>
            <w:webHidden/>
          </w:rPr>
          <w:tab/>
        </w:r>
        <w:r w:rsidR="00883B55">
          <w:rPr>
            <w:noProof/>
            <w:webHidden/>
          </w:rPr>
          <w:fldChar w:fldCharType="begin"/>
        </w:r>
        <w:r w:rsidR="00883B55">
          <w:rPr>
            <w:noProof/>
            <w:webHidden/>
          </w:rPr>
          <w:instrText xml:space="preserve"> PAGEREF _Toc9938158 \h </w:instrText>
        </w:r>
        <w:r w:rsidR="00883B55">
          <w:rPr>
            <w:noProof/>
            <w:webHidden/>
          </w:rPr>
        </w:r>
        <w:r w:rsidR="00883B55">
          <w:rPr>
            <w:noProof/>
            <w:webHidden/>
          </w:rPr>
          <w:fldChar w:fldCharType="separate"/>
        </w:r>
        <w:r w:rsidR="00883B55">
          <w:rPr>
            <w:noProof/>
            <w:webHidden/>
          </w:rPr>
          <w:t>14</w:t>
        </w:r>
        <w:r w:rsidR="00883B55">
          <w:rPr>
            <w:noProof/>
            <w:webHidden/>
          </w:rPr>
          <w:fldChar w:fldCharType="end"/>
        </w:r>
      </w:hyperlink>
    </w:p>
    <w:p w14:paraId="16ED6174" w14:textId="77777777" w:rsidR="00883B55" w:rsidRDefault="00777BA7">
      <w:pPr>
        <w:pStyle w:val="TOC1"/>
        <w:tabs>
          <w:tab w:val="right" w:leader="dot" w:pos="9350"/>
        </w:tabs>
        <w:rPr>
          <w:rFonts w:asciiTheme="minorHAnsi" w:eastAsiaTheme="minorEastAsia" w:hAnsiTheme="minorHAnsi" w:cstheme="minorBidi"/>
          <w:bCs w:val="0"/>
          <w:noProof/>
          <w:color w:val="auto"/>
          <w:sz w:val="22"/>
          <w:szCs w:val="22"/>
        </w:rPr>
      </w:pPr>
      <w:hyperlink w:anchor="_Toc9938159" w:history="1">
        <w:r w:rsidR="00883B55" w:rsidRPr="0060138C">
          <w:rPr>
            <w:rStyle w:val="Hyperlink"/>
            <w:noProof/>
          </w:rPr>
          <w:t>Land use</w:t>
        </w:r>
        <w:r w:rsidR="00883B55">
          <w:rPr>
            <w:noProof/>
            <w:webHidden/>
          </w:rPr>
          <w:tab/>
        </w:r>
        <w:r w:rsidR="00883B55">
          <w:rPr>
            <w:noProof/>
            <w:webHidden/>
          </w:rPr>
          <w:fldChar w:fldCharType="begin"/>
        </w:r>
        <w:r w:rsidR="00883B55">
          <w:rPr>
            <w:noProof/>
            <w:webHidden/>
          </w:rPr>
          <w:instrText xml:space="preserve"> PAGEREF _Toc9938159 \h </w:instrText>
        </w:r>
        <w:r w:rsidR="00883B55">
          <w:rPr>
            <w:noProof/>
            <w:webHidden/>
          </w:rPr>
        </w:r>
        <w:r w:rsidR="00883B55">
          <w:rPr>
            <w:noProof/>
            <w:webHidden/>
          </w:rPr>
          <w:fldChar w:fldCharType="separate"/>
        </w:r>
        <w:r w:rsidR="00883B55">
          <w:rPr>
            <w:noProof/>
            <w:webHidden/>
          </w:rPr>
          <w:t>15</w:t>
        </w:r>
        <w:r w:rsidR="00883B55">
          <w:rPr>
            <w:noProof/>
            <w:webHidden/>
          </w:rPr>
          <w:fldChar w:fldCharType="end"/>
        </w:r>
      </w:hyperlink>
    </w:p>
    <w:p w14:paraId="2BC05B29" w14:textId="77777777" w:rsidR="00883B55" w:rsidRDefault="00777BA7">
      <w:pPr>
        <w:pStyle w:val="TOC1"/>
        <w:tabs>
          <w:tab w:val="right" w:leader="dot" w:pos="9350"/>
        </w:tabs>
        <w:rPr>
          <w:rFonts w:asciiTheme="minorHAnsi" w:eastAsiaTheme="minorEastAsia" w:hAnsiTheme="minorHAnsi" w:cstheme="minorBidi"/>
          <w:bCs w:val="0"/>
          <w:noProof/>
          <w:color w:val="auto"/>
          <w:sz w:val="22"/>
          <w:szCs w:val="22"/>
        </w:rPr>
      </w:pPr>
      <w:hyperlink w:anchor="_Toc9938160" w:history="1">
        <w:r w:rsidR="00883B55" w:rsidRPr="0060138C">
          <w:rPr>
            <w:rStyle w:val="Hyperlink"/>
            <w:noProof/>
          </w:rPr>
          <w:t>EQC Prior Involvement</w:t>
        </w:r>
        <w:r w:rsidR="00883B55">
          <w:rPr>
            <w:noProof/>
            <w:webHidden/>
          </w:rPr>
          <w:tab/>
        </w:r>
        <w:r w:rsidR="00883B55">
          <w:rPr>
            <w:noProof/>
            <w:webHidden/>
          </w:rPr>
          <w:fldChar w:fldCharType="begin"/>
        </w:r>
        <w:r w:rsidR="00883B55">
          <w:rPr>
            <w:noProof/>
            <w:webHidden/>
          </w:rPr>
          <w:instrText xml:space="preserve"> PAGEREF _Toc9938160 \h </w:instrText>
        </w:r>
        <w:r w:rsidR="00883B55">
          <w:rPr>
            <w:noProof/>
            <w:webHidden/>
          </w:rPr>
        </w:r>
        <w:r w:rsidR="00883B55">
          <w:rPr>
            <w:noProof/>
            <w:webHidden/>
          </w:rPr>
          <w:fldChar w:fldCharType="separate"/>
        </w:r>
        <w:r w:rsidR="00883B55">
          <w:rPr>
            <w:noProof/>
            <w:webHidden/>
          </w:rPr>
          <w:t>17</w:t>
        </w:r>
        <w:r w:rsidR="00883B55">
          <w:rPr>
            <w:noProof/>
            <w:webHidden/>
          </w:rPr>
          <w:fldChar w:fldCharType="end"/>
        </w:r>
      </w:hyperlink>
    </w:p>
    <w:p w14:paraId="0D75FA55" w14:textId="77777777" w:rsidR="00883B55" w:rsidRDefault="00777BA7">
      <w:pPr>
        <w:pStyle w:val="TOC1"/>
        <w:tabs>
          <w:tab w:val="right" w:leader="dot" w:pos="9350"/>
        </w:tabs>
        <w:rPr>
          <w:rFonts w:asciiTheme="minorHAnsi" w:eastAsiaTheme="minorEastAsia" w:hAnsiTheme="minorHAnsi" w:cstheme="minorBidi"/>
          <w:bCs w:val="0"/>
          <w:noProof/>
          <w:color w:val="auto"/>
          <w:sz w:val="22"/>
          <w:szCs w:val="22"/>
        </w:rPr>
      </w:pPr>
      <w:hyperlink w:anchor="_Toc9938161" w:history="1">
        <w:r w:rsidR="00883B55" w:rsidRPr="0060138C">
          <w:rPr>
            <w:rStyle w:val="Hyperlink"/>
            <w:noProof/>
          </w:rPr>
          <w:t>Advisory Committee</w:t>
        </w:r>
        <w:r w:rsidR="00883B55">
          <w:rPr>
            <w:noProof/>
            <w:webHidden/>
          </w:rPr>
          <w:tab/>
        </w:r>
        <w:r w:rsidR="00883B55">
          <w:rPr>
            <w:noProof/>
            <w:webHidden/>
          </w:rPr>
          <w:fldChar w:fldCharType="begin"/>
        </w:r>
        <w:r w:rsidR="00883B55">
          <w:rPr>
            <w:noProof/>
            <w:webHidden/>
          </w:rPr>
          <w:instrText xml:space="preserve"> PAGEREF _Toc9938161 \h </w:instrText>
        </w:r>
        <w:r w:rsidR="00883B55">
          <w:rPr>
            <w:noProof/>
            <w:webHidden/>
          </w:rPr>
        </w:r>
        <w:r w:rsidR="00883B55">
          <w:rPr>
            <w:noProof/>
            <w:webHidden/>
          </w:rPr>
          <w:fldChar w:fldCharType="separate"/>
        </w:r>
        <w:r w:rsidR="00883B55">
          <w:rPr>
            <w:noProof/>
            <w:webHidden/>
          </w:rPr>
          <w:t>18</w:t>
        </w:r>
        <w:r w:rsidR="00883B55">
          <w:rPr>
            <w:noProof/>
            <w:webHidden/>
          </w:rPr>
          <w:fldChar w:fldCharType="end"/>
        </w:r>
      </w:hyperlink>
    </w:p>
    <w:p w14:paraId="02113878" w14:textId="77777777" w:rsidR="00883B55" w:rsidRDefault="00777BA7">
      <w:pPr>
        <w:pStyle w:val="TOC1"/>
        <w:tabs>
          <w:tab w:val="right" w:leader="dot" w:pos="9350"/>
        </w:tabs>
        <w:rPr>
          <w:rFonts w:asciiTheme="minorHAnsi" w:eastAsiaTheme="minorEastAsia" w:hAnsiTheme="minorHAnsi" w:cstheme="minorBidi"/>
          <w:bCs w:val="0"/>
          <w:noProof/>
          <w:color w:val="auto"/>
          <w:sz w:val="22"/>
          <w:szCs w:val="22"/>
        </w:rPr>
      </w:pPr>
      <w:hyperlink w:anchor="_Toc9938162" w:history="1">
        <w:r w:rsidR="00883B55" w:rsidRPr="0060138C">
          <w:rPr>
            <w:rStyle w:val="Hyperlink"/>
            <w:noProof/>
          </w:rPr>
          <w:t>Public Engagement</w:t>
        </w:r>
        <w:r w:rsidR="00883B55">
          <w:rPr>
            <w:noProof/>
            <w:webHidden/>
          </w:rPr>
          <w:tab/>
        </w:r>
        <w:r w:rsidR="00883B55">
          <w:rPr>
            <w:noProof/>
            <w:webHidden/>
          </w:rPr>
          <w:fldChar w:fldCharType="begin"/>
        </w:r>
        <w:r w:rsidR="00883B55">
          <w:rPr>
            <w:noProof/>
            <w:webHidden/>
          </w:rPr>
          <w:instrText xml:space="preserve"> PAGEREF _Toc9938162 \h </w:instrText>
        </w:r>
        <w:r w:rsidR="00883B55">
          <w:rPr>
            <w:noProof/>
            <w:webHidden/>
          </w:rPr>
        </w:r>
        <w:r w:rsidR="00883B55">
          <w:rPr>
            <w:noProof/>
            <w:webHidden/>
          </w:rPr>
          <w:fldChar w:fldCharType="separate"/>
        </w:r>
        <w:r w:rsidR="00883B55">
          <w:rPr>
            <w:noProof/>
            <w:webHidden/>
          </w:rPr>
          <w:t>20</w:t>
        </w:r>
        <w:r w:rsidR="00883B55">
          <w:rPr>
            <w:noProof/>
            <w:webHidden/>
          </w:rPr>
          <w:fldChar w:fldCharType="end"/>
        </w:r>
      </w:hyperlink>
    </w:p>
    <w:p w14:paraId="69AFFFCD" w14:textId="77777777" w:rsidR="00883B55" w:rsidRDefault="00777BA7">
      <w:pPr>
        <w:pStyle w:val="TOC1"/>
        <w:tabs>
          <w:tab w:val="right" w:leader="dot" w:pos="9350"/>
        </w:tabs>
        <w:rPr>
          <w:rFonts w:asciiTheme="minorHAnsi" w:eastAsiaTheme="minorEastAsia" w:hAnsiTheme="minorHAnsi" w:cstheme="minorBidi"/>
          <w:bCs w:val="0"/>
          <w:noProof/>
          <w:color w:val="auto"/>
          <w:sz w:val="22"/>
          <w:szCs w:val="22"/>
        </w:rPr>
      </w:pPr>
      <w:hyperlink w:anchor="_Toc9938163" w:history="1">
        <w:r w:rsidR="00883B55" w:rsidRPr="0060138C">
          <w:rPr>
            <w:rStyle w:val="Hyperlink"/>
            <w:noProof/>
          </w:rPr>
          <w:t>Implementation</w:t>
        </w:r>
        <w:r w:rsidR="00883B55">
          <w:rPr>
            <w:noProof/>
            <w:webHidden/>
          </w:rPr>
          <w:tab/>
        </w:r>
        <w:r w:rsidR="00883B55">
          <w:rPr>
            <w:noProof/>
            <w:webHidden/>
          </w:rPr>
          <w:fldChar w:fldCharType="begin"/>
        </w:r>
        <w:r w:rsidR="00883B55">
          <w:rPr>
            <w:noProof/>
            <w:webHidden/>
          </w:rPr>
          <w:instrText xml:space="preserve"> PAGEREF _Toc9938163 \h </w:instrText>
        </w:r>
        <w:r w:rsidR="00883B55">
          <w:rPr>
            <w:noProof/>
            <w:webHidden/>
          </w:rPr>
        </w:r>
        <w:r w:rsidR="00883B55">
          <w:rPr>
            <w:noProof/>
            <w:webHidden/>
          </w:rPr>
          <w:fldChar w:fldCharType="separate"/>
        </w:r>
        <w:r w:rsidR="00883B55">
          <w:rPr>
            <w:noProof/>
            <w:webHidden/>
          </w:rPr>
          <w:t>25</w:t>
        </w:r>
        <w:r w:rsidR="00883B55">
          <w:rPr>
            <w:noProof/>
            <w:webHidden/>
          </w:rPr>
          <w:fldChar w:fldCharType="end"/>
        </w:r>
      </w:hyperlink>
    </w:p>
    <w:p w14:paraId="1FF53BC3" w14:textId="77777777" w:rsidR="00883B55" w:rsidRDefault="00777BA7">
      <w:pPr>
        <w:pStyle w:val="TOC1"/>
        <w:tabs>
          <w:tab w:val="right" w:leader="dot" w:pos="9350"/>
        </w:tabs>
        <w:rPr>
          <w:rFonts w:asciiTheme="minorHAnsi" w:eastAsiaTheme="minorEastAsia" w:hAnsiTheme="minorHAnsi" w:cstheme="minorBidi"/>
          <w:bCs w:val="0"/>
          <w:noProof/>
          <w:color w:val="auto"/>
          <w:sz w:val="22"/>
          <w:szCs w:val="22"/>
        </w:rPr>
      </w:pPr>
      <w:hyperlink w:anchor="_Toc9938164" w:history="1">
        <w:r w:rsidR="00883B55" w:rsidRPr="0060138C">
          <w:rPr>
            <w:rStyle w:val="Hyperlink"/>
            <w:noProof/>
          </w:rPr>
          <w:t>Five Year Review</w:t>
        </w:r>
        <w:r w:rsidR="00883B55">
          <w:rPr>
            <w:noProof/>
            <w:webHidden/>
          </w:rPr>
          <w:tab/>
        </w:r>
        <w:r w:rsidR="00883B55">
          <w:rPr>
            <w:noProof/>
            <w:webHidden/>
          </w:rPr>
          <w:fldChar w:fldCharType="begin"/>
        </w:r>
        <w:r w:rsidR="00883B55">
          <w:rPr>
            <w:noProof/>
            <w:webHidden/>
          </w:rPr>
          <w:instrText xml:space="preserve"> PAGEREF _Toc9938164 \h </w:instrText>
        </w:r>
        <w:r w:rsidR="00883B55">
          <w:rPr>
            <w:noProof/>
            <w:webHidden/>
          </w:rPr>
        </w:r>
        <w:r w:rsidR="00883B55">
          <w:rPr>
            <w:noProof/>
            <w:webHidden/>
          </w:rPr>
          <w:fldChar w:fldCharType="separate"/>
        </w:r>
        <w:r w:rsidR="00883B55">
          <w:rPr>
            <w:noProof/>
            <w:webHidden/>
          </w:rPr>
          <w:t>27</w:t>
        </w:r>
        <w:r w:rsidR="00883B55">
          <w:rPr>
            <w:noProof/>
            <w:webHidden/>
          </w:rPr>
          <w:fldChar w:fldCharType="end"/>
        </w:r>
      </w:hyperlink>
    </w:p>
    <w:p w14:paraId="1E025B9E" w14:textId="77777777" w:rsidR="00883B55" w:rsidRDefault="00777BA7">
      <w:pPr>
        <w:pStyle w:val="TOC1"/>
        <w:tabs>
          <w:tab w:val="right" w:leader="dot" w:pos="9350"/>
        </w:tabs>
        <w:rPr>
          <w:rFonts w:asciiTheme="minorHAnsi" w:eastAsiaTheme="minorEastAsia" w:hAnsiTheme="minorHAnsi" w:cstheme="minorBidi"/>
          <w:bCs w:val="0"/>
          <w:noProof/>
          <w:color w:val="auto"/>
          <w:sz w:val="22"/>
          <w:szCs w:val="22"/>
        </w:rPr>
      </w:pPr>
      <w:hyperlink w:anchor="_Toc9938165" w:history="1">
        <w:r w:rsidR="00883B55" w:rsidRPr="0060138C">
          <w:rPr>
            <w:rStyle w:val="Hyperlink"/>
            <w:noProof/>
          </w:rPr>
          <w:t>Accessibility Information</w:t>
        </w:r>
        <w:r w:rsidR="00883B55">
          <w:rPr>
            <w:noProof/>
            <w:webHidden/>
          </w:rPr>
          <w:tab/>
        </w:r>
        <w:r w:rsidR="00883B55">
          <w:rPr>
            <w:noProof/>
            <w:webHidden/>
          </w:rPr>
          <w:fldChar w:fldCharType="begin"/>
        </w:r>
        <w:r w:rsidR="00883B55">
          <w:rPr>
            <w:noProof/>
            <w:webHidden/>
          </w:rPr>
          <w:instrText xml:space="preserve"> PAGEREF _Toc9938165 \h </w:instrText>
        </w:r>
        <w:r w:rsidR="00883B55">
          <w:rPr>
            <w:noProof/>
            <w:webHidden/>
          </w:rPr>
        </w:r>
        <w:r w:rsidR="00883B55">
          <w:rPr>
            <w:noProof/>
            <w:webHidden/>
          </w:rPr>
          <w:fldChar w:fldCharType="separate"/>
        </w:r>
        <w:r w:rsidR="00883B55">
          <w:rPr>
            <w:noProof/>
            <w:webHidden/>
          </w:rPr>
          <w:t>29</w:t>
        </w:r>
        <w:r w:rsidR="00883B55">
          <w:rPr>
            <w:noProof/>
            <w:webHidden/>
          </w:rPr>
          <w:fldChar w:fldCharType="end"/>
        </w:r>
      </w:hyperlink>
    </w:p>
    <w:p w14:paraId="758C9EDB" w14:textId="77777777" w:rsidR="00B65968" w:rsidRDefault="00B845D8" w:rsidP="00762E9F">
      <w:pPr>
        <w:pStyle w:val="Heading1"/>
        <w:sectPr w:rsidR="00B65968" w:rsidSect="00B65968">
          <w:headerReference w:type="default" r:id="rId15"/>
          <w:footerReference w:type="default" r:id="rId16"/>
          <w:headerReference w:type="first" r:id="rId17"/>
          <w:footerReference w:type="first" r:id="rId18"/>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2EB71F09" w14:textId="77777777" w:rsidR="002F2F6F" w:rsidRDefault="002F2F6F" w:rsidP="002F2F6F">
      <w:pPr>
        <w:pStyle w:val="Heading1"/>
      </w:pPr>
      <w:bookmarkStart w:id="1" w:name="_Toc3988344"/>
      <w:bookmarkStart w:id="2" w:name="_Toc9938152"/>
      <w:bookmarkEnd w:id="0"/>
      <w:r>
        <w:lastRenderedPageBreak/>
        <w:t>DEQ Recommendation to the EQC</w:t>
      </w:r>
      <w:bookmarkEnd w:id="1"/>
      <w:bookmarkEnd w:id="2"/>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5920C20" w14:textId="77777777" w:rsidR="002F2F6F" w:rsidRPr="003C26EE" w:rsidRDefault="002F2F6F" w:rsidP="002F2F6F">
      <w:pPr>
        <w:pStyle w:val="Heading1"/>
      </w:pPr>
      <w:bookmarkStart w:id="3" w:name="_Toc3988345"/>
      <w:bookmarkStart w:id="4" w:name="_Toc9938153"/>
      <w:r>
        <w:lastRenderedPageBreak/>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2B908ED8"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OAR 340-096-0140</w:t>
      </w:r>
      <w:r w:rsidRPr="00D719B8">
        <w:t xml:space="preserve"> 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w:t>
      </w:r>
      <w:proofErr w:type="spellStart"/>
      <w:r>
        <w:t>digestate</w:t>
      </w:r>
      <w:proofErr w:type="spellEnd"/>
      <w:r>
        <w:t xml:space="preserve"> available to the public have met pathogen reduction limits.</w:t>
      </w:r>
    </w:p>
    <w:p w14:paraId="0C83F82D" w14:textId="77777777" w:rsidR="00451C40" w:rsidRDefault="00451C40" w:rsidP="00451C40"/>
    <w:p w14:paraId="3DD49789" w14:textId="77777777"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OAR 340-096-0140 required different pathogen reduction requirements for </w:t>
      </w:r>
      <w:proofErr w:type="spellStart"/>
      <w:r>
        <w:t>digestate</w:t>
      </w:r>
      <w:proofErr w:type="spellEnd"/>
      <w:r>
        <w:t xml:space="preserve"> based on whether or not the generating digester was considered an “agricultural operation,” as defined by ORS 467.120(2</w:t>
      </w:r>
      <w:proofErr w:type="gramStart"/>
      <w:r>
        <w:t>)(</w:t>
      </w:r>
      <w:proofErr w:type="gramEnd"/>
      <w:r>
        <w:t xml:space="preserve">a). As a result, </w:t>
      </w:r>
      <w:proofErr w:type="spellStart"/>
      <w:r>
        <w:t>digestate</w:t>
      </w:r>
      <w:proofErr w:type="spellEnd"/>
      <w:r>
        <w:t xml:space="preserve"> produced by a digester on an agricultural operation (e.g., a farm) did not have to meet a specified pathogen reduction limit. However, </w:t>
      </w:r>
      <w:proofErr w:type="spellStart"/>
      <w:r>
        <w:t>digestate</w:t>
      </w:r>
      <w:proofErr w:type="spellEnd"/>
      <w:r>
        <w:t xml:space="preserve"> produced by an anaerobic digester not on a farm had to meet the limit set forth in OAR 340-096-0140, despite the fact that </w:t>
      </w:r>
      <w:proofErr w:type="spellStart"/>
      <w:r>
        <w:t>digestate</w:t>
      </w:r>
      <w:proofErr w:type="spellEnd"/>
      <w:r>
        <w:t xml:space="preserve"> from all anaerobic digesters in Oregon is applied to farm soil for crop production. EPA research indicates soil application of </w:t>
      </w:r>
      <w:proofErr w:type="spellStart"/>
      <w:r>
        <w:t>digestate</w:t>
      </w:r>
      <w:proofErr w:type="spellEnd"/>
      <w:r>
        <w:t xml:space="preserve"> completes the pathogen reduction process and renders the </w:t>
      </w:r>
      <w:proofErr w:type="spellStart"/>
      <w:r>
        <w:t>digestate</w:t>
      </w:r>
      <w:proofErr w:type="spellEnd"/>
      <w:r>
        <w:t xml:space="preserve"> safe for human health and the environment as long as it is applied at agronomic application rates.  </w:t>
      </w:r>
    </w:p>
    <w:p w14:paraId="1FC63DA9" w14:textId="77777777" w:rsidR="00451C40" w:rsidRDefault="00451C40" w:rsidP="00451C40"/>
    <w:p w14:paraId="13383C89" w14:textId="77777777" w:rsidR="00451C40" w:rsidRDefault="00451C40" w:rsidP="00451C40">
      <w:r>
        <w:t xml:space="preserve">On February 25, 2019, EQC adopted a temporary rule amendment to ensure that testing requirements for </w:t>
      </w:r>
      <w:proofErr w:type="spellStart"/>
      <w:r>
        <w:t>digestate</w:t>
      </w:r>
      <w:proofErr w:type="spellEnd"/>
      <w:r>
        <w:t xml:space="preserve"> applied to land as a fertilizer (e.g., “land applied”) were the same regardless of whether the anaerobic digester producing the </w:t>
      </w:r>
      <w:proofErr w:type="spellStart"/>
      <w:r>
        <w:t>digestate</w:t>
      </w:r>
      <w:proofErr w:type="spellEnd"/>
      <w:r>
        <w:t xml:space="preserve"> qualifies as an “agricultural operation.” The temporary rule amendment exempts </w:t>
      </w:r>
      <w:proofErr w:type="spellStart"/>
      <w:r>
        <w:rPr>
          <w:bCs/>
          <w:color w:val="000000"/>
        </w:rPr>
        <w:t>digestate</w:t>
      </w:r>
      <w:proofErr w:type="spellEnd"/>
      <w:r>
        <w:rPr>
          <w:bCs/>
          <w:color w:val="000000"/>
        </w:rPr>
        <w:t xml:space="preserve"> from having to meet the pathogen limits of OAR 340-096-0140 if the </w:t>
      </w:r>
      <w:proofErr w:type="spellStart"/>
      <w:r>
        <w:rPr>
          <w:bCs/>
          <w:color w:val="000000"/>
        </w:rPr>
        <w:t>digestate</w:t>
      </w:r>
      <w:proofErr w:type="spellEnd"/>
      <w:r>
        <w:rPr>
          <w:bCs/>
          <w:color w:val="000000"/>
        </w:rPr>
        <w:t xml:space="preserve"> is land applied at agronomic rates in compliance with federal requirements for </w:t>
      </w:r>
      <w:proofErr w:type="spellStart"/>
      <w:r>
        <w:rPr>
          <w:bCs/>
          <w:color w:val="000000"/>
        </w:rPr>
        <w:t>biosolids</w:t>
      </w:r>
      <w:proofErr w:type="spellEnd"/>
      <w:r>
        <w:rPr>
          <w:bCs/>
          <w:color w:val="000000"/>
        </w:rPr>
        <w:t xml:space="preserve"> under 40 C.F.R. §503.32(b)(5). These federal </w:t>
      </w:r>
      <w:proofErr w:type="spellStart"/>
      <w:r>
        <w:rPr>
          <w:bCs/>
          <w:color w:val="000000"/>
        </w:rPr>
        <w:t>biosolids</w:t>
      </w:r>
      <w:proofErr w:type="spellEnd"/>
      <w:r>
        <w:rPr>
          <w:bCs/>
          <w:color w:val="000000"/>
        </w:rPr>
        <w:t xml:space="preserve"> requirements are comprised of site restrictions on the application of </w:t>
      </w:r>
      <w:proofErr w:type="spellStart"/>
      <w:r>
        <w:rPr>
          <w:bCs/>
          <w:color w:val="000000"/>
        </w:rPr>
        <w:t>digestate</w:t>
      </w:r>
      <w:proofErr w:type="spellEnd"/>
      <w:r>
        <w:rPr>
          <w:bCs/>
          <w:color w:val="000000"/>
        </w:rPr>
        <w:t xml:space="preserve"> to </w:t>
      </w:r>
      <w:r>
        <w:t>ensure that biological processes within soil, and exposure to sun and weather, further</w:t>
      </w:r>
      <w:r>
        <w:rPr>
          <w:bCs/>
          <w:color w:val="000000"/>
        </w:rPr>
        <w:t xml:space="preserve"> </w:t>
      </w:r>
      <w:r w:rsidRPr="00D719B8">
        <w:t xml:space="preserve">reduce pathogens </w:t>
      </w:r>
      <w:r>
        <w:t xml:space="preserve">in </w:t>
      </w:r>
      <w:proofErr w:type="spellStart"/>
      <w:r>
        <w:t>digestate</w:t>
      </w:r>
      <w:proofErr w:type="spellEnd"/>
      <w:r>
        <w:t xml:space="preserv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w:t>
      </w:r>
      <w:proofErr w:type="spellStart"/>
      <w:r>
        <w:t>digestate</w:t>
      </w:r>
      <w:proofErr w:type="spellEnd"/>
      <w:r>
        <w:t xml:space="preserve"> is applied </w:t>
      </w:r>
      <w:r w:rsidRPr="008678FD">
        <w:t>for a period of time</w:t>
      </w:r>
      <w:r>
        <w:t xml:space="preserve"> to allow further pathogen reduction. Compliance with these federal site restrictions, coupled with land application at agronomic rates, ensures that pathogen reduction for </w:t>
      </w:r>
      <w:proofErr w:type="spellStart"/>
      <w:r>
        <w:t>digestate</w:t>
      </w:r>
      <w:proofErr w:type="spellEnd"/>
      <w:r>
        <w:t xml:space="preserv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77777777" w:rsidR="00451C40" w:rsidRPr="00215CBA" w:rsidRDefault="00451C40" w:rsidP="00451C40">
      <w:r>
        <w:t xml:space="preserve">The proposed rule would affect </w:t>
      </w:r>
      <w:proofErr w:type="spellStart"/>
      <w:r>
        <w:t>digestate</w:t>
      </w:r>
      <w:proofErr w:type="spellEnd"/>
      <w:r>
        <w:t xml:space="preserve"> produced by anaerobic digesters that are not considered “agricultural operations” (as the term is defined by ORS 467.120(2</w:t>
      </w:r>
      <w:proofErr w:type="gramStart"/>
      <w:r>
        <w:t>)(</w:t>
      </w:r>
      <w:proofErr w:type="gramEnd"/>
      <w:r>
        <w:t xml:space="preserve">a)). These affected anaerobic digesters would not have to meet the limit and testing requirements in OAR 340-096-0140 when producing </w:t>
      </w:r>
      <w:proofErr w:type="spellStart"/>
      <w:r>
        <w:t>digestate</w:t>
      </w:r>
      <w:proofErr w:type="spellEnd"/>
      <w:r>
        <w:t xml:space="preserv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7" w:name="_Toc3976527"/>
      <w:r>
        <w:t>Outreach efforts</w:t>
      </w:r>
      <w:bookmarkEnd w:id="7"/>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6D4258F" w:rsidR="00451C40" w:rsidRPr="00883B55" w:rsidRDefault="00451C40" w:rsidP="00451C40">
      <w:pPr>
        <w:pStyle w:val="ListParagraph"/>
        <w:numPr>
          <w:ilvl w:val="0"/>
          <w:numId w:val="23"/>
        </w:numPr>
        <w:ind w:right="18"/>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r w:rsidR="0002499F">
        <w:rPr>
          <w:color w:val="000000"/>
        </w:rPr>
        <w:t xml:space="preserve"> to attend or to listen to by phone</w:t>
      </w:r>
      <w:r>
        <w:rPr>
          <w:color w:val="000000"/>
        </w:rPr>
        <w:t>.</w:t>
      </w:r>
    </w:p>
    <w:p w14:paraId="63B189A8" w14:textId="5D4812D1" w:rsidR="0002499F" w:rsidRPr="00883B55" w:rsidRDefault="0002499F" w:rsidP="00451C40">
      <w:pPr>
        <w:pStyle w:val="ListParagraph"/>
        <w:numPr>
          <w:ilvl w:val="0"/>
          <w:numId w:val="23"/>
        </w:numPr>
        <w:ind w:right="18"/>
      </w:pPr>
      <w:r>
        <w:rPr>
          <w:color w:val="000000"/>
        </w:rPr>
        <w:t>DEQ sent updates about the rulemaking process through a GovDelivery email list.</w:t>
      </w:r>
    </w:p>
    <w:p w14:paraId="2CA1FBDD" w14:textId="2FD7F3B5" w:rsidR="0002499F" w:rsidRPr="00883B55" w:rsidRDefault="0002499F" w:rsidP="00451C40">
      <w:pPr>
        <w:pStyle w:val="ListParagraph"/>
        <w:numPr>
          <w:ilvl w:val="0"/>
          <w:numId w:val="23"/>
        </w:numPr>
        <w:ind w:right="18"/>
      </w:pPr>
      <w:r>
        <w:rPr>
          <w:color w:val="000000"/>
        </w:rPr>
        <w:t>DEQ published a public notice requesting comment on the rule. The public notice included draft rule language and invited comment on any part of the rule.</w:t>
      </w:r>
    </w:p>
    <w:p w14:paraId="665B9CA5" w14:textId="38145779" w:rsidR="0002499F" w:rsidRDefault="00451C40" w:rsidP="00883B55">
      <w:pPr>
        <w:pStyle w:val="ListParagraph"/>
        <w:numPr>
          <w:ilvl w:val="0"/>
          <w:numId w:val="23"/>
        </w:numPr>
        <w:ind w:right="18"/>
      </w:pPr>
      <w:r>
        <w:t xml:space="preserve">DEQ </w:t>
      </w:r>
      <w:r w:rsidR="0002499F">
        <w:t>accepted</w:t>
      </w:r>
      <w:r>
        <w:t xml:space="preserve"> public comments on the permanent rule </w:t>
      </w:r>
      <w:r w:rsidR="0002499F">
        <w:t xml:space="preserve">through the DEQ website and other formats </w:t>
      </w:r>
      <w:r>
        <w:t>from April 15, 2019, to May 17, 2019.</w:t>
      </w:r>
    </w:p>
    <w:p w14:paraId="312CD6BA" w14:textId="1A9743E5" w:rsidR="00451C40" w:rsidRPr="0038253B" w:rsidRDefault="00451C40" w:rsidP="00883B55">
      <w:pPr>
        <w:pStyle w:val="ListParagraph"/>
        <w:numPr>
          <w:ilvl w:val="0"/>
          <w:numId w:val="23"/>
        </w:numPr>
        <w:ind w:right="18"/>
      </w:pPr>
      <w:r>
        <w:t xml:space="preserve">DEQ </w:t>
      </w:r>
      <w:r w:rsidR="00883B55">
        <w:t>held</w:t>
      </w:r>
      <w:r>
        <w:t xml:space="preserve"> a public hearing on May 15, 2019.</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2BFE0191"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193FB942"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8" w:name="_Toc3988347"/>
      <w:bookmarkStart w:id="9" w:name="_Toc9938154"/>
      <w:r w:rsidRPr="003C26EE">
        <w:lastRenderedPageBreak/>
        <w:t>Statement of need</w:t>
      </w:r>
      <w:bookmarkEnd w:id="8"/>
      <w:bookmarkEnd w:id="9"/>
    </w:p>
    <w:p w14:paraId="2FDF0A64" w14:textId="77777777" w:rsidR="00FD5497" w:rsidRDefault="00FD5497" w:rsidP="00FD5497">
      <w:pPr>
        <w:pStyle w:val="Heading2"/>
      </w:pPr>
      <w:bookmarkStart w:id="10" w:name="RequestForOtherOptions"/>
    </w:p>
    <w:p w14:paraId="709986BB" w14:textId="77777777"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w:t>
      </w:r>
      <w:proofErr w:type="spellStart"/>
      <w:r>
        <w:t>digestate</w:t>
      </w:r>
      <w:proofErr w:type="spellEnd"/>
      <w:r>
        <w:t xml:space="preserve"> applied to soil on farms. </w:t>
      </w:r>
    </w:p>
    <w:p w14:paraId="5379B7E8" w14:textId="77777777" w:rsidR="00FD5497" w:rsidRDefault="00FD5497" w:rsidP="00FD5497"/>
    <w:p w14:paraId="7F912AA6" w14:textId="77777777" w:rsidR="00FD5497" w:rsidRDefault="00FD5497" w:rsidP="00FD5497">
      <w:r>
        <w:t xml:space="preserve">Before the temporary rule adoption, OAR 340-096-0140 required all </w:t>
      </w:r>
      <w:proofErr w:type="spellStart"/>
      <w:r>
        <w:t>digestate</w:t>
      </w:r>
      <w:proofErr w:type="spellEnd"/>
      <w:r>
        <w:t xml:space="preserve"> produced by anaerobic digesters to meet certain pathogen reduction standards. However, agricultural operations producing </w:t>
      </w:r>
      <w:proofErr w:type="spellStart"/>
      <w:r>
        <w:t>digestate</w:t>
      </w:r>
      <w:proofErr w:type="spellEnd"/>
      <w:r>
        <w:t xml:space="preserve"> only for on-farm use were not subject to this rule. This created an inconsistency: </w:t>
      </w:r>
      <w:proofErr w:type="spellStart"/>
      <w:r>
        <w:t>digestate</w:t>
      </w:r>
      <w:proofErr w:type="spellEnd"/>
      <w:r>
        <w:t xml:space="preserve"> produced for on-farm use by anaerobic digesters not considered agricultural operations had to meet pathogen reduction standards that </w:t>
      </w:r>
      <w:proofErr w:type="spellStart"/>
      <w:r>
        <w:t>digestate</w:t>
      </w:r>
      <w:proofErr w:type="spellEnd"/>
      <w:r>
        <w:t xml:space="preserve"> produced for on-farm use by agricultural operations were exempt from. These pathogen reduction requirements were modeled on EPA’s </w:t>
      </w:r>
      <w:proofErr w:type="spellStart"/>
      <w:r>
        <w:t>Biosolids</w:t>
      </w:r>
      <w:proofErr w:type="spellEnd"/>
      <w:r>
        <w:t xml:space="preserve"> 503 regulations for Class A </w:t>
      </w:r>
      <w:proofErr w:type="spellStart"/>
      <w:r>
        <w:t>biosolids</w:t>
      </w:r>
      <w:proofErr w:type="spellEnd"/>
      <w:r>
        <w:t xml:space="preserve"> and were intended for composting operations. The goal of Class A processes is to reduce the level of pathogens below the level at which they may cause disease when exposed to the public. Class A </w:t>
      </w:r>
      <w:proofErr w:type="spellStart"/>
      <w:r>
        <w:t>biosolids</w:t>
      </w:r>
      <w:proofErr w:type="spellEnd"/>
      <w:r>
        <w:t xml:space="preserve"> may be used without site restrictions, and must be tested to show that the microbiological requirements are met. As a result, in producing </w:t>
      </w:r>
      <w:proofErr w:type="spellStart"/>
      <w:r>
        <w:t>digestate</w:t>
      </w:r>
      <w:proofErr w:type="spellEnd"/>
      <w:r>
        <w:t xml:space="preserv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 xml:space="preserve">In February, the EQC adopted a temporary rule amendment to correct this inconsistency. The temporary rule ensured that </w:t>
      </w:r>
      <w:proofErr w:type="spellStart"/>
      <w:r>
        <w:t>digestate</w:t>
      </w:r>
      <w:proofErr w:type="spellEnd"/>
      <w:r>
        <w:t xml:space="preserve"> would be exempt from the pathogen reduction limits, regardless of whether the digester is considered an agricultural operation or not, if the </w:t>
      </w:r>
      <w:proofErr w:type="spellStart"/>
      <w:r>
        <w:t>digestate</w:t>
      </w:r>
      <w:proofErr w:type="spellEnd"/>
      <w:r>
        <w:t xml:space="preserve"> is applied to land at agronomic rates and consistent with site restrictions set forth in 40 C.F.R. §503.32(b)(5). These site restrictions are taken from federal </w:t>
      </w:r>
      <w:proofErr w:type="spellStart"/>
      <w:r>
        <w:t>Biosolids</w:t>
      </w:r>
      <w:proofErr w:type="spellEnd"/>
      <w:r>
        <w:t xml:space="preserve"> 503 regulations for Class B </w:t>
      </w:r>
      <w:proofErr w:type="spellStart"/>
      <w:r>
        <w:t>biosolids</w:t>
      </w:r>
      <w:proofErr w:type="spellEnd"/>
      <w:r>
        <w:t xml:space="preserve">, which do not have to meet Class A </w:t>
      </w:r>
      <w:proofErr w:type="spellStart"/>
      <w:r>
        <w:t>biosolids</w:t>
      </w:r>
      <w:proofErr w:type="spellEnd"/>
      <w:r>
        <w:t xml:space="preserve"> pathogen reduction requirements but are restricted to application to the land as fertilizer. These site restrictions include, for instance, restricting for a period of time public access and certain farming practices (such as animal grazing) on land to which Class B </w:t>
      </w:r>
      <w:proofErr w:type="spellStart"/>
      <w:r>
        <w:t>biosolids</w:t>
      </w:r>
      <w:proofErr w:type="spellEnd"/>
      <w:r>
        <w:t xml:space="preserve">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 xml:space="preserve">The proposed rule addresses the need described above by ensuring that </w:t>
      </w:r>
      <w:proofErr w:type="spellStart"/>
      <w:r>
        <w:t>digestate</w:t>
      </w:r>
      <w:proofErr w:type="spellEnd"/>
      <w:r>
        <w:t xml:space="preserv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w:t>
      </w:r>
      <w:proofErr w:type="spellStart"/>
      <w:r>
        <w:t>digestate</w:t>
      </w:r>
      <w:proofErr w:type="spellEnd"/>
      <w:r>
        <w:t xml:space="preserve"> produced by </w:t>
      </w:r>
      <w:r>
        <w:lastRenderedPageBreak/>
        <w:t xml:space="preserve">agricultural operations for on-farm use and </w:t>
      </w:r>
      <w:proofErr w:type="spellStart"/>
      <w:r>
        <w:t>digestate</w:t>
      </w:r>
      <w:proofErr w:type="spellEnd"/>
      <w:r>
        <w:t xml:space="preserv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 xml:space="preserve">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w:t>
      </w:r>
      <w:proofErr w:type="spellStart"/>
      <w:r>
        <w:t>digestate</w:t>
      </w:r>
      <w:proofErr w:type="spellEnd"/>
      <w:r>
        <w:t xml:space="preserve"> is consistent. DEQ will know the need was met if digester operators can operate safely without being subject to inconsistent or unnecessary pathogen reduction requirements.</w:t>
      </w:r>
    </w:p>
    <w:bookmarkEnd w:id="10"/>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38F1CD6"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3357801A"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19"/>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11" w:name="_Toc3988348"/>
      <w:bookmarkStart w:id="12" w:name="_Toc9938155"/>
      <w:r w:rsidRPr="003C26EE">
        <w:lastRenderedPageBreak/>
        <w:t>Rules affected, authorities, supporting documents</w:t>
      </w:r>
      <w:bookmarkEnd w:id="11"/>
      <w:bookmarkEnd w:id="12"/>
    </w:p>
    <w:p w14:paraId="37A77CF9" w14:textId="77777777" w:rsidR="00FD5497" w:rsidRPr="00FD5497" w:rsidRDefault="00FD5497" w:rsidP="00FD5497"/>
    <w:p w14:paraId="5786FAE8" w14:textId="77777777"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13" w:name="SupportingDocuments"/>
      <w:r w:rsidRPr="0038253B">
        <w:t>Documents relied on for rulemaking</w:t>
      </w:r>
      <w:bookmarkEnd w:id="13"/>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777BA7" w:rsidP="00E20641">
            <w:pPr>
              <w:rPr>
                <w:color w:val="C45911" w:themeColor="accent2" w:themeShade="BF"/>
                <w:sz w:val="22"/>
                <w:szCs w:val="22"/>
              </w:rPr>
            </w:pPr>
            <w:hyperlink r:id="rId20"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777BA7" w:rsidP="00E20641">
            <w:pPr>
              <w:rPr>
                <w:color w:val="C45911" w:themeColor="accent2" w:themeShade="BF"/>
                <w:sz w:val="22"/>
                <w:szCs w:val="22"/>
              </w:rPr>
            </w:pPr>
            <w:hyperlink r:id="rId21"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777BA7" w:rsidP="00E20641">
            <w:pPr>
              <w:rPr>
                <w:color w:val="C45911" w:themeColor="accent2" w:themeShade="BF"/>
                <w:sz w:val="22"/>
                <w:szCs w:val="22"/>
              </w:rPr>
            </w:pPr>
            <w:hyperlink r:id="rId22"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777BA7" w:rsidP="00E20641">
            <w:pPr>
              <w:rPr>
                <w:color w:val="C45911" w:themeColor="accent2" w:themeShade="BF"/>
                <w:sz w:val="22"/>
                <w:szCs w:val="22"/>
              </w:rPr>
            </w:pPr>
            <w:hyperlink r:id="rId23"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87148"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49AEBD09"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14" w:name="_Toc3988349"/>
      <w:bookmarkStart w:id="15" w:name="_Toc9938156"/>
      <w:r w:rsidRPr="003C26EE">
        <w:lastRenderedPageBreak/>
        <w:t>Fee Analysis</w:t>
      </w:r>
      <w:bookmarkEnd w:id="14"/>
      <w:bookmarkEnd w:id="15"/>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6" w:name="RANGE!A226:B243"/>
      <w:bookmarkEnd w:id="16"/>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17" w:name="_Toc3988350"/>
      <w:bookmarkStart w:id="18" w:name="_Toc9938157"/>
      <w:r w:rsidRPr="003C26EE">
        <w:lastRenderedPageBreak/>
        <w:t>Statement of fiscal and economic impact</w:t>
      </w:r>
      <w:bookmarkEnd w:id="17"/>
      <w:bookmarkEnd w:id="18"/>
    </w:p>
    <w:p w14:paraId="525A990B" w14:textId="77777777" w:rsidR="00ED1C5F" w:rsidRDefault="00ED1C5F" w:rsidP="00ED1C5F">
      <w:pPr>
        <w:pStyle w:val="Heading2"/>
      </w:pPr>
    </w:p>
    <w:p w14:paraId="48D8AE04" w14:textId="77777777"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w:t>
      </w:r>
      <w:proofErr w:type="spellStart"/>
      <w:r>
        <w:rPr>
          <w:bCs/>
          <w:color w:val="000000"/>
        </w:rPr>
        <w:t>digestate</w:t>
      </w:r>
      <w:proofErr w:type="spellEnd"/>
      <w:r>
        <w:rPr>
          <w:bCs/>
          <w:color w:val="000000"/>
        </w:rPr>
        <w:t xml:space="preserve"> under OAR 340-096-0140. The temporary rule amendments corrected this inconsistency and clarified that </w:t>
      </w:r>
      <w:proofErr w:type="spellStart"/>
      <w:r>
        <w:rPr>
          <w:bCs/>
          <w:color w:val="000000"/>
        </w:rPr>
        <w:t>digestate</w:t>
      </w:r>
      <w:proofErr w:type="spellEnd"/>
      <w:r>
        <w:rPr>
          <w:bCs/>
          <w:color w:val="000000"/>
        </w:rPr>
        <w:t xml:space="preserve">, when applied to land as a fertilizer (e.g., “land applied”) at agronomic rates in compliance with federal </w:t>
      </w:r>
      <w:proofErr w:type="spellStart"/>
      <w:r>
        <w:rPr>
          <w:bCs/>
          <w:color w:val="000000"/>
        </w:rPr>
        <w:t>biosolids</w:t>
      </w:r>
      <w:proofErr w:type="spellEnd"/>
      <w:r>
        <w:rPr>
          <w:bCs/>
          <w:color w:val="000000"/>
        </w:rPr>
        <w:t xml:space="preserve"> requirements as set forth in 40 C.F.R. §503.32(b</w:t>
      </w:r>
      <w:proofErr w:type="gramStart"/>
      <w:r>
        <w:rPr>
          <w:bCs/>
          <w:color w:val="000000"/>
        </w:rPr>
        <w:t>)(</w:t>
      </w:r>
      <w:proofErr w:type="gramEnd"/>
      <w:r>
        <w:rPr>
          <w:bCs/>
          <w:color w:val="000000"/>
        </w:rPr>
        <w:t xml:space="preserve">5), does not need to meet pathogen limits for fecal coliform, regardless of whether the anaerobic digester is an agricultural operation or not. (Land application of </w:t>
      </w:r>
      <w:proofErr w:type="spellStart"/>
      <w:r>
        <w:rPr>
          <w:bCs/>
          <w:color w:val="000000"/>
        </w:rPr>
        <w:t>digestate</w:t>
      </w:r>
      <w:proofErr w:type="spellEnd"/>
      <w:r>
        <w:rPr>
          <w:bCs/>
          <w:color w:val="000000"/>
        </w:rPr>
        <w:t xml:space="preserve"> at agronomic rates and in compliance with federal </w:t>
      </w:r>
      <w:proofErr w:type="spellStart"/>
      <w:r>
        <w:rPr>
          <w:bCs/>
          <w:color w:val="000000"/>
        </w:rPr>
        <w:t>biosolids</w:t>
      </w:r>
      <w:proofErr w:type="spellEnd"/>
      <w:r>
        <w:rPr>
          <w:bCs/>
          <w:color w:val="000000"/>
        </w:rPr>
        <w:t xml:space="preserve">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w:t>
      </w:r>
      <w:proofErr w:type="spellStart"/>
      <w:r>
        <w:t>digestate</w:t>
      </w:r>
      <w:proofErr w:type="spellEnd"/>
      <w:r>
        <w:t xml:space="preserv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lastRenderedPageBreak/>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 xml:space="preserve">The direct impact on Shell New Energies would likely be a decrease in facility operational costs, if the facility starts to process manure, as planned in the future. For </w:t>
      </w:r>
      <w:proofErr w:type="spellStart"/>
      <w:r>
        <w:t>digestate</w:t>
      </w:r>
      <w:proofErr w:type="spellEnd"/>
      <w:r>
        <w:t xml:space="preserve"> that will be land applied at agronomic rates in compliance with federal </w:t>
      </w:r>
      <w:proofErr w:type="spellStart"/>
      <w:r>
        <w:t>biosolids</w:t>
      </w:r>
      <w:proofErr w:type="spellEnd"/>
      <w:r>
        <w:t xml:space="preserve">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lastRenderedPageBreak/>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lastRenderedPageBreak/>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4"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2E292B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E0F115B"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19" w:name="_Toc3988351"/>
      <w:bookmarkStart w:id="20" w:name="_Toc9938158"/>
      <w:r w:rsidRPr="003C26EE">
        <w:lastRenderedPageBreak/>
        <w:t>Federal relationship</w:t>
      </w:r>
      <w:bookmarkEnd w:id="19"/>
      <w:bookmarkEnd w:id="20"/>
    </w:p>
    <w:p w14:paraId="41D06F32" w14:textId="77777777" w:rsidR="00CF7D1B" w:rsidRDefault="00CF7D1B" w:rsidP="00CF7D1B"/>
    <w:p w14:paraId="7A2A768E" w14:textId="77777777"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CC2667"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433FCAE3"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21" w:name="_Toc3988352"/>
      <w:bookmarkStart w:id="22" w:name="_Toc9938159"/>
      <w:r w:rsidRPr="003C26EE">
        <w:lastRenderedPageBreak/>
        <w:t>Land use</w:t>
      </w:r>
      <w:bookmarkEnd w:id="21"/>
      <w:bookmarkEnd w:id="22"/>
    </w:p>
    <w:p w14:paraId="4E4D76B3" w14:textId="77777777"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DEQ’s statewide goal compliance and local plan compatibility procedures adequately cover the proposed rule. Under OAR 340-018-0050(2</w:t>
      </w:r>
      <w:proofErr w:type="gramStart"/>
      <w:r>
        <w:t>)(</w:t>
      </w:r>
      <w:proofErr w:type="gramEnd"/>
      <w:r>
        <w:t xml:space="preserve">a), ensuring compatibility with acknowledged comprehensive plans may be accomplished through a Land Use Compatibility Statement. The proposed rule change to OAR 340-096-0140 would affect pathogen reduction </w:t>
      </w:r>
      <w:r>
        <w:lastRenderedPageBreak/>
        <w:t xml:space="preserve">standards that a composting facility must meet for its compost or </w:t>
      </w:r>
      <w:proofErr w:type="spellStart"/>
      <w:r>
        <w:t>digestate</w:t>
      </w:r>
      <w:proofErr w:type="spellEnd"/>
      <w:r>
        <w:t>. Under OAR 340-096-0080,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3297B"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04B7EF31"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23" w:name="_Toc3988353"/>
      <w:bookmarkStart w:id="24" w:name="_Toc9938160"/>
      <w:r w:rsidRPr="003C26EE">
        <w:lastRenderedPageBreak/>
        <w:t>EQC Prior Involvement</w:t>
      </w:r>
      <w:bookmarkEnd w:id="23"/>
      <w:bookmarkEnd w:id="24"/>
    </w:p>
    <w:p w14:paraId="59065E79" w14:textId="77777777"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11AD8B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BABDA1A"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25" w:name="_Toc3988354"/>
      <w:bookmarkStart w:id="26" w:name="_Toc9938161"/>
      <w:r w:rsidRPr="003C26EE">
        <w:lastRenderedPageBreak/>
        <w:t>Advisory Committee</w:t>
      </w:r>
      <w:bookmarkEnd w:id="25"/>
      <w:bookmarkEnd w:id="26"/>
    </w:p>
    <w:p w14:paraId="1757FAC1" w14:textId="7777777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5"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 xml:space="preserve">Tim </w:t>
            </w:r>
            <w:proofErr w:type="spellStart"/>
            <w:r w:rsidRPr="000B42B7">
              <w:rPr>
                <w:szCs w:val="22"/>
              </w:rPr>
              <w:t>Bielenberg</w:t>
            </w:r>
            <w:proofErr w:type="spellEnd"/>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6"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77777777" w:rsidR="002F2F6F" w:rsidRDefault="002F2F6F" w:rsidP="002F2F6F">
      <w:r w:rsidRPr="001404B0">
        <w:rPr>
          <w:noProof/>
        </w:rPr>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3EA6779"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6349895"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27" w:name="_Toc3988355"/>
      <w:bookmarkStart w:id="28" w:name="_Toc9938162"/>
      <w:r w:rsidRPr="003C26EE">
        <w:lastRenderedPageBreak/>
        <w:t>Public Engagement</w:t>
      </w:r>
      <w:bookmarkEnd w:id="27"/>
      <w:bookmarkEnd w:id="28"/>
    </w:p>
    <w:p w14:paraId="0DCCE6DB" w14:textId="77777777" w:rsidR="004A18B5" w:rsidRDefault="004A18B5" w:rsidP="004A18B5">
      <w:pPr>
        <w:pStyle w:val="Heading2"/>
        <w:rPr>
          <w:rStyle w:val="SubtitleChar"/>
          <w:rFonts w:eastAsiaTheme="majorEastAsia"/>
        </w:rPr>
      </w:pPr>
    </w:p>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77777777" w:rsidR="004A18B5" w:rsidRPr="0038253B"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7"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28"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 xml:space="preserve">Senator Michael </w:t>
      </w:r>
      <w:proofErr w:type="spellStart"/>
      <w:r w:rsidR="00FC7A97" w:rsidRPr="005745C0">
        <w:rPr>
          <w:rStyle w:val="Emphasis"/>
          <w:vanish w:val="0"/>
          <w:color w:val="auto"/>
          <w:sz w:val="24"/>
        </w:rPr>
        <w:t>Dembrow</w:t>
      </w:r>
      <w:proofErr w:type="spellEnd"/>
      <w:r w:rsidR="00FC7A97" w:rsidRPr="005745C0">
        <w:rPr>
          <w:rStyle w:val="Emphasis"/>
          <w:vanish w:val="0"/>
          <w:color w:val="auto"/>
          <w:sz w:val="24"/>
        </w:rPr>
        <w:t>,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 xml:space="preserve">Representative E. Werner </w:t>
      </w:r>
      <w:proofErr w:type="spellStart"/>
      <w:r w:rsidRPr="005745C0">
        <w:rPr>
          <w:rStyle w:val="Emphasis"/>
          <w:vanish w:val="0"/>
          <w:color w:val="auto"/>
          <w:sz w:val="24"/>
        </w:rPr>
        <w:t>Reschke</w:t>
      </w:r>
      <w:proofErr w:type="spellEnd"/>
      <w:r w:rsidRPr="005745C0">
        <w:rPr>
          <w:rStyle w:val="Emphasis"/>
          <w:vanish w:val="0"/>
          <w:color w:val="auto"/>
          <w:sz w:val="24"/>
        </w:rPr>
        <w:t>,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29"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5C4878"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2DEA1D7A" w14:textId="77777777" w:rsidR="00777BA7" w:rsidRPr="001A4DE1" w:rsidRDefault="00777BA7"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777BA7" w:rsidRDefault="00777BA7"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29" w:name="_Toc3988356"/>
      <w:r>
        <w:lastRenderedPageBreak/>
        <w:t>Public Hearing</w:t>
      </w:r>
      <w:bookmarkEnd w:id="29"/>
    </w:p>
    <w:p w14:paraId="1425F4D0" w14:textId="77777777" w:rsidR="002F2F6F" w:rsidRDefault="002F2F6F" w:rsidP="002F2F6F"/>
    <w:p w14:paraId="0F2D7C13" w14:textId="651DBC55" w:rsidR="002F2F6F" w:rsidRPr="001404B0" w:rsidRDefault="002F2F6F" w:rsidP="002F2F6F">
      <w:r w:rsidRPr="001404B0">
        <w:t>DEQ held</w:t>
      </w:r>
      <w:r w:rsidR="005C3C8A">
        <w:t xml:space="preserve"> one public hearing</w:t>
      </w:r>
      <w:r w:rsidRPr="001404B0">
        <w:t>. DEQ received</w:t>
      </w:r>
      <w:r w:rsidR="005C3C8A">
        <w:t xml:space="preserve"> no</w:t>
      </w:r>
      <w:r w:rsidRPr="001404B0">
        <w:t xml:space="preserve"> comments at the hearing. Later sections of this document include a summary of the</w:t>
      </w:r>
      <w:r w:rsidR="00F672B1">
        <w:t xml:space="preserve"> seven</w:t>
      </w:r>
      <w:r w:rsidRPr="00A135B0">
        <w:rPr>
          <w:rStyle w:val="instructionsChar"/>
        </w:rPr>
        <w:t xml:space="preserve"> </w:t>
      </w:r>
      <w:r w:rsidRPr="001404B0">
        <w:t>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3D023099" w:rsidR="002F2F6F" w:rsidRPr="00A135B0" w:rsidRDefault="00454314" w:rsidP="00357F92">
            <w:pPr>
              <w:rPr>
                <w:vanish/>
              </w:rPr>
            </w:pPr>
            <w:r>
              <w:t>700 NE Multnomah Street, Conference Room, Third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F927FB5" w:rsidR="002F2F6F" w:rsidRPr="00A135B0" w:rsidRDefault="0008383F" w:rsidP="0008383F">
            <w:pPr>
              <w:rPr>
                <w:vanish/>
              </w:rPr>
            </w:pPr>
            <w:r>
              <w:t>6:00 pm</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765085A9" w:rsidR="002F2F6F" w:rsidRPr="00A135B0" w:rsidRDefault="001A0D8C" w:rsidP="001A0D8C">
            <w:pPr>
              <w:rPr>
                <w:vanish/>
              </w:rPr>
            </w:pPr>
            <w:r>
              <w:t>6:26 pm</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34B95DEC" w14:textId="61E4BC15" w:rsidR="00F672B1" w:rsidRDefault="00F672B1" w:rsidP="00F672B1">
      <w:pPr>
        <w:tabs>
          <w:tab w:val="left" w:pos="-1440"/>
          <w:tab w:val="left" w:pos="-720"/>
        </w:tabs>
        <w:suppressAutoHyphens/>
      </w:pPr>
      <w:r w:rsidRPr="001404B0">
        <w:t>The presiding officer convened the hearing</w:t>
      </w:r>
      <w:r>
        <w:t xml:space="preserve"> and explained that the hearing was for the compost permanent rulemaking. </w:t>
      </w:r>
      <w:r w:rsidRPr="00357F92">
        <w:t>Signs were posted stating that DEQ was recording the hearing.</w:t>
      </w:r>
      <w:r w:rsidRPr="00357F92">
        <w:rPr>
          <w:b/>
        </w:rPr>
        <w:t xml:space="preserve"> </w:t>
      </w:r>
      <w:r w:rsidR="00AE5FB0">
        <w:t xml:space="preserve">One person attended the hearing in person. </w:t>
      </w:r>
      <w:r>
        <w:t>No person presented any oral testimony or written comments.</w:t>
      </w:r>
      <w:bookmarkStart w:id="30" w:name="_GoBack"/>
      <w:bookmarkEnd w:id="30"/>
    </w:p>
    <w:p w14:paraId="4654EC0B" w14:textId="77777777" w:rsidR="00F672B1" w:rsidRDefault="00F672B1" w:rsidP="00F672B1">
      <w:pPr>
        <w:tabs>
          <w:tab w:val="left" w:pos="-1440"/>
          <w:tab w:val="left" w:pos="-720"/>
        </w:tabs>
        <w:suppressAutoHyphens/>
      </w:pPr>
    </w:p>
    <w:p w14:paraId="73619285" w14:textId="5B25D933" w:rsidR="002F2F6F" w:rsidRPr="001404B0" w:rsidRDefault="002F2F6F" w:rsidP="001F7800">
      <w:pPr>
        <w:pStyle w:val="Heading2"/>
      </w:pPr>
      <w:bookmarkStart w:id="31" w:name="_Toc2850647"/>
      <w:bookmarkStart w:id="32" w:name="_Toc3988357"/>
      <w:r w:rsidRPr="001404B0">
        <w:t>Summary of Public Comments and DEQ Responses</w:t>
      </w:r>
      <w:bookmarkEnd w:id="31"/>
      <w:bookmarkEnd w:id="32"/>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5913CB7B" w14:textId="58644DA3" w:rsidR="002F2F6F" w:rsidRDefault="00E20641" w:rsidP="002F2F6F">
      <w:r>
        <w:t xml:space="preserve">DEQ received 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r w:rsidR="00357F92">
        <w:t xml:space="preserve">DEQ received some comments not related to the permanent rulemaking. </w:t>
      </w:r>
      <w:r w:rsidR="00F17EE4">
        <w:t>DEQ is providing responses only to comments related to the proposed permanent rulemaking</w:t>
      </w:r>
      <w:r w:rsidR="00450491">
        <w:t>.</w:t>
      </w:r>
    </w:p>
    <w:tbl>
      <w:tblPr>
        <w:tblStyle w:val="TableGrid"/>
        <w:tblW w:w="99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564"/>
        <w:gridCol w:w="2933"/>
        <w:gridCol w:w="3140"/>
        <w:gridCol w:w="3330"/>
      </w:tblGrid>
      <w:tr w:rsidR="00F2435A" w:rsidRPr="003C26EE" w14:paraId="0B3F88D5" w14:textId="77777777" w:rsidTr="00E6422C">
        <w:trPr>
          <w:trHeight w:val="1837"/>
          <w:jc w:val="center"/>
        </w:trPr>
        <w:tc>
          <w:tcPr>
            <w:tcW w:w="9967" w:type="dxa"/>
            <w:gridSpan w:val="4"/>
            <w:tcBorders>
              <w:bottom w:val="single" w:sz="12" w:space="0" w:color="000000" w:themeColor="text1"/>
            </w:tcBorders>
            <w:shd w:val="clear" w:color="auto" w:fill="E2EFD9" w:themeFill="accent6" w:themeFillTint="33"/>
            <w:vAlign w:val="center"/>
          </w:tcPr>
          <w:p w14:paraId="46242A04" w14:textId="77777777" w:rsidR="00F2435A" w:rsidRPr="003C26EE" w:rsidRDefault="00F2435A" w:rsidP="00450491">
            <w:pPr>
              <w:jc w:val="center"/>
            </w:pPr>
            <w:r w:rsidRPr="003C26EE">
              <w:rPr>
                <w:noProof/>
              </w:rPr>
              <w:lastRenderedPageBreak/>
              <w:drawing>
                <wp:anchor distT="0" distB="0" distL="114300" distR="114300" simplePos="0" relativeHeight="251666432" behindDoc="1" locked="0" layoutInCell="1" allowOverlap="1" wp14:anchorId="4FE79410" wp14:editId="02280EB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2" name="Picture 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CA28F" w14:textId="7026F78C" w:rsidR="00F2435A" w:rsidRPr="003C26EE" w:rsidRDefault="00F2435A" w:rsidP="00F2435A">
            <w:pPr>
              <w:jc w:val="center"/>
            </w:pPr>
            <w:r>
              <w:rPr>
                <w:rFonts w:ascii="Arial" w:hAnsi="Arial" w:cs="Arial"/>
                <w:b/>
                <w:sz w:val="32"/>
                <w:szCs w:val="32"/>
              </w:rPr>
              <w:t>List of Commentators</w:t>
            </w:r>
            <w:r w:rsidRPr="00050B27">
              <w:rPr>
                <w:rFonts w:ascii="Arial" w:hAnsi="Arial" w:cs="Arial"/>
              </w:rPr>
              <w:br/>
            </w:r>
          </w:p>
          <w:p w14:paraId="47D32BAE" w14:textId="6E7AE8B2" w:rsidR="00F2435A" w:rsidRPr="003C26EE" w:rsidRDefault="00F2435A" w:rsidP="00450491">
            <w:pPr>
              <w:jc w:val="center"/>
            </w:pPr>
          </w:p>
        </w:tc>
      </w:tr>
      <w:tr w:rsidR="00DA3C47" w:rsidRPr="001404B0" w14:paraId="653C3922" w14:textId="77777777" w:rsidTr="00E6422C">
        <w:tblPrEx>
          <w:tblBorders>
            <w:insideV w:val="single" w:sz="4" w:space="0" w:color="auto"/>
          </w:tblBorders>
          <w:tblCellMar>
            <w:left w:w="72" w:type="dxa"/>
            <w:right w:w="72" w:type="dxa"/>
          </w:tblCellMar>
        </w:tblPrEx>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E5B459" w14:textId="5A96A605" w:rsidR="00DA3C47" w:rsidRPr="001404B0" w:rsidRDefault="00A505D2">
            <w:pPr>
              <w:rPr>
                <w:sz w:val="22"/>
                <w:szCs w:val="22"/>
              </w:rPr>
            </w:pPr>
            <w:r>
              <w:rPr>
                <w:sz w:val="22"/>
                <w:szCs w:val="22"/>
              </w:rPr>
              <w:t>Ryan Talbott</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7AA90F53" w:rsidR="00B32968" w:rsidRPr="001404B0" w:rsidRDefault="00F510DB" w:rsidP="00B32968">
            <w:pPr>
              <w:rPr>
                <w:sz w:val="22"/>
                <w:szCs w:val="22"/>
              </w:rPr>
            </w:pPr>
            <w:r>
              <w:rPr>
                <w:sz w:val="22"/>
                <w:szCs w:val="22"/>
              </w:rPr>
              <w:t>2, 3, 4, 5, 6</w:t>
            </w:r>
            <w:r w:rsidR="00803A52">
              <w:rPr>
                <w:sz w:val="22"/>
                <w:szCs w:val="22"/>
              </w:rPr>
              <w:t>, 7</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7195ED8C" w:rsidR="002001D0" w:rsidRDefault="002001D0" w:rsidP="002001D0">
      <w:r>
        <w:t>DEQ’s website states that the comment period on the Composting Pathogen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440A45CF" w:rsidR="002001D0" w:rsidRDefault="002001D0" w:rsidP="002001D0">
      <w:r>
        <w:t>The public comment period was not extended</w:t>
      </w:r>
      <w:r w:rsidR="00803A52">
        <w:t xml:space="preserve">. </w:t>
      </w:r>
      <w:r>
        <w:t>The reference to a deadline extension on the DEQ website was posted in error; upon receipt of this comment, DEQ corrected the error on the website on May 15th. DEQ also provided the correct deadline to the commentator on the day the comment was received.</w:t>
      </w:r>
    </w:p>
    <w:p w14:paraId="22ED4195" w14:textId="77777777" w:rsidR="002001D0" w:rsidRDefault="002001D0" w:rsidP="002001D0"/>
    <w:p w14:paraId="02F9AFFF" w14:textId="77777777" w:rsidR="002001D0" w:rsidRDefault="002001D0" w:rsidP="002001D0">
      <w:pPr>
        <w:pStyle w:val="Heading4"/>
      </w:pPr>
      <w:r>
        <w:t xml:space="preserve">Comment 2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w:t>
      </w:r>
      <w:proofErr w:type="spellStart"/>
      <w:r>
        <w:t>biosolids</w:t>
      </w:r>
      <w:proofErr w:type="spellEnd"/>
      <w:r>
        <w:t xml:space="preserve">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0C4ACFDE" w:rsidR="002001D0" w:rsidRDefault="002001D0" w:rsidP="002001D0">
      <w:r>
        <w:t xml:space="preserve">The proposed rule change </w:t>
      </w:r>
      <w:r w:rsidR="00670B63">
        <w:t>does</w:t>
      </w:r>
      <w:r>
        <w:t xml:space="preserve"> not alter the treatment of </w:t>
      </w:r>
      <w:proofErr w:type="spellStart"/>
      <w:r>
        <w:t>biosolids</w:t>
      </w:r>
      <w:proofErr w:type="spellEnd"/>
      <w:r>
        <w:t xml:space="preserve">, which will continue to be regulated by applicable federal and state regulations such as 40 C.F.R 503 and OAR Chapter 340, Division 50. The proposed rule change would change the application of pathogen limits to </w:t>
      </w:r>
      <w:proofErr w:type="spellStart"/>
      <w:r>
        <w:t>digestate</w:t>
      </w:r>
      <w:proofErr w:type="spellEnd"/>
      <w:r>
        <w:t xml:space="preserve">, depending on the use of that </w:t>
      </w:r>
      <w:proofErr w:type="spellStart"/>
      <w:r>
        <w:t>digestate</w:t>
      </w:r>
      <w:proofErr w:type="spellEnd"/>
      <w:r>
        <w:t xml:space="preserve">, but gives DEQ the authority to reinstate </w:t>
      </w:r>
      <w:r>
        <w:lastRenderedPageBreak/>
        <w:t xml:space="preserve">pathogen limits for all </w:t>
      </w:r>
      <w:proofErr w:type="spellStart"/>
      <w:r>
        <w:t>digestate</w:t>
      </w:r>
      <w:proofErr w:type="spellEnd"/>
      <w:r>
        <w:t xml:space="preserve"> if such compliance is necessary to protect human health or the environment. </w:t>
      </w:r>
      <w:proofErr w:type="spellStart"/>
      <w:r>
        <w:t>Digestate</w:t>
      </w:r>
      <w:proofErr w:type="spellEnd"/>
      <w:r>
        <w:t xml:space="preserve"> must still be tested for pathogens</w:t>
      </w:r>
      <w:r w:rsidR="003168DF">
        <w:t>;</w:t>
      </w:r>
      <w:r>
        <w:t xml:space="preserve"> and composting facilities subject to OAR 340-096-0140 must still document and implement a pathogen reduction plan that addresses the requirements of 40 C.F.R. Part 503 and must still receive DEQ’s written approval for any use of liquid </w:t>
      </w:r>
      <w:proofErr w:type="spellStart"/>
      <w:r>
        <w:t>digestate</w:t>
      </w:r>
      <w:proofErr w:type="spellEnd"/>
      <w:r>
        <w:t xml:space="preserve"> other than discharge to an approved wastewater treatment system or discharge under a water quality permit issued under ORS 468B.050. DEQ also has authority under OAR 340-096-0080 and OAR 340-096-0090 to review and approve the types and volumes of feedstocks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77777777" w:rsidR="002001D0" w:rsidRDefault="002001D0" w:rsidP="002001D0">
      <w:r>
        <w:t xml:space="preserve">DEQ ignores that such on‐farm digesters have always been required to operate primarily on manure (no less than 85%) and operate within other agricultural CAFO permitting, location, and operation restrictions. There is no similar requirement to actually process manure at any percentage. </w:t>
      </w:r>
      <w:r w:rsidRPr="00777BA7">
        <w:t>The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0FFBB0E7" w14:textId="36DC8883" w:rsidR="002001D0" w:rsidRDefault="009B4A3D" w:rsidP="002001D0">
      <w:r>
        <w:t>The proposed permanent rule change do</w:t>
      </w:r>
      <w:r w:rsidR="00DF28F2">
        <w:t>es</w:t>
      </w:r>
      <w:r>
        <w:t xml:space="preserve"> not change regulations regarding exemptions from the need for a solid waste permit</w:t>
      </w:r>
      <w:r w:rsidR="00036A3D">
        <w:t>,</w:t>
      </w:r>
      <w:r>
        <w:t xml:space="preserve"> or the types or volumes of feedstocks</w:t>
      </w:r>
      <w:r w:rsidR="00036A3D">
        <w:t xml:space="preserve"> that may be</w:t>
      </w:r>
      <w:r>
        <w:t xml:space="preserve"> accepted. </w:t>
      </w:r>
      <w:r w:rsidR="00670B63">
        <w:t xml:space="preserve">Effluent is defined as liquid </w:t>
      </w:r>
      <w:r w:rsidR="008E663A">
        <w:t xml:space="preserve">wastewater discharged into surface waters. </w:t>
      </w:r>
      <w:r w:rsidR="00E843FE">
        <w:t xml:space="preserve">Effluent discharges are regulated through water quality permits and water quality regulations. The proposed permanent rule change does not change how effluent is regulated. </w:t>
      </w:r>
    </w:p>
    <w:p w14:paraId="45BE42E4" w14:textId="77777777" w:rsidR="002001D0" w:rsidRDefault="002001D0" w:rsidP="002001D0">
      <w:pPr>
        <w:pStyle w:val="Heading4"/>
      </w:pPr>
      <w:r>
        <w:t>Comment 4</w:t>
      </w:r>
    </w:p>
    <w:p w14:paraId="3EB20947" w14:textId="77777777" w:rsidR="002001D0" w:rsidRDefault="002001D0" w:rsidP="002001D0"/>
    <w:p w14:paraId="2F190EC7" w14:textId="60B89018" w:rsidR="002001D0" w:rsidRDefault="002001D0" w:rsidP="002001D0">
      <w:r>
        <w:t>Under 40 C.F.R. 503, the EPA requires testing and annual land loading limits for persistent pollutants including arsenic, lead, and mercury. However, the proposed rule ignores non</w:t>
      </w:r>
      <w:r w:rsidR="00DB633B">
        <w:t>-</w:t>
      </w:r>
      <w:r>
        <w:t>pathogen pollutants in Type 3 feedstocks, as well as the risk of physical contaminants.</w:t>
      </w:r>
    </w:p>
    <w:p w14:paraId="6F58BBFC" w14:textId="77777777" w:rsidR="002001D0" w:rsidRDefault="002001D0" w:rsidP="002001D0"/>
    <w:p w14:paraId="3A30AEA1" w14:textId="77777777" w:rsidR="002001D0" w:rsidRDefault="002001D0" w:rsidP="002001D0">
      <w:pPr>
        <w:pStyle w:val="Heading4"/>
      </w:pPr>
      <w:r>
        <w:t>Response</w:t>
      </w:r>
    </w:p>
    <w:p w14:paraId="4F1AB179" w14:textId="77777777" w:rsidR="002001D0" w:rsidRDefault="002001D0" w:rsidP="002001D0"/>
    <w:p w14:paraId="78A82888" w14:textId="5FBDDC0D" w:rsidR="002001D0" w:rsidRDefault="002001D0" w:rsidP="002001D0">
      <w:r>
        <w:t>Th</w:t>
      </w:r>
      <w:r w:rsidR="00902D4D">
        <w:t xml:space="preserve">is </w:t>
      </w:r>
      <w:r>
        <w:t>rulemaking focuse</w:t>
      </w:r>
      <w:r w:rsidR="00DB633B">
        <w:t>s</w:t>
      </w:r>
      <w:r>
        <w:t xml:space="preserve"> on pathogen limits for </w:t>
      </w:r>
      <w:proofErr w:type="spellStart"/>
      <w:r>
        <w:t>digestate</w:t>
      </w:r>
      <w:proofErr w:type="spellEnd"/>
      <w:r w:rsidR="00902D4D">
        <w:t xml:space="preserve"> and does not change any other requirements that apply to </w:t>
      </w:r>
      <w:proofErr w:type="spellStart"/>
      <w:r w:rsidR="00902D4D">
        <w:t>digestate</w:t>
      </w:r>
      <w:proofErr w:type="spellEnd"/>
      <w:r>
        <w:t xml:space="preserve">. </w:t>
      </w:r>
    </w:p>
    <w:p w14:paraId="6627E5A3" w14:textId="77777777" w:rsidR="002001D0" w:rsidRDefault="002001D0" w:rsidP="002001D0"/>
    <w:p w14:paraId="23A17E5A" w14:textId="77777777" w:rsidR="002001D0" w:rsidRDefault="002001D0" w:rsidP="003168DF">
      <w:pPr>
        <w:pStyle w:val="Heading4"/>
      </w:pPr>
      <w:r>
        <w:t>Comment 5</w:t>
      </w:r>
    </w:p>
    <w:p w14:paraId="713E4A0B" w14:textId="77777777" w:rsidR="003168DF" w:rsidRDefault="003168DF" w:rsidP="002001D0"/>
    <w:p w14:paraId="0578F7E6" w14:textId="3280EB55" w:rsidR="002001D0" w:rsidRDefault="002001D0" w:rsidP="002001D0">
      <w:r>
        <w:t xml:space="preserve">DEQ includes in its “Documents relied on for rulemaking” an EPA publication titled </w:t>
      </w:r>
      <w:r w:rsidRPr="00DF28F2">
        <w:rPr>
          <w:i/>
        </w:rPr>
        <w:t>Control of Pathogens and Vector Attraction in Sewage Sludge</w:t>
      </w:r>
      <w:r>
        <w:t xml:space="preserve">, which </w:t>
      </w:r>
      <w:r w:rsidR="00902D4D">
        <w:t xml:space="preserve">says </w:t>
      </w:r>
      <w:r>
        <w:t>little about pathogen reduction after soil application, but what it does say is not encouraging: Table 2</w:t>
      </w:r>
      <w:r w:rsidR="003168DF">
        <w:t>-</w:t>
      </w:r>
      <w:r>
        <w:t>4 shows that both bacteria and viruses survive longer in soil than the 30</w:t>
      </w:r>
      <w:r w:rsidR="003168DF">
        <w:t>-</w:t>
      </w:r>
      <w:r>
        <w:t xml:space="preserve">day restriction on harvest, grazing, and access. There is no evidence that DEQ considered or analyzed any common manure‐application procedures, such as applying </w:t>
      </w:r>
      <w:proofErr w:type="spellStart"/>
      <w:r>
        <w:t>digestate</w:t>
      </w:r>
      <w:proofErr w:type="spellEnd"/>
      <w:r>
        <w:t xml:space="preserve"> to bare soil before planting corn, </w:t>
      </w:r>
      <w:r>
        <w:lastRenderedPageBreak/>
        <w:t>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07034C6" w14:textId="7F42AFA1" w:rsidR="00BE10F9" w:rsidRDefault="00BE10F9" w:rsidP="00BE10F9">
      <w:r>
        <w:t xml:space="preserve">The proposed rule change would exempt </w:t>
      </w:r>
      <w:proofErr w:type="spellStart"/>
      <w:r>
        <w:t>digestate</w:t>
      </w:r>
      <w:proofErr w:type="spellEnd"/>
      <w:r>
        <w:t xml:space="preserve"> that is land applied at agronomic rates and consistent with site restrictions in 40 C.F.R. §503.32(b)(5) from meeting the fecal coliform limit of 1,000 Most Probable Number per gram of total solids, but does not eliminate the requirement to perform pathogen testing. Digesters subject to OAR 340-096-0140 must continue to test </w:t>
      </w:r>
      <w:proofErr w:type="spellStart"/>
      <w:r>
        <w:t>digestate</w:t>
      </w:r>
      <w:proofErr w:type="spellEnd"/>
      <w:r>
        <w:t xml:space="preserve"> for pathogen reduction and document and implement a pathogen reduction plan pursuant to sections 3, 4 and 5 of OAR 340-096-0140.</w:t>
      </w:r>
    </w:p>
    <w:p w14:paraId="77EFC0D6" w14:textId="77777777" w:rsidR="00BE10F9" w:rsidRDefault="00BE10F9" w:rsidP="002001D0"/>
    <w:p w14:paraId="69CC3757" w14:textId="6F741A53" w:rsidR="003168DF" w:rsidRDefault="00BE10F9" w:rsidP="002001D0">
      <w:r>
        <w:t xml:space="preserve">In the EPA publication that the commenter cited, </w:t>
      </w:r>
      <w:r w:rsidR="002001D0">
        <w:t xml:space="preserve">Table 2-3 of </w:t>
      </w:r>
      <w:r w:rsidR="002001D0" w:rsidRPr="003168DF">
        <w:rPr>
          <w:i/>
        </w:rPr>
        <w:t>Control of Pathogens and Vector Attraction in Sewage Sludge</w:t>
      </w:r>
      <w:r w:rsidR="002001D0">
        <w:t xml:space="preserve"> shows that anaerobic digestion is a treatment that significantly reduces the number of pathogens that would otherwise exist in sewage sludge. The EPA guidance states, “</w:t>
      </w:r>
      <w:r w:rsidR="002001D0" w:rsidRPr="00DF28F2">
        <w:t xml:space="preserve">Studies of anaerobic or aerobic digestion of </w:t>
      </w:r>
      <w:proofErr w:type="spellStart"/>
      <w:r w:rsidR="002001D0" w:rsidRPr="00DF28F2">
        <w:t>sludges</w:t>
      </w:r>
      <w:proofErr w:type="spellEnd"/>
      <w:r w:rsidR="002001D0" w:rsidRPr="00DF28F2">
        <w:t xml:space="preserve"> have shown that the corresponding reduction in the pathogen population will be significant and sufficient so that environmental attenuation can reduce pathogen levels to below detection limit within the time period of site restrictions</w:t>
      </w:r>
      <w:r w:rsidR="002001D0">
        <w:t xml:space="preserve"> […].” A discussion of how the site restrictions in 40 C.F.R. §503.32(b)(5) allow time for further reduction in the pathogen population of class B </w:t>
      </w:r>
      <w:proofErr w:type="spellStart"/>
      <w:r w:rsidR="002001D0">
        <w:t>biosolids</w:t>
      </w:r>
      <w:proofErr w:type="spellEnd"/>
      <w:r w:rsidR="002001D0">
        <w:t xml:space="preserve"> can be found in Section 5.5 of the guidance. See </w:t>
      </w:r>
      <w:hyperlink r:id="rId31" w:history="1">
        <w:r w:rsidR="007C2D08" w:rsidRPr="007C2D08">
          <w:rPr>
            <w:rStyle w:val="Hyperlink"/>
          </w:rPr>
          <w:t>https://www.epa.gov/sites/production/files/2015-04/documents/control_of_pathogens_and_vector_attraction_in_sewage_sludge_july_2003.pdf</w:t>
        </w:r>
      </w:hyperlink>
      <w:r w:rsidR="003168DF">
        <w:t xml:space="preserve"> </w:t>
      </w:r>
      <w:r w:rsidR="002001D0">
        <w:t xml:space="preserve">(pages 11, 15 and 38). </w:t>
      </w:r>
    </w:p>
    <w:p w14:paraId="2AD32575" w14:textId="77777777" w:rsidR="003168DF" w:rsidRDefault="003168DF" w:rsidP="002001D0"/>
    <w:p w14:paraId="00601619" w14:textId="4D4ED7A2" w:rsidR="002001D0" w:rsidRDefault="007C2D08" w:rsidP="002001D0">
      <w:proofErr w:type="spellStart"/>
      <w:r>
        <w:t>B</w:t>
      </w:r>
      <w:r w:rsidR="002001D0">
        <w:t>iosolids</w:t>
      </w:r>
      <w:proofErr w:type="spellEnd"/>
      <w:r w:rsidR="002001D0">
        <w:t xml:space="preserve"> </w:t>
      </w:r>
      <w:r w:rsidR="00902D4D">
        <w:t xml:space="preserve">such as digested sewage </w:t>
      </w:r>
      <w:proofErr w:type="spellStart"/>
      <w:r w:rsidR="00902D4D">
        <w:t>sludges</w:t>
      </w:r>
      <w:proofErr w:type="spellEnd"/>
      <w:r w:rsidR="00902D4D">
        <w:t xml:space="preserve"> </w:t>
      </w:r>
      <w:r w:rsidR="002001D0">
        <w:t>typically contain a high count of fecal coliforms, enteric bacteria that can be used as indicators of the likelihood of the presence of bacterial pathogens. Manure</w:t>
      </w:r>
      <w:r w:rsidR="00902D4D">
        <w:t xml:space="preserve"> prior to digestion </w:t>
      </w:r>
      <w:r w:rsidR="002001D0">
        <w:t>also contains a very high fecal coliform count</w:t>
      </w:r>
      <w:r w:rsidR="00902D4D">
        <w:t xml:space="preserve"> that is significantly reduced through digestion and then further reduced through the land application process allowed by the proposed regulations within the time frame required prior to crop growth</w:t>
      </w:r>
      <w:r w:rsidR="002001D0">
        <w:t xml:space="preserve">. </w:t>
      </w:r>
      <w:r>
        <w:t>Common</w:t>
      </w:r>
      <w:r w:rsidR="002001D0">
        <w:t xml:space="preserve"> Type 3 feedstock</w:t>
      </w:r>
      <w:r>
        <w:t>s</w:t>
      </w:r>
      <w:r w:rsidR="002001D0">
        <w:t>, such as food waste, fish processing waste and fats, oils and grease, generally contain a much lower fecal coliform count.</w:t>
      </w:r>
    </w:p>
    <w:p w14:paraId="08775B74" w14:textId="77777777" w:rsidR="002001D0" w:rsidRDefault="002001D0" w:rsidP="002001D0"/>
    <w:p w14:paraId="65FC1577" w14:textId="77777777" w:rsidR="002001D0" w:rsidRDefault="002001D0" w:rsidP="003168DF">
      <w:pPr>
        <w:pStyle w:val="Heading4"/>
      </w:pPr>
      <w:r>
        <w:t>Comment 6</w:t>
      </w:r>
    </w:p>
    <w:p w14:paraId="12C61FCB" w14:textId="77777777" w:rsidR="003168DF" w:rsidRDefault="003168DF" w:rsidP="002001D0"/>
    <w:p w14:paraId="12D06EB8" w14:textId="653E62D4" w:rsidR="002001D0" w:rsidRDefault="002001D0" w:rsidP="002001D0">
      <w:r>
        <w:t xml:space="preserve">The proposed rule adds only one brief fragment of 40 C.F.R. §503.32 with the proposed rule but chose not to add any regulations from earlier sections related to land application (§503.10 through §503.18), regulations which apply to all the other anaerobic digesters in Oregon which can land-apply </w:t>
      </w:r>
      <w:proofErr w:type="spellStart"/>
      <w:r>
        <w:t>digestate</w:t>
      </w:r>
      <w:proofErr w:type="spellEnd"/>
      <w:r>
        <w:t xml:space="preserve"> from substantially unlimited amounts of non-manure feedstocks.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33D92358" w:rsidR="002001D0" w:rsidRDefault="00BE10F9" w:rsidP="002001D0">
      <w:r>
        <w:lastRenderedPageBreak/>
        <w:t xml:space="preserve">The proposed rule change does not </w:t>
      </w:r>
      <w:r w:rsidR="00777BA7">
        <w:t xml:space="preserve">alter </w:t>
      </w:r>
      <w:r>
        <w:t>the</w:t>
      </w:r>
      <w:r w:rsidR="00F168F9">
        <w:t xml:space="preserve"> need to comply with</w:t>
      </w:r>
      <w:r>
        <w:t xml:space="preserve"> federal and state regulation</w:t>
      </w:r>
      <w:r w:rsidR="00F168F9">
        <w:t>s</w:t>
      </w:r>
      <w:r>
        <w:t xml:space="preserve"> of </w:t>
      </w:r>
      <w:proofErr w:type="spellStart"/>
      <w:r>
        <w:t>biosolids</w:t>
      </w:r>
      <w:proofErr w:type="spellEnd"/>
      <w:r w:rsidR="00256D91">
        <w:t>,</w:t>
      </w:r>
      <w:r w:rsidR="00777BA7">
        <w:t xml:space="preserve"> </w:t>
      </w:r>
      <w:r w:rsidR="00256D91">
        <w:t xml:space="preserve">such as those set forth </w:t>
      </w:r>
      <w:r>
        <w:t xml:space="preserve">under 40 C.F.R 503 </w:t>
      </w:r>
      <w:r w:rsidR="00F168F9">
        <w:t>and</w:t>
      </w:r>
      <w:r>
        <w:t xml:space="preserve"> OAR Chapter 340, Division 50. The proposed rule change also would not alter OAR 340-096-0140(3), which requires regulated compost facilities to document and implement a pathogen reduction plan that addresses requirements of the Code of Federal Regulations, 40 CFR Part 503.</w:t>
      </w:r>
      <w:r w:rsidR="00F168F9">
        <w:t xml:space="preserve"> </w:t>
      </w:r>
      <w:r>
        <w:t xml:space="preserve">DEQ is changing only the </w:t>
      </w:r>
      <w:r w:rsidR="00F168F9">
        <w:t xml:space="preserve">pathogen limit </w:t>
      </w:r>
      <w:r>
        <w:t>requirement</w:t>
      </w:r>
      <w:r w:rsidR="00F168F9">
        <w:t>s</w:t>
      </w:r>
      <w:r>
        <w:t xml:space="preserve"> </w:t>
      </w:r>
      <w:r w:rsidR="001E5E4C">
        <w:t xml:space="preserve">for </w:t>
      </w:r>
      <w:proofErr w:type="spellStart"/>
      <w:r w:rsidR="001E5E4C" w:rsidRPr="00256D91">
        <w:t>digestate</w:t>
      </w:r>
      <w:proofErr w:type="spellEnd"/>
      <w:r>
        <w:t xml:space="preserve">. </w:t>
      </w:r>
      <w:r w:rsidR="002001D0">
        <w:t>The pathogen testing limits of OAR 340-096-0140(2)</w:t>
      </w:r>
      <w:r w:rsidR="00191E42">
        <w:t xml:space="preserve"> </w:t>
      </w:r>
      <w:r w:rsidR="00F168F9">
        <w:t>replicate</w:t>
      </w:r>
      <w:r w:rsidR="002001D0">
        <w:t xml:space="preserve"> the analytical standards for Class A </w:t>
      </w:r>
      <w:proofErr w:type="spellStart"/>
      <w:r w:rsidR="002001D0">
        <w:t>biosolids</w:t>
      </w:r>
      <w:proofErr w:type="spellEnd"/>
      <w:r w:rsidR="002001D0">
        <w:t xml:space="preserve"> in 40 C.F.R. 503.32(a). The proposed rule change would change the </w:t>
      </w:r>
      <w:r w:rsidR="00191E42">
        <w:t xml:space="preserve">applicability </w:t>
      </w:r>
      <w:r w:rsidR="002001D0">
        <w:t xml:space="preserve">of pathogen limits </w:t>
      </w:r>
      <w:r w:rsidR="00191E42">
        <w:t>on</w:t>
      </w:r>
      <w:r w:rsidR="002001D0">
        <w:t xml:space="preserve"> </w:t>
      </w:r>
      <w:proofErr w:type="spellStart"/>
      <w:r w:rsidR="002001D0">
        <w:t>digestate</w:t>
      </w:r>
      <w:proofErr w:type="spellEnd"/>
      <w:r w:rsidR="002001D0">
        <w:t xml:space="preserve"> to more closely track the differing federal treatment of pathogen requirements for Class A and Class B </w:t>
      </w:r>
      <w:proofErr w:type="spellStart"/>
      <w:r w:rsidR="002001D0">
        <w:t>biosolids</w:t>
      </w:r>
      <w:proofErr w:type="spellEnd"/>
      <w:r w:rsidR="002001D0">
        <w:t xml:space="preserve">. </w:t>
      </w:r>
      <w:r w:rsidR="00F168F9">
        <w:t xml:space="preserve">The proposed rule change would not change requirements for </w:t>
      </w:r>
      <w:proofErr w:type="spellStart"/>
      <w:r w:rsidR="00F168F9">
        <w:t>biosolids</w:t>
      </w:r>
      <w:proofErr w:type="spellEnd"/>
      <w:r w:rsidR="00F168F9">
        <w:t xml:space="preserve"> to meet all applicable federal and state regulations for sewage sludge.</w:t>
      </w:r>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67C0148A" w:rsidR="002001D0" w:rsidRDefault="002001D0" w:rsidP="002001D0">
      <w:r>
        <w:t xml:space="preserve">DEQ’s inconsistency between the positions and justifications offered at each stage of rulemaking is highlighted by the permit it re-issued for the Port of Tillamook Bay digester. While the emergency rulemaking was built around the needs of the Port of Tillamook Bay digester, its solid waste permit now has an approved </w:t>
      </w:r>
      <w:proofErr w:type="spellStart"/>
      <w:r>
        <w:t>Digestate</w:t>
      </w:r>
      <w:proofErr w:type="spellEnd"/>
      <w:r>
        <w:t xml:space="preserv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t>Response</w:t>
      </w:r>
    </w:p>
    <w:p w14:paraId="45285DDB" w14:textId="77777777" w:rsidR="002001D0" w:rsidRDefault="002001D0" w:rsidP="002001D0"/>
    <w:p w14:paraId="38A5632A" w14:textId="47219BE1" w:rsidR="002001D0" w:rsidRDefault="00640A69" w:rsidP="002001D0">
      <w:r>
        <w:t xml:space="preserve">Permitted solid waste facilities are required to comply with all applicable federal, state and local laws or regulations regardless of whether such laws and regulations are listed in the permit. </w:t>
      </w:r>
      <w:r w:rsidR="002001D0">
        <w:t>This comment relates to the POTB digester’s solid waste permit and the basis for the temporary rule</w:t>
      </w:r>
      <w:r w:rsidR="001E5E4C">
        <w:t>.</w:t>
      </w:r>
      <w:r w:rsidR="00256D91" w:rsidRPr="00256D91">
        <w:t xml:space="preserve"> </w:t>
      </w:r>
      <w:r w:rsidR="00256D91">
        <w:t xml:space="preserve">For this current rulemaking, DEQ is providing responses only </w:t>
      </w:r>
      <w:r w:rsidR="002D703B">
        <w:t>to</w:t>
      </w:r>
      <w:r w:rsidR="002D703B">
        <w:t xml:space="preserve"> </w:t>
      </w:r>
      <w:r w:rsidR="00256D91">
        <w:t xml:space="preserve">comments related to the proposed permanent rule. </w:t>
      </w:r>
    </w:p>
    <w:p w14:paraId="06137F0C" w14:textId="3BDA1C79" w:rsidR="003463A9" w:rsidRDefault="002001D0" w:rsidP="002001D0">
      <w:r>
        <w:t xml:space="preserve"> </w:t>
      </w:r>
      <w:r w:rsidR="00242232">
        <w:t xml:space="preserve"> </w:t>
      </w:r>
    </w:p>
    <w:p w14:paraId="6398838B" w14:textId="5E38CB6E" w:rsidR="002F2F6F" w:rsidRDefault="002F2F6F" w:rsidP="002F2F6F"/>
    <w:p w14:paraId="6CFB51EC" w14:textId="77777777" w:rsidR="002F2F6F" w:rsidRDefault="002F2F6F" w:rsidP="002F2F6F">
      <w:pPr>
        <w:pStyle w:val="Heading1"/>
      </w:pPr>
      <w:bookmarkStart w:id="33" w:name="_Toc3988358"/>
      <w:bookmarkStart w:id="34" w:name="_Toc9938163"/>
      <w:r>
        <w:t>Implementation</w:t>
      </w:r>
      <w:bookmarkEnd w:id="33"/>
      <w:bookmarkEnd w:id="34"/>
    </w:p>
    <w:p w14:paraId="0082B031" w14:textId="5A23B460" w:rsidR="002F2F6F" w:rsidRDefault="002F2F6F" w:rsidP="00A83AA3">
      <w:pPr>
        <w:pStyle w:val="instructions"/>
      </w:pP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6F98CAA7" w:rsidR="002F2F6F" w:rsidRDefault="002F2F6F" w:rsidP="002F2F6F">
      <w:r w:rsidRPr="001404B0">
        <w:t>The proposed rules would become effective upon filing on approximatel</w:t>
      </w:r>
      <w:r w:rsidR="008F21BC">
        <w:t>y Jul</w:t>
      </w:r>
      <w:r w:rsidRPr="001404B0">
        <w:t>y</w:t>
      </w:r>
      <w:r w:rsidR="008F21BC">
        <w:t xml:space="preserve"> 19, 2019</w:t>
      </w:r>
      <w:r w:rsidRPr="001404B0">
        <w:t>. DEQ would notify affected parties by:</w:t>
      </w:r>
    </w:p>
    <w:p w14:paraId="09CA01A0" w14:textId="35756458" w:rsidR="008F21BC" w:rsidRDefault="008F21BC" w:rsidP="002F2F6F">
      <w:pPr>
        <w:pStyle w:val="ListParagraph"/>
        <w:numPr>
          <w:ilvl w:val="0"/>
          <w:numId w:val="2"/>
        </w:numPr>
      </w:pPr>
      <w:r>
        <w:t>emailing through the GovDelivery email list;</w:t>
      </w:r>
    </w:p>
    <w:p w14:paraId="73419C5A" w14:textId="77777777" w:rsidR="008F21BC" w:rsidRDefault="008F21BC" w:rsidP="002F2F6F">
      <w:pPr>
        <w:pStyle w:val="ListParagraph"/>
        <w:numPr>
          <w:ilvl w:val="0"/>
          <w:numId w:val="2"/>
        </w:numPr>
      </w:pPr>
      <w:r>
        <w:t>directly contacting known affected facilities; and</w:t>
      </w:r>
    </w:p>
    <w:p w14:paraId="34E62C20" w14:textId="048B628E" w:rsidR="002F2F6F" w:rsidRDefault="008F21BC" w:rsidP="002F2F6F">
      <w:pPr>
        <w:pStyle w:val="ListParagraph"/>
        <w:numPr>
          <w:ilvl w:val="0"/>
          <w:numId w:val="2"/>
        </w:numPr>
      </w:pPr>
      <w:proofErr w:type="gramStart"/>
      <w:r>
        <w:t>posting</w:t>
      </w:r>
      <w:proofErr w:type="gramEnd"/>
      <w:r>
        <w:t xml:space="preserve"> an announcement on the DEQ website.</w:t>
      </w:r>
    </w:p>
    <w:p w14:paraId="0CC2700D" w14:textId="77777777" w:rsidR="008F21BC" w:rsidRPr="001404B0" w:rsidRDefault="008F21BC"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3485415B" w14:textId="38EB2591" w:rsidR="00282991" w:rsidRDefault="00282991" w:rsidP="00282991">
      <w:r>
        <w:lastRenderedPageBreak/>
        <w:t>Affected parties – DEQ anticipates that two facilities would be subject to the proposed rule: Shell New Energies and the anaerobic digester of the Port of Tillamook Bay. Both currently have DEQ solid waste permits. Should either facility request a change in their operations plan to accept new feedstock, DEQ will review the operations plan and require any revisions, as needed, or approve the plan. DEQ already conducts inspections as part of these facilities’ permits. Inspections may identify violations of the proposed rule.</w:t>
      </w:r>
    </w:p>
    <w:p w14:paraId="07DB24EB" w14:textId="1CDBBA42" w:rsidR="002F2F6F" w:rsidRPr="001404B0" w:rsidRDefault="00282991" w:rsidP="002F2F6F">
      <w:r>
        <w:t>DEQ staff – The permit writing team and enforcement staff will work together to develop training materials for permit writers and inspectors to implement the proposed rules.</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67BDC5A7" w14:textId="1315730B" w:rsidR="00282991" w:rsidRDefault="00282991" w:rsidP="00282991">
      <w:r>
        <w:t>Affected parties – Testing and monitoring requirements would be incorporated into the permits of affected parties.</w:t>
      </w:r>
    </w:p>
    <w:p w14:paraId="2445F753" w14:textId="255D32D9" w:rsidR="002F2F6F" w:rsidRDefault="00282991" w:rsidP="00282991">
      <w:r>
        <w:t>DEQ staff – DEQ staff would process and review compliance reports submitted by affected parties to determine compliance with the applicable requirements. DEQ staff will also consult with the Oregon Department of Agriculture on agronomic rates</w:t>
      </w:r>
      <w:r w:rsidR="00232B93">
        <w:t xml:space="preserve"> and Nutrient Management Plans</w:t>
      </w:r>
      <w:r>
        <w:t>.</w:t>
      </w:r>
    </w:p>
    <w:p w14:paraId="76548835" w14:textId="77777777" w:rsidR="00282991" w:rsidRPr="001404B0" w:rsidRDefault="00282991" w:rsidP="00282991"/>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492E7565" w14:textId="4B4E3A0A" w:rsidR="00282991" w:rsidRDefault="00282991" w:rsidP="00282991">
      <w:r>
        <w:t>Website – Upon rule adoption, DEQ would update the Composting webpages on its website.</w:t>
      </w:r>
    </w:p>
    <w:p w14:paraId="165A8972" w14:textId="0CD7BBD9" w:rsidR="00282991" w:rsidRDefault="00282991" w:rsidP="00282991">
      <w:r>
        <w:t>Database - DEQ would update its existing SWIFT database as needed to track compliance with the amended applicable requirements.</w:t>
      </w:r>
    </w:p>
    <w:p w14:paraId="455B4B1F" w14:textId="1CE2273B" w:rsidR="002F2F6F" w:rsidRDefault="00282991" w:rsidP="00282991">
      <w:r>
        <w:t xml:space="preserve">Invoicing - DEQ would use its existing </w:t>
      </w:r>
      <w:r w:rsidR="001E5E4C">
        <w:t xml:space="preserve">SWIMS </w:t>
      </w:r>
      <w:r>
        <w:t>database for invoicing.</w:t>
      </w:r>
    </w:p>
    <w:p w14:paraId="2A57A784" w14:textId="77777777" w:rsidR="00282991" w:rsidRPr="001404B0" w:rsidRDefault="00282991" w:rsidP="00282991"/>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0E2E6AD8" w14:textId="77777777" w:rsidR="00282991" w:rsidRDefault="00282991" w:rsidP="00282991">
      <w:r>
        <w:t>Affected parties - If the proposed rules are approved by EQC, permit writers will provide technical assistance to affected parties.</w:t>
      </w:r>
    </w:p>
    <w:p w14:paraId="6951B34C" w14:textId="36F2ED83" w:rsidR="002F2F6F" w:rsidRDefault="00282991" w:rsidP="002F2F6F">
      <w:r>
        <w:t>DEQ staff - DEQ permit writers have been involved in the development of the rule and could schedule internal trainings if needed.</w:t>
      </w:r>
    </w:p>
    <w:p w14:paraId="7E585621" w14:textId="77777777" w:rsidR="002F2F6F" w:rsidRDefault="002F2F6F" w:rsidP="002F2F6F">
      <w:r>
        <w:br w:type="page"/>
      </w:r>
    </w:p>
    <w:p w14:paraId="1DED22EE" w14:textId="77777777" w:rsidR="002F2F6F" w:rsidRDefault="002F2F6F" w:rsidP="002F2F6F">
      <w:pPr>
        <w:pStyle w:val="Heading1"/>
      </w:pPr>
      <w:bookmarkStart w:id="35" w:name="_Toc3988359"/>
      <w:bookmarkStart w:id="36" w:name="_Toc9938164"/>
      <w:r>
        <w:lastRenderedPageBreak/>
        <w:t>Five Year Review</w:t>
      </w:r>
      <w:bookmarkEnd w:id="35"/>
      <w:bookmarkEnd w:id="36"/>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66E405F9"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54C602B7"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lastRenderedPageBreak/>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2"/>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37" w:name="_Toc3988360"/>
      <w:bookmarkStart w:id="38" w:name="_Toc9938165"/>
      <w:r w:rsidRPr="003C26EE">
        <w:lastRenderedPageBreak/>
        <w:t>Accessibility Information</w:t>
      </w:r>
      <w:bookmarkEnd w:id="37"/>
      <w:bookmarkEnd w:id="38"/>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3C08DEBF" w14:textId="77777777" w:rsidR="00610CEB" w:rsidRDefault="00610CEB" w:rsidP="00610CEB">
      <w:pPr>
        <w:tabs>
          <w:tab w:val="left" w:pos="720"/>
        </w:tabs>
      </w:pPr>
      <w:r>
        <w:t>To schedule a review of all websites and documents referenced in this announcement, call Audrey O’Brien, Oregon Department of Environmental Quality, Materials Management, 700 NE Multnomah St., Ste. 600, Portland, OR, 97232, (503) 229-5072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3"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246E6" w14:textId="77777777" w:rsidR="00777BA7" w:rsidRDefault="00777BA7" w:rsidP="002D6C99">
      <w:r>
        <w:separator/>
      </w:r>
    </w:p>
  </w:endnote>
  <w:endnote w:type="continuationSeparator" w:id="0">
    <w:p w14:paraId="205144B0" w14:textId="77777777" w:rsidR="00777BA7" w:rsidRDefault="00777BA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9BB0" w14:textId="77777777" w:rsidR="00777BA7" w:rsidRDefault="00777BA7">
    <w:pPr>
      <w:pStyle w:val="Footer"/>
      <w:jc w:val="right"/>
    </w:pPr>
  </w:p>
  <w:p w14:paraId="5B118C26" w14:textId="77777777" w:rsidR="00777BA7" w:rsidRDefault="00777B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E5C4" w14:textId="77777777" w:rsidR="00777BA7" w:rsidRDefault="00777BA7">
    <w:pPr>
      <w:pStyle w:val="Footer"/>
      <w:jc w:val="right"/>
    </w:pPr>
  </w:p>
  <w:p w14:paraId="45457C06" w14:textId="77777777" w:rsidR="00777BA7" w:rsidRDefault="00777B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633535"/>
      <w:docPartObj>
        <w:docPartGallery w:val="Page Numbers (Bottom of Page)"/>
        <w:docPartUnique/>
      </w:docPartObj>
    </w:sdtPr>
    <w:sdtEndPr>
      <w:rPr>
        <w:noProof/>
      </w:rPr>
    </w:sdtEndPr>
    <w:sdtContent>
      <w:p w14:paraId="2154373D" w14:textId="652D88AF" w:rsidR="00777BA7" w:rsidRDefault="00777BA7">
        <w:pPr>
          <w:pStyle w:val="Footer"/>
          <w:jc w:val="right"/>
        </w:pPr>
        <w:r>
          <w:fldChar w:fldCharType="begin"/>
        </w:r>
        <w:r>
          <w:instrText xml:space="preserve"> PAGE   \* MERGEFORMAT </w:instrText>
        </w:r>
        <w:r>
          <w:fldChar w:fldCharType="separate"/>
        </w:r>
        <w:r w:rsidR="002D703B">
          <w:rPr>
            <w:noProof/>
          </w:rPr>
          <w:t>14</w:t>
        </w:r>
        <w:r>
          <w:rPr>
            <w:noProof/>
          </w:rPr>
          <w:fldChar w:fldCharType="end"/>
        </w:r>
      </w:p>
    </w:sdtContent>
  </w:sdt>
  <w:p w14:paraId="36D7EECF" w14:textId="77777777" w:rsidR="00777BA7" w:rsidRDefault="00777B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13697"/>
      <w:docPartObj>
        <w:docPartGallery w:val="Page Numbers (Bottom of Page)"/>
        <w:docPartUnique/>
      </w:docPartObj>
    </w:sdtPr>
    <w:sdtEndPr>
      <w:rPr>
        <w:noProof/>
      </w:rPr>
    </w:sdtEndPr>
    <w:sdtContent>
      <w:p w14:paraId="66632D83" w14:textId="77777777" w:rsidR="00777BA7" w:rsidRDefault="00777BA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777BA7" w:rsidRDefault="00777BA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312121"/>
      <w:docPartObj>
        <w:docPartGallery w:val="Page Numbers (Bottom of Page)"/>
        <w:docPartUnique/>
      </w:docPartObj>
    </w:sdtPr>
    <w:sdtEndPr>
      <w:rPr>
        <w:noProof/>
      </w:rPr>
    </w:sdtEndPr>
    <w:sdtContent>
      <w:p w14:paraId="1F2ABCDE" w14:textId="77777777" w:rsidR="00777BA7" w:rsidRDefault="00777BA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777BA7" w:rsidRDefault="00777BA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961814"/>
      <w:docPartObj>
        <w:docPartGallery w:val="Page Numbers (Bottom of Page)"/>
        <w:docPartUnique/>
      </w:docPartObj>
    </w:sdtPr>
    <w:sdtContent>
      <w:p w14:paraId="614C2300" w14:textId="33A07559" w:rsidR="00777BA7" w:rsidRPr="000F6EE6" w:rsidRDefault="00777BA7" w:rsidP="00A112DA">
        <w:pPr>
          <w:pStyle w:val="Footer"/>
        </w:pPr>
        <w:r w:rsidRPr="000F6EE6">
          <w:fldChar w:fldCharType="begin"/>
        </w:r>
        <w:r w:rsidRPr="000F6EE6">
          <w:instrText xml:space="preserve"> PAGE   \* MERGEFORMAT </w:instrText>
        </w:r>
        <w:r w:rsidRPr="000F6EE6">
          <w:fldChar w:fldCharType="separate"/>
        </w:r>
        <w:r w:rsidR="002D703B">
          <w:rPr>
            <w:noProof/>
          </w:rPr>
          <w:t>22</w:t>
        </w:r>
        <w:r w:rsidRPr="000F6EE6">
          <w:fldChar w:fldCharType="end"/>
        </w:r>
      </w:p>
    </w:sdtContent>
  </w:sdt>
  <w:p w14:paraId="40E79D34" w14:textId="77777777" w:rsidR="00777BA7" w:rsidRDefault="00777BA7">
    <w:pPr>
      <w:pStyle w:val="Footer"/>
    </w:pPr>
  </w:p>
  <w:p w14:paraId="1F7D81C9" w14:textId="77777777" w:rsidR="00777BA7" w:rsidRDefault="00777BA7"/>
  <w:p w14:paraId="1D19ABAA" w14:textId="77777777" w:rsidR="00777BA7" w:rsidRDefault="00777B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2CC4" w14:textId="77777777" w:rsidR="00777BA7" w:rsidRDefault="00777BA7" w:rsidP="002D6C99">
      <w:r>
        <w:separator/>
      </w:r>
    </w:p>
  </w:footnote>
  <w:footnote w:type="continuationSeparator" w:id="0">
    <w:p w14:paraId="419F30DA" w14:textId="77777777" w:rsidR="00777BA7" w:rsidRDefault="00777BA7"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7934" w14:textId="77777777" w:rsidR="00777BA7" w:rsidRDefault="00777BA7" w:rsidP="001274E4">
    <w:pPr>
      <w:pStyle w:val="Header"/>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3445" w14:textId="77777777" w:rsidR="00777BA7" w:rsidRPr="00F72D05" w:rsidRDefault="00777BA7" w:rsidP="00F72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CCBF" w14:textId="77777777" w:rsidR="00777BA7" w:rsidRDefault="00777BA7" w:rsidP="00CC521E">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5564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47B"/>
    <w:rsid w:val="000012BE"/>
    <w:rsid w:val="000025D6"/>
    <w:rsid w:val="00006368"/>
    <w:rsid w:val="000108FC"/>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36A3D"/>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398A"/>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5E4C"/>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2B93"/>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6D91"/>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2991"/>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03B"/>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6BDF"/>
    <w:rsid w:val="00356F31"/>
    <w:rsid w:val="00357527"/>
    <w:rsid w:val="00357F92"/>
    <w:rsid w:val="00360B5E"/>
    <w:rsid w:val="00362387"/>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A3405"/>
    <w:rsid w:val="003B28BE"/>
    <w:rsid w:val="003B467D"/>
    <w:rsid w:val="003B4CCB"/>
    <w:rsid w:val="003B628A"/>
    <w:rsid w:val="003B7078"/>
    <w:rsid w:val="003C12DB"/>
    <w:rsid w:val="003C325E"/>
    <w:rsid w:val="003C4642"/>
    <w:rsid w:val="003C60B9"/>
    <w:rsid w:val="003C6C7E"/>
    <w:rsid w:val="003D03AB"/>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37E"/>
    <w:rsid w:val="00446FF4"/>
    <w:rsid w:val="00447098"/>
    <w:rsid w:val="00447265"/>
    <w:rsid w:val="00447281"/>
    <w:rsid w:val="004475E1"/>
    <w:rsid w:val="00450491"/>
    <w:rsid w:val="00451393"/>
    <w:rsid w:val="00451C40"/>
    <w:rsid w:val="0045366E"/>
    <w:rsid w:val="004536FD"/>
    <w:rsid w:val="00454314"/>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EEB"/>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A5EA8"/>
    <w:rsid w:val="005B0C97"/>
    <w:rsid w:val="005B12C3"/>
    <w:rsid w:val="005B1548"/>
    <w:rsid w:val="005B2BE1"/>
    <w:rsid w:val="005B375B"/>
    <w:rsid w:val="005B3D83"/>
    <w:rsid w:val="005B4944"/>
    <w:rsid w:val="005B5C49"/>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0A69"/>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0B63"/>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77BA7"/>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3B55"/>
    <w:rsid w:val="00884683"/>
    <w:rsid w:val="008859BE"/>
    <w:rsid w:val="00891607"/>
    <w:rsid w:val="00893600"/>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4AFC"/>
    <w:rsid w:val="008D52B1"/>
    <w:rsid w:val="008E298E"/>
    <w:rsid w:val="008E663A"/>
    <w:rsid w:val="008F13D1"/>
    <w:rsid w:val="008F19E2"/>
    <w:rsid w:val="008F21BC"/>
    <w:rsid w:val="008F22C4"/>
    <w:rsid w:val="008F2AA3"/>
    <w:rsid w:val="008F5048"/>
    <w:rsid w:val="008F5CB1"/>
    <w:rsid w:val="00900A95"/>
    <w:rsid w:val="0090211A"/>
    <w:rsid w:val="00902D4D"/>
    <w:rsid w:val="00902DAC"/>
    <w:rsid w:val="00903D07"/>
    <w:rsid w:val="0090574E"/>
    <w:rsid w:val="00906139"/>
    <w:rsid w:val="00907DC4"/>
    <w:rsid w:val="009109DE"/>
    <w:rsid w:val="00910CF5"/>
    <w:rsid w:val="00912E33"/>
    <w:rsid w:val="00913479"/>
    <w:rsid w:val="0091792B"/>
    <w:rsid w:val="00922AA4"/>
    <w:rsid w:val="00923C27"/>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1CE3"/>
    <w:rsid w:val="00994D7D"/>
    <w:rsid w:val="00996AB2"/>
    <w:rsid w:val="00997C8D"/>
    <w:rsid w:val="009A049C"/>
    <w:rsid w:val="009A15E3"/>
    <w:rsid w:val="009A1839"/>
    <w:rsid w:val="009A4672"/>
    <w:rsid w:val="009A7070"/>
    <w:rsid w:val="009B0585"/>
    <w:rsid w:val="009B3ABC"/>
    <w:rsid w:val="009B4238"/>
    <w:rsid w:val="009B4A3D"/>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536"/>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12C3"/>
    <w:rsid w:val="00A43288"/>
    <w:rsid w:val="00A4572F"/>
    <w:rsid w:val="00A46142"/>
    <w:rsid w:val="00A46F33"/>
    <w:rsid w:val="00A50464"/>
    <w:rsid w:val="00A505D2"/>
    <w:rsid w:val="00A53440"/>
    <w:rsid w:val="00A53488"/>
    <w:rsid w:val="00A56241"/>
    <w:rsid w:val="00A61B18"/>
    <w:rsid w:val="00A65725"/>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C536F"/>
    <w:rsid w:val="00AD0243"/>
    <w:rsid w:val="00AD04B8"/>
    <w:rsid w:val="00AD1BBA"/>
    <w:rsid w:val="00AD33B5"/>
    <w:rsid w:val="00AD357E"/>
    <w:rsid w:val="00AD7DB9"/>
    <w:rsid w:val="00AE3390"/>
    <w:rsid w:val="00AE5FB0"/>
    <w:rsid w:val="00AE67D5"/>
    <w:rsid w:val="00AE70B7"/>
    <w:rsid w:val="00AF15AD"/>
    <w:rsid w:val="00AF509A"/>
    <w:rsid w:val="00B004B7"/>
    <w:rsid w:val="00B0210D"/>
    <w:rsid w:val="00B02749"/>
    <w:rsid w:val="00B038DF"/>
    <w:rsid w:val="00B03A57"/>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B46"/>
    <w:rsid w:val="00B34CF8"/>
    <w:rsid w:val="00B356CF"/>
    <w:rsid w:val="00B35715"/>
    <w:rsid w:val="00B378D1"/>
    <w:rsid w:val="00B40B6F"/>
    <w:rsid w:val="00B41BE7"/>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D4E"/>
    <w:rsid w:val="00BC7242"/>
    <w:rsid w:val="00BC76B3"/>
    <w:rsid w:val="00BD0942"/>
    <w:rsid w:val="00BD0DC2"/>
    <w:rsid w:val="00BD3280"/>
    <w:rsid w:val="00BD3CBE"/>
    <w:rsid w:val="00BD4585"/>
    <w:rsid w:val="00BD464F"/>
    <w:rsid w:val="00BD6173"/>
    <w:rsid w:val="00BE10F9"/>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47E88"/>
    <w:rsid w:val="00C51478"/>
    <w:rsid w:val="00C51EA4"/>
    <w:rsid w:val="00C51FAE"/>
    <w:rsid w:val="00C531D0"/>
    <w:rsid w:val="00C53F0F"/>
    <w:rsid w:val="00C541AC"/>
    <w:rsid w:val="00C54DE2"/>
    <w:rsid w:val="00C55A42"/>
    <w:rsid w:val="00C603D7"/>
    <w:rsid w:val="00C62C07"/>
    <w:rsid w:val="00C62ECC"/>
    <w:rsid w:val="00C65D06"/>
    <w:rsid w:val="00C708DA"/>
    <w:rsid w:val="00C71192"/>
    <w:rsid w:val="00C71476"/>
    <w:rsid w:val="00C7432A"/>
    <w:rsid w:val="00C74D58"/>
    <w:rsid w:val="00C76B21"/>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6358"/>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215"/>
    <w:rsid w:val="00D473F0"/>
    <w:rsid w:val="00D47FDF"/>
    <w:rsid w:val="00D52E97"/>
    <w:rsid w:val="00D537F4"/>
    <w:rsid w:val="00D55711"/>
    <w:rsid w:val="00D574D7"/>
    <w:rsid w:val="00D5759C"/>
    <w:rsid w:val="00D57B1A"/>
    <w:rsid w:val="00D57C32"/>
    <w:rsid w:val="00D60BF9"/>
    <w:rsid w:val="00D61DA4"/>
    <w:rsid w:val="00D65F6D"/>
    <w:rsid w:val="00D66A5C"/>
    <w:rsid w:val="00D74378"/>
    <w:rsid w:val="00D7794E"/>
    <w:rsid w:val="00D80570"/>
    <w:rsid w:val="00D805F0"/>
    <w:rsid w:val="00D80B44"/>
    <w:rsid w:val="00D84819"/>
    <w:rsid w:val="00D87563"/>
    <w:rsid w:val="00D90062"/>
    <w:rsid w:val="00D9108B"/>
    <w:rsid w:val="00D936A0"/>
    <w:rsid w:val="00D96929"/>
    <w:rsid w:val="00DA07DB"/>
    <w:rsid w:val="00DA0955"/>
    <w:rsid w:val="00DA3C47"/>
    <w:rsid w:val="00DA6B61"/>
    <w:rsid w:val="00DA7DEF"/>
    <w:rsid w:val="00DB0862"/>
    <w:rsid w:val="00DB4041"/>
    <w:rsid w:val="00DB633B"/>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28F2"/>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422C"/>
    <w:rsid w:val="00E6528C"/>
    <w:rsid w:val="00E71C3C"/>
    <w:rsid w:val="00E71DF1"/>
    <w:rsid w:val="00E7412E"/>
    <w:rsid w:val="00E77F18"/>
    <w:rsid w:val="00E80EF2"/>
    <w:rsid w:val="00E82718"/>
    <w:rsid w:val="00E82D32"/>
    <w:rsid w:val="00E82FA7"/>
    <w:rsid w:val="00E8332D"/>
    <w:rsid w:val="00E84325"/>
    <w:rsid w:val="00E843FE"/>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1D56"/>
    <w:rsid w:val="00EF2F50"/>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68F9"/>
    <w:rsid w:val="00F17EE4"/>
    <w:rsid w:val="00F200A0"/>
    <w:rsid w:val="00F2435A"/>
    <w:rsid w:val="00F268E2"/>
    <w:rsid w:val="00F3040B"/>
    <w:rsid w:val="00F305DD"/>
    <w:rsid w:val="00F32478"/>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5AD3"/>
    <w:rsid w:val="00F66EDE"/>
    <w:rsid w:val="00F672B1"/>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oregon.gov/deq/Get-Involved/Pages/Calendar.aspx" TargetMode="External"/><Relationship Id="rId3" Type="http://schemas.openxmlformats.org/officeDocument/2006/relationships/customXml" Target="../customXml/item3.xml"/><Relationship Id="rId21" Type="http://schemas.openxmlformats.org/officeDocument/2006/relationships/hyperlink" Target="https://www.govinfo.gov/content/pkg/CFR-2018-title40-vol32/xml/CFR-2018-title40-vol32-part503.x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oregon.gov/deq/Regulations/rulemaking/Pages/rcomposting2019.aspx" TargetMode="External"/><Relationship Id="rId33"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oregon.gov/deq/EQCdocs/02252019_ItemA_CompostTempRules.pdf" TargetMode="Externa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regon.gov/deq/Regulations/rulemaking/Pages/rcomposting2019.aspx"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fortress.wa.gov/ecy/publications/documents/0907029.pdf" TargetMode="Externa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https://www.epa.gov/sites/production/files/2015-04/documents/control_of_pathogens_and_vector_attraction_in_sewage_sludge_july_200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epa.gov/sites/production/files/2015-07/documents/epa-625-r-92-013.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image" Target="media/image2.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ListId:docs;"/>
    <ds:schemaRef ds:uri="http://www.w3.org/XML/1998/namespace"/>
    <ds:schemaRef ds:uri="http://purl.org/dc/dcmitype/"/>
  </ds:schemaRefs>
</ds:datastoreItem>
</file>

<file path=customXml/itemProps4.xml><?xml version="1.0" encoding="utf-8"?>
<ds:datastoreItem xmlns:ds="http://schemas.openxmlformats.org/officeDocument/2006/customXml" ds:itemID="{A2E036E0-17C7-4916-B7E7-5CCF53BB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30</Pages>
  <Words>6113</Words>
  <Characters>34847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LEE Michael</cp:lastModifiedBy>
  <cp:revision>3</cp:revision>
  <cp:lastPrinted>2019-05-28T17:02:00Z</cp:lastPrinted>
  <dcterms:created xsi:type="dcterms:W3CDTF">2019-05-28T21:08:00Z</dcterms:created>
  <dcterms:modified xsi:type="dcterms:W3CDTF">2019-05-28T21:39:00Z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