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5B" w:rsidRPr="0038253B" w:rsidRDefault="00257D81" w:rsidP="00FB52F7">
      <w:pPr>
        <w:ind w:left="1800" w:firstLine="360"/>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sidRPr="0038253B">
        <w:rPr>
          <w:rFonts w:ascii="Arial" w:hAnsi="Arial" w:cs="Arial"/>
        </w:rPr>
        <w:t xml:space="preserve">    </w:t>
      </w:r>
      <w:r w:rsidR="000A3C5B" w:rsidRPr="0038253B">
        <w:rPr>
          <w:rFonts w:ascii="Arial" w:hAnsi="Arial" w:cs="Arial"/>
        </w:rPr>
        <w:t>Oregon Department of Environmental Quality</w:t>
      </w:r>
    </w:p>
    <w:p w:rsidR="000A3C5B" w:rsidRPr="0038253B" w:rsidRDefault="000A3C5B" w:rsidP="00501ABB">
      <w:pPr>
        <w:tabs>
          <w:tab w:val="center" w:pos="5580"/>
        </w:tabs>
        <w:ind w:left="0"/>
        <w:rPr>
          <w:rStyle w:val="Emphasis"/>
          <w:rFonts w:ascii="Arial" w:hAnsi="Arial" w:cs="Arial"/>
          <w:vanish w:val="0"/>
          <w:color w:val="525252" w:themeColor="accent3" w:themeShade="80"/>
        </w:rPr>
      </w:pPr>
      <w:r w:rsidRPr="0038253B">
        <w:tab/>
      </w:r>
      <w:r w:rsidR="00A7538A" w:rsidRPr="0038253B">
        <w:rPr>
          <w:rFonts w:ascii="Arial" w:hAnsi="Arial" w:cs="Arial"/>
          <w:color w:val="C45911" w:themeColor="accent2" w:themeShade="BF"/>
        </w:rPr>
        <w:t>(</w:t>
      </w:r>
      <w:r w:rsidR="00653116" w:rsidRPr="0038253B">
        <w:rPr>
          <w:rFonts w:ascii="Arial" w:hAnsi="Arial" w:cs="Arial"/>
          <w:color w:val="C45911" w:themeColor="accent2" w:themeShade="BF"/>
        </w:rPr>
        <w:t>DATE NOTICE IS PUBLISHED</w:t>
      </w:r>
      <w:r w:rsidR="00A7538A" w:rsidRPr="0038253B">
        <w:rPr>
          <w:rFonts w:ascii="Arial" w:hAnsi="Arial" w:cs="Arial"/>
          <w:color w:val="C45911" w:themeColor="accent2" w:themeShade="BF"/>
        </w:rPr>
        <w:t xml:space="preserve">) </w:t>
      </w:r>
      <w:r w:rsidRPr="0038253B">
        <w:rPr>
          <w:rStyle w:val="Emphasis"/>
          <w:rFonts w:ascii="Arial" w:hAnsi="Arial" w:cs="Arial"/>
          <w:vanish w:val="0"/>
          <w:color w:val="525252" w:themeColor="accent3" w:themeShade="80"/>
        </w:rPr>
        <w:t xml:space="preserve">mmm </w:t>
      </w:r>
      <w:proofErr w:type="spellStart"/>
      <w:r w:rsidRPr="0038253B">
        <w:rPr>
          <w:rStyle w:val="Emphasis"/>
          <w:rFonts w:ascii="Arial" w:hAnsi="Arial" w:cs="Arial"/>
          <w:vanish w:val="0"/>
          <w:color w:val="525252" w:themeColor="accent3" w:themeShade="80"/>
        </w:rPr>
        <w:t>dd</w:t>
      </w:r>
      <w:proofErr w:type="spellEnd"/>
      <w:r w:rsidRPr="0038253B">
        <w:rPr>
          <w:rStyle w:val="Emphasis"/>
          <w:rFonts w:ascii="Arial" w:hAnsi="Arial" w:cs="Arial"/>
          <w:vanish w:val="0"/>
          <w:color w:val="525252" w:themeColor="accent3" w:themeShade="80"/>
        </w:rPr>
        <w:t xml:space="preserve">, </w:t>
      </w:r>
      <w:proofErr w:type="spellStart"/>
      <w:r w:rsidRPr="0038253B">
        <w:rPr>
          <w:rStyle w:val="Emphasis"/>
          <w:rFonts w:ascii="Arial" w:hAnsi="Arial" w:cs="Arial"/>
          <w:vanish w:val="0"/>
          <w:color w:val="525252" w:themeColor="accent3" w:themeShade="80"/>
        </w:rPr>
        <w:t>yyyy</w:t>
      </w:r>
      <w:proofErr w:type="spellEnd"/>
    </w:p>
    <w:p w:rsidR="000A3C5B" w:rsidRPr="0038253B" w:rsidRDefault="000A3C5B" w:rsidP="007D6F88">
      <w:pPr>
        <w:pStyle w:val="Heading2"/>
        <w:jc w:val="center"/>
      </w:pPr>
      <w:r w:rsidRPr="0038253B">
        <w:t>Notice of Proposed Rulemaking</w:t>
      </w:r>
    </w:p>
    <w:p w:rsidR="000A3C5B" w:rsidRPr="0038253B" w:rsidRDefault="000A3C5B" w:rsidP="00501ABB">
      <w:pPr>
        <w:ind w:left="0"/>
        <w:rPr>
          <w:rFonts w:ascii="Arial" w:hAnsi="Arial" w:cs="Arial"/>
        </w:rPr>
      </w:pPr>
    </w:p>
    <w:p w:rsidR="00727622" w:rsidRPr="0038253B" w:rsidRDefault="0090211A" w:rsidP="00501ABB">
      <w:pPr>
        <w:ind w:left="0"/>
        <w:jc w:val="center"/>
        <w:rPr>
          <w:rStyle w:val="Strong"/>
          <w:rFonts w:ascii="Arial" w:hAnsi="Arial" w:cs="Arial"/>
          <w:color w:val="C45911" w:themeColor="accent2" w:themeShade="BF"/>
        </w:rPr>
      </w:pPr>
      <w:r w:rsidRPr="0038253B">
        <w:rPr>
          <w:rStyle w:val="Strong"/>
          <w:rFonts w:ascii="Arial" w:hAnsi="Arial" w:cs="Arial"/>
          <w:color w:val="C45911" w:themeColor="accent2" w:themeShade="BF"/>
        </w:rPr>
        <w:t>Enter rulemaking name here</w:t>
      </w:r>
    </w:p>
    <w:p w:rsidR="00867C8C" w:rsidRPr="0038253B" w:rsidRDefault="00867C8C" w:rsidP="00501ABB">
      <w:pPr>
        <w:ind w:left="0"/>
        <w:jc w:val="center"/>
        <w:rPr>
          <w:rFonts w:ascii="Arial" w:hAnsi="Arial" w:cs="Arial"/>
          <w:sz w:val="26"/>
          <w:szCs w:val="26"/>
        </w:rPr>
      </w:pPr>
    </w:p>
    <w:p w:rsidR="00E131C7" w:rsidRPr="0038253B" w:rsidRDefault="00E131C7" w:rsidP="00501ABB">
      <w:pPr>
        <w:tabs>
          <w:tab w:val="center" w:pos="5040"/>
        </w:tabs>
        <w:ind w:left="0"/>
        <w:jc w:val="center"/>
        <w:rPr>
          <w:rFonts w:ascii="Arial" w:hAnsi="Arial" w:cs="Arial"/>
          <w:color w:val="C45911" w:themeColor="accent2" w:themeShade="BF"/>
          <w:sz w:val="28"/>
          <w:szCs w:val="28"/>
        </w:rPr>
      </w:pPr>
    </w:p>
    <w:p w:rsidR="00E131C7" w:rsidRPr="0038253B" w:rsidRDefault="00E131C7" w:rsidP="00501ABB">
      <w:pPr>
        <w:tabs>
          <w:tab w:val="center" w:pos="5040"/>
        </w:tabs>
        <w:ind w:left="0"/>
        <w:jc w:val="center"/>
        <w:rPr>
          <w:rFonts w:ascii="Arial" w:hAnsi="Arial" w:cs="Arial"/>
          <w:color w:val="C45911" w:themeColor="accent2" w:themeShade="BF"/>
          <w:sz w:val="28"/>
          <w:szCs w:val="28"/>
        </w:rPr>
      </w:pPr>
    </w:p>
    <w:p w:rsidR="007704BF" w:rsidRPr="0038253B" w:rsidRDefault="007704BF" w:rsidP="00501ABB">
      <w:pPr>
        <w:tabs>
          <w:tab w:val="center" w:pos="5040"/>
        </w:tabs>
        <w:ind w:left="0"/>
        <w:jc w:val="center"/>
        <w:rPr>
          <w:rFonts w:ascii="Arial" w:hAnsi="Arial" w:cs="Arial"/>
          <w:sz w:val="28"/>
          <w:szCs w:val="28"/>
        </w:rPr>
      </w:pPr>
      <w:r w:rsidRPr="0038253B">
        <w:rPr>
          <w:rFonts w:ascii="Arial" w:hAnsi="Arial" w:cs="Arial"/>
          <w:color w:val="C45911" w:themeColor="accent2" w:themeShade="BF"/>
          <w:sz w:val="28"/>
          <w:szCs w:val="28"/>
        </w:rPr>
        <w:t>Instructions for this form are in gold font</w:t>
      </w:r>
    </w:p>
    <w:p w:rsidR="007704BF" w:rsidRPr="0038253B" w:rsidRDefault="007704BF" w:rsidP="00501ABB">
      <w:pPr>
        <w:tabs>
          <w:tab w:val="center" w:pos="5040"/>
        </w:tabs>
        <w:ind w:left="0"/>
        <w:jc w:val="center"/>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Delete all gold text before publishing document</w:t>
      </w:r>
    </w:p>
    <w:p w:rsidR="00C51EA4" w:rsidRPr="0038253B" w:rsidRDefault="00C51EA4" w:rsidP="00501ABB">
      <w:pPr>
        <w:tabs>
          <w:tab w:val="center" w:pos="5040"/>
        </w:tabs>
        <w:ind w:left="0"/>
        <w:jc w:val="center"/>
        <w:rPr>
          <w:rFonts w:ascii="Arial" w:hAnsi="Arial" w:cs="Arial"/>
          <w:color w:val="C45911" w:themeColor="accent2" w:themeShade="BF"/>
        </w:rPr>
      </w:pPr>
      <w:r w:rsidRPr="0038253B">
        <w:rPr>
          <w:rFonts w:ascii="Arial" w:hAnsi="Arial" w:cs="Arial"/>
          <w:color w:val="C45911" w:themeColor="accent2" w:themeShade="BF"/>
          <w:sz w:val="28"/>
          <w:szCs w:val="28"/>
        </w:rPr>
        <w:t xml:space="preserve">Links: </w:t>
      </w:r>
      <w:hyperlink r:id="rId12" w:history="1">
        <w:r w:rsidRPr="0038253B">
          <w:rPr>
            <w:rStyle w:val="Hyperlink"/>
            <w:rFonts w:ascii="Arial" w:hAnsi="Arial" w:cs="Arial"/>
            <w:color w:val="034990" w:themeColor="hyperlink" w:themeShade="BF"/>
            <w:sz w:val="28"/>
            <w:szCs w:val="28"/>
          </w:rPr>
          <w:t>LINK</w:t>
        </w:r>
      </w:hyperlink>
      <w:r w:rsidRPr="0038253B">
        <w:rPr>
          <w:rFonts w:ascii="Arial" w:hAnsi="Arial" w:cs="Arial"/>
          <w:color w:val="C45911" w:themeColor="accent2" w:themeShade="BF"/>
          <w:sz w:val="28"/>
          <w:szCs w:val="28"/>
        </w:rPr>
        <w:t xml:space="preserve"> go to SharePoint rulemaking resources and should be deleted before publishing</w:t>
      </w:r>
    </w:p>
    <w:p w:rsidR="0095000E" w:rsidRPr="0038253B" w:rsidRDefault="0095000E" w:rsidP="00501ABB">
      <w:pPr>
        <w:pStyle w:val="Heading2"/>
        <w:ind w:left="0"/>
        <w:rPr>
          <w:color w:val="C45911" w:themeColor="accent2" w:themeShade="BF"/>
          <w:sz w:val="44"/>
          <w:szCs w:val="44"/>
        </w:rPr>
      </w:pPr>
      <w:r w:rsidRPr="0038253B">
        <w:rPr>
          <w:color w:val="C45911" w:themeColor="accent2" w:themeShade="BF"/>
          <w:sz w:val="44"/>
          <w:szCs w:val="44"/>
        </w:rPr>
        <w:t>Tables</w:t>
      </w:r>
    </w:p>
    <w:p w:rsidR="0095000E" w:rsidRPr="0038253B" w:rsidRDefault="0095000E" w:rsidP="0095000E"/>
    <w:p w:rsidR="0095000E" w:rsidRPr="0038253B" w:rsidRDefault="0095000E" w:rsidP="0095000E">
      <w:pPr>
        <w:rPr>
          <w:color w:val="C45911" w:themeColor="accent2" w:themeShade="BF"/>
        </w:rPr>
      </w:pPr>
      <w:r w:rsidRPr="0038253B">
        <w:rPr>
          <w:color w:val="C45911" w:themeColor="accent2" w:themeShade="BF"/>
        </w:rPr>
        <w:t>If you use tables in your document, they must use the formatting illustrated in the table below, as to fonts and borders. You can copy and paste to other locations in the document.</w:t>
      </w:r>
    </w:p>
    <w:p w:rsidR="0095000E" w:rsidRPr="0038253B" w:rsidRDefault="0095000E" w:rsidP="0095000E"/>
    <w:p w:rsidR="0095000E" w:rsidRPr="0038253B"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2453"/>
        <w:gridCol w:w="2564"/>
        <w:gridCol w:w="2615"/>
        <w:gridCol w:w="2402"/>
      </w:tblGrid>
      <w:tr w:rsidR="00322DC7" w:rsidRPr="0038253B" w:rsidTr="000872C2">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rsidR="00322DC7" w:rsidRPr="0038253B" w:rsidRDefault="00322DC7" w:rsidP="000872C2">
            <w:pPr>
              <w:ind w:left="0" w:right="0"/>
              <w:jc w:val="center"/>
              <w:rPr>
                <w:rFonts w:ascii="Arial" w:hAnsi="Arial" w:cs="Arial"/>
                <w:b/>
              </w:rPr>
            </w:pPr>
            <w:r w:rsidRPr="0038253B">
              <w:rPr>
                <w:noProof/>
                <w:lang w:val="en-ZW" w:eastAsia="en-ZW"/>
              </w:rPr>
              <w:drawing>
                <wp:anchor distT="0" distB="0" distL="114300" distR="114300" simplePos="0" relativeHeight="251662336" behindDoc="0" locked="0" layoutInCell="1" allowOverlap="1" wp14:anchorId="0CE0BC62" wp14:editId="24A7C675">
                  <wp:simplePos x="0" y="0"/>
                  <wp:positionH relativeFrom="column">
                    <wp:posOffset>29210</wp:posOffset>
                  </wp:positionH>
                  <wp:positionV relativeFrom="paragraph">
                    <wp:posOffset>-4445</wp:posOffset>
                  </wp:positionV>
                  <wp:extent cx="537845" cy="1117600"/>
                  <wp:effectExtent l="0" t="0" r="0" b="635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2DC7" w:rsidRPr="0038253B" w:rsidRDefault="00322DC7" w:rsidP="000872C2">
            <w:pPr>
              <w:ind w:left="0" w:right="0"/>
              <w:jc w:val="center"/>
              <w:rPr>
                <w:rFonts w:ascii="Arial" w:hAnsi="Arial" w:cs="Arial"/>
                <w:b/>
              </w:rPr>
            </w:pPr>
            <w:r w:rsidRPr="0038253B">
              <w:rPr>
                <w:rFonts w:ascii="Arial" w:hAnsi="Arial" w:cs="Arial"/>
                <w:b/>
                <w:sz w:val="32"/>
                <w:szCs w:val="32"/>
              </w:rPr>
              <w:t>Table Title (Arial 16, bold)</w:t>
            </w:r>
            <w:r w:rsidRPr="0038253B">
              <w:rPr>
                <w:rFonts w:ascii="Arial" w:hAnsi="Arial" w:cs="Arial"/>
                <w:b/>
                <w:sz w:val="32"/>
                <w:szCs w:val="32"/>
              </w:rPr>
              <w:br/>
            </w:r>
            <w:r w:rsidRPr="0038253B">
              <w:rPr>
                <w:rFonts w:ascii="Arial" w:hAnsi="Arial" w:cs="Arial"/>
                <w:b/>
                <w:sz w:val="28"/>
                <w:szCs w:val="28"/>
              </w:rPr>
              <w:t>Additional Title</w:t>
            </w:r>
            <w:r w:rsidRPr="0038253B">
              <w:rPr>
                <w:rFonts w:ascii="Arial" w:hAnsi="Arial" w:cs="Arial"/>
                <w:b/>
              </w:rPr>
              <w:t xml:space="preserve"> (Arial 14, bold)</w:t>
            </w:r>
            <w:r w:rsidRPr="0038253B">
              <w:rPr>
                <w:rFonts w:ascii="Arial" w:hAnsi="Arial" w:cs="Arial"/>
                <w:b/>
              </w:rPr>
              <w:br/>
              <w:t>Even More Info, Date (Arial 12, bold)</w:t>
            </w:r>
          </w:p>
        </w:tc>
      </w:tr>
      <w:tr w:rsidR="00322DC7" w:rsidRPr="0038253B"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2, (Arial 14, bold)</w:t>
            </w:r>
          </w:p>
        </w:tc>
      </w:tr>
      <w:tr w:rsidR="00322DC7" w:rsidRPr="0038253B"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rsidR="00322DC7" w:rsidRPr="0038253B" w:rsidRDefault="00322DC7" w:rsidP="000872C2">
            <w:pPr>
              <w:ind w:left="0" w:right="0"/>
              <w:jc w:val="center"/>
              <w:rPr>
                <w:rFonts w:ascii="Arial" w:hAnsi="Arial" w:cs="Arial"/>
                <w:b/>
              </w:rPr>
            </w:pPr>
            <w:r w:rsidRPr="0038253B">
              <w:rPr>
                <w:rFonts w:ascii="Arial" w:hAnsi="Arial" w:cs="Arial"/>
                <w:b/>
              </w:rPr>
              <w:t>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rsidR="00322DC7" w:rsidRPr="0038253B" w:rsidRDefault="00322DC7" w:rsidP="000872C2">
            <w:pPr>
              <w:ind w:left="0" w:right="0"/>
              <w:jc w:val="center"/>
              <w:rPr>
                <w:rFonts w:ascii="Arial" w:hAnsi="Arial" w:cs="Arial"/>
                <w:b/>
              </w:rPr>
            </w:pPr>
            <w:r w:rsidRPr="0038253B">
              <w:rPr>
                <w:rFonts w:ascii="Arial" w:hAnsi="Arial" w:cs="Arial"/>
                <w:b/>
              </w:rPr>
              <w:t>Subheading 2, (Arial 12, bold)</w:t>
            </w:r>
          </w:p>
        </w:tc>
      </w:tr>
      <w:tr w:rsidR="00322DC7" w:rsidRPr="0038253B" w:rsidTr="000872C2">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rsidR="00322DC7" w:rsidRPr="0038253B" w:rsidRDefault="00322DC7" w:rsidP="000872C2">
            <w:pPr>
              <w:ind w:left="0" w:right="0"/>
              <w:jc w:val="center"/>
            </w:pPr>
            <w:r w:rsidRPr="0038253B">
              <w:t>Data (Times New Roman 12)</w:t>
            </w:r>
          </w:p>
        </w:tc>
      </w:tr>
      <w:tr w:rsidR="00322DC7" w:rsidRPr="0038253B" w:rsidTr="000872C2">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rsidR="00322DC7" w:rsidRPr="0038253B" w:rsidRDefault="00322DC7" w:rsidP="000872C2">
            <w:pPr>
              <w:ind w:left="0" w:right="0"/>
              <w:jc w:val="center"/>
            </w:pPr>
            <w:r w:rsidRPr="0038253B">
              <w:t>Data (Times New Roman 12)</w:t>
            </w:r>
          </w:p>
        </w:tc>
      </w:tr>
    </w:tbl>
    <w:p w:rsidR="00447098" w:rsidRPr="0038253B" w:rsidRDefault="00E131C7" w:rsidP="00447098">
      <w:pPr>
        <w:pStyle w:val="Heading2"/>
        <w:ind w:left="0"/>
      </w:pPr>
      <w:r w:rsidRPr="0038253B">
        <w:br w:type="page"/>
      </w:r>
    </w:p>
    <w:p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lastRenderedPageBreak/>
        <w:t>Table of Contents</w:t>
      </w:r>
    </w:p>
    <w:p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799998" w:history="1">
        <w:r w:rsidR="00F72D05" w:rsidRPr="0038253B">
          <w:rPr>
            <w:rStyle w:val="Hyperlink"/>
            <w:noProof/>
            <w:sz w:val="24"/>
            <w:szCs w:val="24"/>
          </w:rPr>
          <w:t>Optional Additional Topic</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5</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rsidR="00F72D05" w:rsidRPr="0038253B" w:rsidRDefault="00A43288"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rsidR="003E6CAF" w:rsidRPr="0038253B" w:rsidRDefault="003E6CAF" w:rsidP="00A43288">
            <w:pPr>
              <w:pStyle w:val="Heading1"/>
            </w:pPr>
            <w:r w:rsidRPr="0038253B">
              <w:lastRenderedPageBreak/>
              <w:t>Accessibility Information</w:t>
            </w:r>
          </w:p>
          <w:p w:rsidR="003E6CAF" w:rsidRPr="0038253B" w:rsidRDefault="003E6CAF" w:rsidP="00A43288">
            <w:pPr>
              <w:ind w:left="0"/>
            </w:pPr>
          </w:p>
        </w:tc>
      </w:tr>
    </w:tbl>
    <w:p w:rsidR="003E6CAF" w:rsidRPr="0038253B" w:rsidRDefault="003E6CAF" w:rsidP="003E6CAF">
      <w:pPr>
        <w:spacing w:after="120"/>
        <w:ind w:left="0"/>
        <w:rPr>
          <w:color w:val="000000"/>
        </w:rPr>
      </w:pPr>
    </w:p>
    <w:p w:rsidR="003E6CAF" w:rsidRPr="0038253B" w:rsidRDefault="003E6CAF" w:rsidP="003E6CAF">
      <w:pPr>
        <w:ind w:left="0" w:right="-432"/>
      </w:pPr>
      <w:r w:rsidRPr="0038253B">
        <w:t>You may review copies of all documents referenced in this announcement at:</w:t>
      </w:r>
    </w:p>
    <w:p w:rsidR="003E6CAF" w:rsidRPr="0038253B" w:rsidRDefault="003E6CAF" w:rsidP="003E6CAF">
      <w:pPr>
        <w:ind w:left="0" w:right="-432"/>
      </w:pPr>
      <w:r w:rsidRPr="0038253B">
        <w:t>Oregon Department of Environmental Quality</w:t>
      </w:r>
    </w:p>
    <w:p w:rsidR="003E6CAF" w:rsidRPr="0038253B" w:rsidRDefault="003E6CAF" w:rsidP="003E6CAF">
      <w:pPr>
        <w:ind w:left="0" w:right="-432"/>
      </w:pPr>
      <w:r w:rsidRPr="0038253B">
        <w:t>700 NE Multnomah St., Ste. 600</w:t>
      </w:r>
    </w:p>
    <w:p w:rsidR="003E6CAF" w:rsidRPr="0038253B" w:rsidRDefault="003E6CAF" w:rsidP="003E6CAF">
      <w:pPr>
        <w:ind w:left="0" w:right="-432"/>
      </w:pPr>
      <w:r w:rsidRPr="0038253B">
        <w:t>Portland, OR, 97232</w:t>
      </w:r>
    </w:p>
    <w:p w:rsidR="003E6CAF" w:rsidRPr="0038253B" w:rsidRDefault="003E6CAF" w:rsidP="003E6CAF">
      <w:pPr>
        <w:ind w:left="0" w:right="-432"/>
      </w:pPr>
    </w:p>
    <w:p w:rsidR="003E6CAF" w:rsidRPr="0038253B" w:rsidRDefault="003E6CAF" w:rsidP="003E6CAF">
      <w:pPr>
        <w:ind w:left="0" w:right="-432"/>
      </w:pPr>
      <w:r w:rsidRPr="0038253B">
        <w:t xml:space="preserve">To schedule a review of all websites and documents referenced in this announcement, call </w:t>
      </w:r>
      <w:r w:rsidRPr="0038253B">
        <w:rPr>
          <w:color w:val="C45911" w:themeColor="accent2" w:themeShade="BF"/>
        </w:rPr>
        <w:t>RULE WRITER, LOCATION, PHONE NO.</w:t>
      </w:r>
      <w:r w:rsidRPr="0038253B">
        <w:rPr>
          <w:b/>
        </w:rPr>
        <w:t xml:space="preserve"> </w:t>
      </w:r>
      <w:r w:rsidRPr="0038253B">
        <w:t>(800-452-4011, ext. 5622 toll-free in Oregon).</w:t>
      </w:r>
    </w:p>
    <w:p w:rsidR="003E6CAF" w:rsidRPr="0038253B" w:rsidRDefault="003E6CAF" w:rsidP="003E6CAF">
      <w:pPr>
        <w:ind w:left="0" w:right="-432"/>
      </w:pPr>
    </w:p>
    <w:p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rsidR="002F32EB" w:rsidRPr="0038253B" w:rsidRDefault="002F32EB" w:rsidP="000770BB">
            <w:pPr>
              <w:pStyle w:val="Heading1"/>
            </w:pPr>
            <w:r w:rsidRPr="0038253B">
              <w:t>Introduction</w:t>
            </w:r>
          </w:p>
          <w:p w:rsidR="002F32EB" w:rsidRPr="0038253B" w:rsidRDefault="002F32EB" w:rsidP="00A43288"/>
        </w:tc>
      </w:tr>
    </w:tbl>
    <w:p w:rsidR="002F32EB" w:rsidRPr="0038253B" w:rsidRDefault="002F32EB" w:rsidP="002F32EB"/>
    <w:p w:rsidR="002F32EB" w:rsidRPr="0038253B" w:rsidRDefault="002F32EB" w:rsidP="002F32EB">
      <w:pPr>
        <w:pStyle w:val="ListParagraph"/>
        <w:ind w:left="0"/>
      </w:pPr>
      <w:r w:rsidRPr="0038253B">
        <w:t>DEQ invites public input on proposed permanent rule amendments to chapter 340 of the Oregon Administrative Rules.</w:t>
      </w:r>
    </w:p>
    <w:p w:rsidR="002F32EB" w:rsidRPr="0038253B" w:rsidRDefault="002F32EB" w:rsidP="002F32EB">
      <w:pPr>
        <w:pStyle w:val="ListParagraph"/>
        <w:ind w:left="0"/>
      </w:pPr>
    </w:p>
    <w:p w:rsidR="002F32EB" w:rsidRDefault="002F32EB" w:rsidP="002F32EB">
      <w:pPr>
        <w:ind w:left="0"/>
      </w:pPr>
      <w:r w:rsidRPr="0038253B">
        <w:t>During the public comment period, DEQ requests public comment on whether to consider other options for achieving the rules’ substantive goals while reducing the rules’ negative economic impact on business.</w:t>
      </w:r>
    </w:p>
    <w:p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rsidTr="00A43288">
        <w:trPr>
          <w:trHeight w:val="749"/>
          <w:jc w:val="center"/>
        </w:trPr>
        <w:tc>
          <w:tcPr>
            <w:tcW w:w="12196" w:type="dxa"/>
            <w:shd w:val="clear" w:color="000000" w:fill="D5DCE4" w:themeFill="text2" w:themeFillTint="33"/>
            <w:noWrap/>
            <w:vAlign w:val="bottom"/>
            <w:hideMark/>
          </w:tcPr>
          <w:p w:rsidR="006B3F44" w:rsidRPr="0038253B" w:rsidRDefault="006B3F44" w:rsidP="00A43288">
            <w:pPr>
              <w:ind w:left="0"/>
              <w:rPr>
                <w:color w:val="32525C"/>
                <w:sz w:val="28"/>
                <w:szCs w:val="28"/>
              </w:rPr>
            </w:pPr>
            <w:r w:rsidRPr="0038253B">
              <w:t> </w:t>
            </w:r>
          </w:p>
          <w:p w:rsidR="006B3F44" w:rsidRPr="0038253B" w:rsidRDefault="006B3F44" w:rsidP="00A43288">
            <w:pPr>
              <w:pStyle w:val="Heading1"/>
            </w:pPr>
            <w:r>
              <w:t>Request for Other Options</w:t>
            </w:r>
          </w:p>
          <w:p w:rsidR="006B3F44" w:rsidRPr="0038253B" w:rsidRDefault="006B3F44" w:rsidP="00A43288">
            <w:pPr>
              <w:ind w:left="0"/>
              <w:rPr>
                <w:color w:val="C45911" w:themeColor="accent2" w:themeShade="BF"/>
              </w:rPr>
            </w:pPr>
            <w:r w:rsidRPr="0038253B">
              <w:t xml:space="preserve"> </w:t>
            </w:r>
          </w:p>
        </w:tc>
      </w:tr>
    </w:tbl>
    <w:p w:rsidR="0027166A" w:rsidRPr="0027166A" w:rsidRDefault="006B3F44" w:rsidP="0027166A">
      <w:pPr>
        <w:ind w:left="0"/>
      </w:pPr>
      <w:r w:rsidRPr="0038253B">
        <w:t>  </w:t>
      </w:r>
    </w:p>
    <w:p w:rsidR="0027166A" w:rsidRPr="0038253B" w:rsidRDefault="0027166A" w:rsidP="0027166A">
      <w:pPr>
        <w:ind w:left="0"/>
      </w:pPr>
    </w:p>
    <w:p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the rules’ negative economic impact on business. </w:t>
      </w:r>
    </w:p>
    <w:p w:rsidR="006B3F44" w:rsidRPr="0038253B" w:rsidRDefault="006B3F44" w:rsidP="002F32EB">
      <w:pPr>
        <w:ind w:left="0"/>
      </w:pPr>
    </w:p>
    <w:p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rsidR="00F72D05" w:rsidRPr="0038253B" w:rsidRDefault="002F32EB" w:rsidP="000770BB">
            <w:pPr>
              <w:pStyle w:val="Heading1"/>
            </w:pPr>
            <w:r w:rsidRPr="0038253B">
              <w:t>Overview</w:t>
            </w:r>
          </w:p>
          <w:p w:rsidR="00F72D05" w:rsidRPr="0038253B" w:rsidRDefault="00F72D05" w:rsidP="00CC521E">
            <w:pPr>
              <w:ind w:left="0"/>
            </w:pPr>
          </w:p>
        </w:tc>
      </w:tr>
    </w:tbl>
    <w:p w:rsidR="00F72D05" w:rsidRPr="0038253B" w:rsidRDefault="00F72D05" w:rsidP="003F70E1">
      <w:pPr>
        <w:pStyle w:val="Heading2"/>
        <w:ind w:left="0"/>
      </w:pPr>
    </w:p>
    <w:p w:rsidR="002F32EB" w:rsidRPr="0038253B" w:rsidRDefault="002F32EB" w:rsidP="002F32EB">
      <w:pPr>
        <w:rPr>
          <w:b/>
          <w:color w:val="806000" w:themeColor="accent4" w:themeShade="80"/>
        </w:rPr>
      </w:pPr>
      <w:r w:rsidRPr="0038253B">
        <w:rPr>
          <w:b/>
          <w:color w:val="806000" w:themeColor="accent4" w:themeShade="80"/>
        </w:rPr>
        <w:t xml:space="preserve">(Include </w:t>
      </w:r>
      <w:r w:rsidR="001823DE">
        <w:rPr>
          <w:b/>
          <w:color w:val="806000" w:themeColor="accent4" w:themeShade="80"/>
        </w:rPr>
        <w:t>all or any of the following that are helpful</w:t>
      </w:r>
      <w:r w:rsidRPr="0038253B">
        <w:rPr>
          <w:b/>
          <w:color w:val="806000" w:themeColor="accent4" w:themeShade="80"/>
        </w:rPr>
        <w:t>)</w:t>
      </w:r>
    </w:p>
    <w:p w:rsidR="002F32EB" w:rsidRPr="0038253B" w:rsidRDefault="002F32EB" w:rsidP="002F32EB">
      <w:pPr>
        <w:rPr>
          <w:b/>
          <w:color w:val="806000" w:themeColor="accent4" w:themeShade="80"/>
        </w:rPr>
      </w:pPr>
    </w:p>
    <w:p w:rsidR="002F32EB" w:rsidRPr="0038253B" w:rsidRDefault="002F32EB" w:rsidP="002F32EB">
      <w:pPr>
        <w:rPr>
          <w:b/>
          <w:color w:val="806000" w:themeColor="accent4" w:themeShade="80"/>
          <w:vertAlign w:val="subscript"/>
        </w:rPr>
      </w:pPr>
      <w:r w:rsidRPr="0038253B">
        <w:rPr>
          <w:b/>
          <w:color w:val="806000" w:themeColor="accent4" w:themeShade="80"/>
        </w:rPr>
        <w:t>Short summary of proposed rule changes</w:t>
      </w:r>
    </w:p>
    <w:p w:rsidR="002F32EB" w:rsidRPr="0038253B" w:rsidRDefault="002F32EB" w:rsidP="002F32EB">
      <w:pPr>
        <w:rPr>
          <w:b/>
          <w:color w:val="806000" w:themeColor="accent4" w:themeShade="80"/>
        </w:rPr>
      </w:pPr>
      <w:r w:rsidRPr="0038253B">
        <w:rPr>
          <w:b/>
          <w:color w:val="806000" w:themeColor="accent4" w:themeShade="80"/>
        </w:rPr>
        <w:t>Background of reasons for doing this rulemaking</w:t>
      </w:r>
    </w:p>
    <w:p w:rsidR="002F32EB" w:rsidRPr="0038253B" w:rsidRDefault="002F32EB" w:rsidP="002F32EB">
      <w:pPr>
        <w:rPr>
          <w:b/>
          <w:color w:val="806000" w:themeColor="accent4" w:themeShade="80"/>
        </w:rPr>
      </w:pPr>
      <w:r w:rsidRPr="0038253B">
        <w:rPr>
          <w:b/>
          <w:color w:val="806000" w:themeColor="accent4" w:themeShade="80"/>
        </w:rPr>
        <w:t>How this rulemaking addresses the reasons for doing the rulemaking</w:t>
      </w:r>
    </w:p>
    <w:p w:rsidR="002F32EB" w:rsidRPr="0038253B" w:rsidRDefault="002F32EB" w:rsidP="002F32EB">
      <w:pPr>
        <w:rPr>
          <w:b/>
          <w:color w:val="806000" w:themeColor="accent4" w:themeShade="80"/>
          <w:vertAlign w:val="subscript"/>
        </w:rPr>
      </w:pPr>
      <w:r w:rsidRPr="0038253B">
        <w:rPr>
          <w:b/>
          <w:color w:val="806000" w:themeColor="accent4" w:themeShade="80"/>
        </w:rPr>
        <w:t>Key policy and technical issues</w:t>
      </w:r>
      <w:r w:rsidRPr="0038253B">
        <w:rPr>
          <w:b/>
          <w:color w:val="806000" w:themeColor="accent4" w:themeShade="80"/>
          <w:vertAlign w:val="subscript"/>
        </w:rPr>
        <w:t> </w:t>
      </w:r>
    </w:p>
    <w:p w:rsidR="002F32EB" w:rsidRPr="0038253B" w:rsidRDefault="002F32EB" w:rsidP="002F32EB">
      <w:pPr>
        <w:rPr>
          <w:b/>
          <w:color w:val="806000" w:themeColor="accent4" w:themeShade="80"/>
        </w:rPr>
      </w:pPr>
      <w:r w:rsidRPr="0038253B">
        <w:rPr>
          <w:b/>
          <w:color w:val="806000" w:themeColor="accent4" w:themeShade="80"/>
        </w:rPr>
        <w:t>Affected parties</w:t>
      </w:r>
    </w:p>
    <w:p w:rsidR="002F32EB" w:rsidRPr="0038253B" w:rsidRDefault="002F32EB" w:rsidP="002F32EB">
      <w:pPr>
        <w:rPr>
          <w:b/>
          <w:color w:val="806000" w:themeColor="accent4" w:themeShade="80"/>
        </w:rPr>
      </w:pPr>
      <w:r w:rsidRPr="0038253B">
        <w:rPr>
          <w:b/>
          <w:color w:val="806000" w:themeColor="accent4" w:themeShade="80"/>
        </w:rPr>
        <w:t>Outreach efforts and public and stakeholder involvement</w:t>
      </w:r>
    </w:p>
    <w:p w:rsidR="002F32EB" w:rsidRPr="0038253B" w:rsidRDefault="002F32EB" w:rsidP="002F32EB">
      <w:pPr>
        <w:rPr>
          <w:b/>
          <w:color w:val="806000" w:themeColor="accent4" w:themeShade="80"/>
        </w:rPr>
      </w:pPr>
      <w:r w:rsidRPr="0038253B">
        <w:rPr>
          <w:b/>
          <w:color w:val="806000" w:themeColor="accent4" w:themeShade="80"/>
        </w:rPr>
        <w:t>Hearing testimony</w:t>
      </w:r>
    </w:p>
    <w:p w:rsidR="002F32EB" w:rsidRPr="0038253B" w:rsidRDefault="002F32EB" w:rsidP="002F32EB">
      <w:pPr>
        <w:rPr>
          <w:b/>
          <w:color w:val="806000" w:themeColor="accent4" w:themeShade="80"/>
        </w:rPr>
      </w:pPr>
      <w:r w:rsidRPr="0038253B">
        <w:rPr>
          <w:b/>
          <w:color w:val="806000" w:themeColor="accent4" w:themeShade="80"/>
        </w:rPr>
        <w:t>Summary of significant public comments and responses</w:t>
      </w:r>
    </w:p>
    <w:p w:rsidR="002F32EB" w:rsidRPr="0038253B" w:rsidRDefault="002F32EB" w:rsidP="002F32EB">
      <w:pPr>
        <w:rPr>
          <w:b/>
          <w:color w:val="806000" w:themeColor="accent4" w:themeShade="80"/>
        </w:rPr>
      </w:pPr>
      <w:r w:rsidRPr="0038253B">
        <w:rPr>
          <w:b/>
          <w:color w:val="806000" w:themeColor="accent4" w:themeShade="80"/>
        </w:rPr>
        <w:t>Effects of this rulemaking on any fees</w:t>
      </w:r>
    </w:p>
    <w:p w:rsidR="002F32EB" w:rsidRPr="0038253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rsidR="00F72D05" w:rsidRPr="0038253B" w:rsidRDefault="00F72D05" w:rsidP="003F70E1">
      <w:pPr>
        <w:pStyle w:val="ListParagraph"/>
        <w:ind w:left="0"/>
      </w:pPr>
    </w:p>
    <w:p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rsidR="00026515" w:rsidRPr="0038253B" w:rsidRDefault="00026515" w:rsidP="00A43288">
            <w:pPr>
              <w:pStyle w:val="Heading1"/>
            </w:pPr>
            <w:r w:rsidRPr="0038253B">
              <w:t>Procedural Summary</w:t>
            </w:r>
          </w:p>
          <w:p w:rsidR="00026515" w:rsidRPr="0038253B" w:rsidRDefault="00026515" w:rsidP="00A43288">
            <w:pPr>
              <w:ind w:left="0"/>
            </w:pPr>
          </w:p>
        </w:tc>
      </w:tr>
    </w:tbl>
    <w:p w:rsidR="00026515" w:rsidRPr="0038253B" w:rsidRDefault="00026515" w:rsidP="00026515">
      <w:pPr>
        <w:pStyle w:val="ListParagraph"/>
        <w:ind w:left="0"/>
      </w:pPr>
    </w:p>
    <w:p w:rsidR="00026515" w:rsidRPr="0038253B" w:rsidRDefault="00026515" w:rsidP="003F70E1">
      <w:pPr>
        <w:pStyle w:val="Heading3"/>
        <w:spacing w:before="0"/>
        <w:ind w:left="0"/>
        <w:rPr>
          <w:sz w:val="32"/>
          <w:szCs w:val="32"/>
        </w:rPr>
      </w:pPr>
    </w:p>
    <w:p w:rsidR="00F72D05" w:rsidRPr="0038253B" w:rsidRDefault="00F72D05" w:rsidP="003F70E1">
      <w:pPr>
        <w:pStyle w:val="Heading3"/>
        <w:spacing w:before="0"/>
        <w:ind w:left="0"/>
        <w:rPr>
          <w:sz w:val="32"/>
          <w:szCs w:val="32"/>
        </w:rPr>
      </w:pPr>
      <w:r w:rsidRPr="0038253B">
        <w:rPr>
          <w:sz w:val="32"/>
          <w:szCs w:val="32"/>
        </w:rPr>
        <w:t>More information</w:t>
      </w:r>
    </w:p>
    <w:p w:rsidR="00F72D05" w:rsidRPr="0038253B" w:rsidRDefault="00F72D05" w:rsidP="003F70E1">
      <w:pPr>
        <w:ind w:left="0"/>
        <w:rPr>
          <w:color w:val="BF8F00" w:themeColor="accent4" w:themeShade="BF"/>
        </w:rPr>
      </w:pPr>
      <w:r w:rsidRPr="0038253B">
        <w:t xml:space="preserve">Information about this rulemaking is on this rulemaking’s web page: </w:t>
      </w:r>
      <w:r w:rsidRPr="0038253B">
        <w:rPr>
          <w:color w:val="BF8F00" w:themeColor="accent4" w:themeShade="BF"/>
        </w:rPr>
        <w:t>LINK TO RULEMAKING WEB PAGE</w:t>
      </w:r>
    </w:p>
    <w:p w:rsidR="00F72D05" w:rsidRPr="0038253B" w:rsidRDefault="00F72D05" w:rsidP="003F70E1">
      <w:pPr>
        <w:ind w:left="0"/>
      </w:pPr>
    </w:p>
    <w:p w:rsidR="00F72D05" w:rsidRPr="0038253B" w:rsidRDefault="00F72D05" w:rsidP="003F70E1">
      <w:pPr>
        <w:pStyle w:val="Heading3"/>
        <w:spacing w:before="0"/>
        <w:ind w:left="0"/>
        <w:rPr>
          <w:sz w:val="32"/>
          <w:szCs w:val="32"/>
        </w:rPr>
      </w:pPr>
      <w:r w:rsidRPr="0038253B">
        <w:rPr>
          <w:sz w:val="32"/>
          <w:szCs w:val="32"/>
        </w:rPr>
        <w:t xml:space="preserve">Public Hearings </w:t>
      </w:r>
    </w:p>
    <w:p w:rsidR="00F72D05" w:rsidRPr="0038253B" w:rsidRDefault="00F72D05" w:rsidP="003F70E1">
      <w:pPr>
        <w:ind w:left="0"/>
      </w:pPr>
    </w:p>
    <w:p w:rsidR="006E2ED0" w:rsidRPr="0038253B" w:rsidRDefault="006E2ED0" w:rsidP="006E2ED0">
      <w:pPr>
        <w:ind w:left="0" w:right="-432"/>
      </w:pPr>
      <w:r w:rsidRPr="0038253B">
        <w:t xml:space="preserve">DEQ plans to hold </w:t>
      </w:r>
      <w:r w:rsidRPr="0038253B">
        <w:rPr>
          <w:color w:val="C45911" w:themeColor="accent2" w:themeShade="BF"/>
        </w:rPr>
        <w:t>NUMBER</w:t>
      </w:r>
      <w:r w:rsidRPr="0038253B">
        <w:t xml:space="preserve"> public hearing(s). Anyone can attend a hearing in person, or by webinar or teleconference.</w:t>
      </w:r>
    </w:p>
    <w:p w:rsidR="006E2ED0" w:rsidRPr="0038253B" w:rsidRDefault="006E2ED0" w:rsidP="006E2ED0">
      <w:pPr>
        <w:ind w:left="0" w:right="-432"/>
      </w:pPr>
    </w:p>
    <w:p w:rsidR="006E2ED0" w:rsidRPr="0038253B" w:rsidRDefault="006E2ED0" w:rsidP="006E2ED0">
      <w:pPr>
        <w:ind w:left="0" w:right="-432"/>
      </w:pPr>
      <w:r w:rsidRPr="0038253B">
        <w:t>Information about the public hearing:</w:t>
      </w:r>
    </w:p>
    <w:p w:rsidR="006E2ED0" w:rsidRPr="0038253B" w:rsidRDefault="006E2ED0" w:rsidP="006E2ED0">
      <w:pPr>
        <w:ind w:left="0" w:right="-432"/>
      </w:pPr>
    </w:p>
    <w:p w:rsidR="006E2ED0" w:rsidRPr="0038253B" w:rsidRDefault="006E2ED0" w:rsidP="006E2ED0">
      <w:pPr>
        <w:pStyle w:val="ListParagraph"/>
        <w:numPr>
          <w:ilvl w:val="0"/>
          <w:numId w:val="32"/>
        </w:numPr>
        <w:ind w:right="-432"/>
      </w:pPr>
      <w:r w:rsidRPr="0038253B">
        <w:t xml:space="preserve">Date </w:t>
      </w:r>
    </w:p>
    <w:p w:rsidR="006E2ED0" w:rsidRPr="0038253B" w:rsidRDefault="006E2ED0" w:rsidP="006E2ED0">
      <w:pPr>
        <w:pStyle w:val="ListParagraph"/>
        <w:numPr>
          <w:ilvl w:val="0"/>
          <w:numId w:val="32"/>
        </w:numPr>
        <w:ind w:right="-432"/>
      </w:pPr>
      <w:r w:rsidRPr="0038253B">
        <w:t>Start time</w:t>
      </w:r>
    </w:p>
    <w:p w:rsidR="006E2ED0" w:rsidRPr="0038253B" w:rsidRDefault="006E2ED0" w:rsidP="006E2ED0">
      <w:pPr>
        <w:pStyle w:val="ListParagraph"/>
        <w:numPr>
          <w:ilvl w:val="0"/>
          <w:numId w:val="32"/>
        </w:numPr>
        <w:ind w:right="-432"/>
      </w:pPr>
      <w:r w:rsidRPr="0038253B">
        <w:t>Street address</w:t>
      </w:r>
    </w:p>
    <w:p w:rsidR="006E2ED0" w:rsidRPr="0038253B" w:rsidRDefault="006E2ED0" w:rsidP="006E2ED0">
      <w:pPr>
        <w:pStyle w:val="ListParagraph"/>
        <w:numPr>
          <w:ilvl w:val="0"/>
          <w:numId w:val="32"/>
        </w:numPr>
        <w:ind w:right="-432"/>
      </w:pPr>
      <w:r w:rsidRPr="0038253B">
        <w:t>Room</w:t>
      </w:r>
    </w:p>
    <w:p w:rsidR="006E2ED0" w:rsidRPr="0038253B" w:rsidRDefault="006E2ED0" w:rsidP="006E2ED0">
      <w:pPr>
        <w:pStyle w:val="ListParagraph"/>
        <w:numPr>
          <w:ilvl w:val="0"/>
          <w:numId w:val="32"/>
        </w:numPr>
        <w:ind w:right="-432"/>
      </w:pPr>
      <w:r w:rsidRPr="0038253B">
        <w:t>City</w:t>
      </w:r>
    </w:p>
    <w:p w:rsidR="006E2ED0" w:rsidRPr="0038253B" w:rsidRDefault="006E2ED0" w:rsidP="006E2ED0">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rsidR="006E2ED0" w:rsidRPr="0038253B" w:rsidRDefault="006E2ED0" w:rsidP="006E2ED0">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rsidR="006E2ED0" w:rsidRPr="0038253B" w:rsidRDefault="006E2ED0" w:rsidP="006E2ED0">
      <w:pPr>
        <w:pStyle w:val="ListParagraph"/>
        <w:numPr>
          <w:ilvl w:val="0"/>
          <w:numId w:val="32"/>
        </w:numPr>
        <w:ind w:right="-432"/>
      </w:pPr>
      <w:r w:rsidRPr="0038253B">
        <w:t>Webinar link:</w:t>
      </w:r>
    </w:p>
    <w:p w:rsidR="006E2ED0" w:rsidRPr="0038253B" w:rsidRDefault="006E2ED0" w:rsidP="006E2ED0">
      <w:pPr>
        <w:pStyle w:val="ListParagraph"/>
        <w:numPr>
          <w:ilvl w:val="1"/>
          <w:numId w:val="32"/>
        </w:numPr>
        <w:ind w:right="-432"/>
      </w:pPr>
      <w:r w:rsidRPr="0038253B">
        <w:t xml:space="preserve">(4734 number) = </w:t>
      </w:r>
      <w:hyperlink r:id="rId14" w:history="1">
        <w:r w:rsidRPr="0038253B">
          <w:rPr>
            <w:rStyle w:val="Hyperlink"/>
          </w:rPr>
          <w:t>888-363-4734 webinar link</w:t>
        </w:r>
      </w:hyperlink>
    </w:p>
    <w:p w:rsidR="006E2ED0" w:rsidRPr="0038253B" w:rsidRDefault="006E2ED0" w:rsidP="006E2ED0">
      <w:pPr>
        <w:pStyle w:val="ListParagraph"/>
        <w:numPr>
          <w:ilvl w:val="1"/>
          <w:numId w:val="32"/>
        </w:numPr>
        <w:ind w:right="-432"/>
      </w:pPr>
      <w:r w:rsidRPr="0038253B">
        <w:rPr>
          <w:color w:val="C45911" w:themeColor="accent2" w:themeShade="BF"/>
        </w:rPr>
        <w:t>OR</w:t>
      </w:r>
    </w:p>
    <w:p w:rsidR="006E2ED0" w:rsidRPr="0038253B" w:rsidRDefault="006E2ED0" w:rsidP="006E2ED0">
      <w:pPr>
        <w:pStyle w:val="ListParagraph"/>
        <w:numPr>
          <w:ilvl w:val="1"/>
          <w:numId w:val="32"/>
        </w:numPr>
        <w:ind w:right="-432"/>
      </w:pPr>
      <w:r w:rsidRPr="0038253B">
        <w:t xml:space="preserve">(0296 number) = </w:t>
      </w:r>
      <w:hyperlink r:id="rId15" w:history="1">
        <w:r w:rsidRPr="0038253B">
          <w:rPr>
            <w:rStyle w:val="Hyperlink"/>
          </w:rPr>
          <w:t>888-278-0296 webinar link</w:t>
        </w:r>
      </w:hyperlink>
    </w:p>
    <w:p w:rsidR="006E2ED0" w:rsidRPr="0038253B" w:rsidRDefault="006E2ED0" w:rsidP="006E2ED0">
      <w:pPr>
        <w:pStyle w:val="ListParagraph"/>
        <w:numPr>
          <w:ilvl w:val="0"/>
          <w:numId w:val="32"/>
        </w:numPr>
        <w:ind w:right="-432"/>
      </w:pPr>
      <w:r w:rsidRPr="0038253B">
        <w:t xml:space="preserve">Instructions on how to join webinar or teleconference: </w:t>
      </w:r>
      <w:hyperlink r:id="rId16" w:history="1">
        <w:r w:rsidRPr="0038253B">
          <w:rPr>
            <w:rStyle w:val="Hyperlink"/>
          </w:rPr>
          <w:t>Webinar/teleconference instructions</w:t>
        </w:r>
      </w:hyperlink>
    </w:p>
    <w:p w:rsidR="006E2ED0" w:rsidRPr="0038253B" w:rsidRDefault="006E2ED0" w:rsidP="006E2ED0">
      <w:pPr>
        <w:pStyle w:val="ListParagraph"/>
        <w:ind w:right="-432"/>
      </w:pPr>
    </w:p>
    <w:p w:rsidR="00F72D05" w:rsidRPr="0038253B" w:rsidRDefault="00F72D05" w:rsidP="003F70E1">
      <w:pPr>
        <w:pStyle w:val="Heading2"/>
        <w:ind w:left="0"/>
      </w:pPr>
      <w:r w:rsidRPr="0038253B">
        <w:t>How to comment on this rulemaking proposal</w:t>
      </w:r>
    </w:p>
    <w:p w:rsidR="00F72D05" w:rsidRPr="0038253B" w:rsidRDefault="00F72D05" w:rsidP="003F70E1">
      <w:pPr>
        <w:ind w:left="0"/>
      </w:pPr>
    </w:p>
    <w:p w:rsidR="00F72D05" w:rsidRPr="0038253B" w:rsidRDefault="00F72D05" w:rsidP="003F70E1">
      <w:pPr>
        <w:ind w:left="0"/>
      </w:pPr>
      <w:r w:rsidRPr="0038253B">
        <w:lastRenderedPageBreak/>
        <w:t>DEQ is asking for public comment on the proposed rules. Anyone can submit comments and questions about this rulemaking. A person can submit comments through an online web page, by regular mail or at the public hearing.</w:t>
      </w:r>
    </w:p>
    <w:p w:rsidR="00F72D05" w:rsidRPr="0038253B" w:rsidRDefault="00F72D05" w:rsidP="003F70E1">
      <w:pPr>
        <w:ind w:left="0"/>
      </w:pPr>
    </w:p>
    <w:p w:rsidR="00F72D05" w:rsidRPr="0038253B" w:rsidRDefault="00F72D05" w:rsidP="003F70E1">
      <w:pPr>
        <w:pStyle w:val="Heading3"/>
        <w:ind w:left="0"/>
        <w:rPr>
          <w:szCs w:val="28"/>
        </w:rPr>
      </w:pPr>
      <w:r w:rsidRPr="0038253B">
        <w:rPr>
          <w:szCs w:val="28"/>
        </w:rPr>
        <w:t>Comment deadline</w:t>
      </w:r>
    </w:p>
    <w:p w:rsidR="00F72D05" w:rsidRPr="0038253B" w:rsidRDefault="00F72D05" w:rsidP="003F70E1">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Submit comment online</w:t>
      </w:r>
    </w:p>
    <w:p w:rsidR="00F72D05" w:rsidRPr="0038253B" w:rsidRDefault="00F72D05" w:rsidP="003F70E1">
      <w:pPr>
        <w:ind w:left="0"/>
        <w:rPr>
          <w:bCs/>
          <w:color w:val="BF8F00" w:themeColor="accent4" w:themeShade="BF"/>
        </w:rPr>
      </w:pPr>
      <w:r w:rsidRPr="0038253B">
        <w:rPr>
          <w:bCs/>
          <w:color w:val="BF8F00" w:themeColor="accent4" w:themeShade="BF"/>
        </w:rPr>
        <w:t>LINK TO RULEMAKING COMMENT PAGE</w:t>
      </w:r>
      <w:r w:rsidR="00F3040B" w:rsidRPr="0038253B">
        <w:rPr>
          <w:bCs/>
          <w:color w:val="BF8F00" w:themeColor="accent4" w:themeShade="BF"/>
        </w:rPr>
        <w:t xml:space="preserve"> (</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Pr="0038253B">
        <w:rPr>
          <w:bCs/>
          <w:color w:val="BF8F00" w:themeColor="accent4" w:themeShade="BF"/>
        </w:rPr>
        <w:t>:</w:t>
      </w:r>
    </w:p>
    <w:p w:rsidR="00F72D05" w:rsidRPr="0038253B" w:rsidRDefault="00F72D05" w:rsidP="003F70E1">
      <w:pPr>
        <w:ind w:left="0"/>
        <w:rPr>
          <w:bCs/>
        </w:rPr>
      </w:pPr>
    </w:p>
    <w:p w:rsidR="006A7E58" w:rsidRPr="0038253B" w:rsidRDefault="006A7E58" w:rsidP="003F70E1">
      <w:pPr>
        <w:ind w:left="0"/>
        <w:rPr>
          <w:bCs/>
        </w:rPr>
      </w:pPr>
    </w:p>
    <w:p w:rsidR="006A7E58" w:rsidRPr="0038253B" w:rsidRDefault="006A7E58" w:rsidP="006A7E58">
      <w:pPr>
        <w:ind w:left="0"/>
      </w:pPr>
      <w:r w:rsidRPr="0038253B">
        <w:t>http://www.oregon.gov/deq/Regulations/rulemaking/Pages/c</w:t>
      </w:r>
      <w:r w:rsidRPr="0038253B">
        <w:rPr>
          <w:b/>
          <w:color w:val="C45911" w:themeColor="accent2" w:themeShade="BF"/>
        </w:rPr>
        <w:t>RULEMAKINGNAME</w:t>
      </w:r>
      <w:r w:rsidRPr="0038253B">
        <w:t>.aspx</w:t>
      </w:r>
    </w:p>
    <w:p w:rsidR="006A7E58" w:rsidRPr="0038253B" w:rsidRDefault="006A7E58" w:rsidP="003F70E1">
      <w:pPr>
        <w:ind w:left="0"/>
        <w:rPr>
          <w:bCs/>
          <w:color w:val="BF8F00" w:themeColor="accent4" w:themeShade="BF"/>
        </w:rPr>
      </w:pPr>
    </w:p>
    <w:p w:rsidR="006A7E58" w:rsidRPr="0038253B" w:rsidRDefault="006A7E58" w:rsidP="003F70E1">
      <w:pPr>
        <w:ind w:left="0"/>
        <w:rPr>
          <w:bCs/>
          <w:color w:val="BF8F00" w:themeColor="accent4" w:themeShade="BF"/>
        </w:rPr>
      </w:pPr>
    </w:p>
    <w:p w:rsidR="00F72D05" w:rsidRPr="0038253B" w:rsidRDefault="00F72D05" w:rsidP="003F70E1">
      <w:pPr>
        <w:ind w:left="0"/>
        <w:rPr>
          <w:bCs/>
          <w:color w:val="BF8F00" w:themeColor="accent4" w:themeShade="BF"/>
          <w:u w:val="single"/>
        </w:rPr>
      </w:pPr>
    </w:p>
    <w:p w:rsidR="00F72D05" w:rsidRPr="0038253B" w:rsidRDefault="00F72D05" w:rsidP="003F70E1">
      <w:pPr>
        <w:pStyle w:val="Heading4"/>
        <w:spacing w:before="0"/>
        <w:rPr>
          <w:sz w:val="28"/>
          <w:szCs w:val="28"/>
        </w:rPr>
      </w:pPr>
      <w:r w:rsidRPr="0038253B">
        <w:rPr>
          <w:sz w:val="28"/>
          <w:szCs w:val="28"/>
        </w:rPr>
        <w:t xml:space="preserve">Note for public university students: </w:t>
      </w:r>
    </w:p>
    <w:p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By mail</w:t>
      </w:r>
    </w:p>
    <w:p w:rsidR="00F72D05" w:rsidRPr="0038253B" w:rsidRDefault="00F72D05" w:rsidP="003F70E1">
      <w:pPr>
        <w:ind w:left="0"/>
      </w:pPr>
      <w:r w:rsidRPr="0038253B">
        <w:t>Oregon DEQ</w:t>
      </w:r>
    </w:p>
    <w:p w:rsidR="00F72D05" w:rsidRPr="0038253B" w:rsidRDefault="00F72D05" w:rsidP="003F70E1">
      <w:pPr>
        <w:ind w:left="0"/>
        <w:rPr>
          <w:b/>
        </w:rPr>
      </w:pPr>
      <w:r w:rsidRPr="0038253B">
        <w:t xml:space="preserve">Attn: </w:t>
      </w:r>
      <w:r w:rsidRPr="0038253B">
        <w:rPr>
          <w:color w:val="BF8F00" w:themeColor="accent4" w:themeShade="BF"/>
        </w:rPr>
        <w:t>RULE WRITER</w:t>
      </w:r>
    </w:p>
    <w:p w:rsidR="00F72D05" w:rsidRPr="0038253B" w:rsidRDefault="00753654" w:rsidP="003F70E1">
      <w:pPr>
        <w:ind w:left="0"/>
      </w:pPr>
      <w:r w:rsidRPr="0038253B">
        <w:t xml:space="preserve">700 </w:t>
      </w:r>
      <w:proofErr w:type="gramStart"/>
      <w:r w:rsidRPr="0038253B">
        <w:t>NE  Multnomah</w:t>
      </w:r>
      <w:proofErr w:type="gramEnd"/>
      <w:r w:rsidRPr="0038253B">
        <w:t xml:space="preserve"> St., Room 600</w:t>
      </w:r>
    </w:p>
    <w:p w:rsidR="00F72D05" w:rsidRPr="0038253B" w:rsidRDefault="00753654" w:rsidP="003F70E1">
      <w:pPr>
        <w:ind w:left="0"/>
      </w:pPr>
      <w:r w:rsidRPr="0038253B">
        <w:t>Portland, OR 97232-4100</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At hearing</w:t>
      </w:r>
    </w:p>
    <w:p w:rsidR="00F72D05" w:rsidRPr="0038253B" w:rsidRDefault="00F72D05" w:rsidP="003F70E1">
      <w:pPr>
        <w:ind w:left="0"/>
        <w:rPr>
          <w:color w:val="BF8F00" w:themeColor="accent4" w:themeShade="BF"/>
        </w:rPr>
      </w:pPr>
      <w:r w:rsidRPr="0038253B">
        <w:rPr>
          <w:color w:val="BF8F00" w:themeColor="accent4" w:themeShade="BF"/>
        </w:rPr>
        <w:t>DATE/MONTH</w:t>
      </w:r>
    </w:p>
    <w:p w:rsidR="00F72D05" w:rsidRPr="0038253B" w:rsidRDefault="00F72D05" w:rsidP="003F70E1">
      <w:pPr>
        <w:ind w:left="0"/>
        <w:rPr>
          <w:color w:val="BF8F00" w:themeColor="accent4" w:themeShade="BF"/>
        </w:rPr>
      </w:pPr>
    </w:p>
    <w:p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rsidR="005A5041" w:rsidRPr="0038253B" w:rsidRDefault="005A5041" w:rsidP="005A5041"/>
    <w:p w:rsidR="005A5041" w:rsidRPr="0038253B" w:rsidRDefault="005A5041" w:rsidP="005A5041">
      <w:pPr>
        <w:ind w:left="0"/>
      </w:pPr>
      <w:r w:rsidRPr="0038253B">
        <w:t xml:space="preserve">Teleconference call-in number: </w:t>
      </w:r>
    </w:p>
    <w:p w:rsidR="005A5041" w:rsidRPr="0038253B" w:rsidRDefault="005A5041" w:rsidP="005A5041">
      <w:pPr>
        <w:ind w:left="0"/>
      </w:pPr>
      <w:r w:rsidRPr="0038253B">
        <w:t xml:space="preserve">Participant ID: </w:t>
      </w:r>
    </w:p>
    <w:p w:rsidR="005A5041" w:rsidRPr="0038253B" w:rsidRDefault="005A5041" w:rsidP="005A5041">
      <w:pPr>
        <w:ind w:left="0"/>
      </w:pPr>
      <w:r w:rsidRPr="0038253B">
        <w:t xml:space="preserve">Webinar link (webinar has no audio, you must listen on the teleconference): </w:t>
      </w:r>
    </w:p>
    <w:p w:rsidR="005A5041" w:rsidRPr="0038253B" w:rsidRDefault="005A5041" w:rsidP="005A5041">
      <w:pPr>
        <w:ind w:left="0"/>
      </w:pPr>
    </w:p>
    <w:p w:rsidR="005A5041" w:rsidRPr="0038253B" w:rsidRDefault="005A5041" w:rsidP="005A5041">
      <w:pPr>
        <w:ind w:left="0"/>
      </w:pPr>
      <w:r w:rsidRPr="0038253B">
        <w:t xml:space="preserve">How to join the teleconference or webinar: </w:t>
      </w:r>
      <w:hyperlink r:id="rId17" w:history="1">
        <w:r w:rsidRPr="0038253B">
          <w:rPr>
            <w:rStyle w:val="Hyperlink"/>
          </w:rPr>
          <w:t>Teleconference and Webinar instructions</w:t>
        </w:r>
      </w:hyperlink>
    </w:p>
    <w:p w:rsidR="005A5041" w:rsidRPr="0038253B" w:rsidRDefault="005A5041" w:rsidP="00655561">
      <w:pPr>
        <w:pStyle w:val="Heading3"/>
        <w:spacing w:before="0"/>
        <w:ind w:left="0"/>
      </w:pPr>
    </w:p>
    <w:p w:rsidR="00655561" w:rsidRPr="0038253B" w:rsidRDefault="00655561" w:rsidP="00655561">
      <w:pPr>
        <w:pStyle w:val="Heading3"/>
        <w:spacing w:before="0"/>
        <w:ind w:left="0"/>
        <w:rPr>
          <w:sz w:val="32"/>
          <w:szCs w:val="32"/>
        </w:rPr>
      </w:pPr>
      <w:r w:rsidRPr="0038253B">
        <w:rPr>
          <w:sz w:val="32"/>
          <w:szCs w:val="32"/>
        </w:rPr>
        <w:t>Sign up for rulemaking notices</w:t>
      </w:r>
    </w:p>
    <w:p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rsidR="00931E4B" w:rsidRPr="0038253B" w:rsidRDefault="00783B27" w:rsidP="00BC7242">
      <w:pPr>
        <w:ind w:left="0"/>
      </w:pPr>
      <w:r w:rsidRPr="0038253B">
        <w:rPr>
          <w:color w:val="BF8F00" w:themeColor="accent4" w:themeShade="BF"/>
        </w:rPr>
        <w:t xml:space="preserve">(EDIT LINK TO ADD CORRECT TOPIC NUMBER):  </w:t>
      </w:r>
      <w:hyperlink r:id="rId18" w:history="1">
        <w:r w:rsidRPr="0038253B">
          <w:rPr>
            <w:rStyle w:val="Hyperlink"/>
          </w:rPr>
          <w:t>RULEMAKING NAME Rulemaking Email List</w:t>
        </w:r>
      </w:hyperlink>
      <w:r w:rsidR="00BC7242" w:rsidRPr="0038253B">
        <w:t xml:space="preserve">; or on the rulemaking web site: </w:t>
      </w:r>
      <w:r w:rsidR="00BC7242" w:rsidRPr="0038253B">
        <w:rPr>
          <w:color w:val="BF8F00" w:themeColor="accent4" w:themeShade="BF"/>
        </w:rPr>
        <w:t xml:space="preserve">(EDIT LINK TO ADD CORRECT RULEMAKING NAME) </w:t>
      </w:r>
      <w:hyperlink r:id="rId19" w:history="1">
        <w:r w:rsidR="00931E4B" w:rsidRPr="0038253B">
          <w:rPr>
            <w:rStyle w:val="Hyperlink"/>
          </w:rPr>
          <w:t>RULEMAKING NAME rulemaking web page</w:t>
        </w:r>
      </w:hyperlink>
      <w:r w:rsidR="00942D21" w:rsidRPr="0038253B">
        <w:t>.</w:t>
      </w:r>
    </w:p>
    <w:p w:rsidR="00783B27" w:rsidRPr="0038253B" w:rsidRDefault="00783B27" w:rsidP="00655561">
      <w:pPr>
        <w:ind w:left="0"/>
      </w:pPr>
    </w:p>
    <w:p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0" w:history="1">
        <w:r w:rsidRPr="0038253B">
          <w:rPr>
            <w:rStyle w:val="Hyperlink"/>
          </w:rPr>
          <w:t>DEQ Email Notice List</w:t>
        </w:r>
      </w:hyperlink>
      <w:r w:rsidRPr="0038253B">
        <w:t>.</w:t>
      </w:r>
    </w:p>
    <w:p w:rsidR="00783B27" w:rsidRPr="0038253B" w:rsidRDefault="00783B27" w:rsidP="00655561">
      <w:pPr>
        <w:ind w:left="0"/>
        <w:rPr>
          <w:color w:val="BF8F00" w:themeColor="accent4" w:themeShade="BF"/>
        </w:rPr>
      </w:pPr>
    </w:p>
    <w:p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rsidR="00CA3AB6" w:rsidRPr="0038253B" w:rsidRDefault="00CA3AB6" w:rsidP="003F70E1">
      <w:pPr>
        <w:ind w:left="0"/>
      </w:pPr>
    </w:p>
    <w:p w:rsidR="00CA3AB6" w:rsidRPr="0038253B" w:rsidRDefault="00CA3AB6" w:rsidP="003F70E1">
      <w:pPr>
        <w:pStyle w:val="Heading3"/>
        <w:spacing w:before="0"/>
        <w:ind w:left="0"/>
        <w:rPr>
          <w:sz w:val="32"/>
          <w:szCs w:val="32"/>
        </w:rPr>
      </w:pPr>
      <w:r w:rsidRPr="0038253B">
        <w:rPr>
          <w:sz w:val="32"/>
          <w:szCs w:val="32"/>
        </w:rPr>
        <w:t>Present proposal to the EQC</w:t>
      </w:r>
    </w:p>
    <w:p w:rsidR="00CA3AB6" w:rsidRPr="0038253B" w:rsidRDefault="00CA3AB6" w:rsidP="003F70E1">
      <w:pPr>
        <w:ind w:left="0"/>
      </w:pPr>
      <w:r w:rsidRPr="0038253B">
        <w:t xml:space="preserve">Proposed rules only become effective if the Environmental Quality Commission adopts them. DEQ plans to present the proposed rules to the commission for a decision at its meeting on </w:t>
      </w:r>
      <w:r w:rsidRPr="0038253B">
        <w:rPr>
          <w:color w:val="BF8F00" w:themeColor="accent4" w:themeShade="BF"/>
        </w:rPr>
        <w:t>DATE</w:t>
      </w:r>
      <w:r w:rsidRPr="0038253B">
        <w:t xml:space="preserve">. </w:t>
      </w:r>
    </w:p>
    <w:p w:rsidR="00CA3AB6" w:rsidRPr="0038253B" w:rsidRDefault="00CA3AB6" w:rsidP="003F70E1">
      <w:pPr>
        <w:ind w:left="0"/>
      </w:pPr>
    </w:p>
    <w:p w:rsidR="00F72D05" w:rsidRPr="0038253B" w:rsidRDefault="00F72D05" w:rsidP="003F70E1">
      <w:pPr>
        <w:ind w:left="0"/>
        <w:sectPr w:rsidR="00F72D05" w:rsidRPr="0038253B" w:rsidSect="00CC521E">
          <w:headerReference w:type="default" r:id="rId21"/>
          <w:footerReference w:type="default" r:id="rId22"/>
          <w:headerReference w:type="first" r:id="rId23"/>
          <w:footerReference w:type="first" r:id="rId24"/>
          <w:pgSz w:w="12240" w:h="15840"/>
          <w:pgMar w:top="1440" w:right="1440" w:bottom="1440" w:left="1440" w:header="720" w:footer="432" w:gutter="0"/>
          <w:cols w:space="720"/>
          <w:titlePg/>
          <w:docGrid w:linePitch="360"/>
        </w:sectPr>
      </w:pPr>
    </w:p>
    <w:tbl>
      <w:tblPr>
        <w:tblW w:w="12630" w:type="dxa"/>
        <w:jc w:val="center"/>
        <w:tblLook w:val="04A0" w:firstRow="1" w:lastRow="0" w:firstColumn="1" w:lastColumn="0" w:noHBand="0" w:noVBand="1"/>
      </w:tblPr>
      <w:tblGrid>
        <w:gridCol w:w="12630"/>
      </w:tblGrid>
      <w:tr w:rsidR="009C6844" w:rsidRPr="0038253B" w:rsidTr="00A43288">
        <w:trPr>
          <w:trHeight w:val="554"/>
          <w:jc w:val="center"/>
        </w:trPr>
        <w:tc>
          <w:tcPr>
            <w:tcW w:w="12630" w:type="dxa"/>
            <w:tcBorders>
              <w:top w:val="nil"/>
              <w:left w:val="nil"/>
              <w:bottom w:val="double" w:sz="6" w:space="0" w:color="7F7F7F"/>
              <w:right w:val="nil"/>
            </w:tcBorders>
            <w:shd w:val="clear" w:color="auto" w:fill="D5DCE4" w:themeFill="text2" w:themeFillTint="33"/>
            <w:noWrap/>
            <w:vAlign w:val="bottom"/>
            <w:hideMark/>
          </w:tcPr>
          <w:p w:rsidR="009C6844" w:rsidRPr="0038253B" w:rsidRDefault="009C6844" w:rsidP="003861C1">
            <w:pPr>
              <w:ind w:left="-36"/>
            </w:pPr>
          </w:p>
          <w:p w:rsidR="00F40122" w:rsidRPr="0038253B" w:rsidRDefault="00D80570" w:rsidP="000770BB">
            <w:pPr>
              <w:pStyle w:val="TOC1"/>
              <w:rPr>
                <w:rStyle w:val="Heading1Char"/>
              </w:rPr>
            </w:pPr>
            <w:bookmarkStart w:id="0" w:name="_Toc482799998"/>
            <w:r w:rsidRPr="0038253B">
              <w:rPr>
                <w:rStyle w:val="Heading1Char"/>
              </w:rPr>
              <w:t>Optional Additional Topic</w:t>
            </w:r>
            <w:bookmarkEnd w:id="0"/>
          </w:p>
          <w:p w:rsidR="003A2B26" w:rsidRPr="0038253B" w:rsidRDefault="003A2B26" w:rsidP="00F40122">
            <w:pPr>
              <w:ind w:left="0"/>
              <w:rPr>
                <w:color w:val="BF8F00" w:themeColor="accent4" w:themeShade="BF"/>
              </w:rPr>
            </w:pPr>
            <w:r w:rsidRPr="0038253B">
              <w:rPr>
                <w:color w:val="BF8F00" w:themeColor="accent4" w:themeShade="BF"/>
              </w:rPr>
              <w:t>This section is optional. If not used, it should be deleted. This section is to include information you think is important but that is not covered in another section of the notice.</w:t>
            </w:r>
          </w:p>
          <w:p w:rsidR="009C6844" w:rsidRPr="0038253B" w:rsidRDefault="009C6844" w:rsidP="00501ABB">
            <w:pPr>
              <w:ind w:left="0"/>
            </w:pPr>
          </w:p>
        </w:tc>
      </w:tr>
    </w:tbl>
    <w:p w:rsidR="009C6844" w:rsidRPr="0038253B" w:rsidRDefault="009C6844" w:rsidP="00501ABB">
      <w:pPr>
        <w:ind w:left="0"/>
      </w:pPr>
    </w:p>
    <w:p w:rsidR="00983629" w:rsidRPr="0038253B" w:rsidRDefault="00E7412E" w:rsidP="004257B4">
      <w:pPr>
        <w:pStyle w:val="Heading3"/>
        <w:rPr>
          <w:color w:val="BF8F00" w:themeColor="accent4" w:themeShade="BF"/>
        </w:rPr>
      </w:pPr>
      <w:r w:rsidRPr="0038253B">
        <w:t>Enter freeform title here</w:t>
      </w:r>
      <w:r w:rsidRPr="0038253B">
        <w:rPr>
          <w:color w:val="BF8F00" w:themeColor="accent4" w:themeShade="BF"/>
        </w:rPr>
        <w:t xml:space="preserve"> </w:t>
      </w:r>
    </w:p>
    <w:p w:rsidR="00E7412E" w:rsidRPr="0038253B" w:rsidRDefault="002D263C" w:rsidP="00CB29C6">
      <w:pPr>
        <w:ind w:left="0" w:right="-360"/>
      </w:pPr>
      <w:r w:rsidRPr="0038253B">
        <w:t>TEXT</w:t>
      </w:r>
    </w:p>
    <w:p w:rsidR="009C6844" w:rsidRPr="0038253B" w:rsidRDefault="009C6844" w:rsidP="00501ABB">
      <w:pPr>
        <w:ind w:left="0"/>
      </w:pPr>
    </w:p>
    <w:p w:rsidR="009C6844" w:rsidRPr="0038253B" w:rsidRDefault="009C6844" w:rsidP="004257B4">
      <w:pPr>
        <w:pStyle w:val="Heading3"/>
        <w:rPr>
          <w:color w:val="BF8F00" w:themeColor="accent4" w:themeShade="BF"/>
        </w:rPr>
      </w:pPr>
      <w:r w:rsidRPr="0038253B">
        <w:t>Enter freeform titl</w:t>
      </w:r>
      <w:r w:rsidR="00E7412E" w:rsidRPr="0038253B">
        <w:t>e here</w:t>
      </w:r>
      <w:r w:rsidRPr="0038253B">
        <w:rPr>
          <w:color w:val="BF8F00" w:themeColor="accent4" w:themeShade="BF"/>
        </w:rPr>
        <w:t xml:space="preserve"> </w:t>
      </w:r>
    </w:p>
    <w:p w:rsidR="005000A3" w:rsidRPr="0038253B" w:rsidRDefault="005000A3">
      <w:r w:rsidRPr="0038253B">
        <w:br w:type="page"/>
      </w:r>
    </w:p>
    <w:tbl>
      <w:tblPr>
        <w:tblW w:w="12581" w:type="dxa"/>
        <w:jc w:val="center"/>
        <w:tblLook w:val="04A0" w:firstRow="1" w:lastRow="0" w:firstColumn="1" w:lastColumn="0" w:noHBand="0" w:noVBand="1"/>
      </w:tblPr>
      <w:tblGrid>
        <w:gridCol w:w="12581"/>
      </w:tblGrid>
      <w:tr w:rsidR="00A04AFA" w:rsidRPr="0038253B"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rsidR="00F40122" w:rsidRPr="0038253B" w:rsidRDefault="00A04AFA" w:rsidP="000770BB">
            <w:pPr>
              <w:pStyle w:val="TOC1"/>
              <w:rPr>
                <w:rStyle w:val="Heading1Char"/>
              </w:rPr>
            </w:pPr>
            <w:bookmarkStart w:id="1" w:name="_Toc482799999"/>
            <w:r w:rsidRPr="0038253B">
              <w:rPr>
                <w:rStyle w:val="Heading1Char"/>
              </w:rPr>
              <w:lastRenderedPageBreak/>
              <w:t>Statement of need</w:t>
            </w:r>
            <w:bookmarkEnd w:id="1"/>
          </w:p>
          <w:p w:rsidR="00A04AFA" w:rsidRPr="0038253B" w:rsidRDefault="00D1364A" w:rsidP="00F40122">
            <w:pPr>
              <w:ind w:left="0"/>
              <w:rPr>
                <w:b/>
              </w:rPr>
            </w:pPr>
            <w:r w:rsidRPr="0038253B">
              <w:rPr>
                <w:b/>
                <w:color w:val="806000" w:themeColor="accent4" w:themeShade="80"/>
              </w:rPr>
              <w:t xml:space="preserve"> ORS 183.335(b)(C)</w:t>
            </w:r>
          </w:p>
        </w:tc>
      </w:tr>
    </w:tbl>
    <w:p w:rsidR="00A04AFA" w:rsidRPr="0038253B" w:rsidRDefault="00A04AFA" w:rsidP="00501ABB">
      <w:pPr>
        <w:ind w:left="0"/>
      </w:pPr>
    </w:p>
    <w:p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The</w:t>
      </w:r>
      <w:r w:rsidR="004D0217" w:rsidRPr="0038253B">
        <w:rPr>
          <w:rStyle w:val="Emphasis"/>
          <w:rFonts w:ascii="Arial" w:hAnsi="Arial" w:cs="Arial"/>
          <w:vanish w:val="0"/>
          <w:color w:val="C45911" w:themeColor="accent2" w:themeShade="BF"/>
          <w:sz w:val="24"/>
        </w:rPr>
        <w:t>se</w:t>
      </w:r>
      <w:r w:rsidRPr="0038253B">
        <w:rPr>
          <w:rStyle w:val="Emphasis"/>
          <w:rFonts w:ascii="Arial" w:hAnsi="Arial" w:cs="Arial"/>
          <w:vanish w:val="0"/>
          <w:color w:val="C45911" w:themeColor="accent2" w:themeShade="BF"/>
          <w:sz w:val="24"/>
        </w:rPr>
        <w:t xml:space="preserve"> three questions are required by statute.</w:t>
      </w:r>
    </w:p>
    <w:p w:rsidR="00D60BF9" w:rsidRPr="0038253B" w:rsidRDefault="00D60BF9" w:rsidP="00501ABB">
      <w:pPr>
        <w:ind w:left="0"/>
        <w:rPr>
          <w:rStyle w:val="Emphasis"/>
          <w:rFonts w:ascii="Arial" w:hAnsi="Arial" w:cs="Arial"/>
          <w:vanish w:val="0"/>
          <w:color w:val="C45911" w:themeColor="accent2" w:themeShade="BF"/>
          <w:sz w:val="24"/>
        </w:rPr>
      </w:pPr>
    </w:p>
    <w:p w:rsidR="00362542" w:rsidRPr="0038253B" w:rsidRDefault="00B659B6"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S</w:t>
      </w:r>
      <w:r w:rsidR="001C7F4C" w:rsidRPr="0038253B">
        <w:rPr>
          <w:rStyle w:val="Emphasis"/>
          <w:rFonts w:ascii="Arial" w:hAnsi="Arial" w:cs="Arial"/>
          <w:vanish w:val="0"/>
          <w:color w:val="C45911" w:themeColor="accent2" w:themeShade="BF"/>
          <w:sz w:val="24"/>
        </w:rPr>
        <w:t xml:space="preserve">elect </w:t>
      </w:r>
      <w:r w:rsidR="00D60BF9" w:rsidRPr="0038253B">
        <w:rPr>
          <w:rStyle w:val="Emphasis"/>
          <w:rFonts w:ascii="Arial" w:hAnsi="Arial" w:cs="Arial"/>
          <w:vanish w:val="0"/>
          <w:color w:val="C45911" w:themeColor="accent2" w:themeShade="BF"/>
          <w:sz w:val="24"/>
        </w:rPr>
        <w:t xml:space="preserve">the </w:t>
      </w:r>
      <w:r w:rsidR="00F06EEF" w:rsidRPr="0038253B">
        <w:rPr>
          <w:rStyle w:val="Emphasis"/>
          <w:rFonts w:ascii="Arial" w:hAnsi="Arial" w:cs="Arial"/>
          <w:vanish w:val="0"/>
          <w:color w:val="C45911" w:themeColor="accent2" w:themeShade="BF"/>
          <w:sz w:val="24"/>
        </w:rPr>
        <w:t xml:space="preserve">method below that best fits your information. </w:t>
      </w:r>
      <w:r w:rsidR="003A2B26" w:rsidRPr="0038253B">
        <w:rPr>
          <w:rStyle w:val="Emphasis"/>
          <w:rFonts w:ascii="Arial" w:hAnsi="Arial" w:cs="Arial"/>
          <w:vanish w:val="0"/>
          <w:color w:val="C45911" w:themeColor="accent2" w:themeShade="BF"/>
          <w:sz w:val="24"/>
        </w:rPr>
        <w:t xml:space="preserve">Delete unused </w:t>
      </w:r>
      <w:r w:rsidR="00B645B5" w:rsidRPr="0038253B">
        <w:rPr>
          <w:rStyle w:val="Emphasis"/>
          <w:rFonts w:ascii="Arial" w:hAnsi="Arial" w:cs="Arial"/>
          <w:vanish w:val="0"/>
          <w:color w:val="C45911" w:themeColor="accent2" w:themeShade="BF"/>
          <w:sz w:val="24"/>
        </w:rPr>
        <w:t>e</w:t>
      </w:r>
      <w:r w:rsidR="00D60BF9" w:rsidRPr="0038253B">
        <w:rPr>
          <w:rStyle w:val="Emphasis"/>
          <w:rFonts w:ascii="Arial" w:hAnsi="Arial" w:cs="Arial"/>
          <w:vanish w:val="0"/>
          <w:color w:val="C45911" w:themeColor="accent2" w:themeShade="BF"/>
          <w:sz w:val="24"/>
        </w:rPr>
        <w:t>xamples.</w:t>
      </w:r>
    </w:p>
    <w:p w:rsidR="002D6C99" w:rsidRPr="0038253B" w:rsidRDefault="002D6C99" w:rsidP="002C612F">
      <w:pPr>
        <w:ind w:left="0" w:right="-360"/>
        <w:rPr>
          <w:rStyle w:val="Emphasis"/>
          <w:rFonts w:ascii="Arial" w:hAnsi="Arial" w:cs="Arial"/>
          <w:vanish w:val="0"/>
          <w:color w:val="C45911" w:themeColor="accent2" w:themeShade="BF"/>
          <w:sz w:val="24"/>
        </w:rPr>
      </w:pPr>
    </w:p>
    <w:p w:rsidR="003A2B26"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METHOD 1</w:t>
      </w:r>
      <w:r w:rsidRPr="0038253B">
        <w:rPr>
          <w:rStyle w:val="Emphasis"/>
          <w:rFonts w:ascii="Arial" w:hAnsi="Arial" w:cs="Arial"/>
          <w:vanish w:val="0"/>
          <w:color w:val="C45911" w:themeColor="accent2" w:themeShade="BF"/>
          <w:sz w:val="24"/>
        </w:rPr>
        <w:t>: for simple proposals</w:t>
      </w:r>
    </w:p>
    <w:p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rsidR="003A2B26" w:rsidRPr="0038253B" w:rsidRDefault="003A2B26" w:rsidP="002C612F">
      <w:pPr>
        <w:ind w:left="0" w:right="-360"/>
      </w:pPr>
    </w:p>
    <w:p w:rsidR="001C7F4C" w:rsidRPr="0038253B" w:rsidRDefault="00891607" w:rsidP="002C612F">
      <w:pPr>
        <w:ind w:left="0" w:right="-360"/>
      </w:pPr>
      <w:r w:rsidRPr="0038253B">
        <w:t>TEXT</w:t>
      </w:r>
    </w:p>
    <w:p w:rsidR="00D17CDB" w:rsidRPr="0038253B" w:rsidRDefault="00D17CDB" w:rsidP="002C612F">
      <w:pPr>
        <w:pStyle w:val="Heading3"/>
        <w:ind w:right="-360"/>
      </w:pPr>
    </w:p>
    <w:p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rsidR="001C7F4C" w:rsidRPr="0038253B" w:rsidRDefault="002D263C" w:rsidP="002C612F">
      <w:pPr>
        <w:ind w:left="0" w:right="-360"/>
      </w:pPr>
      <w:r w:rsidRPr="0038253B">
        <w:t>TEXT</w:t>
      </w:r>
    </w:p>
    <w:p w:rsidR="00470AD8" w:rsidRPr="0038253B" w:rsidRDefault="00470AD8" w:rsidP="002C612F">
      <w:pPr>
        <w:ind w:left="0" w:right="-360"/>
      </w:pPr>
    </w:p>
    <w:p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rsidR="001C7F4C" w:rsidRPr="0038253B" w:rsidRDefault="002D263C" w:rsidP="002C612F">
      <w:pPr>
        <w:ind w:left="0" w:right="-360"/>
      </w:pPr>
      <w:r w:rsidRPr="0038253B">
        <w:t>TEXT</w:t>
      </w:r>
    </w:p>
    <w:p w:rsidR="00B24EF8" w:rsidRPr="0038253B" w:rsidRDefault="00B24EF8" w:rsidP="002C612F">
      <w:pPr>
        <w:ind w:left="0" w:right="-360"/>
        <w:rPr>
          <w:rStyle w:val="Emphasis"/>
          <w:vanish w:val="0"/>
          <w:color w:val="C45911" w:themeColor="accent2" w:themeShade="BF"/>
        </w:rPr>
      </w:pPr>
    </w:p>
    <w:p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 xml:space="preserve">METHOD 2: </w:t>
      </w:r>
      <w:r w:rsidRPr="0038253B">
        <w:rPr>
          <w:rStyle w:val="Emphasis"/>
          <w:rFonts w:ascii="Arial" w:hAnsi="Arial" w:cs="Arial"/>
          <w:vanish w:val="0"/>
          <w:color w:val="C45911" w:themeColor="accent2" w:themeShade="BF"/>
          <w:sz w:val="24"/>
        </w:rPr>
        <w:t>For proposals with multiple issues</w:t>
      </w:r>
    </w:p>
    <w:p w:rsidR="00F8126E" w:rsidRPr="0038253B" w:rsidRDefault="00F8126E" w:rsidP="002C612F">
      <w:pPr>
        <w:ind w:left="0" w:right="-36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38253B" w:rsidTr="00671E96">
        <w:trPr>
          <w:trHeight w:val="531"/>
          <w:tblHeader/>
          <w:jc w:val="center"/>
        </w:trPr>
        <w:tc>
          <w:tcPr>
            <w:tcW w:w="4495" w:type="dxa"/>
            <w:shd w:val="clear" w:color="auto" w:fill="E2EFD9" w:themeFill="accent6" w:themeFillTint="33"/>
            <w:noWrap/>
            <w:vAlign w:val="center"/>
            <w:hideMark/>
          </w:tcPr>
          <w:p w:rsidR="0055604D" w:rsidRPr="0038253B" w:rsidRDefault="0055604D"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Proposed Rule</w:t>
            </w:r>
            <w:r w:rsidR="00B91E32" w:rsidRPr="0038253B">
              <w:rPr>
                <w:rFonts w:ascii="Arial" w:hAnsi="Arial" w:cs="Arial"/>
                <w:color w:val="000000" w:themeColor="text1"/>
              </w:rPr>
              <w:t xml:space="preserve"> or Topic</w:t>
            </w:r>
          </w:p>
        </w:tc>
        <w:tc>
          <w:tcPr>
            <w:tcW w:w="4496" w:type="dxa"/>
            <w:shd w:val="clear" w:color="auto" w:fill="E2EFD9" w:themeFill="accent6" w:themeFillTint="33"/>
            <w:noWrap/>
            <w:vAlign w:val="center"/>
            <w:hideMark/>
          </w:tcPr>
          <w:p w:rsidR="0055604D" w:rsidRPr="0038253B" w:rsidRDefault="00325AA6"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Discussion</w:t>
            </w:r>
          </w:p>
        </w:tc>
      </w:tr>
      <w:tr w:rsidR="00E8332D" w:rsidRPr="0038253B" w:rsidTr="00671E96">
        <w:trPr>
          <w:trHeight w:val="19"/>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263"/>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r w:rsidR="00E8332D" w:rsidRPr="0038253B" w:rsidTr="00671E96">
        <w:trPr>
          <w:trHeight w:val="19"/>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 xml:space="preserve">Enter rule or topic subtitle </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r w:rsidR="00E8332D" w:rsidRPr="0038253B" w:rsidTr="00671E96">
        <w:trPr>
          <w:trHeight w:val="326"/>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bl>
    <w:p w:rsidR="00D60BF9" w:rsidRPr="0038253B" w:rsidRDefault="00D60BF9" w:rsidP="002C612F">
      <w:pPr>
        <w:ind w:left="0" w:right="-360"/>
        <w:rPr>
          <w:rStyle w:val="Emphasis"/>
          <w:rFonts w:ascii="Arial" w:hAnsi="Arial"/>
          <w:b/>
          <w:vanish w:val="0"/>
          <w:color w:val="C45911" w:themeColor="accent2" w:themeShade="BF"/>
          <w:sz w:val="24"/>
        </w:rPr>
      </w:pPr>
    </w:p>
    <w:p w:rsidR="00594211" w:rsidRPr="0038253B" w:rsidRDefault="00594211" w:rsidP="002C612F">
      <w:pPr>
        <w:ind w:left="0" w:right="-360"/>
      </w:pPr>
    </w:p>
    <w:p w:rsidR="0055604D" w:rsidRPr="0038253B" w:rsidRDefault="0009416B" w:rsidP="002C612F">
      <w:pPr>
        <w:ind w:left="0" w:right="-360"/>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METHOD </w:t>
      </w:r>
      <w:r w:rsidR="00D60BF9" w:rsidRPr="0038253B">
        <w:rPr>
          <w:rStyle w:val="Emphasis"/>
          <w:rFonts w:ascii="Arial" w:hAnsi="Arial"/>
          <w:b/>
          <w:vanish w:val="0"/>
          <w:color w:val="C45911" w:themeColor="accent2" w:themeShade="BF"/>
          <w:sz w:val="24"/>
        </w:rPr>
        <w:t>3</w:t>
      </w:r>
      <w:r w:rsidRPr="0038253B">
        <w:rPr>
          <w:rStyle w:val="Emphasis"/>
          <w:rFonts w:ascii="Arial" w:hAnsi="Arial"/>
          <w:b/>
          <w:vanish w:val="0"/>
          <w:color w:val="C45911" w:themeColor="accent2" w:themeShade="BF"/>
          <w:sz w:val="24"/>
        </w:rPr>
        <w:t>:</w:t>
      </w:r>
      <w:r w:rsidRPr="0038253B">
        <w:rPr>
          <w:rStyle w:val="Emphasis"/>
          <w:rFonts w:ascii="Arial" w:hAnsi="Arial"/>
          <w:vanish w:val="0"/>
          <w:color w:val="C45911" w:themeColor="accent2" w:themeShade="BF"/>
          <w:sz w:val="24"/>
        </w:rPr>
        <w:t xml:space="preserve"> </w:t>
      </w:r>
    </w:p>
    <w:p w:rsidR="0055604D" w:rsidRPr="0038253B" w:rsidRDefault="0055604D" w:rsidP="002C612F">
      <w:pPr>
        <w:ind w:left="0" w:right="-360"/>
        <w:rPr>
          <w:rStyle w:val="Emphasis"/>
          <w:rFonts w:ascii="Arial" w:hAnsi="Arial"/>
          <w:vanish w:val="0"/>
          <w:color w:val="C45911" w:themeColor="accent2" w:themeShade="BF"/>
          <w:sz w:val="24"/>
        </w:rPr>
      </w:pPr>
    </w:p>
    <w:p w:rsidR="00E34247" w:rsidRPr="0038253B" w:rsidRDefault="00F135FF"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E34247" w:rsidRPr="0038253B" w:rsidRDefault="00D96929" w:rsidP="002C612F">
      <w:pPr>
        <w:pStyle w:val="Heading4"/>
        <w:ind w:right="-360"/>
      </w:pPr>
      <w:r w:rsidRPr="0038253B">
        <w:t>What need would the proposed rule address?</w:t>
      </w:r>
    </w:p>
    <w:p w:rsidR="0082074B" w:rsidRPr="0038253B" w:rsidRDefault="00880965" w:rsidP="002C612F">
      <w:pPr>
        <w:tabs>
          <w:tab w:val="left" w:pos="720"/>
        </w:tabs>
        <w:ind w:left="0" w:right="-360"/>
      </w:pPr>
      <w:r w:rsidRPr="0038253B">
        <w:t>TEXT</w:t>
      </w:r>
    </w:p>
    <w:p w:rsidR="00E34247" w:rsidRPr="0038253B" w:rsidRDefault="00E34247" w:rsidP="002C612F">
      <w:pPr>
        <w:tabs>
          <w:tab w:val="left" w:pos="720"/>
        </w:tabs>
        <w:ind w:left="0" w:right="-360"/>
      </w:pPr>
    </w:p>
    <w:p w:rsidR="00E34247" w:rsidRPr="0038253B" w:rsidRDefault="00E34247" w:rsidP="002C612F">
      <w:pPr>
        <w:pStyle w:val="Heading4"/>
        <w:ind w:right="-360"/>
        <w:rPr>
          <w:rFonts w:cstheme="minorHAnsi"/>
        </w:rPr>
      </w:pPr>
      <w:r w:rsidRPr="0038253B">
        <w:t xml:space="preserve">How would the proposed rule </w:t>
      </w:r>
      <w:r w:rsidR="00A66C7E" w:rsidRPr="0038253B">
        <w:t>address</w:t>
      </w:r>
      <w:r w:rsidRPr="0038253B">
        <w:t xml:space="preserve"> the </w:t>
      </w:r>
      <w:r w:rsidR="00A66C7E" w:rsidRPr="0038253B">
        <w:t>need</w:t>
      </w:r>
      <w:r w:rsidR="00451393" w:rsidRPr="0038253B">
        <w:t>?</w:t>
      </w:r>
    </w:p>
    <w:p w:rsidR="0082074B" w:rsidRPr="0038253B" w:rsidRDefault="00880965" w:rsidP="002C612F">
      <w:pPr>
        <w:tabs>
          <w:tab w:val="left" w:pos="720"/>
        </w:tabs>
        <w:ind w:left="0" w:right="-360"/>
      </w:pPr>
      <w:r w:rsidRPr="0038253B">
        <w:t>TEXT</w:t>
      </w:r>
    </w:p>
    <w:p w:rsidR="00E34247" w:rsidRPr="0038253B" w:rsidRDefault="00E34247" w:rsidP="002C612F">
      <w:pPr>
        <w:tabs>
          <w:tab w:val="left" w:pos="720"/>
        </w:tabs>
        <w:ind w:left="0" w:right="-360"/>
      </w:pPr>
    </w:p>
    <w:p w:rsidR="00E34247" w:rsidRPr="0038253B" w:rsidRDefault="00BE2A1D" w:rsidP="002C612F">
      <w:pPr>
        <w:pStyle w:val="Heading4"/>
        <w:ind w:right="-360"/>
      </w:pPr>
      <w:r w:rsidRPr="0038253B">
        <w:t>How will DEQ know the rule addressed the need?</w:t>
      </w:r>
    </w:p>
    <w:p w:rsidR="00E34247" w:rsidRPr="0038253B" w:rsidRDefault="00FA5808" w:rsidP="002C612F">
      <w:pPr>
        <w:ind w:left="0" w:right="-360"/>
      </w:pPr>
      <w:r w:rsidRPr="0038253B">
        <w:t>TEXT</w:t>
      </w:r>
    </w:p>
    <w:p w:rsidR="0068173F" w:rsidRPr="0038253B" w:rsidRDefault="0068173F" w:rsidP="002C612F">
      <w:pPr>
        <w:ind w:left="0" w:right="-360"/>
      </w:pPr>
    </w:p>
    <w:p w:rsidR="00FA5808" w:rsidRPr="0038253B" w:rsidRDefault="00FA5808" w:rsidP="002C612F">
      <w:pPr>
        <w:ind w:left="0" w:right="-360"/>
      </w:pPr>
    </w:p>
    <w:p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FA5808" w:rsidRPr="0038253B" w:rsidRDefault="00FA5808" w:rsidP="002C612F">
      <w:pPr>
        <w:pStyle w:val="Heading4"/>
        <w:ind w:right="-360"/>
      </w:pPr>
      <w:r w:rsidRPr="0038253B">
        <w:t>What need would the proposed rule address?</w:t>
      </w:r>
    </w:p>
    <w:p w:rsidR="00FA5808" w:rsidRPr="0038253B" w:rsidRDefault="00FA5808" w:rsidP="002C612F">
      <w:pPr>
        <w:tabs>
          <w:tab w:val="left" w:pos="720"/>
        </w:tabs>
        <w:ind w:left="0" w:right="-360"/>
      </w:pPr>
      <w:r w:rsidRPr="0038253B">
        <w:t>TEXT</w:t>
      </w:r>
    </w:p>
    <w:p w:rsidR="00FA5808" w:rsidRPr="0038253B" w:rsidRDefault="00FA5808" w:rsidP="002C612F">
      <w:pPr>
        <w:tabs>
          <w:tab w:val="left" w:pos="720"/>
        </w:tabs>
        <w:ind w:left="0" w:right="-360"/>
      </w:pPr>
    </w:p>
    <w:p w:rsidR="00FA5808" w:rsidRPr="0038253B" w:rsidRDefault="00FA5808" w:rsidP="002C612F">
      <w:pPr>
        <w:pStyle w:val="Heading4"/>
        <w:ind w:right="-360"/>
        <w:rPr>
          <w:rFonts w:cstheme="minorHAnsi"/>
        </w:rPr>
      </w:pPr>
      <w:r w:rsidRPr="0038253B">
        <w:t>How would the proposed rule address the need?</w:t>
      </w:r>
    </w:p>
    <w:p w:rsidR="00FA5808" w:rsidRPr="0038253B" w:rsidRDefault="00FA5808" w:rsidP="002C612F">
      <w:pPr>
        <w:tabs>
          <w:tab w:val="left" w:pos="720"/>
        </w:tabs>
        <w:ind w:left="0" w:right="-360"/>
      </w:pPr>
      <w:r w:rsidRPr="0038253B">
        <w:t>TEXT</w:t>
      </w:r>
    </w:p>
    <w:p w:rsidR="00FA5808" w:rsidRPr="0038253B" w:rsidRDefault="00FA5808" w:rsidP="002C612F">
      <w:pPr>
        <w:tabs>
          <w:tab w:val="left" w:pos="720"/>
        </w:tabs>
        <w:ind w:left="0" w:right="-360"/>
      </w:pPr>
    </w:p>
    <w:p w:rsidR="00FA5808" w:rsidRPr="0038253B" w:rsidRDefault="00FA5808" w:rsidP="002C612F">
      <w:pPr>
        <w:pStyle w:val="Heading4"/>
        <w:ind w:right="-360"/>
      </w:pPr>
      <w:r w:rsidRPr="0038253B">
        <w:t>How will DEQ know the rule addressed the need?</w:t>
      </w:r>
    </w:p>
    <w:p w:rsidR="00FA5808" w:rsidRPr="0038253B" w:rsidRDefault="00FA5808" w:rsidP="002C612F">
      <w:pPr>
        <w:tabs>
          <w:tab w:val="left" w:pos="720"/>
        </w:tabs>
        <w:ind w:left="0" w:right="-360"/>
      </w:pPr>
      <w:r w:rsidRPr="0038253B">
        <w:t>TEXT</w:t>
      </w:r>
    </w:p>
    <w:p w:rsidR="00FA5808" w:rsidRPr="0038253B" w:rsidRDefault="00FA5808" w:rsidP="002C612F">
      <w:pPr>
        <w:ind w:left="0" w:right="-360"/>
      </w:pPr>
    </w:p>
    <w:p w:rsidR="00FA5808" w:rsidRPr="0038253B" w:rsidRDefault="00FA5808" w:rsidP="002C612F">
      <w:pPr>
        <w:ind w:left="0" w:right="-360"/>
      </w:pPr>
    </w:p>
    <w:p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FA5808" w:rsidRPr="0038253B" w:rsidRDefault="00FA5808" w:rsidP="002C612F">
      <w:pPr>
        <w:pStyle w:val="Heading4"/>
        <w:ind w:right="-360"/>
      </w:pPr>
      <w:r w:rsidRPr="0038253B">
        <w:t>What need would the proposed rule address?</w:t>
      </w:r>
    </w:p>
    <w:p w:rsidR="00FA5808" w:rsidRPr="0038253B" w:rsidRDefault="00FA5808" w:rsidP="002C612F">
      <w:pPr>
        <w:ind w:left="0" w:right="-360"/>
      </w:pPr>
      <w:r w:rsidRPr="0038253B">
        <w:t>TEXT</w:t>
      </w:r>
    </w:p>
    <w:p w:rsidR="00FA5808" w:rsidRPr="0038253B" w:rsidRDefault="00FA5808" w:rsidP="002C612F">
      <w:pPr>
        <w:ind w:left="0" w:right="-360"/>
      </w:pPr>
    </w:p>
    <w:p w:rsidR="00FA5808" w:rsidRPr="0038253B" w:rsidRDefault="00FA5808" w:rsidP="002C612F">
      <w:pPr>
        <w:pStyle w:val="Heading4"/>
        <w:ind w:right="-360"/>
        <w:rPr>
          <w:rFonts w:cstheme="minorHAnsi"/>
        </w:rPr>
      </w:pPr>
      <w:r w:rsidRPr="0038253B">
        <w:t>How would the proposed rule address the need?</w:t>
      </w:r>
    </w:p>
    <w:p w:rsidR="00FA5808" w:rsidRPr="0038253B" w:rsidRDefault="00FA5808" w:rsidP="002C612F">
      <w:pPr>
        <w:ind w:left="0" w:right="-360"/>
      </w:pPr>
      <w:r w:rsidRPr="0038253B">
        <w:t>TEXT</w:t>
      </w:r>
    </w:p>
    <w:p w:rsidR="00FA5808" w:rsidRPr="0038253B" w:rsidRDefault="00FA5808" w:rsidP="002C612F">
      <w:pPr>
        <w:ind w:left="0" w:right="-360"/>
      </w:pPr>
    </w:p>
    <w:p w:rsidR="00FA5808" w:rsidRPr="0038253B" w:rsidRDefault="00FA5808" w:rsidP="002C612F">
      <w:pPr>
        <w:pStyle w:val="Heading4"/>
        <w:ind w:right="-360"/>
      </w:pPr>
      <w:r w:rsidRPr="0038253B">
        <w:t>How will DEQ know the rule addressed the need?</w:t>
      </w:r>
    </w:p>
    <w:p w:rsidR="00FA5808" w:rsidRPr="0038253B" w:rsidRDefault="00FA5808" w:rsidP="002C612F">
      <w:pPr>
        <w:ind w:left="0" w:right="-360"/>
      </w:pPr>
      <w:r w:rsidRPr="0038253B">
        <w:t>TEXT</w:t>
      </w:r>
    </w:p>
    <w:p w:rsidR="00AD357E" w:rsidRPr="0038253B" w:rsidRDefault="00AD357E" w:rsidP="002C612F">
      <w:pPr>
        <w:ind w:left="0" w:right="-360"/>
      </w:pPr>
      <w:bookmarkStart w:id="2" w:name="RequestForOtherOptions"/>
    </w:p>
    <w:bookmarkEnd w:id="2"/>
    <w:p w:rsidR="0027111E" w:rsidRPr="0038253B" w:rsidRDefault="0027111E" w:rsidP="002C612F">
      <w:pPr>
        <w:ind w:left="0" w:right="-360"/>
        <w:sectPr w:rsidR="0027111E" w:rsidRPr="0038253B" w:rsidSect="00CC521E">
          <w:pgSz w:w="12240" w:h="15840"/>
          <w:pgMar w:top="1440" w:right="1440" w:bottom="1440" w:left="1440" w:header="720" w:footer="720" w:gutter="360"/>
          <w:cols w:space="720"/>
          <w:docGrid w:linePitch="360"/>
        </w:sectPr>
      </w:pPr>
    </w:p>
    <w:tbl>
      <w:tblPr>
        <w:tblW w:w="12237" w:type="dxa"/>
        <w:tblInd w:w="-1800" w:type="dxa"/>
        <w:tblLook w:val="04A0" w:firstRow="1" w:lastRow="0" w:firstColumn="1" w:lastColumn="0" w:noHBand="0" w:noVBand="1"/>
      </w:tblPr>
      <w:tblGrid>
        <w:gridCol w:w="12237"/>
      </w:tblGrid>
      <w:tr w:rsidR="0027111E" w:rsidRPr="0038253B"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rsidR="0027111E" w:rsidRPr="0038253B" w:rsidRDefault="0027111E" w:rsidP="003861C1">
            <w:pPr>
              <w:ind w:left="0"/>
              <w:jc w:val="center"/>
            </w:pPr>
          </w:p>
          <w:p w:rsidR="00F40122" w:rsidRPr="0038253B" w:rsidRDefault="0027111E" w:rsidP="000770BB">
            <w:pPr>
              <w:pStyle w:val="TOC1"/>
              <w:rPr>
                <w:rStyle w:val="Heading1Char"/>
              </w:rPr>
            </w:pPr>
            <w:bookmarkStart w:id="3" w:name="_Toc482800000"/>
            <w:r w:rsidRPr="0038253B">
              <w:rPr>
                <w:rStyle w:val="Heading1Char"/>
              </w:rPr>
              <w:t>Rules affected, authorities, supporting documents</w:t>
            </w:r>
            <w:bookmarkEnd w:id="3"/>
          </w:p>
          <w:p w:rsidR="0027111E" w:rsidRPr="0038253B" w:rsidRDefault="0027111E" w:rsidP="00F40122">
            <w:pPr>
              <w:ind w:left="0"/>
              <w:rPr>
                <w:rStyle w:val="Emphasis"/>
                <w:rFonts w:asciiTheme="majorHAnsi" w:hAnsiTheme="majorHAnsi"/>
                <w:b/>
                <w:bCs w:val="0"/>
                <w:vanish w:val="0"/>
                <w:color w:val="C45911" w:themeColor="accent2" w:themeShade="BF"/>
              </w:rPr>
            </w:pPr>
          </w:p>
        </w:tc>
      </w:tr>
    </w:tbl>
    <w:p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rsidR="00F40122" w:rsidRPr="0038253B" w:rsidRDefault="00F40122" w:rsidP="002C612F">
      <w:pPr>
        <w:ind w:left="0" w:right="-360"/>
      </w:pPr>
    </w:p>
    <w:p w:rsidR="0027111E" w:rsidRPr="0038253B" w:rsidRDefault="0027111E" w:rsidP="002C612F">
      <w:pPr>
        <w:pStyle w:val="Heading4"/>
        <w:ind w:right="-360"/>
      </w:pPr>
      <w:r w:rsidRPr="0038253B">
        <w:t>Lead division</w:t>
      </w:r>
    </w:p>
    <w:p w:rsidR="0082074B" w:rsidRPr="0038253B" w:rsidRDefault="002D263C" w:rsidP="002C612F">
      <w:pPr>
        <w:tabs>
          <w:tab w:val="left" w:pos="4500"/>
        </w:tabs>
        <w:ind w:left="0" w:right="-360"/>
      </w:pPr>
      <w:r w:rsidRPr="0038253B">
        <w:t>TEXT</w:t>
      </w:r>
    </w:p>
    <w:p w:rsidR="00D60BF9" w:rsidRPr="0038253B" w:rsidRDefault="00D60BF9" w:rsidP="002C612F">
      <w:pPr>
        <w:pStyle w:val="Heading4"/>
        <w:ind w:right="-360"/>
      </w:pPr>
      <w:r w:rsidRPr="0038253B">
        <w:t>Program or activity</w:t>
      </w:r>
    </w:p>
    <w:p w:rsidR="00D60BF9" w:rsidRPr="0038253B" w:rsidRDefault="00D60BF9" w:rsidP="002C612F">
      <w:pPr>
        <w:tabs>
          <w:tab w:val="left" w:pos="4500"/>
        </w:tabs>
        <w:ind w:left="0" w:right="-360"/>
      </w:pPr>
      <w:r w:rsidRPr="0038253B">
        <w:t>TEXT</w:t>
      </w:r>
    </w:p>
    <w:p w:rsidR="00B34CF8" w:rsidRPr="0038253B" w:rsidRDefault="0027111E" w:rsidP="002C612F">
      <w:pPr>
        <w:pStyle w:val="Heading4"/>
        <w:ind w:right="-360"/>
      </w:pPr>
      <w:r w:rsidRPr="0038253B">
        <w:t>Chapter 340 action</w:t>
      </w:r>
    </w:p>
    <w:p w:rsidR="00B34CF8" w:rsidRPr="0038253B" w:rsidRDefault="00DC0365" w:rsidP="002C612F">
      <w:pPr>
        <w:ind w:left="0" w:right="-36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Hide table borders after filling in data.</w:t>
      </w:r>
    </w:p>
    <w:p w:rsidR="00DC0365" w:rsidRPr="0038253B" w:rsidRDefault="00DC0365" w:rsidP="002C612F">
      <w:pPr>
        <w:ind w:left="0" w:right="-360"/>
        <w:rPr>
          <w:rFonts w:ascii="Arial" w:hAnsi="Arial" w:cs="Arial"/>
          <w:color w:val="C45911" w:themeColor="accent2" w:themeShade="BF"/>
          <w:sz w:val="28"/>
          <w:szCs w:val="28"/>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Adopt</w:t>
      </w:r>
    </w:p>
    <w:p w:rsidR="009826B5" w:rsidRPr="0038253B"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Only list newly adopted rules here; rules that have brand new numbers that have not been used before</w:t>
      </w:r>
      <w:r w:rsidR="00AD04B8" w:rsidRPr="0038253B">
        <w:rPr>
          <w:rFonts w:ascii="Arial" w:hAnsi="Arial" w:cs="Arial"/>
          <w:color w:val="833C0B" w:themeColor="accent2" w:themeShade="80"/>
        </w:rPr>
        <w:t>.</w:t>
      </w:r>
    </w:p>
    <w:p w:rsidR="00AD04B8" w:rsidRPr="0038253B" w:rsidRDefault="00AD04B8" w:rsidP="00AD04B8">
      <w:pPr>
        <w:ind w:left="0" w:right="-360"/>
        <w:rPr>
          <w:rFonts w:ascii="Arial" w:hAnsi="Arial" w:cs="Arial"/>
          <w:color w:val="833C0B" w:themeColor="accent2" w:themeShade="80"/>
        </w:rPr>
      </w:pPr>
    </w:p>
    <w:p w:rsidR="00AD04B8" w:rsidRPr="0038253B" w:rsidRDefault="00AD04B8" w:rsidP="00AD04B8">
      <w:pPr>
        <w:ind w:left="0" w:right="-360"/>
        <w:rPr>
          <w:rFonts w:ascii="Arial" w:hAnsi="Arial" w:cs="Arial"/>
          <w:color w:val="833C0B" w:themeColor="accent2" w:themeShade="80"/>
        </w:rPr>
      </w:pPr>
      <w:r w:rsidRPr="0038253B">
        <w:rPr>
          <w:rFonts w:ascii="Arial" w:hAnsi="Arial" w:cs="Arial"/>
          <w:color w:val="833C0B" w:themeColor="accent2" w:themeShade="80"/>
        </w:rPr>
        <w:t>This only applies when we use a new rule number, such as 340-041-0033. It does not apply if we change or add a sub-part of a rule, such as 340-041-0033(a). That type of change is an amendment, not adoption of a new rule.</w:t>
      </w:r>
    </w:p>
    <w:p w:rsidR="0055529F" w:rsidRPr="0038253B" w:rsidRDefault="0055529F" w:rsidP="002C612F">
      <w:pPr>
        <w:ind w:left="0" w:right="-360"/>
        <w:jc w:val="center"/>
        <w:rPr>
          <w:rFonts w:ascii="Arial" w:hAnsi="Arial" w:cs="Arial"/>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0" w:type="dxa"/>
          <w:right w:w="0" w:type="dxa"/>
        </w:tblCellMar>
        <w:tblLook w:val="04A0" w:firstRow="1" w:lastRow="0" w:firstColumn="1" w:lastColumn="0" w:noHBand="0" w:noVBand="1"/>
      </w:tblPr>
      <w:tblGrid>
        <w:gridCol w:w="1728"/>
        <w:gridCol w:w="1728"/>
        <w:gridCol w:w="1728"/>
        <w:gridCol w:w="1728"/>
        <w:gridCol w:w="1728"/>
      </w:tblGrid>
      <w:tr w:rsidR="00511BB4" w:rsidRPr="0038253B" w:rsidTr="000872C2">
        <w:tc>
          <w:tcPr>
            <w:tcW w:w="8640" w:type="dxa"/>
            <w:gridSpan w:val="5"/>
            <w:tcBorders>
              <w:bottom w:val="single" w:sz="12" w:space="0" w:color="000000" w:themeColor="text1"/>
            </w:tcBorders>
            <w:shd w:val="clear" w:color="auto" w:fill="E2EFD9" w:themeFill="accent6" w:themeFillTint="33"/>
            <w:vAlign w:val="center"/>
          </w:tcPr>
          <w:p w:rsidR="00511BB4" w:rsidRPr="00511BB4" w:rsidRDefault="00511BB4" w:rsidP="000872C2">
            <w:pPr>
              <w:ind w:left="0" w:right="0"/>
              <w:jc w:val="center"/>
              <w:rPr>
                <w:rFonts w:ascii="Arial" w:hAnsi="Arial" w:cs="Arial"/>
                <w:b/>
                <w:sz w:val="28"/>
                <w:szCs w:val="28"/>
              </w:rPr>
            </w:pPr>
            <w:r>
              <w:rPr>
                <w:rFonts w:ascii="Arial" w:hAnsi="Arial" w:cs="Arial"/>
                <w:b/>
                <w:sz w:val="28"/>
                <w:szCs w:val="28"/>
              </w:rPr>
              <w:t>Rules Adopted</w:t>
            </w:r>
            <w:r w:rsidR="00671E96">
              <w:rPr>
                <w:rFonts w:ascii="Arial" w:hAnsi="Arial" w:cs="Arial"/>
                <w:b/>
                <w:sz w:val="28"/>
                <w:szCs w:val="28"/>
              </w:rPr>
              <w:t xml:space="preserve"> – OAR 340</w:t>
            </w:r>
          </w:p>
        </w:tc>
      </w:tr>
      <w:tr w:rsidR="0055529F"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pPr>
          </w:p>
        </w:tc>
      </w:tr>
      <w:tr w:rsidR="0055529F"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pPr>
          </w:p>
        </w:tc>
      </w:tr>
      <w:tr w:rsidR="0055529F"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0"/>
              <w:jc w:val="center"/>
            </w:pPr>
          </w:p>
        </w:tc>
      </w:tr>
    </w:tbl>
    <w:p w:rsidR="0055529F" w:rsidRPr="0038253B" w:rsidRDefault="0055529F" w:rsidP="002C612F">
      <w:pPr>
        <w:ind w:left="0" w:right="-360"/>
        <w:rPr>
          <w:rFonts w:ascii="Arial" w:hAnsi="Arial" w:cs="Arial"/>
        </w:rPr>
      </w:pPr>
    </w:p>
    <w:p w:rsidR="0055529F" w:rsidRPr="0038253B" w:rsidRDefault="0055529F" w:rsidP="002C612F">
      <w:pPr>
        <w:ind w:left="0" w:right="-360"/>
      </w:pPr>
    </w:p>
    <w:p w:rsidR="0055529F" w:rsidRPr="00511BB4" w:rsidRDefault="0055529F" w:rsidP="002C612F">
      <w:pPr>
        <w:ind w:left="0" w:right="-360"/>
        <w:rPr>
          <w:color w:val="833C0B" w:themeColor="accent2" w:themeShade="80"/>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 OAR</w:t>
      </w:r>
    </w:p>
    <w:p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List here all rules that are being changed in any way, except renumbering, which is described below</w:t>
      </w:r>
    </w:p>
    <w:p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AD04B8">
      <w:pPr>
        <w:ind w:left="0" w:right="-360"/>
        <w:rPr>
          <w:rFonts w:ascii="Arial" w:hAnsi="Arial" w:cs="Arial"/>
          <w:color w:val="833C0B" w:themeColor="accent2" w:themeShade="80"/>
        </w:rPr>
      </w:pPr>
    </w:p>
    <w:p w:rsidR="00511BB4" w:rsidRDefault="00511BB4" w:rsidP="00AD04B8">
      <w:pPr>
        <w:ind w:left="0" w:right="-360"/>
        <w:rPr>
          <w:rFonts w:ascii="Arial" w:hAnsi="Arial" w:cs="Arial"/>
          <w:color w:val="833C0B" w:themeColor="accent2" w:themeShade="80"/>
        </w:rPr>
      </w:pPr>
    </w:p>
    <w:p w:rsidR="00511BB4" w:rsidRPr="0038253B" w:rsidRDefault="00511BB4" w:rsidP="00AD04B8">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ajorHAnsi" w:hAnsiTheme="majorHAnsi" w:cstheme="majorHAnsi"/>
        </w:rPr>
      </w:pPr>
    </w:p>
    <w:p w:rsidR="0055529F" w:rsidRPr="00511BB4" w:rsidRDefault="0055529F" w:rsidP="002C612F">
      <w:pPr>
        <w:ind w:left="0" w:right="-360"/>
        <w:rPr>
          <w:color w:val="833C0B" w:themeColor="accent2" w:themeShade="80"/>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Repeal - OAR</w:t>
      </w:r>
    </w:p>
    <w:p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lastRenderedPageBreak/>
        <w:t>List here all rules that are being repealed, meaning the</w:t>
      </w:r>
      <w:r w:rsidR="00772D8F" w:rsidRPr="0038253B">
        <w:rPr>
          <w:rFonts w:ascii="Arial" w:hAnsi="Arial" w:cs="Arial"/>
          <w:color w:val="833C0B" w:themeColor="accent2" w:themeShade="80"/>
        </w:rPr>
        <w:t xml:space="preserve">y are being deleted and removed </w:t>
      </w:r>
      <w:r w:rsidRPr="0038253B">
        <w:rPr>
          <w:rFonts w:ascii="Arial" w:hAnsi="Arial" w:cs="Arial"/>
          <w:color w:val="833C0B" w:themeColor="accent2" w:themeShade="80"/>
        </w:rPr>
        <w:t>from DEQ’s rules, and that will no longer be in effect</w:t>
      </w:r>
      <w:r w:rsidR="001734B0" w:rsidRPr="0038253B">
        <w:rPr>
          <w:rFonts w:ascii="Arial" w:hAnsi="Arial" w:cs="Arial"/>
          <w:color w:val="833C0B" w:themeColor="accent2" w:themeShade="80"/>
        </w:rPr>
        <w:t>. This does not include rules that have had one part or section deleted. Deleting a part, paragraph or section of a rule is an amendment, not a repeal.</w:t>
      </w:r>
    </w:p>
    <w:p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Repealed – OAR 340</w:t>
            </w: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AD04B8">
      <w:pPr>
        <w:ind w:left="0" w:right="-360"/>
        <w:rPr>
          <w:rFonts w:ascii="Arial" w:hAnsi="Arial" w:cs="Arial"/>
          <w:color w:val="833C0B" w:themeColor="accent2" w:themeShade="80"/>
        </w:rPr>
      </w:pPr>
    </w:p>
    <w:p w:rsidR="00511BB4" w:rsidRDefault="00511BB4" w:rsidP="00AD04B8">
      <w:pPr>
        <w:ind w:left="0" w:right="-360"/>
        <w:rPr>
          <w:rFonts w:ascii="Arial" w:hAnsi="Arial" w:cs="Arial"/>
          <w:color w:val="833C0B" w:themeColor="accent2" w:themeShade="80"/>
        </w:rPr>
      </w:pPr>
    </w:p>
    <w:p w:rsidR="00511BB4" w:rsidRPr="0038253B" w:rsidRDefault="00511BB4" w:rsidP="00AD04B8">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Renumber - OAR</w:t>
      </w:r>
    </w:p>
    <w:p w:rsidR="0055529F" w:rsidRDefault="009826B5" w:rsidP="00772D8F">
      <w:pPr>
        <w:ind w:left="0" w:right="-360"/>
        <w:rPr>
          <w:rFonts w:ascii="Arial" w:hAnsi="Arial" w:cs="Arial"/>
          <w:color w:val="833C0B" w:themeColor="accent2" w:themeShade="80"/>
        </w:rPr>
      </w:pPr>
      <w:r w:rsidRPr="0038253B">
        <w:rPr>
          <w:rFonts w:ascii="Arial" w:hAnsi="Arial" w:cs="Arial"/>
          <w:color w:val="833C0B" w:themeColor="accent2" w:themeShade="80"/>
        </w:rPr>
        <w:t>List here only rules that are having their ten digit number changed: 340-041-0001 changed to 340-041-0002; do not list rules that are only having subsections moved or renumbered or re-lettered</w:t>
      </w:r>
      <w:r w:rsidR="00BC178A" w:rsidRPr="0038253B">
        <w:rPr>
          <w:rFonts w:ascii="Arial" w:hAnsi="Arial" w:cs="Arial"/>
          <w:color w:val="833C0B" w:themeColor="accent2" w:themeShade="80"/>
        </w:rPr>
        <w:t>, but are not having their text changed in any way</w:t>
      </w:r>
      <w:r w:rsidRPr="0038253B">
        <w:rPr>
          <w:rFonts w:ascii="Arial" w:hAnsi="Arial" w:cs="Arial"/>
          <w:color w:val="833C0B" w:themeColor="accent2" w:themeShade="80"/>
        </w:rPr>
        <w:t>: 340-041-0001(a) changed to 340-041-0001(b)</w:t>
      </w:r>
    </w:p>
    <w:p w:rsidR="00671E96" w:rsidRDefault="00671E96" w:rsidP="00772D8F">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Renumbered – OAR 340</w:t>
            </w: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772D8F">
      <w:pPr>
        <w:ind w:left="0" w:right="-360"/>
        <w:rPr>
          <w:rFonts w:ascii="Arial" w:hAnsi="Arial" w:cs="Arial"/>
          <w:color w:val="833C0B" w:themeColor="accent2" w:themeShade="80"/>
        </w:rPr>
      </w:pPr>
    </w:p>
    <w:p w:rsidR="00511BB4" w:rsidRDefault="00511BB4" w:rsidP="00772D8F">
      <w:pPr>
        <w:ind w:left="0" w:right="-360"/>
        <w:rPr>
          <w:rFonts w:ascii="Arial" w:hAnsi="Arial" w:cs="Arial"/>
          <w:color w:val="833C0B" w:themeColor="accent2" w:themeShade="80"/>
        </w:rPr>
      </w:pPr>
    </w:p>
    <w:p w:rsidR="00511BB4" w:rsidRPr="0038253B" w:rsidRDefault="00511BB4" w:rsidP="00772D8F">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and Renumber - OAR</w:t>
      </w:r>
    </w:p>
    <w:p w:rsidR="0055529F" w:rsidRDefault="009826B5" w:rsidP="00772D8F">
      <w:pPr>
        <w:ind w:left="0" w:right="-360"/>
        <w:jc w:val="center"/>
        <w:rPr>
          <w:rFonts w:ascii="Arial" w:hAnsi="Arial" w:cs="Arial"/>
          <w:color w:val="833C0B" w:themeColor="accent2" w:themeShade="80"/>
        </w:rPr>
      </w:pPr>
      <w:r w:rsidRPr="0038253B">
        <w:rPr>
          <w:rFonts w:ascii="Arial" w:hAnsi="Arial" w:cs="Arial"/>
          <w:color w:val="833C0B" w:themeColor="accent2" w:themeShade="80"/>
        </w:rPr>
        <w:t>Only list here rules that are both being renumbered, a</w:t>
      </w:r>
      <w:r w:rsidR="00772D8F" w:rsidRPr="0038253B">
        <w:rPr>
          <w:rFonts w:ascii="Arial" w:hAnsi="Arial" w:cs="Arial"/>
          <w:color w:val="833C0B" w:themeColor="accent2" w:themeShade="80"/>
        </w:rPr>
        <w:t xml:space="preserve">s described above, and that are </w:t>
      </w:r>
      <w:r w:rsidRPr="0038253B">
        <w:rPr>
          <w:rFonts w:ascii="Arial" w:hAnsi="Arial" w:cs="Arial"/>
          <w:color w:val="833C0B" w:themeColor="accent2" w:themeShade="80"/>
        </w:rPr>
        <w:t>also having their text changed in some way</w:t>
      </w:r>
    </w:p>
    <w:p w:rsidR="00671E96" w:rsidRDefault="00671E96" w:rsidP="00772D8F">
      <w:pPr>
        <w:ind w:left="0" w:right="-360"/>
        <w:jc w:val="center"/>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and Renumbered – OAR 340</w:t>
            </w: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772D8F">
      <w:pPr>
        <w:ind w:left="0" w:right="-360"/>
        <w:jc w:val="center"/>
        <w:rPr>
          <w:rFonts w:ascii="Arial" w:hAnsi="Arial" w:cs="Arial"/>
          <w:color w:val="833C0B" w:themeColor="accent2" w:themeShade="80"/>
        </w:rPr>
      </w:pPr>
    </w:p>
    <w:p w:rsidR="00511BB4" w:rsidRDefault="00511BB4" w:rsidP="00772D8F">
      <w:pPr>
        <w:ind w:left="0" w:right="-360"/>
        <w:jc w:val="center"/>
        <w:rPr>
          <w:rFonts w:ascii="Arial" w:hAnsi="Arial" w:cs="Arial"/>
          <w:color w:val="833C0B" w:themeColor="accent2" w:themeShade="80"/>
        </w:rPr>
      </w:pPr>
    </w:p>
    <w:p w:rsidR="00511BB4" w:rsidRPr="0038253B" w:rsidRDefault="00511BB4" w:rsidP="00772D8F">
      <w:pPr>
        <w:ind w:left="0" w:right="-360"/>
        <w:jc w:val="center"/>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38253B" w:rsidRDefault="0055529F" w:rsidP="002C612F">
      <w:pPr>
        <w:ind w:left="0" w:right="-360"/>
      </w:pPr>
    </w:p>
    <w:p w:rsidR="00393E3C" w:rsidRPr="0038253B" w:rsidRDefault="00393E3C" w:rsidP="002C612F">
      <w:pPr>
        <w:pStyle w:val="Heading2"/>
        <w:ind w:left="0" w:right="-360"/>
      </w:pPr>
    </w:p>
    <w:p w:rsidR="00393E3C" w:rsidRPr="0038253B" w:rsidRDefault="00393E3C" w:rsidP="002C612F">
      <w:pPr>
        <w:pStyle w:val="Heading2"/>
        <w:ind w:left="0" w:right="-360"/>
        <w:rPr>
          <w:rFonts w:cs="Arial"/>
          <w:sz w:val="24"/>
          <w:szCs w:val="24"/>
        </w:rPr>
      </w:pPr>
      <w:r w:rsidRPr="0038253B">
        <w:rPr>
          <w:rFonts w:cs="Arial"/>
          <w:color w:val="C45911" w:themeColor="accent2" w:themeShade="BF"/>
          <w:sz w:val="24"/>
          <w:szCs w:val="24"/>
        </w:rPr>
        <w:t>The notice must list the authorizing statutes, and the statutes implemented. These statutes are listed at the end of each rule</w:t>
      </w:r>
      <w:r w:rsidR="00231FB8" w:rsidRPr="0038253B">
        <w:rPr>
          <w:rFonts w:cs="Arial"/>
          <w:color w:val="C45911" w:themeColor="accent2" w:themeShade="BF"/>
          <w:sz w:val="24"/>
          <w:szCs w:val="24"/>
        </w:rPr>
        <w:t xml:space="preserve"> in this format</w:t>
      </w:r>
      <w:r w:rsidRPr="0038253B">
        <w:rPr>
          <w:rFonts w:cs="Arial"/>
          <w:color w:val="C45911" w:themeColor="accent2" w:themeShade="BF"/>
          <w:sz w:val="24"/>
          <w:szCs w:val="24"/>
        </w:rPr>
        <w:t>:</w:t>
      </w:r>
    </w:p>
    <w:p w:rsidR="00393E3C" w:rsidRPr="0038253B" w:rsidRDefault="00393E3C" w:rsidP="002C612F">
      <w:pPr>
        <w:ind w:left="0" w:right="-360"/>
      </w:pPr>
      <w:r w:rsidRPr="0038253B">
        <w:rPr>
          <w:noProof/>
          <w:lang w:val="en-ZW" w:eastAsia="en-ZW"/>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38253B" w:rsidRDefault="00393E3C" w:rsidP="002C612F">
      <w:pPr>
        <w:pStyle w:val="Heading2"/>
        <w:ind w:left="0" w:right="-360"/>
        <w:rPr>
          <w:rFonts w:cs="Arial"/>
          <w:color w:val="C45911" w:themeColor="accent2" w:themeShade="BF"/>
          <w:sz w:val="24"/>
          <w:szCs w:val="24"/>
        </w:rPr>
      </w:pPr>
      <w:r w:rsidRPr="0038253B">
        <w:rPr>
          <w:rFonts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38253B" w:rsidRDefault="0027111E"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rsidTr="000872C2">
        <w:tc>
          <w:tcPr>
            <w:tcW w:w="8990" w:type="dxa"/>
            <w:gridSpan w:val="5"/>
            <w:tcBorders>
              <w:bottom w:val="single" w:sz="12" w:space="0" w:color="000000" w:themeColor="text1"/>
            </w:tcBorders>
            <w:shd w:val="clear" w:color="auto" w:fill="E2EFD9" w:themeFill="accent6" w:themeFillTint="33"/>
            <w:vAlign w:val="center"/>
          </w:tcPr>
          <w:p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r w:rsidRPr="0038253B">
              <w:rPr>
                <w:szCs w:val="22"/>
              </w:rPr>
              <w:t>468.020</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r w:rsidRPr="0038253B">
              <w:rPr>
                <w:szCs w:val="22"/>
              </w:rPr>
              <w:t>468.065</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rPr>
                <w:szCs w:val="22"/>
              </w:rPr>
            </w:pPr>
          </w:p>
        </w:tc>
      </w:tr>
      <w:tr w:rsidR="0055529F" w:rsidRPr="0038253B"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0"/>
              <w:jc w:val="center"/>
              <w:rPr>
                <w:szCs w:val="22"/>
              </w:rPr>
            </w:pPr>
          </w:p>
        </w:tc>
      </w:tr>
    </w:tbl>
    <w:p w:rsidR="0055529F" w:rsidRPr="0038253B" w:rsidRDefault="0055529F" w:rsidP="002C612F">
      <w:pPr>
        <w:ind w:left="0" w:right="-360"/>
      </w:pPr>
    </w:p>
    <w:p w:rsidR="0055529F" w:rsidRPr="0038253B" w:rsidRDefault="0055529F" w:rsidP="002C612F">
      <w:pPr>
        <w:ind w:left="0" w:right="-360"/>
      </w:pPr>
    </w:p>
    <w:p w:rsidR="0027111E" w:rsidRPr="0038253B" w:rsidRDefault="00EA7F6B" w:rsidP="002C612F">
      <w:pPr>
        <w:ind w:left="0" w:right="-360"/>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Enter additional statutory authorities here if needed.</w:t>
      </w:r>
    </w:p>
    <w:p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032475" w:rsidRPr="0038253B"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rsidR="00032475" w:rsidRPr="0038253B" w:rsidRDefault="00032475" w:rsidP="000872C2">
            <w:pPr>
              <w:ind w:left="0" w:right="-288"/>
              <w:jc w:val="center"/>
              <w:rPr>
                <w:szCs w:val="22"/>
              </w:rPr>
            </w:pPr>
          </w:p>
        </w:tc>
      </w:tr>
      <w:tr w:rsidR="0055529F" w:rsidRPr="0038253B"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288"/>
              <w:jc w:val="center"/>
              <w:rPr>
                <w:szCs w:val="22"/>
              </w:rPr>
            </w:pPr>
          </w:p>
        </w:tc>
      </w:tr>
    </w:tbl>
    <w:p w:rsidR="0055529F" w:rsidRPr="0038253B" w:rsidRDefault="0055529F" w:rsidP="002C612F">
      <w:pPr>
        <w:ind w:left="0" w:right="-360"/>
      </w:pPr>
    </w:p>
    <w:p w:rsidR="0055529F" w:rsidRPr="0038253B" w:rsidRDefault="0055529F" w:rsidP="002C612F">
      <w:pPr>
        <w:ind w:left="0" w:right="-360"/>
      </w:pPr>
    </w:p>
    <w:p w:rsidR="000D2401" w:rsidRPr="0038253B" w:rsidRDefault="00A1632A" w:rsidP="002C612F">
      <w:pPr>
        <w:pStyle w:val="Heading3"/>
        <w:ind w:right="-360"/>
      </w:pPr>
      <w:r w:rsidRPr="0038253B">
        <w:rPr>
          <w:sz w:val="24"/>
        </w:rPr>
        <w:t>Legislation</w:t>
      </w:r>
      <w:r w:rsidRPr="0038253B">
        <w:t xml:space="preserve"> </w:t>
      </w:r>
    </w:p>
    <w:p w:rsidR="00891607" w:rsidRPr="0038253B" w:rsidRDefault="00CE6EA0" w:rsidP="002C612F">
      <w:pPr>
        <w:pStyle w:val="Heading2"/>
        <w:ind w:left="0" w:right="-360"/>
        <w:rPr>
          <w:rFonts w:cs="Arial"/>
          <w:bCs w:val="0"/>
          <w:sz w:val="24"/>
          <w:szCs w:val="24"/>
        </w:rPr>
      </w:pPr>
      <w:r w:rsidRPr="0038253B">
        <w:rPr>
          <w:rStyle w:val="Emphasis"/>
          <w:rFonts w:ascii="Arial" w:hAnsi="Arial"/>
          <w:vanish w:val="0"/>
          <w:color w:val="C45911" w:themeColor="accent2" w:themeShade="BF"/>
          <w:sz w:val="24"/>
        </w:rPr>
        <w:t xml:space="preserve">Enter House Bill or Senate Bill ####, </w:t>
      </w:r>
      <w:r w:rsidR="00231FB8" w:rsidRPr="0038253B">
        <w:rPr>
          <w:rStyle w:val="Emphasis"/>
          <w:rFonts w:ascii="Arial" w:hAnsi="Arial"/>
          <w:vanish w:val="0"/>
          <w:color w:val="C45911" w:themeColor="accent2" w:themeShade="BF"/>
          <w:sz w:val="24"/>
        </w:rPr>
        <w:t>(</w:t>
      </w:r>
      <w:proofErr w:type="spellStart"/>
      <w:r w:rsidRPr="0038253B">
        <w:rPr>
          <w:rStyle w:val="Emphasis"/>
          <w:rFonts w:ascii="Arial" w:hAnsi="Arial"/>
          <w:vanish w:val="0"/>
          <w:color w:val="C45911" w:themeColor="accent2" w:themeShade="BF"/>
          <w:sz w:val="24"/>
        </w:rPr>
        <w:t>yyyy</w:t>
      </w:r>
      <w:proofErr w:type="spellEnd"/>
      <w:r w:rsidR="00231FB8" w:rsidRPr="0038253B">
        <w:rPr>
          <w:rStyle w:val="Emphasis"/>
          <w:rFonts w:ascii="Arial" w:hAnsi="Arial"/>
          <w:vanish w:val="0"/>
          <w:color w:val="C45911" w:themeColor="accent2" w:themeShade="BF"/>
          <w:sz w:val="24"/>
        </w:rPr>
        <w:t>)</w:t>
      </w:r>
      <w:r w:rsidR="00393E3C" w:rsidRPr="0038253B">
        <w:rPr>
          <w:rStyle w:val="Emphasis"/>
          <w:rFonts w:ascii="Arial" w:hAnsi="Arial"/>
          <w:vanish w:val="0"/>
          <w:color w:val="C45911" w:themeColor="accent2" w:themeShade="BF"/>
          <w:sz w:val="24"/>
        </w:rPr>
        <w:t>, if any.</w:t>
      </w:r>
      <w:r w:rsidR="00891607" w:rsidRPr="0038253B">
        <w:rPr>
          <w:rStyle w:val="Emphasis"/>
          <w:rFonts w:ascii="Arial" w:hAnsi="Arial"/>
          <w:vanish w:val="0"/>
          <w:color w:val="C45911" w:themeColor="accent2" w:themeShade="BF"/>
          <w:sz w:val="24"/>
        </w:rPr>
        <w:br/>
      </w:r>
      <w:r w:rsidR="00891607" w:rsidRPr="0038253B">
        <w:rPr>
          <w:rStyle w:val="Emphasis"/>
          <w:rFonts w:ascii="Arial" w:hAnsi="Arial" w:cs="Arial"/>
          <w:vanish w:val="0"/>
          <w:color w:val="000000" w:themeColor="text1"/>
          <w:sz w:val="24"/>
          <w:szCs w:val="24"/>
        </w:rPr>
        <w:t>TEXT</w:t>
      </w:r>
    </w:p>
    <w:p w:rsidR="00231FB8" w:rsidRPr="0038253B" w:rsidRDefault="00231FB8" w:rsidP="002C612F">
      <w:pPr>
        <w:pStyle w:val="Heading3"/>
        <w:ind w:right="-360"/>
        <w:rPr>
          <w:rFonts w:cs="Arial"/>
          <w:sz w:val="24"/>
        </w:rPr>
      </w:pPr>
      <w:r w:rsidRPr="0038253B">
        <w:rPr>
          <w:rFonts w:cs="Arial"/>
          <w:sz w:val="24"/>
        </w:rPr>
        <w:t xml:space="preserve">Other authority </w:t>
      </w:r>
    </w:p>
    <w:p w:rsidR="00231FB8" w:rsidRPr="0038253B" w:rsidRDefault="00231FB8" w:rsidP="002C612F">
      <w:pPr>
        <w:ind w:left="0" w:right="-360"/>
        <w:rPr>
          <w:rStyle w:val="Emphasis"/>
          <w:rFonts w:ascii="Arial" w:hAnsi="Arial"/>
          <w:vanish w:val="0"/>
          <w:color w:val="C45911" w:themeColor="accent2" w:themeShade="BF"/>
          <w:sz w:val="24"/>
        </w:rPr>
      </w:pPr>
      <w:r w:rsidRPr="0038253B">
        <w:t>ORS###</w:t>
      </w:r>
      <w:proofErr w:type="gramStart"/>
      <w:r w:rsidRPr="0038253B">
        <w:t>.#</w:t>
      </w:r>
      <w:proofErr w:type="gramEnd"/>
      <w:r w:rsidRPr="0038253B">
        <w:t xml:space="preserve">## </w:t>
      </w:r>
      <w:r w:rsidRPr="0038253B">
        <w:rPr>
          <w:rStyle w:val="Emphasis"/>
          <w:rFonts w:ascii="Arial" w:hAnsi="Arial"/>
          <w:vanish w:val="0"/>
          <w:color w:val="C45911" w:themeColor="accent2" w:themeShade="BF"/>
          <w:sz w:val="24"/>
        </w:rPr>
        <w:t>&lt; Enter other authorities here, if any.</w:t>
      </w:r>
    </w:p>
    <w:p w:rsidR="00231FB8" w:rsidRPr="0038253B" w:rsidRDefault="00231FB8" w:rsidP="002C612F">
      <w:pPr>
        <w:ind w:left="0" w:right="-360"/>
      </w:pPr>
    </w:p>
    <w:p w:rsidR="0027111E" w:rsidRPr="0038253B" w:rsidRDefault="0027111E" w:rsidP="002C612F">
      <w:pPr>
        <w:pStyle w:val="Heading3"/>
        <w:ind w:right="-360"/>
        <w:rPr>
          <w:sz w:val="24"/>
          <w:u w:val="single"/>
        </w:rPr>
      </w:pPr>
      <w:bookmarkStart w:id="4" w:name="SupportingDocuments"/>
      <w:r w:rsidRPr="0038253B">
        <w:rPr>
          <w:sz w:val="24"/>
        </w:rPr>
        <w:t>Documents relied on for rulemaking</w:t>
      </w:r>
      <w:r w:rsidRPr="0038253B">
        <w:rPr>
          <w:rStyle w:val="Heading2Char"/>
          <w:rFonts w:eastAsiaTheme="majorEastAsia"/>
        </w:rPr>
        <w:t xml:space="preserve"> </w:t>
      </w:r>
      <w:bookmarkEnd w:id="4"/>
      <w:r w:rsidRPr="0038253B">
        <w:rPr>
          <w:rStyle w:val="Heading2Char"/>
          <w:rFonts w:eastAsiaTheme="majorEastAsia"/>
        </w:rPr>
        <w:tab/>
      </w:r>
      <w:r w:rsidRPr="0038253B">
        <w:rPr>
          <w:color w:val="C45911" w:themeColor="accent2" w:themeShade="BF"/>
          <w:sz w:val="24"/>
          <w:u w:val="single"/>
        </w:rPr>
        <w:t>ORS 183.335(2)(b)(</w:t>
      </w:r>
      <w:r w:rsidR="006D7F78" w:rsidRPr="0038253B">
        <w:rPr>
          <w:color w:val="C45911" w:themeColor="accent2" w:themeShade="BF"/>
          <w:sz w:val="24"/>
          <w:u w:val="single"/>
        </w:rPr>
        <w:t>D</w:t>
      </w:r>
      <w:r w:rsidRPr="0038253B">
        <w:rPr>
          <w:color w:val="C45911" w:themeColor="accent2" w:themeShade="BF"/>
          <w:sz w:val="24"/>
          <w:u w:val="single"/>
        </w:rPr>
        <w:t>)</w:t>
      </w:r>
    </w:p>
    <w:p w:rsidR="006D7F78" w:rsidRPr="0038253B" w:rsidRDefault="006D7F78" w:rsidP="002C612F">
      <w:pPr>
        <w:ind w:left="0" w:right="-360"/>
        <w:rPr>
          <w:u w:val="single"/>
        </w:rPr>
      </w:pPr>
    </w:p>
    <w:p w:rsidR="006D7F78" w:rsidRPr="0038253B" w:rsidRDefault="006D7F78" w:rsidP="002C612F">
      <w:pPr>
        <w:ind w:left="0" w:right="-360"/>
        <w:rPr>
          <w:rFonts w:ascii="Arial" w:hAnsi="Arial" w:cs="Arial"/>
          <w:color w:val="C45911" w:themeColor="accent2" w:themeShade="BF"/>
        </w:rPr>
      </w:pPr>
      <w:r w:rsidRPr="0038253B">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38253B" w:rsidRDefault="0027111E" w:rsidP="002C612F">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27111E" w:rsidRPr="0038253B" w:rsidTr="000872C2">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rsidR="0027111E" w:rsidRPr="0038253B" w:rsidRDefault="0027111E" w:rsidP="000872C2">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rsidR="0027111E" w:rsidRPr="0038253B" w:rsidRDefault="0027111E" w:rsidP="000872C2">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27111E" w:rsidRPr="0038253B" w:rsidTr="000872C2">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7111E" w:rsidRPr="0038253B" w:rsidRDefault="00FF15FC" w:rsidP="000872C2">
            <w:pPr>
              <w:ind w:left="0" w:right="0"/>
              <w:jc w:val="center"/>
              <w:rPr>
                <w:color w:val="C45911" w:themeColor="accent2" w:themeShade="BF"/>
                <w:sz w:val="22"/>
                <w:szCs w:val="22"/>
              </w:rPr>
            </w:pPr>
            <w:r w:rsidRPr="0038253B">
              <w:rPr>
                <w:color w:val="C45911" w:themeColor="accent2" w:themeShade="BF"/>
                <w:sz w:val="22"/>
                <w:szCs w:val="22"/>
              </w:rPr>
              <w:lastRenderedPageBreak/>
              <w:t>Title</w:t>
            </w:r>
          </w:p>
          <w:p w:rsidR="00891607" w:rsidRPr="0038253B" w:rsidRDefault="00891607" w:rsidP="000872C2">
            <w:pPr>
              <w:ind w:left="0" w:right="0"/>
              <w:jc w:val="center"/>
              <w:rPr>
                <w:sz w:val="22"/>
                <w:szCs w:val="22"/>
              </w:rPr>
            </w:pPr>
            <w:r w:rsidRPr="0038253B">
              <w:rPr>
                <w:sz w:val="22"/>
                <w:szCs w:val="22"/>
              </w:rPr>
              <w:t>TEXT</w:t>
            </w: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E02299" w:rsidRPr="0038253B" w:rsidRDefault="00393E3C" w:rsidP="000872C2">
            <w:pPr>
              <w:ind w:left="0" w:right="0"/>
              <w:jc w:val="center"/>
              <w:rPr>
                <w:color w:val="C45911" w:themeColor="accent2" w:themeShade="BF"/>
                <w:sz w:val="22"/>
                <w:szCs w:val="22"/>
              </w:rPr>
            </w:pPr>
            <w:r w:rsidRPr="0038253B">
              <w:rPr>
                <w:color w:val="C45911" w:themeColor="accent2" w:themeShade="BF"/>
                <w:sz w:val="22"/>
                <w:szCs w:val="22"/>
              </w:rPr>
              <w:t xml:space="preserve">Provide link to web address, or DEQ </w:t>
            </w:r>
            <w:r w:rsidR="00231FB8" w:rsidRPr="0038253B">
              <w:rPr>
                <w:color w:val="C45911" w:themeColor="accent2" w:themeShade="BF"/>
                <w:sz w:val="22"/>
                <w:szCs w:val="22"/>
              </w:rPr>
              <w:t xml:space="preserve">office </w:t>
            </w:r>
            <w:r w:rsidRPr="0038253B">
              <w:rPr>
                <w:color w:val="C45911" w:themeColor="accent2" w:themeShade="BF"/>
                <w:sz w:val="22"/>
                <w:szCs w:val="22"/>
              </w:rPr>
              <w:t>address if documents only exist in hard copy.</w:t>
            </w:r>
          </w:p>
          <w:p w:rsidR="00891607" w:rsidRPr="0038253B" w:rsidRDefault="00891607" w:rsidP="000872C2">
            <w:pPr>
              <w:ind w:left="0" w:right="0"/>
              <w:jc w:val="center"/>
              <w:rPr>
                <w:sz w:val="22"/>
                <w:szCs w:val="22"/>
              </w:rPr>
            </w:pPr>
            <w:r w:rsidRPr="0038253B">
              <w:rPr>
                <w:sz w:val="22"/>
                <w:szCs w:val="22"/>
              </w:rPr>
              <w:t>TEXT</w:t>
            </w:r>
          </w:p>
        </w:tc>
      </w:tr>
      <w:tr w:rsidR="00231FB8" w:rsidRPr="0038253B"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31FB8" w:rsidRPr="0038253B" w:rsidRDefault="00231FB8" w:rsidP="000872C2">
            <w:pPr>
              <w:ind w:left="0" w:right="0"/>
              <w:jc w:val="center"/>
              <w:rPr>
                <w:color w:val="C45911" w:themeColor="accent2" w:themeShade="BF"/>
                <w:sz w:val="22"/>
                <w:szCs w:val="22"/>
              </w:rPr>
            </w:pPr>
          </w:p>
        </w:tc>
      </w:tr>
      <w:tr w:rsidR="00231FB8" w:rsidRPr="0038253B"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31FB8" w:rsidRPr="0038253B" w:rsidRDefault="00231FB8" w:rsidP="000872C2">
            <w:pPr>
              <w:ind w:left="0" w:right="0"/>
              <w:jc w:val="center"/>
              <w:rPr>
                <w:color w:val="C45911" w:themeColor="accent2" w:themeShade="BF"/>
                <w:sz w:val="22"/>
                <w:szCs w:val="22"/>
              </w:rPr>
            </w:pPr>
          </w:p>
        </w:tc>
      </w:tr>
      <w:tr w:rsidR="0027111E" w:rsidRPr="0038253B" w:rsidTr="000872C2">
        <w:trPr>
          <w:trHeight w:val="225"/>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7111E" w:rsidRPr="0038253B" w:rsidRDefault="0027111E"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7111E" w:rsidRPr="0038253B" w:rsidRDefault="0027111E" w:rsidP="000872C2">
            <w:pPr>
              <w:ind w:left="0" w:right="0"/>
              <w:jc w:val="center"/>
              <w:rPr>
                <w:sz w:val="22"/>
                <w:szCs w:val="22"/>
              </w:rPr>
            </w:pPr>
          </w:p>
        </w:tc>
      </w:tr>
    </w:tbl>
    <w:p w:rsidR="0027111E" w:rsidRPr="0038253B" w:rsidRDefault="0027111E" w:rsidP="002C612F">
      <w:pPr>
        <w:ind w:left="0" w:right="-360"/>
      </w:pPr>
    </w:p>
    <w:p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rsidTr="00A43288">
        <w:trPr>
          <w:trHeight w:val="906"/>
        </w:trPr>
        <w:tc>
          <w:tcPr>
            <w:tcW w:w="5000" w:type="pct"/>
            <w:shd w:val="clear" w:color="000000" w:fill="D5DCE4" w:themeFill="text2" w:themeFillTint="33"/>
            <w:noWrap/>
            <w:vAlign w:val="bottom"/>
            <w:hideMark/>
          </w:tcPr>
          <w:p w:rsidR="00F40122" w:rsidRPr="0038253B" w:rsidRDefault="006D7243" w:rsidP="000770BB">
            <w:pPr>
              <w:pStyle w:val="TOC1"/>
              <w:rPr>
                <w:rStyle w:val="Heading1Char"/>
              </w:rPr>
            </w:pPr>
            <w:bookmarkStart w:id="5" w:name="_Toc482800001"/>
            <w:r w:rsidRPr="0038253B">
              <w:rPr>
                <w:rStyle w:val="Heading1Char"/>
              </w:rPr>
              <w:lastRenderedPageBreak/>
              <w:t>Fee Analysis</w:t>
            </w:r>
            <w:bookmarkEnd w:id="5"/>
          </w:p>
          <w:p w:rsidR="0027111E" w:rsidRPr="0038253B" w:rsidRDefault="0027111E" w:rsidP="00F40122">
            <w:pPr>
              <w:ind w:left="0"/>
              <w:rPr>
                <w:rStyle w:val="Hyperlink"/>
                <w:rFonts w:cs="Arial"/>
              </w:rPr>
            </w:pPr>
            <w:r w:rsidRPr="0038253B">
              <w:t xml:space="preserve"> </w:t>
            </w:r>
            <w:r w:rsidR="00262E4D" w:rsidRPr="0038253B">
              <w:rPr>
                <w:rFonts w:cs="Arial"/>
                <w:color w:val="C45911" w:themeColor="accent2" w:themeShade="BF"/>
              </w:rPr>
              <w:t>ORS 291.055(1)(d)</w:t>
            </w:r>
            <w:r w:rsidR="00C51EA4" w:rsidRPr="0038253B">
              <w:rPr>
                <w:rFonts w:cs="Arial"/>
                <w:color w:val="C45911" w:themeColor="accent2" w:themeShade="BF"/>
              </w:rPr>
              <w:t xml:space="preserve">;  </w:t>
            </w:r>
            <w:hyperlink r:id="rId26" w:history="1">
              <w:r w:rsidR="00C51EA4" w:rsidRPr="0038253B">
                <w:rPr>
                  <w:rStyle w:val="Hyperlink"/>
                  <w:rFonts w:cs="Arial"/>
                </w:rPr>
                <w:t>Fee Approval</w:t>
              </w:r>
            </w:hyperlink>
          </w:p>
          <w:p w:rsidR="0038719F" w:rsidRPr="0038253B" w:rsidRDefault="0038719F" w:rsidP="00F40122">
            <w:pPr>
              <w:ind w:left="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This is a discussion of why DEQ needs to add, impose, or raise fees</w:t>
            </w:r>
          </w:p>
        </w:tc>
      </w:tr>
    </w:tbl>
    <w:p w:rsidR="0027111E" w:rsidRPr="0038253B" w:rsidRDefault="0027111E" w:rsidP="00501ABB">
      <w:pPr>
        <w:ind w:left="0"/>
      </w:pPr>
    </w:p>
    <w:p w:rsidR="00393E3C" w:rsidRPr="0038253B" w:rsidRDefault="00393E3C" w:rsidP="002C612F">
      <w:pPr>
        <w:ind w:left="0" w:right="-432"/>
        <w:rPr>
          <w:rFonts w:ascii="Arial" w:hAnsi="Arial" w:cs="Arial"/>
          <w:color w:val="C45911" w:themeColor="accent2" w:themeShade="BF"/>
        </w:rPr>
      </w:pPr>
      <w:bookmarkStart w:id="6" w:name="RANGE!A226:B243"/>
      <w:bookmarkEnd w:id="6"/>
      <w:r w:rsidRPr="0038253B">
        <w:rPr>
          <w:rFonts w:ascii="Arial" w:hAnsi="Arial" w:cs="Arial"/>
          <w:color w:val="C45911" w:themeColor="accent2" w:themeShade="BF"/>
        </w:rPr>
        <w:t>Include this language if these rules do not involve fees:</w:t>
      </w:r>
    </w:p>
    <w:p w:rsidR="00393E3C" w:rsidRPr="0038253B" w:rsidRDefault="00393E3C" w:rsidP="002C612F">
      <w:pPr>
        <w:ind w:left="0" w:right="-432"/>
      </w:pPr>
    </w:p>
    <w:p w:rsidR="00393E3C" w:rsidRPr="0038253B" w:rsidRDefault="00393E3C" w:rsidP="002C612F">
      <w:pPr>
        <w:ind w:left="0" w:right="-432"/>
      </w:pPr>
      <w:r w:rsidRPr="0038253B">
        <w:t>This rulemaking does not involve fees.</w:t>
      </w:r>
    </w:p>
    <w:p w:rsidR="00393E3C" w:rsidRPr="0038253B" w:rsidRDefault="00393E3C" w:rsidP="002C612F">
      <w:pPr>
        <w:ind w:left="0" w:right="-432"/>
      </w:pPr>
    </w:p>
    <w:p w:rsidR="00E93BBD" w:rsidRPr="0038253B" w:rsidRDefault="00E93BBD" w:rsidP="002C612F">
      <w:pPr>
        <w:ind w:left="0" w:right="-432"/>
        <w:rPr>
          <w:rFonts w:ascii="Arial" w:hAnsi="Arial" w:cs="Arial"/>
          <w:color w:val="C45911" w:themeColor="accent2" w:themeShade="BF"/>
        </w:rPr>
      </w:pPr>
    </w:p>
    <w:p w:rsidR="00E93BBD" w:rsidRPr="0038253B" w:rsidRDefault="00E93BBD" w:rsidP="002C612F">
      <w:pPr>
        <w:ind w:left="0" w:right="-432"/>
        <w:rPr>
          <w:rFonts w:ascii="Arial" w:hAnsi="Arial" w:cs="Arial"/>
          <w:color w:val="C45911" w:themeColor="accent2" w:themeShade="BF"/>
        </w:rPr>
      </w:pPr>
      <w:r w:rsidRPr="0038253B">
        <w:rPr>
          <w:rFonts w:ascii="Arial" w:hAnsi="Arial" w:cs="Arial"/>
          <w:color w:val="C45911" w:themeColor="accent2" w:themeShade="BF"/>
        </w:rPr>
        <w:t>Under ORS 291.055(1)(d), DAS must approve all fee increases except</w:t>
      </w:r>
      <w:r w:rsidR="00262E4D" w:rsidRPr="0038253B">
        <w:rPr>
          <w:rFonts w:ascii="Arial" w:hAnsi="Arial" w:cs="Arial"/>
          <w:color w:val="C45911" w:themeColor="accent2" w:themeShade="BF"/>
        </w:rPr>
        <w:t xml:space="preserve"> for</w:t>
      </w:r>
      <w:r w:rsidRPr="0038253B">
        <w:rPr>
          <w:rFonts w:ascii="Arial" w:hAnsi="Arial" w:cs="Arial"/>
          <w:color w:val="C45911" w:themeColor="accent2" w:themeShade="BF"/>
        </w:rPr>
        <w:t>:</w:t>
      </w:r>
    </w:p>
    <w:p w:rsidR="00393E3C"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The fee</w:t>
      </w:r>
      <w:r w:rsidR="00231FB8" w:rsidRPr="0038253B">
        <w:rPr>
          <w:rFonts w:ascii="Arial" w:hAnsi="Arial" w:cs="Arial"/>
          <w:color w:val="C45911" w:themeColor="accent2" w:themeShade="BF"/>
        </w:rPr>
        <w:t>s</w:t>
      </w:r>
      <w:r w:rsidRPr="0038253B">
        <w:rPr>
          <w:rFonts w:ascii="Arial" w:hAnsi="Arial" w:cs="Arial"/>
          <w:color w:val="C45911" w:themeColor="accent2" w:themeShade="BF"/>
        </w:rPr>
        <w:t xml:space="preserve"> created or authorized by statute </w:t>
      </w:r>
      <w:r w:rsidR="00231FB8" w:rsidRPr="0038253B">
        <w:rPr>
          <w:rFonts w:ascii="Arial" w:hAnsi="Arial" w:cs="Arial"/>
          <w:color w:val="C45911" w:themeColor="accent2" w:themeShade="BF"/>
        </w:rPr>
        <w:t xml:space="preserve">have </w:t>
      </w:r>
      <w:r w:rsidRPr="0038253B">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D42752" w:rsidRPr="0038253B" w:rsidRDefault="00D42752" w:rsidP="002C612F">
      <w:pPr>
        <w:ind w:left="0" w:right="-432"/>
        <w:rPr>
          <w:rFonts w:ascii="Arial" w:hAnsi="Arial" w:cs="Arial"/>
          <w:color w:val="C45911" w:themeColor="accent2" w:themeShade="BF"/>
        </w:rPr>
      </w:pPr>
    </w:p>
    <w:p w:rsidR="00D42752" w:rsidRPr="0038253B" w:rsidRDefault="00D42752" w:rsidP="002C612F">
      <w:pPr>
        <w:ind w:left="0" w:right="-432"/>
        <w:rPr>
          <w:bCs/>
        </w:rPr>
      </w:pPr>
      <w:r w:rsidRPr="0038253B">
        <w:t xml:space="preserve">The Oregon Environmental Quality Commission approval of this rule proposal would </w:t>
      </w:r>
      <w:r w:rsidRPr="0038253B">
        <w:rPr>
          <w:bCs/>
          <w:color w:val="C45911" w:themeColor="accent2" w:themeShade="BF"/>
        </w:rPr>
        <w:t>[OPTION 1]</w:t>
      </w:r>
      <w:r w:rsidRPr="0038253B">
        <w:rPr>
          <w:bCs/>
        </w:rPr>
        <w:t xml:space="preserve"> establish new fees. </w:t>
      </w:r>
      <w:r w:rsidRPr="0038253B">
        <w:rPr>
          <w:bCs/>
          <w:color w:val="C45911" w:themeColor="accent2" w:themeShade="BF"/>
        </w:rPr>
        <w:t>[OPTION 2]</w:t>
      </w:r>
      <w:r w:rsidRPr="0038253B">
        <w:rPr>
          <w:bCs/>
        </w:rPr>
        <w:t xml:space="preserve"> increase existing fees. </w:t>
      </w:r>
      <w:r w:rsidRPr="0038253B">
        <w:rPr>
          <w:bCs/>
          <w:color w:val="C45911" w:themeColor="accent2" w:themeShade="BF"/>
        </w:rPr>
        <w:t>[OPTION 3]</w:t>
      </w:r>
      <w:r w:rsidRPr="0038253B">
        <w:rPr>
          <w:bCs/>
        </w:rPr>
        <w:t xml:space="preserve"> </w:t>
      </w:r>
      <w:r w:rsidRPr="0038253B">
        <w:t xml:space="preserve">decrease existing fees. </w:t>
      </w:r>
      <w:r w:rsidRPr="0038253B">
        <w:rPr>
          <w:bCs/>
        </w:rPr>
        <w:t xml:space="preserve">[OPTION 4 – any combination of options 1-3] </w:t>
      </w:r>
      <w:r w:rsidRPr="0038253B">
        <w:t>EQC authority to act on the proposed fees is ORS [</w:t>
      </w:r>
      <w:r w:rsidR="00BF141F" w:rsidRPr="0038253B">
        <w:t>list the statute that authorizes DEQ to impose or raise these fees</w:t>
      </w:r>
      <w:r w:rsidRPr="0038253B">
        <w:t>].</w:t>
      </w:r>
      <w:r w:rsidRPr="0038253B">
        <w:rPr>
          <w:bCs/>
        </w:rPr>
        <w:t xml:space="preserve"> </w:t>
      </w:r>
    </w:p>
    <w:p w:rsidR="00D42752" w:rsidRPr="0038253B" w:rsidRDefault="00D42752" w:rsidP="002C612F">
      <w:pPr>
        <w:ind w:left="0" w:right="-432"/>
        <w:rPr>
          <w:bCs/>
        </w:rPr>
      </w:pPr>
    </w:p>
    <w:p w:rsidR="00D42752" w:rsidRPr="0038253B" w:rsidRDefault="00D42752" w:rsidP="002C612F">
      <w:pPr>
        <w:ind w:left="0" w:right="-432"/>
      </w:pPr>
      <w:r w:rsidRPr="0038253B">
        <w:t>Brief description of proposed fees</w:t>
      </w:r>
    </w:p>
    <w:p w:rsidR="00D42752" w:rsidRPr="0038253B" w:rsidRDefault="00D42752" w:rsidP="002C612F">
      <w:pPr>
        <w:ind w:left="0" w:right="-432"/>
        <w:rPr>
          <w:bCs/>
          <w:color w:val="C45911" w:themeColor="accent2" w:themeShade="BF"/>
        </w:rPr>
      </w:pPr>
      <w:r w:rsidRPr="0038253B">
        <w:rPr>
          <w:bCs/>
          <w:color w:val="C45911" w:themeColor="accent2" w:themeShade="BF"/>
        </w:rPr>
        <w:t xml:space="preserve">[LIMIT DESCRIPTION TO THE EFFECT OF THE FEE PROPOSAL. </w:t>
      </w:r>
      <w:proofErr w:type="gramStart"/>
      <w:r w:rsidRPr="0038253B">
        <w:rPr>
          <w:bCs/>
          <w:color w:val="C45911" w:themeColor="accent2" w:themeShade="BF"/>
        </w:rPr>
        <w:t>ADDRESS  RATIONALE</w:t>
      </w:r>
      <w:proofErr w:type="gramEnd"/>
      <w:r w:rsidRPr="0038253B">
        <w:rPr>
          <w:bCs/>
          <w:color w:val="C45911" w:themeColor="accent2" w:themeShade="BF"/>
        </w:rPr>
        <w:t xml:space="preserve"> UNDER </w:t>
      </w:r>
      <w:r w:rsidRPr="0038253B">
        <w:rPr>
          <w:bCs/>
          <w:i/>
          <w:color w:val="C45911" w:themeColor="accent2" w:themeShade="BF"/>
        </w:rPr>
        <w:t>REASONS.</w:t>
      </w:r>
      <w:r w:rsidRPr="0038253B">
        <w:rPr>
          <w:bCs/>
          <w:color w:val="C45911" w:themeColor="accent2" w:themeShade="BF"/>
        </w:rPr>
        <w:t>]</w:t>
      </w:r>
    </w:p>
    <w:p w:rsidR="00D42752" w:rsidRPr="0038253B" w:rsidRDefault="00D42752" w:rsidP="002C612F">
      <w:pPr>
        <w:ind w:left="0" w:right="-432"/>
      </w:pPr>
      <w:r w:rsidRPr="0038253B">
        <w:t>Enter text here</w:t>
      </w:r>
    </w:p>
    <w:p w:rsidR="00D42752" w:rsidRPr="0038253B" w:rsidRDefault="00D42752" w:rsidP="002C612F">
      <w:pPr>
        <w:ind w:left="0" w:right="-432"/>
      </w:pPr>
    </w:p>
    <w:p w:rsidR="00D42752" w:rsidRPr="0038253B" w:rsidRDefault="00D42752" w:rsidP="002C612F">
      <w:pPr>
        <w:ind w:left="0" w:right="-432"/>
      </w:pPr>
      <w:r w:rsidRPr="0038253B">
        <w:t xml:space="preserve">Reasons </w:t>
      </w:r>
    </w:p>
    <w:p w:rsidR="00D42752" w:rsidRPr="0038253B" w:rsidRDefault="00D42752" w:rsidP="002C612F">
      <w:pPr>
        <w:ind w:left="0" w:right="-432"/>
        <w:rPr>
          <w:color w:val="C45911" w:themeColor="accent2" w:themeShade="BF"/>
        </w:rPr>
      </w:pPr>
      <w:r w:rsidRPr="0038253B">
        <w:t xml:space="preserve">The proposed fees would address </w:t>
      </w:r>
      <w:r w:rsidRPr="0038253B">
        <w:rPr>
          <w:color w:val="C45911" w:themeColor="accent2" w:themeShade="BF"/>
        </w:rPr>
        <w:t xml:space="preserve">[INCOPORATE THE BULLETED KEY PHRASES BELOW THAT APPLY TO THIS PROPOSAL. </w:t>
      </w:r>
    </w:p>
    <w:p w:rsidR="00D42752" w:rsidRPr="0038253B" w:rsidRDefault="00D42752" w:rsidP="002C612F">
      <w:pPr>
        <w:ind w:left="0" w:right="-432"/>
      </w:pPr>
    </w:p>
    <w:p w:rsidR="00D42752" w:rsidRPr="0038253B" w:rsidRDefault="00D42752" w:rsidP="002C612F">
      <w:pPr>
        <w:ind w:left="0" w:right="-432"/>
        <w:rPr>
          <w:bCs/>
          <w:color w:val="C45911" w:themeColor="accent2" w:themeShade="BF"/>
        </w:rPr>
      </w:pPr>
      <w:r w:rsidRPr="0038253B">
        <w:rPr>
          <w:bCs/>
          <w:color w:val="C45911" w:themeColor="accent2" w:themeShade="BF"/>
        </w:rPr>
        <w:t xml:space="preserve">[KEY PHRASES - PROVIDE A BRIEF EXPLANATION ABOUT EACH KEY PHRASE USED AND ADDRESS THE QUESTION, “WHY NOW?”] </w:t>
      </w:r>
    </w:p>
    <w:p w:rsidR="00D42752" w:rsidRPr="0038253B" w:rsidRDefault="00D42752" w:rsidP="00A4572F">
      <w:pPr>
        <w:numPr>
          <w:ilvl w:val="0"/>
          <w:numId w:val="31"/>
        </w:numPr>
        <w:ind w:left="0" w:right="-432" w:firstLine="0"/>
      </w:pPr>
      <w:r w:rsidRPr="0038253B">
        <w:rPr>
          <w:bCs/>
        </w:rPr>
        <w:t>r</w:t>
      </w:r>
      <w:r w:rsidRPr="0038253B">
        <w:t>egulatory streamlining</w:t>
      </w:r>
    </w:p>
    <w:p w:rsidR="00D42752" w:rsidRPr="0038253B" w:rsidRDefault="00D42752" w:rsidP="00A4572F">
      <w:pPr>
        <w:numPr>
          <w:ilvl w:val="0"/>
          <w:numId w:val="31"/>
        </w:numPr>
        <w:ind w:left="0" w:right="-432" w:firstLine="0"/>
        <w:rPr>
          <w:bCs/>
        </w:rPr>
      </w:pPr>
      <w:r w:rsidRPr="0038253B">
        <w:rPr>
          <w:bCs/>
        </w:rPr>
        <w:t>policy change</w:t>
      </w:r>
    </w:p>
    <w:p w:rsidR="00D42752" w:rsidRPr="0038253B" w:rsidRDefault="00D42752" w:rsidP="00A4572F">
      <w:pPr>
        <w:numPr>
          <w:ilvl w:val="0"/>
          <w:numId w:val="31"/>
        </w:numPr>
        <w:ind w:left="0" w:right="-432" w:firstLine="0"/>
      </w:pPr>
      <w:r w:rsidRPr="0038253B">
        <w:t>new fee created by statue</w:t>
      </w:r>
    </w:p>
    <w:p w:rsidR="00D42752" w:rsidRPr="0038253B" w:rsidRDefault="00D42752" w:rsidP="00A4572F">
      <w:pPr>
        <w:numPr>
          <w:ilvl w:val="0"/>
          <w:numId w:val="31"/>
        </w:numPr>
        <w:ind w:left="0" w:right="-432" w:firstLine="0"/>
      </w:pPr>
      <w:r w:rsidRPr="0038253B">
        <w:t>change in federal revenue</w:t>
      </w:r>
    </w:p>
    <w:p w:rsidR="00D42752" w:rsidRPr="0038253B" w:rsidRDefault="00D42752" w:rsidP="00A4572F">
      <w:pPr>
        <w:numPr>
          <w:ilvl w:val="0"/>
          <w:numId w:val="31"/>
        </w:numPr>
        <w:ind w:left="0" w:right="-432" w:firstLine="0"/>
      </w:pPr>
      <w:r w:rsidRPr="0038253B">
        <w:t>change in Other Funds revenue</w:t>
      </w:r>
      <w:r w:rsidRPr="0038253B">
        <w:rPr>
          <w:bCs/>
        </w:rPr>
        <w:t xml:space="preserve"> </w:t>
      </w:r>
    </w:p>
    <w:p w:rsidR="00D42752" w:rsidRPr="0038253B" w:rsidRDefault="00D42752" w:rsidP="00A4572F">
      <w:pPr>
        <w:ind w:left="0" w:right="-432"/>
        <w:rPr>
          <w:bCs/>
          <w:color w:val="C45911" w:themeColor="accent2" w:themeShade="BF"/>
        </w:rPr>
      </w:pPr>
      <w:r w:rsidRPr="0038253B">
        <w:rPr>
          <w:bCs/>
          <w:color w:val="C45911" w:themeColor="accent2" w:themeShade="BF"/>
        </w:rPr>
        <w:t>[IDENTIFY CONCERN AND LEGISLATIVE SESSION]</w:t>
      </w:r>
    </w:p>
    <w:p w:rsidR="00D42752" w:rsidRPr="0038253B" w:rsidRDefault="00D42752" w:rsidP="00A4572F">
      <w:pPr>
        <w:numPr>
          <w:ilvl w:val="0"/>
          <w:numId w:val="30"/>
        </w:numPr>
        <w:ind w:left="0" w:right="-432" w:firstLine="0"/>
      </w:pPr>
      <w:r w:rsidRPr="0038253B">
        <w:t>response to legislative concerns</w:t>
      </w:r>
      <w:r w:rsidRPr="0038253B">
        <w:rPr>
          <w:bCs/>
        </w:rPr>
        <w:t xml:space="preserve"> </w:t>
      </w:r>
    </w:p>
    <w:p w:rsidR="00D42752" w:rsidRPr="0038253B" w:rsidRDefault="00D42752" w:rsidP="00A4572F">
      <w:pPr>
        <w:ind w:left="0" w:right="-432"/>
        <w:rPr>
          <w:bCs/>
          <w:color w:val="C45911" w:themeColor="accent2" w:themeShade="BF"/>
        </w:rPr>
      </w:pPr>
      <w:r w:rsidRPr="0038253B">
        <w:rPr>
          <w:bCs/>
          <w:color w:val="C45911" w:themeColor="accent2" w:themeShade="BF"/>
        </w:rPr>
        <w:t>[PROVIDE OVERVIEW OF THE COSTS FOR KEY PHRASES]</w:t>
      </w:r>
    </w:p>
    <w:p w:rsidR="00D42752" w:rsidRPr="0038253B" w:rsidRDefault="00D42752" w:rsidP="00A4572F">
      <w:pPr>
        <w:numPr>
          <w:ilvl w:val="0"/>
          <w:numId w:val="29"/>
        </w:numPr>
        <w:ind w:left="0" w:right="-432" w:firstLine="0"/>
      </w:pPr>
      <w:r w:rsidRPr="0038253B">
        <w:t xml:space="preserve">increased program costs </w:t>
      </w:r>
    </w:p>
    <w:p w:rsidR="00D42752" w:rsidRPr="0038253B" w:rsidRDefault="00D42752" w:rsidP="00A4572F">
      <w:pPr>
        <w:numPr>
          <w:ilvl w:val="0"/>
          <w:numId w:val="29"/>
        </w:numPr>
        <w:ind w:left="0" w:right="-432" w:firstLine="0"/>
      </w:pPr>
      <w:r w:rsidRPr="0038253B">
        <w:t>costs exceed estimates</w:t>
      </w:r>
    </w:p>
    <w:p w:rsidR="00D42752" w:rsidRPr="0038253B" w:rsidRDefault="00D42752" w:rsidP="00A4572F">
      <w:pPr>
        <w:ind w:left="0" w:right="-432"/>
        <w:rPr>
          <w:bCs/>
          <w:color w:val="C45911" w:themeColor="accent2" w:themeShade="BF"/>
        </w:rPr>
      </w:pPr>
      <w:r w:rsidRPr="0038253B">
        <w:rPr>
          <w:bCs/>
          <w:color w:val="C45911" w:themeColor="accent2" w:themeShade="BF"/>
        </w:rPr>
        <w:t>[PROVIDE TREND INFORMATION &amp; FTE WORKLOAD STATISTICS FOR KEY PHRASES]</w:t>
      </w:r>
    </w:p>
    <w:p w:rsidR="00D42752" w:rsidRPr="0038253B" w:rsidRDefault="00D42752" w:rsidP="00A4572F">
      <w:pPr>
        <w:numPr>
          <w:ilvl w:val="0"/>
          <w:numId w:val="28"/>
        </w:numPr>
        <w:ind w:left="0" w:right="-432" w:firstLine="0"/>
      </w:pPr>
      <w:r w:rsidRPr="0038253B">
        <w:lastRenderedPageBreak/>
        <w:t xml:space="preserve">change in transaction costs </w:t>
      </w:r>
    </w:p>
    <w:p w:rsidR="00D42752" w:rsidRPr="0038253B" w:rsidRDefault="00D42752" w:rsidP="00A4572F">
      <w:pPr>
        <w:numPr>
          <w:ilvl w:val="0"/>
          <w:numId w:val="28"/>
        </w:numPr>
        <w:ind w:left="0" w:right="-432" w:firstLine="0"/>
      </w:pPr>
      <w:r w:rsidRPr="0038253B">
        <w:t>changed number of base fee payers</w:t>
      </w:r>
    </w:p>
    <w:p w:rsidR="00D42752" w:rsidRPr="0038253B" w:rsidRDefault="00D42752" w:rsidP="00A4572F">
      <w:pPr>
        <w:numPr>
          <w:ilvl w:val="0"/>
          <w:numId w:val="28"/>
        </w:numPr>
        <w:ind w:left="0" w:right="-432" w:firstLine="0"/>
      </w:pPr>
      <w:r w:rsidRPr="0038253B">
        <w:t>change in fee-payer mix</w:t>
      </w:r>
      <w:r w:rsidRPr="0038253B">
        <w:rPr>
          <w:bCs/>
        </w:rPr>
        <w:t xml:space="preserve"> </w:t>
      </w:r>
    </w:p>
    <w:p w:rsidR="00D42752" w:rsidRPr="0038253B" w:rsidRDefault="00D42752" w:rsidP="002C612F">
      <w:pPr>
        <w:ind w:left="0" w:right="-432"/>
      </w:pPr>
    </w:p>
    <w:p w:rsidR="00D42752" w:rsidRPr="0038253B" w:rsidRDefault="00D42752" w:rsidP="002C612F">
      <w:pPr>
        <w:ind w:left="0" w:right="-432"/>
      </w:pPr>
      <w:r w:rsidRPr="0038253B">
        <w:t xml:space="preserve">Fee proposal alternatives considered </w:t>
      </w:r>
    </w:p>
    <w:p w:rsidR="00D42752" w:rsidRPr="0038253B" w:rsidRDefault="00D42752" w:rsidP="002C612F">
      <w:pPr>
        <w:ind w:left="0" w:right="-432"/>
        <w:rPr>
          <w:color w:val="C45911" w:themeColor="accent2" w:themeShade="BF"/>
        </w:rPr>
      </w:pPr>
      <w:r w:rsidRPr="0038253B">
        <w:rPr>
          <w:color w:val="C45911" w:themeColor="accent2" w:themeShade="BF"/>
        </w:rPr>
        <w:t>Enter text here [</w:t>
      </w:r>
      <w:r w:rsidRPr="0038253B">
        <w:rPr>
          <w:bCs/>
          <w:color w:val="C45911" w:themeColor="accent2" w:themeShade="BF"/>
        </w:rPr>
        <w:t>INCLUDE THE STATUS QUO ALTERNATIVE]</w:t>
      </w:r>
    </w:p>
    <w:p w:rsidR="00D42752" w:rsidRPr="0038253B" w:rsidRDefault="00D42752" w:rsidP="002C612F">
      <w:pPr>
        <w:ind w:left="0" w:right="-432"/>
      </w:pPr>
    </w:p>
    <w:p w:rsidR="00D42752" w:rsidRPr="0038253B" w:rsidRDefault="00D42752" w:rsidP="002C612F">
      <w:pPr>
        <w:ind w:left="0" w:right="-432"/>
      </w:pPr>
      <w:r w:rsidRPr="0038253B">
        <w:t>Fee payer</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Affected party involvement in fee-setting process</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Summary of impacts</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r w:rsidRPr="0038253B">
        <w:t>Fee payer agreement with fee proposal</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Links to supporting documents for proposed fees</w:t>
      </w:r>
    </w:p>
    <w:p w:rsidR="00D42752" w:rsidRPr="0038253B" w:rsidRDefault="00D42752" w:rsidP="002C612F">
      <w:pPr>
        <w:ind w:left="0" w:right="-432"/>
        <w:rPr>
          <w:color w:val="C45911" w:themeColor="accent2" w:themeShade="BF"/>
        </w:rPr>
      </w:pPr>
      <w:r w:rsidRPr="0038253B">
        <w:rPr>
          <w:color w:val="C45911" w:themeColor="accent2" w:themeShade="BF"/>
        </w:rPr>
        <w:t>Enter document name and link</w:t>
      </w:r>
    </w:p>
    <w:p w:rsidR="00D42752" w:rsidRPr="0038253B" w:rsidRDefault="00D42752" w:rsidP="002C612F">
      <w:pPr>
        <w:ind w:left="0" w:right="-432"/>
      </w:pPr>
    </w:p>
    <w:p w:rsidR="00D42752" w:rsidRPr="0038253B" w:rsidRDefault="00D42752" w:rsidP="002C612F">
      <w:pPr>
        <w:ind w:left="0" w:right="-432"/>
      </w:pPr>
      <w:r w:rsidRPr="0038253B">
        <w:t xml:space="preserve">How long will the </w:t>
      </w:r>
      <w:r w:rsidRPr="0038253B">
        <w:rPr>
          <w:u w:val="single"/>
        </w:rPr>
        <w:t>current fee</w:t>
      </w:r>
      <w:r w:rsidRPr="0038253B">
        <w:t xml:space="preserve"> sustain the program?</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8"/>
        <w:gridCol w:w="1805"/>
        <w:gridCol w:w="2449"/>
      </w:tblGrid>
      <w:tr w:rsidR="00D42752" w:rsidRPr="0038253B" w:rsidTr="00CC521E">
        <w:trPr>
          <w:jc w:val="center"/>
        </w:trPr>
        <w:tc>
          <w:tcPr>
            <w:tcW w:w="10224" w:type="dxa"/>
            <w:gridSpan w:val="3"/>
            <w:shd w:val="clear" w:color="auto" w:fill="E2EFD9" w:themeFill="accent6" w:themeFillTint="33"/>
          </w:tcPr>
          <w:p w:rsidR="00D42752" w:rsidRPr="0038253B" w:rsidRDefault="00D42752" w:rsidP="002C612F">
            <w:pPr>
              <w:ind w:left="0" w:right="-432"/>
              <w:rPr>
                <w:b/>
                <w:bCs/>
              </w:rPr>
            </w:pPr>
            <w:r w:rsidRPr="0038253B">
              <w:rPr>
                <w:b/>
                <w:bCs/>
              </w:rPr>
              <w:t>Current Fees</w:t>
            </w:r>
          </w:p>
        </w:tc>
      </w:tr>
      <w:tr w:rsidR="00D42752" w:rsidRPr="0038253B" w:rsidTr="000025D6">
        <w:trPr>
          <w:trHeight w:val="56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Program costs covered by fees</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557"/>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Program costs covered by General Fund</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503"/>
          <w:jc w:val="center"/>
        </w:trPr>
        <w:tc>
          <w:tcPr>
            <w:tcW w:w="5328" w:type="dxa"/>
            <w:shd w:val="clear" w:color="auto" w:fill="FFFFFF" w:themeFill="background1"/>
            <w:vAlign w:val="center"/>
          </w:tcPr>
          <w:p w:rsidR="00D42752" w:rsidRPr="0038253B" w:rsidRDefault="00D42752" w:rsidP="002C612F">
            <w:pPr>
              <w:ind w:left="0" w:right="-432"/>
              <w:rPr>
                <w:bCs/>
              </w:rPr>
            </w:pPr>
            <w:proofErr w:type="spellStart"/>
            <w:r w:rsidRPr="0038253B">
              <w:rPr>
                <w:bCs/>
              </w:rPr>
              <w:t>Fee</w:t>
            </w:r>
            <w:proofErr w:type="spellEnd"/>
            <w:r w:rsidRPr="0038253B">
              <w:rPr>
                <w:bCs/>
              </w:rPr>
              <w:t xml:space="preserve"> Last Changed</w:t>
            </w:r>
          </w:p>
        </w:tc>
        <w:tc>
          <w:tcPr>
            <w:tcW w:w="4896" w:type="dxa"/>
            <w:gridSpan w:val="2"/>
            <w:vAlign w:val="center"/>
          </w:tcPr>
          <w:p w:rsidR="00D42752" w:rsidRPr="0038253B" w:rsidRDefault="00D42752" w:rsidP="002C612F">
            <w:pPr>
              <w:ind w:left="0" w:right="-432"/>
              <w:rPr>
                <w:bCs/>
              </w:rPr>
            </w:pPr>
          </w:p>
        </w:tc>
      </w:tr>
    </w:tbl>
    <w:p w:rsidR="00D42752" w:rsidRPr="0038253B" w:rsidRDefault="00D42752" w:rsidP="002C612F">
      <w:pPr>
        <w:ind w:left="0" w:right="-432"/>
        <w:rPr>
          <w:bCs/>
        </w:rPr>
      </w:pPr>
    </w:p>
    <w:p w:rsidR="00D42752" w:rsidRPr="0038253B" w:rsidRDefault="00D42752" w:rsidP="002C612F">
      <w:pPr>
        <w:ind w:left="0" w:right="-432"/>
      </w:pPr>
      <w:r w:rsidRPr="0038253B">
        <w:t>How long will the proposed fee sustain the program?</w:t>
      </w:r>
    </w:p>
    <w:p w:rsidR="00D42752" w:rsidRPr="0038253B" w:rsidRDefault="00D42752" w:rsidP="002C612F">
      <w:pPr>
        <w:ind w:left="0" w:right="-432"/>
      </w:pPr>
      <w:r w:rsidRPr="0038253B">
        <w:t>Enter text here</w:t>
      </w:r>
    </w:p>
    <w:p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4"/>
        <w:gridCol w:w="1794"/>
        <w:gridCol w:w="2434"/>
      </w:tblGrid>
      <w:tr w:rsidR="00D42752" w:rsidRPr="0038253B" w:rsidTr="00027E2F">
        <w:trPr>
          <w:tblHeader/>
          <w:jc w:val="center"/>
        </w:trPr>
        <w:tc>
          <w:tcPr>
            <w:tcW w:w="10224" w:type="dxa"/>
            <w:gridSpan w:val="3"/>
            <w:shd w:val="clear" w:color="auto" w:fill="E2EFD9" w:themeFill="accent6" w:themeFillTint="33"/>
          </w:tcPr>
          <w:p w:rsidR="00D42752" w:rsidRPr="0038253B" w:rsidRDefault="00D42752" w:rsidP="002C612F">
            <w:pPr>
              <w:ind w:left="0" w:right="-432"/>
              <w:rPr>
                <w:b/>
                <w:bCs/>
              </w:rPr>
            </w:pPr>
            <w:r w:rsidRPr="0038253B">
              <w:rPr>
                <w:b/>
                <w:bCs/>
              </w:rPr>
              <w:t>Proposed Fees</w:t>
            </w:r>
          </w:p>
        </w:tc>
      </w:tr>
      <w:tr w:rsidR="00D42752" w:rsidRPr="0038253B" w:rsidTr="000025D6">
        <w:trPr>
          <w:trHeight w:val="56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Expected change in revenue (+/-)</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791"/>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Main GF required by statute/rule to fund program</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773"/>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Proposed fee allows General Fund replacement</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65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lastRenderedPageBreak/>
              <w:t>Expected effective date</w:t>
            </w:r>
          </w:p>
        </w:tc>
        <w:tc>
          <w:tcPr>
            <w:tcW w:w="4896" w:type="dxa"/>
            <w:gridSpan w:val="2"/>
            <w:vAlign w:val="center"/>
          </w:tcPr>
          <w:p w:rsidR="00D42752" w:rsidRPr="0038253B" w:rsidRDefault="00D42752" w:rsidP="002C612F">
            <w:pPr>
              <w:ind w:left="0" w:right="-432"/>
              <w:rPr>
                <w:bCs/>
              </w:rPr>
            </w:pPr>
          </w:p>
        </w:tc>
      </w:tr>
    </w:tbl>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pPr>
      <w:r w:rsidRPr="0038253B">
        <w:t>Transactions and revenue</w:t>
      </w:r>
    </w:p>
    <w:p w:rsidR="00D42752" w:rsidRPr="0038253B" w:rsidRDefault="00D42752" w:rsidP="002C612F">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2227"/>
        <w:gridCol w:w="1620"/>
        <w:gridCol w:w="1620"/>
        <w:gridCol w:w="1980"/>
        <w:gridCol w:w="1530"/>
      </w:tblGrid>
      <w:tr w:rsidR="00D42752" w:rsidRPr="0038253B" w:rsidTr="00772D8F">
        <w:trPr>
          <w:jc w:val="center"/>
        </w:trPr>
        <w:tc>
          <w:tcPr>
            <w:tcW w:w="8977" w:type="dxa"/>
            <w:gridSpan w:val="5"/>
            <w:shd w:val="clear" w:color="auto" w:fill="E2EFD9" w:themeFill="accent6" w:themeFillTint="33"/>
          </w:tcPr>
          <w:p w:rsidR="00D42752" w:rsidRPr="0038253B" w:rsidRDefault="00D42752" w:rsidP="002C612F">
            <w:pPr>
              <w:ind w:left="0" w:right="-432"/>
              <w:rPr>
                <w:b/>
                <w:bCs/>
              </w:rPr>
            </w:pPr>
            <w:r w:rsidRPr="0038253B">
              <w:rPr>
                <w:b/>
                <w:bCs/>
              </w:rPr>
              <w:t>Transactions and Revenue</w:t>
            </w:r>
          </w:p>
        </w:tc>
      </w:tr>
      <w:tr w:rsidR="00D42752" w:rsidRPr="0038253B" w:rsidTr="000025D6">
        <w:trPr>
          <w:jc w:val="center"/>
        </w:trPr>
        <w:tc>
          <w:tcPr>
            <w:tcW w:w="2227" w:type="dxa"/>
            <w:shd w:val="clear" w:color="auto" w:fill="C5E0B3" w:themeFill="accent6" w:themeFillTint="66"/>
            <w:vAlign w:val="center"/>
          </w:tcPr>
          <w:p w:rsidR="00D42752" w:rsidRPr="0038253B" w:rsidRDefault="00D42752" w:rsidP="002C612F">
            <w:pPr>
              <w:ind w:left="0" w:right="-432"/>
              <w:rPr>
                <w:b/>
                <w:bCs/>
              </w:rPr>
            </w:pPr>
            <w:r w:rsidRPr="0038253B">
              <w:rPr>
                <w:b/>
                <w:bCs/>
              </w:rPr>
              <w:t>Biennium</w:t>
            </w:r>
          </w:p>
        </w:tc>
        <w:tc>
          <w:tcPr>
            <w:tcW w:w="1620" w:type="dxa"/>
            <w:shd w:val="clear" w:color="auto" w:fill="C5E0B3" w:themeFill="accent6" w:themeFillTint="66"/>
            <w:vAlign w:val="center"/>
          </w:tcPr>
          <w:p w:rsidR="00D42752" w:rsidRPr="0038253B" w:rsidRDefault="00D42752" w:rsidP="002C612F">
            <w:pPr>
              <w:ind w:left="0" w:right="-432"/>
              <w:rPr>
                <w:b/>
                <w:bCs/>
              </w:rPr>
            </w:pPr>
            <w:r w:rsidRPr="0038253B">
              <w:rPr>
                <w:b/>
                <w:bCs/>
              </w:rPr>
              <w:t>Number of transactions</w:t>
            </w:r>
          </w:p>
        </w:tc>
        <w:tc>
          <w:tcPr>
            <w:tcW w:w="1620" w:type="dxa"/>
            <w:shd w:val="clear" w:color="auto" w:fill="C5E0B3" w:themeFill="accent6" w:themeFillTint="66"/>
            <w:vAlign w:val="center"/>
          </w:tcPr>
          <w:p w:rsidR="00A4572F" w:rsidRPr="0038253B" w:rsidRDefault="00D42752" w:rsidP="002C612F">
            <w:pPr>
              <w:ind w:left="0" w:right="-432"/>
              <w:rPr>
                <w:b/>
                <w:bCs/>
              </w:rPr>
            </w:pPr>
            <w:r w:rsidRPr="0038253B">
              <w:rPr>
                <w:b/>
                <w:bCs/>
              </w:rPr>
              <w:t>Number of fee</w:t>
            </w:r>
          </w:p>
          <w:p w:rsidR="00D42752" w:rsidRPr="0038253B" w:rsidRDefault="00D42752" w:rsidP="002C612F">
            <w:pPr>
              <w:ind w:left="0" w:right="-432"/>
              <w:rPr>
                <w:b/>
                <w:bCs/>
              </w:rPr>
            </w:pPr>
            <w:r w:rsidRPr="0038253B">
              <w:rPr>
                <w:b/>
                <w:bCs/>
              </w:rPr>
              <w:t>payers</w:t>
            </w:r>
          </w:p>
        </w:tc>
        <w:tc>
          <w:tcPr>
            <w:tcW w:w="1980" w:type="dxa"/>
            <w:shd w:val="clear" w:color="auto" w:fill="C5E0B3" w:themeFill="accent6" w:themeFillTint="66"/>
            <w:vAlign w:val="center"/>
          </w:tcPr>
          <w:p w:rsidR="00A4572F" w:rsidRPr="0038253B" w:rsidRDefault="00D42752" w:rsidP="002C612F">
            <w:pPr>
              <w:ind w:left="0" w:right="-432"/>
              <w:rPr>
                <w:b/>
                <w:bCs/>
              </w:rPr>
            </w:pPr>
            <w:r w:rsidRPr="0038253B">
              <w:rPr>
                <w:b/>
                <w:bCs/>
              </w:rPr>
              <w:t>Impact on revenue</w:t>
            </w:r>
          </w:p>
          <w:p w:rsidR="00D42752" w:rsidRPr="0038253B" w:rsidRDefault="00D42752" w:rsidP="002C612F">
            <w:pPr>
              <w:ind w:left="0" w:right="-432"/>
              <w:rPr>
                <w:b/>
                <w:bCs/>
              </w:rPr>
            </w:pPr>
            <w:r w:rsidRPr="0038253B">
              <w:rPr>
                <w:b/>
                <w:bCs/>
              </w:rPr>
              <w:t xml:space="preserve"> (+/-)</w:t>
            </w:r>
          </w:p>
        </w:tc>
        <w:tc>
          <w:tcPr>
            <w:tcW w:w="1530" w:type="dxa"/>
            <w:shd w:val="clear" w:color="auto" w:fill="C5E0B3" w:themeFill="accent6" w:themeFillTint="66"/>
            <w:vAlign w:val="center"/>
          </w:tcPr>
          <w:p w:rsidR="00A4572F" w:rsidRPr="0038253B" w:rsidRDefault="00D42752" w:rsidP="002C612F">
            <w:pPr>
              <w:ind w:left="0" w:right="-432"/>
              <w:rPr>
                <w:b/>
                <w:bCs/>
              </w:rPr>
            </w:pPr>
            <w:r w:rsidRPr="0038253B">
              <w:rPr>
                <w:b/>
                <w:bCs/>
              </w:rPr>
              <w:t>Total revenue</w:t>
            </w:r>
          </w:p>
          <w:p w:rsidR="00D42752" w:rsidRPr="0038253B" w:rsidRDefault="00D42752" w:rsidP="002C612F">
            <w:pPr>
              <w:ind w:left="0" w:right="-432"/>
              <w:rPr>
                <w:b/>
                <w:bCs/>
              </w:rPr>
            </w:pPr>
            <w:r w:rsidRPr="0038253B">
              <w:rPr>
                <w:b/>
                <w:bCs/>
              </w:rPr>
              <w:t xml:space="preserve"> (+/-)</w:t>
            </w:r>
          </w:p>
        </w:tc>
      </w:tr>
      <w:tr w:rsidR="00D42752" w:rsidRPr="0038253B" w:rsidTr="000025D6">
        <w:trPr>
          <w:jc w:val="center"/>
        </w:trPr>
        <w:tc>
          <w:tcPr>
            <w:tcW w:w="2227" w:type="dxa"/>
            <w:shd w:val="clear" w:color="auto" w:fill="FFFFFF" w:themeFill="background1"/>
            <w:vAlign w:val="center"/>
          </w:tcPr>
          <w:p w:rsidR="00D42752" w:rsidRPr="0038253B" w:rsidRDefault="00D42752" w:rsidP="002C612F">
            <w:pPr>
              <w:ind w:left="0" w:right="-432"/>
              <w:rPr>
                <w:b/>
                <w:bCs/>
              </w:rPr>
            </w:pPr>
            <w:r w:rsidRPr="0038253B">
              <w:rPr>
                <w:b/>
                <w:bCs/>
              </w:rPr>
              <w:t>Current biennium</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980" w:type="dxa"/>
            <w:shd w:val="clear" w:color="auto" w:fill="auto"/>
            <w:vAlign w:val="center"/>
          </w:tcPr>
          <w:p w:rsidR="00D42752" w:rsidRPr="0038253B" w:rsidRDefault="00D42752" w:rsidP="002C612F">
            <w:pPr>
              <w:ind w:left="0" w:right="-432"/>
              <w:rPr>
                <w:bCs/>
              </w:rPr>
            </w:pPr>
            <w:r w:rsidRPr="0038253B">
              <w:rPr>
                <w:bCs/>
              </w:rPr>
              <w:t>$0</w:t>
            </w:r>
          </w:p>
        </w:tc>
        <w:tc>
          <w:tcPr>
            <w:tcW w:w="1530" w:type="dxa"/>
            <w:shd w:val="clear" w:color="auto" w:fill="auto"/>
            <w:vAlign w:val="center"/>
          </w:tcPr>
          <w:p w:rsidR="00D42752" w:rsidRPr="0038253B" w:rsidRDefault="00D42752" w:rsidP="002C612F">
            <w:pPr>
              <w:ind w:left="0" w:right="-432"/>
              <w:rPr>
                <w:bCs/>
              </w:rPr>
            </w:pPr>
            <w:r w:rsidRPr="0038253B">
              <w:rPr>
                <w:bCs/>
              </w:rPr>
              <w:t>$0</w:t>
            </w:r>
          </w:p>
        </w:tc>
      </w:tr>
      <w:tr w:rsidR="00D42752" w:rsidRPr="0038253B" w:rsidTr="000025D6">
        <w:trPr>
          <w:jc w:val="center"/>
        </w:trPr>
        <w:tc>
          <w:tcPr>
            <w:tcW w:w="2227" w:type="dxa"/>
            <w:shd w:val="clear" w:color="auto" w:fill="FFFFFF" w:themeFill="background1"/>
            <w:vAlign w:val="center"/>
          </w:tcPr>
          <w:p w:rsidR="00D42752" w:rsidRPr="0038253B" w:rsidRDefault="00D42752" w:rsidP="002C612F">
            <w:pPr>
              <w:ind w:left="0" w:right="-432"/>
              <w:rPr>
                <w:b/>
                <w:bCs/>
              </w:rPr>
            </w:pPr>
            <w:r w:rsidRPr="0038253B">
              <w:rPr>
                <w:b/>
                <w:bCs/>
              </w:rPr>
              <w:t>Next biennium</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980" w:type="dxa"/>
            <w:shd w:val="clear" w:color="auto" w:fill="auto"/>
            <w:vAlign w:val="center"/>
          </w:tcPr>
          <w:p w:rsidR="00D42752" w:rsidRPr="0038253B" w:rsidRDefault="00D42752" w:rsidP="002C612F">
            <w:pPr>
              <w:ind w:left="0" w:right="-432"/>
              <w:rPr>
                <w:bCs/>
              </w:rPr>
            </w:pPr>
            <w:r w:rsidRPr="0038253B">
              <w:rPr>
                <w:bCs/>
              </w:rPr>
              <w:t>$0</w:t>
            </w:r>
          </w:p>
        </w:tc>
        <w:tc>
          <w:tcPr>
            <w:tcW w:w="1530" w:type="dxa"/>
            <w:shd w:val="clear" w:color="auto" w:fill="auto"/>
            <w:vAlign w:val="center"/>
          </w:tcPr>
          <w:p w:rsidR="00D42752" w:rsidRPr="0038253B" w:rsidRDefault="00D42752" w:rsidP="002C612F">
            <w:pPr>
              <w:ind w:left="0" w:right="-432"/>
              <w:rPr>
                <w:bCs/>
              </w:rPr>
            </w:pPr>
            <w:r w:rsidRPr="0038253B">
              <w:rPr>
                <w:bCs/>
              </w:rPr>
              <w:t>$0</w:t>
            </w:r>
          </w:p>
        </w:tc>
      </w:tr>
    </w:tbl>
    <w:p w:rsidR="00D42752" w:rsidRPr="0038253B" w:rsidRDefault="00D42752" w:rsidP="002C612F">
      <w:pPr>
        <w:ind w:left="0" w:right="-432"/>
        <w:rPr>
          <w:bCs/>
        </w:rPr>
      </w:pPr>
    </w:p>
    <w:p w:rsidR="00D42752" w:rsidRPr="0038253B" w:rsidRDefault="00D42752" w:rsidP="002C612F">
      <w:pPr>
        <w:ind w:left="0" w:right="-432"/>
      </w:pPr>
    </w:p>
    <w:p w:rsidR="00D42752" w:rsidRPr="0038253B" w:rsidRDefault="00D42752" w:rsidP="002C612F">
      <w:pPr>
        <w:ind w:left="0" w:right="-432"/>
        <w:rPr>
          <w:bCs/>
        </w:rPr>
      </w:pPr>
    </w:p>
    <w:p w:rsidR="00D42752" w:rsidRPr="0038253B" w:rsidRDefault="00D42752" w:rsidP="002C612F">
      <w:pPr>
        <w:ind w:left="0" w:right="-432"/>
      </w:pPr>
      <w:r w:rsidRPr="0038253B">
        <w:t xml:space="preserve">Fee schedule </w:t>
      </w:r>
    </w:p>
    <w:p w:rsidR="00D42752" w:rsidRPr="0038253B" w:rsidRDefault="00D42752" w:rsidP="002C612F">
      <w:pPr>
        <w:ind w:left="0" w:right="-432"/>
      </w:pPr>
      <w:r w:rsidRPr="0038253B">
        <w:t>Enter text or table here.</w:t>
      </w:r>
    </w:p>
    <w:p w:rsidR="00D42752" w:rsidRPr="0038253B" w:rsidRDefault="00D42752" w:rsidP="002C612F">
      <w:pPr>
        <w:ind w:left="0" w:right="-432"/>
      </w:pPr>
    </w:p>
    <w:tbl>
      <w:tblPr>
        <w:tblW w:w="9067" w:type="dxa"/>
        <w:jc w:val="center"/>
        <w:tblBorders>
          <w:top w:val="single" w:sz="18" w:space="0" w:color="000000"/>
          <w:left w:val="single" w:sz="18" w:space="0" w:color="000000"/>
          <w:bottom w:val="single" w:sz="18" w:space="0" w:color="000000"/>
          <w:right w:val="single" w:sz="18"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1515"/>
      </w:tblGrid>
      <w:tr w:rsidR="00D42752" w:rsidRPr="0038253B" w:rsidTr="00772D8F">
        <w:trPr>
          <w:trHeight w:val="1548"/>
          <w:jc w:val="center"/>
        </w:trPr>
        <w:tc>
          <w:tcPr>
            <w:tcW w:w="9067" w:type="dxa"/>
            <w:gridSpan w:val="4"/>
            <w:tcBorders>
              <w:bottom w:val="single" w:sz="4" w:space="0" w:color="000000"/>
            </w:tcBorders>
            <w:shd w:val="clear" w:color="auto" w:fill="E2EFD9"/>
            <w:vAlign w:val="center"/>
          </w:tcPr>
          <w:p w:rsidR="00D42752" w:rsidRPr="0038253B" w:rsidRDefault="00D42752" w:rsidP="002C612F">
            <w:pPr>
              <w:ind w:left="0" w:right="-432"/>
              <w:rPr>
                <w:b/>
              </w:rPr>
            </w:pPr>
            <w:r w:rsidRPr="0038253B">
              <w:rPr>
                <w:b/>
              </w:rPr>
              <w:t xml:space="preserve">Table Title </w:t>
            </w:r>
          </w:p>
        </w:tc>
      </w:tr>
      <w:tr w:rsidR="00D42752" w:rsidRPr="0038253B" w:rsidTr="00772D8F">
        <w:trPr>
          <w:trHeight w:val="845"/>
          <w:jc w:val="center"/>
        </w:trPr>
        <w:tc>
          <w:tcPr>
            <w:tcW w:w="5035" w:type="dxa"/>
            <w:gridSpan w:val="2"/>
            <w:tcBorders>
              <w:top w:val="single" w:sz="4" w:space="0" w:color="000000"/>
              <w:bottom w:val="single" w:sz="4" w:space="0" w:color="000000"/>
              <w:right w:val="single" w:sz="4" w:space="0" w:color="000000"/>
            </w:tcBorders>
            <w:shd w:val="clear" w:color="auto" w:fill="C5E0B3"/>
            <w:vAlign w:val="center"/>
          </w:tcPr>
          <w:p w:rsidR="00D42752" w:rsidRPr="0038253B" w:rsidRDefault="00D42752" w:rsidP="002C612F">
            <w:pPr>
              <w:ind w:left="0" w:right="-432"/>
              <w:rPr>
                <w:b/>
              </w:rPr>
            </w:pPr>
            <w:r w:rsidRPr="0038253B">
              <w:rPr>
                <w:b/>
              </w:rPr>
              <w:t>Subheading 1 (Arial 14)</w:t>
            </w:r>
          </w:p>
        </w:tc>
        <w:tc>
          <w:tcPr>
            <w:tcW w:w="4032" w:type="dxa"/>
            <w:gridSpan w:val="2"/>
            <w:tcBorders>
              <w:top w:val="single" w:sz="4" w:space="0" w:color="000000"/>
              <w:left w:val="single" w:sz="4" w:space="0" w:color="000000"/>
              <w:bottom w:val="single" w:sz="4" w:space="0" w:color="000000"/>
            </w:tcBorders>
            <w:shd w:val="clear" w:color="auto" w:fill="C5E0B3"/>
            <w:vAlign w:val="center"/>
          </w:tcPr>
          <w:p w:rsidR="00D42752" w:rsidRPr="0038253B" w:rsidRDefault="00D42752" w:rsidP="002C612F">
            <w:pPr>
              <w:ind w:left="0" w:right="-432"/>
              <w:rPr>
                <w:b/>
              </w:rPr>
            </w:pPr>
            <w:r w:rsidRPr="0038253B">
              <w:rPr>
                <w:b/>
              </w:rPr>
              <w:t>Subheading 2 (Arial 14)</w:t>
            </w:r>
          </w:p>
        </w:tc>
      </w:tr>
      <w:tr w:rsidR="00D42752" w:rsidRPr="0038253B" w:rsidTr="00772D8F">
        <w:trPr>
          <w:jc w:val="center"/>
        </w:trPr>
        <w:tc>
          <w:tcPr>
            <w:tcW w:w="9067" w:type="dxa"/>
            <w:gridSpan w:val="4"/>
            <w:tcBorders>
              <w:top w:val="single" w:sz="4" w:space="0" w:color="000000"/>
              <w:bottom w:val="single" w:sz="4" w:space="0" w:color="000000"/>
            </w:tcBorders>
            <w:shd w:val="clear" w:color="auto" w:fill="A8D08D"/>
            <w:vAlign w:val="center"/>
          </w:tcPr>
          <w:p w:rsidR="00D42752" w:rsidRPr="0038253B" w:rsidRDefault="00D42752" w:rsidP="002C612F">
            <w:pPr>
              <w:ind w:left="0" w:right="-432"/>
              <w:rPr>
                <w:b/>
              </w:rPr>
            </w:pPr>
            <w:r w:rsidRPr="0038253B">
              <w:rPr>
                <w:b/>
              </w:rPr>
              <w:t>Subheading 3 (Arial 12)</w:t>
            </w:r>
          </w:p>
        </w:tc>
      </w:tr>
      <w:tr w:rsidR="00D42752" w:rsidRPr="0038253B" w:rsidTr="00772D8F">
        <w:trPr>
          <w:jc w:val="center"/>
        </w:trPr>
        <w:tc>
          <w:tcPr>
            <w:tcW w:w="2517" w:type="dxa"/>
            <w:tcBorders>
              <w:top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 (Times New Roman 11)</w:t>
            </w:r>
          </w:p>
        </w:tc>
        <w:tc>
          <w:tcPr>
            <w:tcW w:w="2518" w:type="dxa"/>
            <w:tcBorders>
              <w:top w:val="single" w:sz="4" w:space="0" w:color="000000"/>
              <w:left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w:t>
            </w:r>
          </w:p>
        </w:tc>
        <w:tc>
          <w:tcPr>
            <w:tcW w:w="2517" w:type="dxa"/>
            <w:tcBorders>
              <w:top w:val="single" w:sz="4" w:space="0" w:color="000000"/>
              <w:left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w:t>
            </w:r>
          </w:p>
        </w:tc>
        <w:tc>
          <w:tcPr>
            <w:tcW w:w="1515" w:type="dxa"/>
            <w:tcBorders>
              <w:top w:val="single" w:sz="4" w:space="0" w:color="000000"/>
              <w:left w:val="single" w:sz="4" w:space="0" w:color="000000"/>
              <w:bottom w:val="single" w:sz="18" w:space="0" w:color="000000"/>
            </w:tcBorders>
            <w:vAlign w:val="center"/>
          </w:tcPr>
          <w:p w:rsidR="00D42752" w:rsidRPr="0038253B" w:rsidRDefault="00D42752" w:rsidP="002C612F">
            <w:pPr>
              <w:ind w:left="0" w:right="-432"/>
            </w:pPr>
            <w:r w:rsidRPr="0038253B">
              <w:t>Data</w:t>
            </w:r>
          </w:p>
        </w:tc>
      </w:tr>
    </w:tbl>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rPr>
          <w:bCs/>
          <w:iCs/>
        </w:rPr>
      </w:pPr>
    </w:p>
    <w:p w:rsidR="00D42752" w:rsidRPr="0038253B" w:rsidRDefault="00D42752" w:rsidP="002C612F">
      <w:pPr>
        <w:ind w:left="0" w:right="-432"/>
      </w:pPr>
    </w:p>
    <w:p w:rsidR="00393E3C" w:rsidRPr="0038253B" w:rsidRDefault="00393E3C" w:rsidP="002C612F">
      <w:pPr>
        <w:ind w:left="0" w:right="-432"/>
        <w:rPr>
          <w:color w:val="C45911" w:themeColor="accent2" w:themeShade="BF"/>
        </w:rPr>
      </w:pPr>
    </w:p>
    <w:p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rsidR="00AD7DB9" w:rsidRPr="0038253B" w:rsidRDefault="00AD7DB9" w:rsidP="00501ABB">
            <w:pPr>
              <w:ind w:left="0"/>
            </w:pPr>
          </w:p>
          <w:p w:rsidR="00476CE9" w:rsidRPr="0038253B" w:rsidRDefault="00AD7DB9" w:rsidP="000770BB">
            <w:pPr>
              <w:pStyle w:val="TOC1"/>
              <w:rPr>
                <w:rStyle w:val="Heading1Char"/>
              </w:rPr>
            </w:pPr>
            <w:bookmarkStart w:id="7" w:name="_Toc482800002"/>
            <w:r w:rsidRPr="0038253B">
              <w:rPr>
                <w:rStyle w:val="Heading1Char"/>
              </w:rPr>
              <w:t>Statement of fiscal and economic impact</w:t>
            </w:r>
            <w:bookmarkEnd w:id="7"/>
          </w:p>
          <w:p w:rsidR="00AD7DB9" w:rsidRPr="0038253B" w:rsidRDefault="00C51EA4" w:rsidP="00476CE9">
            <w:pPr>
              <w:ind w:left="0"/>
              <w:rPr>
                <w:rStyle w:val="Hyperlink"/>
                <w:rFonts w:cs="Arial"/>
              </w:rPr>
            </w:pPr>
            <w:r w:rsidRPr="0038253B">
              <w:rPr>
                <w:rStyle w:val="Heading1Char"/>
              </w:rPr>
              <w:t xml:space="preserve"> </w:t>
            </w:r>
            <w:r w:rsidRPr="0038253B">
              <w:rPr>
                <w:rFonts w:cs="Arial"/>
                <w:color w:val="C45911" w:themeColor="accent2" w:themeShade="BF"/>
              </w:rPr>
              <w:t>18</w:t>
            </w:r>
            <w:r w:rsidR="00AD7DB9" w:rsidRPr="0038253B">
              <w:rPr>
                <w:rFonts w:cs="Arial"/>
                <w:color w:val="C45911" w:themeColor="accent2" w:themeShade="BF"/>
              </w:rPr>
              <w:t>3.335 (2)(b)(E)</w:t>
            </w:r>
            <w:r w:rsidR="00D1364A" w:rsidRPr="0038253B">
              <w:rPr>
                <w:rFonts w:cs="Arial"/>
                <w:color w:val="C45911" w:themeColor="accent2" w:themeShade="BF"/>
              </w:rPr>
              <w:t>; 183.540</w:t>
            </w:r>
            <w:r w:rsidRPr="0038253B">
              <w:rPr>
                <w:rFonts w:cs="Arial"/>
                <w:color w:val="C45911" w:themeColor="accent2" w:themeShade="BF"/>
              </w:rPr>
              <w:t xml:space="preserve"> </w:t>
            </w:r>
            <w:hyperlink r:id="rId27" w:history="1">
              <w:r w:rsidRPr="0038253B">
                <w:rPr>
                  <w:rStyle w:val="Hyperlink"/>
                  <w:rFonts w:cs="Arial"/>
                </w:rPr>
                <w:t>Fiscal Impact Analysis</w:t>
              </w:r>
            </w:hyperlink>
          </w:p>
          <w:p w:rsidR="0038719F" w:rsidRPr="0038253B" w:rsidRDefault="0038719F" w:rsidP="00476CE9">
            <w:pPr>
              <w:ind w:left="0"/>
            </w:pPr>
          </w:p>
          <w:p w:rsidR="0038719F" w:rsidRPr="0038253B" w:rsidRDefault="0038719F" w:rsidP="00476CE9">
            <w:pPr>
              <w:ind w:left="0"/>
              <w:rPr>
                <w:rFonts w:ascii="Arial" w:hAnsi="Arial" w:cs="Arial"/>
                <w:color w:val="C45911" w:themeColor="accent2" w:themeShade="BF"/>
              </w:rPr>
            </w:pPr>
            <w:r w:rsidRPr="0038253B">
              <w:rPr>
                <w:rFonts w:ascii="Arial" w:hAnsi="Arial" w:cs="Arial"/>
                <w:color w:val="C45911" w:themeColor="accent2" w:themeShade="BF"/>
              </w:rPr>
              <w:t>This is a discussion of the financial impact of the rule change on various parties.</w:t>
            </w:r>
          </w:p>
        </w:tc>
      </w:tr>
    </w:tbl>
    <w:p w:rsidR="00AD7DB9" w:rsidRPr="0038253B" w:rsidRDefault="00AD7DB9" w:rsidP="00501ABB">
      <w:pPr>
        <w:ind w:left="0"/>
      </w:pPr>
    </w:p>
    <w:p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rsidR="00DE6FD3" w:rsidRPr="0038253B" w:rsidRDefault="00DE6FD3" w:rsidP="00501ABB">
      <w:pPr>
        <w:ind w:left="0"/>
        <w:rPr>
          <w:rStyle w:val="Emphasis"/>
          <w:rFonts w:ascii="Arial" w:hAnsi="Arial"/>
          <w:vanish w:val="0"/>
          <w:color w:val="C45911" w:themeColor="accent2" w:themeShade="BF"/>
          <w:sz w:val="24"/>
        </w:rPr>
      </w:pPr>
    </w:p>
    <w:p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411D93" w:rsidRPr="0038253B" w:rsidRDefault="00411D93" w:rsidP="00501ABB">
      <w:pPr>
        <w:ind w:left="0"/>
        <w:rPr>
          <w:rStyle w:val="Emphasis"/>
          <w:rFonts w:ascii="Arial" w:hAnsi="Arial"/>
          <w:vanish w:val="0"/>
          <w:color w:val="C45911" w:themeColor="accent2" w:themeShade="BF"/>
          <w:sz w:val="24"/>
        </w:rPr>
      </w:pPr>
    </w:p>
    <w:p w:rsidR="00AD7DB9" w:rsidRPr="0038253B" w:rsidRDefault="00AD7DB9" w:rsidP="00772D8F">
      <w:pPr>
        <w:pStyle w:val="Heading2"/>
        <w:ind w:left="0" w:right="-432"/>
      </w:pPr>
      <w:r w:rsidRPr="0038253B">
        <w:t>Fiscal and Economic Impact</w:t>
      </w:r>
    </w:p>
    <w:p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rsidR="00AD7DB9" w:rsidRPr="0038253B" w:rsidRDefault="002D263C" w:rsidP="00772D8F">
      <w:pPr>
        <w:ind w:left="0" w:right="-432"/>
      </w:pPr>
      <w:r w:rsidRPr="0038253B">
        <w:t>TEXT</w:t>
      </w:r>
    </w:p>
    <w:p w:rsidR="00AD7DB9" w:rsidRPr="0038253B" w:rsidRDefault="00AD7DB9" w:rsidP="00772D8F">
      <w:pPr>
        <w:ind w:left="0" w:right="-432"/>
      </w:pPr>
    </w:p>
    <w:p w:rsidR="00AD7DB9" w:rsidRPr="0038253B" w:rsidRDefault="00AD7DB9" w:rsidP="00772D8F">
      <w:pPr>
        <w:ind w:left="0" w:right="-432"/>
        <w:rPr>
          <w:rFonts w:asciiTheme="majorHAnsi" w:hAnsiTheme="majorHAnsi" w:cstheme="majorHAnsi"/>
          <w:szCs w:val="22"/>
        </w:rPr>
      </w:pPr>
      <w:r w:rsidRPr="0038253B">
        <w:tab/>
      </w:r>
    </w:p>
    <w:p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rsidR="00AD7DB9" w:rsidRPr="0038253B" w:rsidRDefault="00AD7DB9" w:rsidP="00772D8F">
      <w:pPr>
        <w:ind w:left="0" w:right="-432"/>
      </w:pPr>
    </w:p>
    <w:p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rsidR="00E45717" w:rsidRPr="0038253B" w:rsidRDefault="00E45717" w:rsidP="00772D8F">
      <w:pPr>
        <w:ind w:left="0" w:right="-432"/>
      </w:pPr>
    </w:p>
    <w:p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t>Separately describe the impact on:</w:t>
      </w:r>
    </w:p>
    <w:p w:rsidR="00AD7DB9" w:rsidRPr="0038253B" w:rsidRDefault="00AD7DB9" w:rsidP="00772D8F">
      <w:pPr>
        <w:pStyle w:val="Heading3"/>
        <w:ind w:left="0" w:right="-432"/>
      </w:pPr>
      <w:r w:rsidRPr="0038253B">
        <w:t>Local governments</w:t>
      </w:r>
    </w:p>
    <w:p w:rsidR="00AD7DB9" w:rsidRPr="0038253B" w:rsidRDefault="00AD7DB9" w:rsidP="00772D8F">
      <w:pPr>
        <w:ind w:left="0" w:right="-432"/>
      </w:pPr>
    </w:p>
    <w:p w:rsidR="00AD7DB9" w:rsidRPr="0038253B" w:rsidRDefault="00AD7DB9" w:rsidP="00772D8F">
      <w:pPr>
        <w:pStyle w:val="Heading3"/>
        <w:ind w:left="0" w:right="-432"/>
      </w:pPr>
      <w:r w:rsidRPr="0038253B">
        <w:t>Public</w:t>
      </w:r>
    </w:p>
    <w:p w:rsidR="00AD7DB9" w:rsidRPr="0038253B" w:rsidRDefault="00AD7DB9" w:rsidP="00772D8F">
      <w:pPr>
        <w:ind w:left="0" w:right="-432"/>
      </w:pPr>
    </w:p>
    <w:p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rsidR="00AD7DB9" w:rsidRPr="0038253B" w:rsidRDefault="00AD7DB9" w:rsidP="00772D8F">
      <w:pPr>
        <w:ind w:left="0" w:right="-432"/>
      </w:pPr>
    </w:p>
    <w:p w:rsidR="00AD7DB9" w:rsidRPr="0038253B" w:rsidRDefault="00AD7DB9" w:rsidP="00772D8F">
      <w:pPr>
        <w:pStyle w:val="Heading3"/>
        <w:ind w:left="0" w:right="-432"/>
        <w:rPr>
          <w:color w:val="786E54"/>
        </w:rPr>
      </w:pPr>
      <w:r w:rsidRPr="0038253B">
        <w:t>Small businesses – businesses with 50 or fewer employees</w:t>
      </w:r>
    </w:p>
    <w:p w:rsidR="0007684B" w:rsidRPr="0038253B" w:rsidRDefault="0007684B" w:rsidP="00772D8F">
      <w:pPr>
        <w:ind w:left="0" w:right="-432"/>
        <w:rPr>
          <w:bCs/>
        </w:rPr>
      </w:pPr>
    </w:p>
    <w:p w:rsidR="0007684B" w:rsidRPr="0038253B" w:rsidRDefault="0007684B" w:rsidP="00772D8F">
      <w:pPr>
        <w:pStyle w:val="Heading4"/>
        <w:ind w:right="-432"/>
      </w:pPr>
      <w:r w:rsidRPr="0038253B">
        <w:t>a. Estimated number of small businesses and types of businesses and industries with small businesses subject to proposed rule.</w:t>
      </w:r>
    </w:p>
    <w:p w:rsidR="00AD7DB9" w:rsidRPr="0038253B" w:rsidRDefault="00AD7DB9" w:rsidP="00772D8F">
      <w:pPr>
        <w:ind w:left="0" w:right="-432"/>
      </w:pPr>
    </w:p>
    <w:p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rsidR="0007684B" w:rsidRPr="0038253B" w:rsidRDefault="0007684B" w:rsidP="00501ABB">
      <w:pPr>
        <w:ind w:left="0"/>
        <w:rPr>
          <w:color w:val="C45911" w:themeColor="accent2" w:themeShade="BF"/>
        </w:rPr>
      </w:pPr>
    </w:p>
    <w:p w:rsidR="0007684B" w:rsidRPr="0038253B" w:rsidRDefault="0007684B" w:rsidP="00772D8F">
      <w:pPr>
        <w:ind w:left="0" w:right="-432"/>
        <w:rPr>
          <w:color w:val="C45911" w:themeColor="accent2" w:themeShade="BF"/>
        </w:rPr>
      </w:pPr>
      <w:r w:rsidRPr="0038253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Pr="0038253B" w:rsidRDefault="0007684B" w:rsidP="00772D8F">
      <w:pPr>
        <w:ind w:left="0" w:right="-432"/>
      </w:pPr>
    </w:p>
    <w:p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rsidR="0007684B" w:rsidRPr="0038253B" w:rsidRDefault="0007684B" w:rsidP="00772D8F">
      <w:pPr>
        <w:ind w:left="0" w:right="-432"/>
        <w:rPr>
          <w:b/>
        </w:rPr>
      </w:pPr>
    </w:p>
    <w:p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38253B" w:rsidRDefault="0007684B" w:rsidP="00772D8F">
      <w:pPr>
        <w:ind w:left="0" w:right="-432"/>
      </w:pPr>
    </w:p>
    <w:p w:rsidR="0007684B" w:rsidRPr="0038253B" w:rsidRDefault="0007684B" w:rsidP="00772D8F">
      <w:pPr>
        <w:ind w:left="0" w:right="-432"/>
        <w:rPr>
          <w:b/>
        </w:rPr>
      </w:pPr>
    </w:p>
    <w:p w:rsidR="0007684B" w:rsidRPr="0038253B" w:rsidRDefault="0007684B" w:rsidP="00772D8F">
      <w:pPr>
        <w:pStyle w:val="Heading4"/>
        <w:ind w:right="-432"/>
      </w:pPr>
      <w:r w:rsidRPr="0038253B">
        <w:t>c. Projected equipment, supplies, labor and increased administration required for small businesses to comply with the proposed rule.</w:t>
      </w:r>
    </w:p>
    <w:p w:rsidR="0007684B" w:rsidRPr="0038253B" w:rsidRDefault="0007684B" w:rsidP="00772D8F">
      <w:pPr>
        <w:ind w:left="0" w:right="-432"/>
        <w:rPr>
          <w:b/>
        </w:rPr>
      </w:pPr>
    </w:p>
    <w:p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Pr="0038253B" w:rsidRDefault="0007684B" w:rsidP="00772D8F">
      <w:pPr>
        <w:ind w:left="0" w:right="-432"/>
        <w:rPr>
          <w:rStyle w:val="IntenseEmphasis"/>
          <w:rFonts w:ascii="Arial" w:hAnsi="Arial"/>
          <w:i w:val="0"/>
          <w:vanish w:val="0"/>
          <w:color w:val="C45911" w:themeColor="accent2" w:themeShade="BF"/>
          <w:sz w:val="24"/>
        </w:rPr>
      </w:pPr>
    </w:p>
    <w:p w:rsidR="0007684B" w:rsidRPr="0038253B" w:rsidRDefault="0007684B" w:rsidP="00772D8F">
      <w:pPr>
        <w:pStyle w:val="Heading4"/>
        <w:ind w:right="-432"/>
      </w:pPr>
      <w:r w:rsidRPr="0038253B">
        <w:t>d. Describe how DEQ involved small businesses in developing this proposed rule.</w:t>
      </w:r>
    </w:p>
    <w:p w:rsidR="0007684B" w:rsidRPr="0038253B" w:rsidRDefault="0007684B" w:rsidP="00772D8F">
      <w:pPr>
        <w:ind w:left="0" w:right="-432"/>
      </w:pPr>
    </w:p>
    <w:p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38253B" w:rsidRDefault="0007684B" w:rsidP="00772D8F">
      <w:pPr>
        <w:ind w:left="0" w:right="-432"/>
        <w:rPr>
          <w:b/>
        </w:rPr>
      </w:pPr>
    </w:p>
    <w:p w:rsidR="0007684B" w:rsidRPr="0038253B" w:rsidRDefault="0007684B" w:rsidP="00772D8F">
      <w:pPr>
        <w:ind w:left="0" w:right="-432"/>
      </w:pPr>
    </w:p>
    <w:p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rsidR="00AD7DB9" w:rsidRPr="0038253B" w:rsidRDefault="00AD7DB9" w:rsidP="00772D8F">
      <w:pPr>
        <w:pStyle w:val="Heading2"/>
        <w:ind w:left="0" w:right="-432"/>
      </w:pPr>
      <w:r w:rsidRPr="0038253B">
        <w:t>Documents relied on for fiscal and economic impact</w:t>
      </w:r>
    </w:p>
    <w:p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rsidTr="00980249">
        <w:trPr>
          <w:jc w:val="center"/>
        </w:trPr>
        <w:tc>
          <w:tcPr>
            <w:tcW w:w="3870" w:type="dxa"/>
            <w:shd w:val="clear" w:color="auto" w:fill="C5E0B3" w:themeFill="accent6" w:themeFillTint="66"/>
          </w:tcPr>
          <w:p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rsidTr="0047393E">
        <w:trPr>
          <w:jc w:val="center"/>
          <w:hidden w:val="0"/>
        </w:trPr>
        <w:tc>
          <w:tcPr>
            <w:tcW w:w="3870" w:type="dxa"/>
          </w:tcPr>
          <w:p w:rsidR="00AD7DB9" w:rsidRPr="0038253B" w:rsidRDefault="00AD7DB9" w:rsidP="00501ABB">
            <w:pPr>
              <w:ind w:left="0"/>
              <w:rPr>
                <w:rStyle w:val="Emphasis"/>
                <w:vanish w:val="0"/>
                <w:color w:val="C45911" w:themeColor="accent2" w:themeShade="BF"/>
                <w:sz w:val="22"/>
                <w:szCs w:val="22"/>
              </w:rPr>
            </w:pPr>
          </w:p>
          <w:p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rsidTr="0047393E">
        <w:trPr>
          <w:jc w:val="center"/>
        </w:trPr>
        <w:tc>
          <w:tcPr>
            <w:tcW w:w="3870" w:type="dxa"/>
          </w:tcPr>
          <w:p w:rsidR="00A872BA" w:rsidRPr="0038253B" w:rsidRDefault="00A872BA" w:rsidP="00501ABB">
            <w:pPr>
              <w:ind w:left="0"/>
              <w:rPr>
                <w:szCs w:val="22"/>
              </w:rPr>
            </w:pPr>
          </w:p>
          <w:p w:rsidR="00B40B6F" w:rsidRPr="0038253B" w:rsidRDefault="00B40B6F" w:rsidP="00501ABB">
            <w:pPr>
              <w:ind w:left="0"/>
              <w:rPr>
                <w:szCs w:val="22"/>
              </w:rPr>
            </w:pPr>
            <w:r w:rsidRPr="0038253B">
              <w:rPr>
                <w:szCs w:val="22"/>
              </w:rPr>
              <w:t>TEXT</w:t>
            </w:r>
          </w:p>
        </w:tc>
        <w:tc>
          <w:tcPr>
            <w:tcW w:w="4950" w:type="dxa"/>
          </w:tcPr>
          <w:p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rsidR="00B40B6F" w:rsidRPr="0038253B" w:rsidRDefault="00B40B6F" w:rsidP="00501ABB">
            <w:pPr>
              <w:ind w:left="0"/>
              <w:rPr>
                <w:bCs/>
                <w:szCs w:val="22"/>
              </w:rPr>
            </w:pPr>
            <w:r w:rsidRPr="0038253B">
              <w:rPr>
                <w:szCs w:val="22"/>
              </w:rPr>
              <w:t>TEXT</w:t>
            </w:r>
          </w:p>
        </w:tc>
      </w:tr>
    </w:tbl>
    <w:p w:rsidR="00AD7DB9" w:rsidRPr="0038253B" w:rsidRDefault="00AD7DB9" w:rsidP="00501ABB">
      <w:pPr>
        <w:ind w:left="0"/>
      </w:pPr>
      <w:r w:rsidRPr="0038253B">
        <w:t xml:space="preserve"> </w:t>
      </w:r>
    </w:p>
    <w:p w:rsidR="00AD7DB9" w:rsidRPr="0038253B" w:rsidRDefault="00AD7DB9" w:rsidP="00501ABB">
      <w:pPr>
        <w:ind w:left="0"/>
      </w:pPr>
    </w:p>
    <w:p w:rsidR="00AD7DB9" w:rsidRPr="0038253B" w:rsidRDefault="00AD7DB9" w:rsidP="00772D8F">
      <w:pPr>
        <w:pStyle w:val="Heading2"/>
        <w:ind w:left="0" w:right="-432"/>
      </w:pPr>
      <w:r w:rsidRPr="0038253B">
        <w:lastRenderedPageBreak/>
        <w:t>Advisory committee</w:t>
      </w:r>
      <w:r w:rsidR="00B31F37" w:rsidRPr="0038253B">
        <w:t xml:space="preserve"> fiscal review</w:t>
      </w:r>
    </w:p>
    <w:p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rsidR="00EC75F3" w:rsidRPr="0038253B" w:rsidRDefault="00EC75F3" w:rsidP="00772D8F">
      <w:pPr>
        <w:ind w:left="0" w:right="-432"/>
        <w:rPr>
          <w:rFonts w:ascii="Arial" w:hAnsi="Arial"/>
          <w:b/>
          <w:iCs/>
          <w:color w:val="C45911" w:themeColor="accent2" w:themeShade="BF"/>
          <w:szCs w:val="28"/>
        </w:rPr>
      </w:pPr>
    </w:p>
    <w:p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rsidR="00AD7DB9" w:rsidRPr="0038253B" w:rsidRDefault="00AD7DB9" w:rsidP="00772D8F">
      <w:pPr>
        <w:ind w:left="0" w:right="-432"/>
      </w:pPr>
      <w:r w:rsidRPr="0038253B">
        <w:t>DEQ appointed an advisory committee</w:t>
      </w:r>
      <w:r w:rsidR="00EC75F3" w:rsidRPr="0038253B">
        <w:t>.</w:t>
      </w:r>
      <w:r w:rsidRPr="0038253B">
        <w:t xml:space="preserve"> </w:t>
      </w:r>
    </w:p>
    <w:p w:rsidR="007F0170" w:rsidRPr="0038253B" w:rsidRDefault="007F0170" w:rsidP="00772D8F">
      <w:pPr>
        <w:ind w:left="0" w:right="-432"/>
      </w:pPr>
    </w:p>
    <w:p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rsidR="00891607" w:rsidRPr="0038253B" w:rsidRDefault="00891607" w:rsidP="00772D8F">
      <w:pPr>
        <w:shd w:val="clear" w:color="auto" w:fill="FFFFFF" w:themeFill="background1"/>
        <w:ind w:left="0" w:right="-432"/>
      </w:pPr>
    </w:p>
    <w:p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rsidR="00DE6FD3" w:rsidRPr="0038253B" w:rsidRDefault="00DE6FD3" w:rsidP="00772D8F">
      <w:pPr>
        <w:shd w:val="clear" w:color="auto" w:fill="FFFFFF" w:themeFill="background1"/>
        <w:ind w:left="0" w:right="-432"/>
      </w:pPr>
      <w:r w:rsidRPr="0038253B">
        <w:rPr>
          <w:color w:val="C45911" w:themeColor="accent2" w:themeShade="BF"/>
        </w:rPr>
        <w:t>Choose one:</w:t>
      </w:r>
    </w:p>
    <w:p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or </w:t>
      </w:r>
    </w:p>
    <w:p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rsidR="00AD7DB9" w:rsidRPr="0038253B" w:rsidRDefault="00AD7DB9" w:rsidP="00772D8F">
      <w:pPr>
        <w:ind w:left="0" w:right="-432"/>
      </w:pPr>
    </w:p>
    <w:p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rsidR="00F146F0" w:rsidRPr="0038253B" w:rsidRDefault="00F146F0" w:rsidP="00772D8F">
      <w:pPr>
        <w:ind w:left="0" w:right="-432"/>
      </w:pPr>
    </w:p>
    <w:p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rsidR="00F146F0" w:rsidRPr="0038253B" w:rsidRDefault="00F146F0" w:rsidP="00772D8F">
      <w:pPr>
        <w:ind w:left="0" w:right="-432"/>
      </w:pPr>
    </w:p>
    <w:p w:rsidR="00E36109" w:rsidRPr="0038253B" w:rsidRDefault="00E36109" w:rsidP="00772D8F">
      <w:pPr>
        <w:ind w:left="0" w:right="-432"/>
      </w:pPr>
      <w:r w:rsidRPr="0038253B">
        <w:t>As ORS 183.333 and 183.540 require, the committee considered how DEQ could reduce the rules’ fiscal impact on small business by:</w:t>
      </w:r>
    </w:p>
    <w:p w:rsidR="00E36109" w:rsidRPr="0038253B" w:rsidRDefault="00E36109" w:rsidP="00772D8F">
      <w:pPr>
        <w:ind w:left="0" w:right="-432"/>
      </w:pPr>
    </w:p>
    <w:p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rsidR="00E36109" w:rsidRPr="0038253B" w:rsidRDefault="00E36109" w:rsidP="00772D8F">
      <w:pPr>
        <w:pStyle w:val="ListParagraph"/>
        <w:numPr>
          <w:ilvl w:val="0"/>
          <w:numId w:val="11"/>
        </w:numPr>
        <w:ind w:left="0" w:right="-432" w:firstLine="0"/>
      </w:pPr>
      <w:r w:rsidRPr="0038253B">
        <w:t>Utilizing objective criteria for standards;</w:t>
      </w:r>
    </w:p>
    <w:p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rsidR="00AD7DB9" w:rsidRPr="0038253B" w:rsidRDefault="00AD7DB9" w:rsidP="00772D8F">
      <w:pPr>
        <w:ind w:left="0" w:right="-432"/>
      </w:pPr>
    </w:p>
    <w:p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rsidR="00891607" w:rsidRPr="0038253B" w:rsidRDefault="00891607" w:rsidP="00772D8F">
      <w:pPr>
        <w:ind w:left="0" w:right="-432"/>
        <w:rPr>
          <w:rStyle w:val="Emphasis"/>
          <w:rFonts w:ascii="Arial" w:hAnsi="Arial"/>
          <w:vanish w:val="0"/>
          <w:color w:val="C45911" w:themeColor="accent2" w:themeShade="BF"/>
          <w:sz w:val="24"/>
        </w:rPr>
      </w:pPr>
    </w:p>
    <w:p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rsidR="00AD7DB9" w:rsidRPr="0038253B" w:rsidRDefault="00AD7DB9" w:rsidP="00772D8F">
      <w:pPr>
        <w:ind w:left="0" w:right="-432"/>
      </w:pPr>
    </w:p>
    <w:p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rsidR="00F146F0" w:rsidRPr="0038253B" w:rsidRDefault="00F146F0" w:rsidP="00772D8F">
      <w:pPr>
        <w:ind w:left="0" w:right="-432"/>
        <w:rPr>
          <w:color w:val="C45911" w:themeColor="accent2" w:themeShade="BF"/>
        </w:rPr>
      </w:pPr>
    </w:p>
    <w:p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rsidR="00F146F0" w:rsidRPr="0038253B" w:rsidRDefault="00F146F0" w:rsidP="00772D8F">
      <w:pPr>
        <w:ind w:left="0" w:right="-432"/>
      </w:pPr>
    </w:p>
    <w:p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rsidR="00F146F0" w:rsidRPr="0038253B" w:rsidRDefault="00F146F0" w:rsidP="00772D8F">
      <w:pPr>
        <w:pStyle w:val="ListParagraph"/>
        <w:numPr>
          <w:ilvl w:val="0"/>
          <w:numId w:val="11"/>
        </w:numPr>
        <w:ind w:left="0" w:right="-432" w:firstLine="0"/>
      </w:pPr>
      <w:r w:rsidRPr="0038253B">
        <w:t>Utilizing objective criteria for standards;</w:t>
      </w:r>
    </w:p>
    <w:p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rsidR="00F146F0" w:rsidRPr="0038253B" w:rsidRDefault="00F146F0" w:rsidP="00772D8F">
      <w:pPr>
        <w:ind w:left="0" w:right="-432"/>
      </w:pPr>
    </w:p>
    <w:p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rsidR="000A5647" w:rsidRPr="0038253B" w:rsidRDefault="00AD7DB9" w:rsidP="00772D8F">
      <w:pPr>
        <w:pStyle w:val="Heading2"/>
        <w:ind w:left="0" w:right="-432"/>
      </w:pPr>
      <w:r w:rsidRPr="0038253B">
        <w:t xml:space="preserve">Housing cost  </w:t>
      </w:r>
    </w:p>
    <w:p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rsidR="00602901" w:rsidRPr="0038253B" w:rsidRDefault="00602901" w:rsidP="00772D8F">
      <w:pPr>
        <w:ind w:left="0" w:right="-432"/>
        <w:rPr>
          <w:rStyle w:val="Emphasis"/>
          <w:rFonts w:ascii="Arial" w:hAnsi="Arial" w:cs="Arial"/>
          <w:vanish w:val="0"/>
          <w:color w:val="C45911" w:themeColor="accent2" w:themeShade="BF"/>
          <w:sz w:val="24"/>
        </w:rPr>
      </w:pPr>
    </w:p>
    <w:p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(3) The Housing Cost Impact Statement shall include: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38253B" w:rsidRDefault="00E220F4" w:rsidP="00772D8F">
      <w:pPr>
        <w:ind w:left="0" w:right="-432"/>
        <w:rPr>
          <w:rStyle w:val="Emphasis"/>
          <w:rFonts w:ascii="Arial" w:hAnsi="Arial"/>
          <w:vanish w:val="0"/>
          <w:color w:val="C45911" w:themeColor="accent2" w:themeShade="BF"/>
          <w:sz w:val="24"/>
        </w:rPr>
      </w:pPr>
    </w:p>
    <w:p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rsidR="00E220F4" w:rsidRPr="0038253B" w:rsidRDefault="00E220F4" w:rsidP="00772D8F">
      <w:pPr>
        <w:ind w:left="0" w:right="-432"/>
      </w:pPr>
    </w:p>
    <w:p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rsidR="00E220F4" w:rsidRPr="0038253B" w:rsidRDefault="00E220F4" w:rsidP="00772D8F">
      <w:pPr>
        <w:ind w:left="0" w:right="-432"/>
      </w:pPr>
    </w:p>
    <w:p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rsidR="00E220F4" w:rsidRPr="0038253B" w:rsidRDefault="00E220F4" w:rsidP="00772D8F">
      <w:pPr>
        <w:ind w:left="0" w:right="-432"/>
      </w:pPr>
    </w:p>
    <w:p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rsidR="00E220F4" w:rsidRPr="0038253B" w:rsidRDefault="00E220F4" w:rsidP="00772D8F">
      <w:pPr>
        <w:ind w:left="0" w:right="-432"/>
      </w:pPr>
    </w:p>
    <w:p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rsidR="00B60B1B" w:rsidRPr="0038253B" w:rsidRDefault="00B60B1B" w:rsidP="00772D8F">
      <w:pPr>
        <w:ind w:left="0" w:right="-432"/>
      </w:pPr>
    </w:p>
    <w:p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rsidR="0078711B" w:rsidRPr="0038253B" w:rsidRDefault="0078711B" w:rsidP="0078711B">
            <w:pPr>
              <w:ind w:left="0"/>
            </w:pPr>
          </w:p>
          <w:p w:rsidR="0078711B" w:rsidRPr="0038253B" w:rsidRDefault="0078711B" w:rsidP="0078711B">
            <w:pPr>
              <w:pStyle w:val="TOC1"/>
              <w:rPr>
                <w:rStyle w:val="Heading1Char"/>
              </w:rPr>
            </w:pPr>
            <w:bookmarkStart w:id="8" w:name="_Toc482800003"/>
            <w:r w:rsidRPr="0038253B">
              <w:rPr>
                <w:rStyle w:val="Heading1Char"/>
              </w:rPr>
              <w:t>Federal relationship</w:t>
            </w:r>
            <w:bookmarkEnd w:id="8"/>
          </w:p>
          <w:p w:rsidR="0078711B" w:rsidRPr="0038253B" w:rsidRDefault="0078711B" w:rsidP="0078711B">
            <w:pPr>
              <w:ind w:left="0"/>
              <w:rPr>
                <w:b/>
              </w:rPr>
            </w:pPr>
            <w:r w:rsidRPr="0038253B">
              <w:rPr>
                <w:b/>
                <w:color w:val="C45911" w:themeColor="accent2" w:themeShade="BF"/>
              </w:rPr>
              <w:t xml:space="preserve"> ORS 183.332; 468A.327; OAR 340-011-0029</w:t>
            </w:r>
            <w:hyperlink r:id="rId28" w:history="1"/>
          </w:p>
        </w:tc>
      </w:tr>
    </w:tbl>
    <w:p w:rsidR="00255B02" w:rsidRPr="0038253B" w:rsidRDefault="00255B02" w:rsidP="00501ABB">
      <w:pPr>
        <w:ind w:left="0"/>
      </w:pPr>
    </w:p>
    <w:p w:rsidR="00255B02" w:rsidRPr="0038253B" w:rsidRDefault="00255B02" w:rsidP="00772D8F">
      <w:pPr>
        <w:pStyle w:val="Heading3"/>
        <w:ind w:left="0" w:right="-432"/>
      </w:pPr>
      <w:r w:rsidRPr="0038253B">
        <w:t xml:space="preserve">Relationship to federal requirements </w:t>
      </w:r>
    </w:p>
    <w:p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rsidR="00DB4041" w:rsidRPr="0038253B" w:rsidRDefault="00DB4041" w:rsidP="00772D8F">
      <w:pPr>
        <w:ind w:left="0" w:right="-432"/>
        <w:rPr>
          <w:rFonts w:asciiTheme="minorHAnsi" w:hAnsiTheme="minorHAnsi" w:cstheme="minorHAnsi"/>
          <w:color w:val="806000" w:themeColor="accent4" w:themeShade="80"/>
        </w:rPr>
      </w:pPr>
    </w:p>
    <w:p w:rsidR="00DB4041" w:rsidRPr="0038253B" w:rsidRDefault="00DB4041" w:rsidP="00772D8F">
      <w:pPr>
        <w:ind w:left="0" w:right="-432"/>
        <w:rPr>
          <w:rFonts w:asciiTheme="minorHAnsi" w:hAnsiTheme="minorHAnsi" w:cstheme="minorHAnsi"/>
          <w:color w:val="000000"/>
        </w:rPr>
      </w:pPr>
    </w:p>
    <w:p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rsidR="0004204A" w:rsidRPr="0038253B" w:rsidRDefault="0004204A" w:rsidP="00772D8F">
      <w:pPr>
        <w:ind w:left="0" w:right="-432"/>
        <w:rPr>
          <w:rFonts w:asciiTheme="minorHAnsi" w:hAnsiTheme="minorHAnsi" w:cstheme="minorHAnsi"/>
          <w:color w:val="000000"/>
        </w:rPr>
      </w:pPr>
    </w:p>
    <w:p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38253B" w:rsidRDefault="00056F18" w:rsidP="00772D8F">
      <w:pPr>
        <w:ind w:left="0" w:right="-432"/>
        <w:rPr>
          <w:rStyle w:val="Emphasis"/>
          <w:rFonts w:ascii="Arial" w:hAnsi="Arial"/>
          <w:vanish w:val="0"/>
          <w:color w:val="C45911" w:themeColor="accent2" w:themeShade="BF"/>
          <w:sz w:val="24"/>
        </w:rPr>
      </w:pPr>
    </w:p>
    <w:p w:rsidR="00255B02" w:rsidRPr="0038253B" w:rsidRDefault="00255B02" w:rsidP="00772D8F">
      <w:pPr>
        <w:ind w:left="0" w:right="-432"/>
      </w:pPr>
    </w:p>
    <w:p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rsidR="00255B02" w:rsidRPr="0038253B" w:rsidRDefault="00255B02" w:rsidP="00772D8F">
      <w:pPr>
        <w:ind w:left="0" w:right="-432"/>
        <w:rPr>
          <w:color w:val="504938"/>
        </w:rPr>
      </w:pPr>
      <w:r w:rsidRPr="0038253B">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rsidR="00255B02" w:rsidRPr="0038253B" w:rsidRDefault="00255B02" w:rsidP="00772D8F">
      <w:pPr>
        <w:ind w:left="0" w:right="-432"/>
      </w:pPr>
    </w:p>
    <w:p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rsidR="00644DE0" w:rsidRPr="0038253B" w:rsidRDefault="00644DE0" w:rsidP="00772D8F">
      <w:pPr>
        <w:ind w:left="0" w:right="-432"/>
      </w:pPr>
    </w:p>
    <w:p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rsidR="00225B8E" w:rsidRPr="0038253B" w:rsidRDefault="00225B8E" w:rsidP="00772D8F">
      <w:pPr>
        <w:ind w:left="0" w:right="-432"/>
      </w:pPr>
    </w:p>
    <w:p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rsidR="00225B8E" w:rsidRPr="0038253B" w:rsidRDefault="00225B8E" w:rsidP="00772D8F">
      <w:pPr>
        <w:ind w:left="0" w:right="-432"/>
      </w:pPr>
    </w:p>
    <w:p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9" w:name="AlternativesConsidered"/>
      <w:bookmarkStart w:id="10" w:name="RANGE!C35"/>
      <w:r w:rsidR="00D40C0F" w:rsidRPr="0038253B">
        <w:rPr>
          <w:rStyle w:val="Emphasis"/>
          <w:rFonts w:ascii="Arial" w:hAnsi="Arial"/>
          <w:vanish w:val="0"/>
          <w:color w:val="C45911" w:themeColor="accent2" w:themeShade="BF"/>
          <w:sz w:val="24"/>
        </w:rPr>
        <w:t>in addition to federal rules</w:t>
      </w:r>
    </w:p>
    <w:p w:rsidR="00D40C0F" w:rsidRPr="0038253B" w:rsidRDefault="00D40C0F" w:rsidP="00772D8F">
      <w:pPr>
        <w:ind w:left="0" w:right="-432"/>
        <w:rPr>
          <w:rStyle w:val="Emphasis"/>
          <w:rFonts w:ascii="Arial" w:hAnsi="Arial"/>
          <w:vanish w:val="0"/>
          <w:color w:val="C45911" w:themeColor="accent2" w:themeShade="BF"/>
          <w:sz w:val="24"/>
        </w:rPr>
      </w:pPr>
    </w:p>
    <w:p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38253B" w:rsidRDefault="00D40C0F" w:rsidP="00772D8F">
      <w:pPr>
        <w:ind w:left="0" w:right="-432"/>
        <w:rPr>
          <w:rFonts w:ascii="Arial" w:hAnsi="Arial"/>
          <w:bCs/>
          <w:color w:val="C45911" w:themeColor="accent2" w:themeShade="BF"/>
        </w:rPr>
      </w:pPr>
    </w:p>
    <w:p w:rsidR="00255B02" w:rsidRPr="0038253B" w:rsidRDefault="00255B02" w:rsidP="00772D8F">
      <w:pPr>
        <w:ind w:left="0" w:right="-432"/>
      </w:pPr>
      <w:r w:rsidRPr="0038253B">
        <w:t>What alternatives did DEQ consider</w:t>
      </w:r>
      <w:bookmarkEnd w:id="9"/>
      <w:r w:rsidRPr="0038253B">
        <w:t xml:space="preserve"> if any?</w:t>
      </w:r>
      <w:bookmarkEnd w:id="10"/>
      <w:r w:rsidRPr="0038253B">
        <w:t xml:space="preserve"> </w:t>
      </w:r>
    </w:p>
    <w:p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38253B" w:rsidRDefault="0004204A" w:rsidP="00772D8F">
      <w:pPr>
        <w:ind w:left="0" w:right="-432"/>
      </w:pPr>
    </w:p>
    <w:p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rsidR="00225B8E" w:rsidRPr="0038253B" w:rsidRDefault="00225B8E" w:rsidP="00772D8F">
      <w:pPr>
        <w:ind w:left="0" w:right="-432"/>
        <w:rPr>
          <w:rStyle w:val="Emphasis"/>
          <w:rFonts w:ascii="Arial" w:hAnsi="Arial"/>
          <w:vanish w:val="0"/>
          <w:color w:val="C45911" w:themeColor="accent2" w:themeShade="BF"/>
          <w:sz w:val="24"/>
        </w:rPr>
      </w:pPr>
    </w:p>
    <w:p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rsidR="00255B02" w:rsidRPr="0038253B" w:rsidRDefault="00255B02" w:rsidP="00501ABB">
      <w:pPr>
        <w:ind w:left="0"/>
      </w:pPr>
    </w:p>
    <w:p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rsidTr="0078711B">
        <w:trPr>
          <w:trHeight w:val="715"/>
          <w:jc w:val="center"/>
        </w:trPr>
        <w:tc>
          <w:tcPr>
            <w:tcW w:w="12627" w:type="dxa"/>
            <w:shd w:val="clear" w:color="000000" w:fill="D5DCE4" w:themeFill="text2" w:themeFillTint="33"/>
            <w:noWrap/>
            <w:vAlign w:val="bottom"/>
            <w:hideMark/>
          </w:tcPr>
          <w:p w:rsidR="00823C9D" w:rsidRPr="0038253B" w:rsidRDefault="00823C9D" w:rsidP="00501ABB">
            <w:pPr>
              <w:ind w:left="0"/>
            </w:pPr>
          </w:p>
          <w:p w:rsidR="00071155" w:rsidRPr="0038253B" w:rsidRDefault="00823C9D" w:rsidP="000770BB">
            <w:pPr>
              <w:pStyle w:val="TOC1"/>
              <w:rPr>
                <w:rStyle w:val="Heading1Char"/>
              </w:rPr>
            </w:pPr>
            <w:bookmarkStart w:id="11" w:name="_Toc482800004"/>
            <w:r w:rsidRPr="0038253B">
              <w:rPr>
                <w:rStyle w:val="Heading1Char"/>
              </w:rPr>
              <w:t>Land use</w:t>
            </w:r>
            <w:bookmarkEnd w:id="11"/>
          </w:p>
          <w:p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29" w:history="1">
              <w:r w:rsidR="009C0A9E" w:rsidRPr="0038253B">
                <w:rPr>
                  <w:rStyle w:val="Hyperlink"/>
                  <w:rFonts w:cs="Arial"/>
                  <w:color w:val="C45911" w:themeColor="accent2" w:themeShade="BF"/>
                </w:rPr>
                <w:t>Land Use</w:t>
              </w:r>
            </w:hyperlink>
          </w:p>
        </w:tc>
      </w:tr>
    </w:tbl>
    <w:p w:rsidR="00BB582F" w:rsidRPr="0038253B" w:rsidRDefault="00BB582F" w:rsidP="00501ABB">
      <w:pPr>
        <w:ind w:left="0"/>
      </w:pPr>
    </w:p>
    <w:p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rsidR="00BC4802" w:rsidRPr="0038253B" w:rsidRDefault="00BC4802" w:rsidP="00772D8F">
      <w:pPr>
        <w:ind w:left="0" w:right="-432"/>
        <w:rPr>
          <w:rFonts w:ascii="Arial" w:hAnsi="Arial" w:cs="Arial"/>
          <w:color w:val="C45911" w:themeColor="accent2" w:themeShade="BF"/>
        </w:rPr>
      </w:pP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rsidR="00D20509" w:rsidRPr="0038253B" w:rsidRDefault="00D20509" w:rsidP="00772D8F">
      <w:pPr>
        <w:ind w:left="0" w:right="-432"/>
        <w:rPr>
          <w:rFonts w:ascii="Arial" w:hAnsi="Arial" w:cs="Arial"/>
          <w:color w:val="C45911" w:themeColor="accent2" w:themeShade="BF"/>
        </w:rPr>
      </w:pP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Pr="0038253B" w:rsidRDefault="00BC4802" w:rsidP="00772D8F">
      <w:pPr>
        <w:ind w:left="0" w:right="-432"/>
        <w:rPr>
          <w:rFonts w:ascii="Arial" w:hAnsi="Arial" w:cs="Arial"/>
          <w:color w:val="C45911" w:themeColor="accent2" w:themeShade="BF"/>
        </w:rPr>
      </w:pPr>
    </w:p>
    <w:p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rsidR="006D5F12" w:rsidRPr="0038253B" w:rsidRDefault="006D5F12" w:rsidP="00772D8F">
      <w:pPr>
        <w:ind w:left="0" w:right="-432"/>
      </w:pPr>
    </w:p>
    <w:p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rsidR="001651F2" w:rsidRPr="0038253B" w:rsidRDefault="001651F2" w:rsidP="00772D8F">
      <w:pPr>
        <w:ind w:left="0" w:right="-432"/>
        <w:rPr>
          <w:rFonts w:ascii="Arial" w:hAnsi="Arial" w:cs="Arial"/>
          <w:color w:val="C45911" w:themeColor="accent2" w:themeShade="BF"/>
        </w:rPr>
      </w:pPr>
    </w:p>
    <w:p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rsidR="008021EA" w:rsidRPr="0038253B" w:rsidRDefault="008021EA" w:rsidP="00772D8F">
      <w:pPr>
        <w:ind w:left="0" w:right="-432"/>
        <w:rPr>
          <w:color w:val="504938"/>
          <w:sz w:val="16"/>
          <w:szCs w:val="16"/>
          <w:u w:val="single"/>
        </w:rPr>
      </w:pPr>
    </w:p>
    <w:p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Pr="0038253B" w:rsidRDefault="00BC4802" w:rsidP="00772D8F">
      <w:pPr>
        <w:ind w:left="0" w:right="-432"/>
        <w:rPr>
          <w:rFonts w:ascii="Arial" w:hAnsi="Arial" w:cs="Arial"/>
          <w:color w:val="C45911" w:themeColor="accent2" w:themeShade="BF"/>
        </w:rPr>
      </w:pP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rsidR="00A53488" w:rsidRPr="0038253B" w:rsidRDefault="00A53488" w:rsidP="00772D8F">
      <w:pPr>
        <w:ind w:left="0" w:right="-432"/>
        <w:rPr>
          <w:rFonts w:ascii="Arial" w:hAnsi="Arial" w:cs="Arial"/>
          <w:color w:val="C45911" w:themeColor="accent2" w:themeShade="BF"/>
        </w:rPr>
      </w:pPr>
    </w:p>
    <w:p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rsidR="005C10E3" w:rsidRPr="0038253B" w:rsidRDefault="005C10E3" w:rsidP="00772D8F">
      <w:pPr>
        <w:ind w:left="0" w:right="-432"/>
        <w:rPr>
          <w:rFonts w:ascii="Arial" w:hAnsi="Arial" w:cs="Arial"/>
          <w:color w:val="C45911" w:themeColor="accent2" w:themeShade="BF"/>
        </w:rPr>
      </w:pPr>
    </w:p>
    <w:p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11 – Public Facilities and Services</w:t>
      </w:r>
    </w:p>
    <w:p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rsidR="001340B3" w:rsidRPr="0038253B" w:rsidRDefault="001340B3" w:rsidP="00772D8F">
      <w:pPr>
        <w:ind w:left="0" w:right="-432"/>
        <w:rPr>
          <w:rFonts w:ascii="Arial" w:hAnsi="Arial" w:cs="Arial"/>
          <w:i/>
          <w:color w:val="C45911" w:themeColor="accent2" w:themeShade="BF"/>
        </w:rPr>
      </w:pPr>
    </w:p>
    <w:p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rsidR="005C10E3" w:rsidRPr="0038253B" w:rsidRDefault="005C10E3" w:rsidP="00772D8F">
      <w:pPr>
        <w:ind w:left="0" w:right="-432"/>
        <w:rPr>
          <w:rFonts w:ascii="Arial" w:hAnsi="Arial" w:cs="Arial"/>
          <w:color w:val="C45911" w:themeColor="accent2" w:themeShade="BF"/>
        </w:rPr>
      </w:pP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rsidR="001340B3" w:rsidRPr="0038253B" w:rsidRDefault="001340B3" w:rsidP="00772D8F">
      <w:pPr>
        <w:ind w:left="0" w:right="-432"/>
        <w:rPr>
          <w:rFonts w:ascii="Arial" w:hAnsi="Arial" w:cs="Arial"/>
          <w:color w:val="C45911" w:themeColor="accent2" w:themeShade="BF"/>
        </w:rPr>
      </w:pPr>
    </w:p>
    <w:p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38253B" w:rsidRDefault="001340B3" w:rsidP="00772D8F">
            <w:pPr>
              <w:ind w:left="0" w:right="-432"/>
              <w:jc w:val="center"/>
              <w:rPr>
                <w:b w:val="0"/>
                <w:color w:val="BF8F00" w:themeColor="accent4" w:themeShade="BF"/>
              </w:rPr>
            </w:pPr>
            <w:r w:rsidRPr="0038253B">
              <w:rPr>
                <w:noProof/>
                <w:color w:val="BF8F00" w:themeColor="accent4" w:themeShade="BF"/>
                <w:lang w:val="en-ZW" w:eastAsia="en-ZW"/>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(c) Issuance of Hazardous Waste and PCB Storage, Treatment and Disposal Permit</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lastRenderedPageBreak/>
              <w:t>(4</w:t>
            </w:r>
            <w:r w:rsidR="001340B3" w:rsidRPr="0038253B">
              <w:rPr>
                <w:rStyle w:val="ruletitle"/>
                <w:color w:val="BF8F00" w:themeColor="accent4" w:themeShade="BF"/>
              </w:rPr>
              <w:t>) Water Quality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rsidR="001340B3" w:rsidRPr="0038253B" w:rsidRDefault="001340B3" w:rsidP="00772D8F">
      <w:pPr>
        <w:ind w:left="0" w:right="-432"/>
        <w:rPr>
          <w:rFonts w:ascii="Arial" w:hAnsi="Arial" w:cs="Arial"/>
          <w:color w:val="C45911" w:themeColor="accent2" w:themeShade="BF"/>
        </w:rPr>
      </w:pPr>
    </w:p>
    <w:p w:rsidR="00633D6D" w:rsidRPr="0038253B" w:rsidRDefault="00633D6D" w:rsidP="00772D8F">
      <w:pPr>
        <w:pStyle w:val="Heading2"/>
        <w:ind w:left="0" w:right="-432"/>
      </w:pPr>
    </w:p>
    <w:p w:rsidR="00516FBC" w:rsidRPr="0038253B" w:rsidRDefault="000B685A" w:rsidP="005E6329">
      <w:pPr>
        <w:pStyle w:val="Heading3"/>
        <w:ind w:left="0" w:right="-432"/>
      </w:pPr>
      <w:r w:rsidRPr="0038253B">
        <w:t>Land</w:t>
      </w:r>
      <w:r w:rsidR="006754AA" w:rsidRPr="0038253B">
        <w:t>-</w:t>
      </w:r>
      <w:r w:rsidRPr="0038253B">
        <w:t>use considerations</w:t>
      </w:r>
    </w:p>
    <w:p w:rsidR="00E026AC" w:rsidRPr="0038253B" w:rsidRDefault="00E026AC" w:rsidP="00772D8F">
      <w:pPr>
        <w:ind w:right="-432"/>
      </w:pPr>
    </w:p>
    <w:p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rsidR="00661768" w:rsidRPr="0038253B" w:rsidRDefault="00661768" w:rsidP="00772D8F">
      <w:pPr>
        <w:ind w:left="0" w:right="-432"/>
      </w:pPr>
    </w:p>
    <w:p w:rsidR="00AA62F7" w:rsidRPr="0038253B" w:rsidRDefault="00AA62F7" w:rsidP="00772D8F">
      <w:pPr>
        <w:ind w:left="0" w:right="-432"/>
      </w:pPr>
      <w:r w:rsidRPr="0038253B">
        <w:t>Under OAR 660-030-0005 and OAR 340 Division 18, DEQ considers that rules affect land use if:</w:t>
      </w:r>
    </w:p>
    <w:p w:rsidR="00AA62F7" w:rsidRPr="0038253B" w:rsidRDefault="00AA62F7" w:rsidP="00772D8F">
      <w:pPr>
        <w:numPr>
          <w:ilvl w:val="0"/>
          <w:numId w:val="14"/>
        </w:numPr>
        <w:ind w:left="0" w:right="-432" w:firstLine="0"/>
      </w:pPr>
      <w:r w:rsidRPr="0038253B">
        <w:t>The statewide land use planning goals specifically refer to the rule or program, or</w:t>
      </w:r>
    </w:p>
    <w:p w:rsidR="00AA62F7" w:rsidRPr="0038253B" w:rsidRDefault="00AA62F7" w:rsidP="00772D8F">
      <w:pPr>
        <w:numPr>
          <w:ilvl w:val="0"/>
          <w:numId w:val="14"/>
        </w:numPr>
        <w:ind w:left="0" w:right="-432" w:firstLine="0"/>
      </w:pPr>
      <w:r w:rsidRPr="0038253B">
        <w:t>The rule or program is reasonably expected to have significant effects on:</w:t>
      </w:r>
    </w:p>
    <w:p w:rsidR="00AA62F7" w:rsidRPr="0038253B" w:rsidRDefault="00AA62F7" w:rsidP="00772D8F">
      <w:pPr>
        <w:numPr>
          <w:ilvl w:val="0"/>
          <w:numId w:val="27"/>
        </w:numPr>
        <w:ind w:left="990" w:right="-432"/>
      </w:pPr>
      <w:r w:rsidRPr="0038253B">
        <w:t>Resources, objectives or areas identified in the statewide planning goals, or</w:t>
      </w:r>
    </w:p>
    <w:p w:rsidR="00AA62F7" w:rsidRPr="0038253B" w:rsidRDefault="00AA62F7" w:rsidP="00772D8F">
      <w:pPr>
        <w:numPr>
          <w:ilvl w:val="0"/>
          <w:numId w:val="27"/>
        </w:numPr>
        <w:ind w:left="990" w:right="-432"/>
      </w:pPr>
      <w:r w:rsidRPr="0038253B">
        <w:t>Present or future land uses identified in acknowledged comprehensive plans</w:t>
      </w:r>
    </w:p>
    <w:p w:rsidR="00AA62F7" w:rsidRPr="0038253B" w:rsidRDefault="00AA62F7" w:rsidP="00772D8F">
      <w:pPr>
        <w:ind w:left="0" w:right="-432"/>
      </w:pPr>
    </w:p>
    <w:p w:rsidR="00A13F98" w:rsidRPr="0038253B" w:rsidRDefault="003F2C99" w:rsidP="00772D8F">
      <w:pPr>
        <w:ind w:left="0" w:right="-432"/>
      </w:pPr>
      <w:r w:rsidRPr="0038253B">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rsidR="00705C22" w:rsidRPr="0038253B" w:rsidRDefault="00705C22" w:rsidP="00772D8F">
      <w:pPr>
        <w:ind w:left="0" w:right="-432"/>
      </w:pPr>
    </w:p>
    <w:p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rsidTr="003A1573">
        <w:tc>
          <w:tcPr>
            <w:tcW w:w="1255" w:type="dxa"/>
          </w:tcPr>
          <w:p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rsidTr="003A1573">
        <w:tc>
          <w:tcPr>
            <w:tcW w:w="1255" w:type="dxa"/>
          </w:tcPr>
          <w:p w:rsidR="00025FEE" w:rsidRPr="0038253B" w:rsidRDefault="00025FEE" w:rsidP="00772D8F">
            <w:pPr>
              <w:pStyle w:val="ListParagraph"/>
              <w:ind w:left="0" w:right="-432"/>
              <w:jc w:val="center"/>
            </w:pPr>
            <w:r w:rsidRPr="0038253B">
              <w:t>5</w:t>
            </w:r>
          </w:p>
        </w:tc>
        <w:tc>
          <w:tcPr>
            <w:tcW w:w="7663" w:type="dxa"/>
          </w:tcPr>
          <w:p w:rsidR="00025FEE" w:rsidRPr="0038253B" w:rsidRDefault="00025FEE" w:rsidP="00772D8F">
            <w:pPr>
              <w:pStyle w:val="ListParagraph"/>
              <w:ind w:left="0" w:right="-432"/>
            </w:pPr>
            <w:r w:rsidRPr="0038253B">
              <w:t>Open Spaces, Scenic and Historic Areas, and Natural Resources</w:t>
            </w:r>
          </w:p>
        </w:tc>
      </w:tr>
      <w:tr w:rsidR="00025FEE" w:rsidRPr="0038253B" w:rsidTr="003A1573">
        <w:tc>
          <w:tcPr>
            <w:tcW w:w="1255" w:type="dxa"/>
          </w:tcPr>
          <w:p w:rsidR="00025FEE" w:rsidRPr="0038253B" w:rsidRDefault="00025FEE" w:rsidP="00772D8F">
            <w:pPr>
              <w:pStyle w:val="ListParagraph"/>
              <w:ind w:left="0" w:right="-432"/>
              <w:jc w:val="center"/>
            </w:pPr>
            <w:r w:rsidRPr="0038253B">
              <w:t>6</w:t>
            </w:r>
          </w:p>
        </w:tc>
        <w:tc>
          <w:tcPr>
            <w:tcW w:w="7663" w:type="dxa"/>
          </w:tcPr>
          <w:p w:rsidR="00025FEE" w:rsidRPr="0038253B" w:rsidRDefault="00025FEE" w:rsidP="00772D8F">
            <w:pPr>
              <w:tabs>
                <w:tab w:val="right" w:pos="1440"/>
                <w:tab w:val="left" w:pos="1980"/>
              </w:tabs>
              <w:ind w:left="0" w:right="-432"/>
            </w:pPr>
            <w:r w:rsidRPr="0038253B">
              <w:t>Air, Water and Land Resources Quality</w:t>
            </w:r>
          </w:p>
        </w:tc>
      </w:tr>
      <w:tr w:rsidR="00025FEE" w:rsidRPr="0038253B" w:rsidTr="003A1573">
        <w:tc>
          <w:tcPr>
            <w:tcW w:w="1255" w:type="dxa"/>
          </w:tcPr>
          <w:p w:rsidR="00025FEE" w:rsidRPr="0038253B" w:rsidRDefault="00025FEE" w:rsidP="00772D8F">
            <w:pPr>
              <w:pStyle w:val="ListParagraph"/>
              <w:ind w:left="0" w:right="-432"/>
              <w:jc w:val="center"/>
            </w:pPr>
            <w:r w:rsidRPr="0038253B">
              <w:t>9</w:t>
            </w:r>
          </w:p>
        </w:tc>
        <w:tc>
          <w:tcPr>
            <w:tcW w:w="7663" w:type="dxa"/>
          </w:tcPr>
          <w:p w:rsidR="00025FEE" w:rsidRPr="0038253B" w:rsidRDefault="00025FEE" w:rsidP="00772D8F">
            <w:pPr>
              <w:pStyle w:val="ListParagraph"/>
              <w:ind w:left="0" w:right="-432"/>
            </w:pPr>
            <w:r w:rsidRPr="0038253B">
              <w:t>Ocean Resources</w:t>
            </w:r>
          </w:p>
        </w:tc>
      </w:tr>
      <w:tr w:rsidR="00025FEE" w:rsidRPr="0038253B" w:rsidTr="003A1573">
        <w:tc>
          <w:tcPr>
            <w:tcW w:w="1255" w:type="dxa"/>
          </w:tcPr>
          <w:p w:rsidR="00025FEE" w:rsidRPr="0038253B" w:rsidRDefault="00025FEE" w:rsidP="00772D8F">
            <w:pPr>
              <w:pStyle w:val="ListParagraph"/>
              <w:ind w:left="0" w:right="-432"/>
              <w:jc w:val="center"/>
            </w:pPr>
            <w:r w:rsidRPr="0038253B">
              <w:t>11</w:t>
            </w:r>
          </w:p>
        </w:tc>
        <w:tc>
          <w:tcPr>
            <w:tcW w:w="7663" w:type="dxa"/>
          </w:tcPr>
          <w:p w:rsidR="00025FEE" w:rsidRPr="0038253B" w:rsidRDefault="00025FEE" w:rsidP="00772D8F">
            <w:pPr>
              <w:pStyle w:val="ListParagraph"/>
              <w:ind w:left="0" w:right="-432"/>
            </w:pPr>
            <w:r w:rsidRPr="0038253B">
              <w:t>Public Facilities and Services</w:t>
            </w:r>
          </w:p>
        </w:tc>
      </w:tr>
      <w:tr w:rsidR="00025FEE" w:rsidRPr="0038253B" w:rsidTr="003A1573">
        <w:tc>
          <w:tcPr>
            <w:tcW w:w="1255" w:type="dxa"/>
          </w:tcPr>
          <w:p w:rsidR="00025FEE" w:rsidRPr="0038253B" w:rsidRDefault="00025FEE" w:rsidP="00772D8F">
            <w:pPr>
              <w:pStyle w:val="ListParagraph"/>
              <w:ind w:left="0" w:right="-432"/>
              <w:jc w:val="center"/>
            </w:pPr>
            <w:r w:rsidRPr="0038253B">
              <w:t>16</w:t>
            </w:r>
          </w:p>
        </w:tc>
        <w:tc>
          <w:tcPr>
            <w:tcW w:w="7663" w:type="dxa"/>
          </w:tcPr>
          <w:p w:rsidR="00025FEE" w:rsidRPr="0038253B" w:rsidRDefault="00025FEE" w:rsidP="00772D8F">
            <w:pPr>
              <w:pStyle w:val="ListParagraph"/>
              <w:ind w:left="0" w:right="-432"/>
            </w:pPr>
            <w:r w:rsidRPr="0038253B">
              <w:t>Estuarial Resources</w:t>
            </w:r>
          </w:p>
        </w:tc>
      </w:tr>
    </w:tbl>
    <w:p w:rsidR="00025FEE" w:rsidRPr="0038253B" w:rsidRDefault="00025FEE" w:rsidP="00772D8F">
      <w:pPr>
        <w:pStyle w:val="ListParagraph"/>
        <w:ind w:left="0" w:right="-432"/>
      </w:pPr>
    </w:p>
    <w:p w:rsidR="00BB582F" w:rsidRPr="0038253B" w:rsidRDefault="0006277C" w:rsidP="00772D8F">
      <w:pPr>
        <w:pStyle w:val="ListParagraph"/>
        <w:ind w:left="0" w:right="-432"/>
      </w:pPr>
      <w:r w:rsidRPr="0038253B">
        <w:t>Statewide goals also specifically reference the following DEQ programs:</w:t>
      </w:r>
    </w:p>
    <w:p w:rsidR="0006277C" w:rsidRPr="0038253B" w:rsidRDefault="0006277C" w:rsidP="00772D8F">
      <w:pPr>
        <w:pStyle w:val="ListParagraph"/>
        <w:ind w:left="0" w:right="-432"/>
      </w:pPr>
    </w:p>
    <w:p w:rsidR="0006277C" w:rsidRPr="0038253B" w:rsidRDefault="0006277C" w:rsidP="00772D8F">
      <w:pPr>
        <w:pStyle w:val="ListParagraph"/>
        <w:numPr>
          <w:ilvl w:val="0"/>
          <w:numId w:val="16"/>
        </w:numPr>
        <w:ind w:left="0" w:right="-432" w:firstLine="0"/>
      </w:pPr>
      <w:r w:rsidRPr="0038253B">
        <w:lastRenderedPageBreak/>
        <w:t>Nonpoint source discharge water quality program – Goal 16</w:t>
      </w:r>
    </w:p>
    <w:p w:rsidR="0006277C" w:rsidRPr="0038253B" w:rsidRDefault="0006277C" w:rsidP="00772D8F">
      <w:pPr>
        <w:pStyle w:val="ListParagraph"/>
        <w:numPr>
          <w:ilvl w:val="0"/>
          <w:numId w:val="16"/>
        </w:numPr>
        <w:ind w:left="0" w:right="-432" w:firstLine="0"/>
      </w:pPr>
      <w:r w:rsidRPr="0038253B">
        <w:t>Water quality and sewage disposal systems – Goal 16</w:t>
      </w:r>
    </w:p>
    <w:p w:rsidR="0006277C" w:rsidRPr="0038253B" w:rsidRDefault="0006277C" w:rsidP="00772D8F">
      <w:pPr>
        <w:pStyle w:val="ListParagraph"/>
        <w:numPr>
          <w:ilvl w:val="0"/>
          <w:numId w:val="16"/>
        </w:numPr>
        <w:ind w:left="0" w:right="-432" w:firstLine="0"/>
      </w:pPr>
      <w:r w:rsidRPr="0038253B">
        <w:t>Water quality permits and oil spill regulations – Goal 19</w:t>
      </w:r>
    </w:p>
    <w:p w:rsidR="0006277C" w:rsidRPr="0038253B" w:rsidRDefault="0006277C" w:rsidP="00772D8F">
      <w:pPr>
        <w:pStyle w:val="ListParagraph"/>
        <w:ind w:left="0" w:right="-432"/>
      </w:pPr>
    </w:p>
    <w:p w:rsidR="002E4AA0" w:rsidRPr="0038253B" w:rsidRDefault="006416C7" w:rsidP="005E6329">
      <w:pPr>
        <w:pStyle w:val="Heading3"/>
        <w:ind w:left="0" w:right="-432"/>
      </w:pPr>
      <w:r w:rsidRPr="0038253B">
        <w:t>Determination</w:t>
      </w:r>
    </w:p>
    <w:p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rsidR="00BB582F" w:rsidRPr="0038253B" w:rsidRDefault="00BB582F" w:rsidP="00772D8F">
      <w:pPr>
        <w:ind w:left="0" w:right="-432"/>
        <w:rPr>
          <w:rStyle w:val="Emphasis"/>
          <w:rFonts w:ascii="Arial" w:hAnsi="Arial"/>
          <w:vanish w:val="0"/>
          <w:color w:val="C45911" w:themeColor="accent2" w:themeShade="BF"/>
          <w:sz w:val="24"/>
        </w:rPr>
      </w:pPr>
    </w:p>
    <w:p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rsidR="005A3C33" w:rsidRPr="0038253B" w:rsidRDefault="005A3C33" w:rsidP="00772D8F">
      <w:pPr>
        <w:ind w:left="0" w:right="-432"/>
      </w:pPr>
      <w:r w:rsidRPr="0038253B">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rsidR="00E11474" w:rsidRPr="0038253B" w:rsidRDefault="00E11474" w:rsidP="00772D8F">
      <w:pPr>
        <w:ind w:left="0" w:right="-432"/>
      </w:pPr>
    </w:p>
    <w:p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rsidR="00CD2E4D" w:rsidRPr="0038253B" w:rsidRDefault="00CD2E4D" w:rsidP="00772D8F">
      <w:pPr>
        <w:ind w:left="0" w:right="-432"/>
      </w:pPr>
    </w:p>
    <w:p w:rsidR="00E84325" w:rsidRPr="0038253B" w:rsidRDefault="00E84325" w:rsidP="00772D8F">
      <w:pPr>
        <w:ind w:left="0" w:right="-432"/>
        <w:rPr>
          <w:rStyle w:val="Emphasis"/>
          <w:rFonts w:ascii="Arial" w:hAnsi="Arial"/>
          <w:b/>
          <w:vanish w:val="0"/>
          <w:color w:val="C45911" w:themeColor="accent2" w:themeShade="BF"/>
          <w:sz w:val="24"/>
        </w:rPr>
      </w:pPr>
    </w:p>
    <w:p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rsidR="001C24B3" w:rsidRPr="0038253B" w:rsidRDefault="001C24B3" w:rsidP="00772D8F">
      <w:pPr>
        <w:ind w:left="0" w:right="-432"/>
        <w:rPr>
          <w:rStyle w:val="Emphasis"/>
          <w:rFonts w:ascii="Arial" w:hAnsi="Arial"/>
          <w:b/>
          <w:vanish w:val="0"/>
          <w:color w:val="C45911" w:themeColor="accent2" w:themeShade="BF"/>
          <w:sz w:val="24"/>
        </w:rPr>
      </w:pPr>
    </w:p>
    <w:p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rsidR="00E84325" w:rsidRPr="0038253B" w:rsidRDefault="00E84325" w:rsidP="00772D8F">
      <w:pPr>
        <w:ind w:left="0" w:right="-432"/>
        <w:rPr>
          <w:rStyle w:val="Emphasis"/>
          <w:rFonts w:ascii="Arial" w:hAnsi="Arial"/>
          <w:b/>
          <w:vanish w:val="0"/>
          <w:color w:val="C45911" w:themeColor="accent2" w:themeShade="BF"/>
          <w:sz w:val="24"/>
        </w:rPr>
      </w:pPr>
    </w:p>
    <w:p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rsidR="00D936A0" w:rsidRPr="0038253B" w:rsidRDefault="00D936A0" w:rsidP="00772D8F">
      <w:pPr>
        <w:ind w:left="0" w:right="-432"/>
        <w:rPr>
          <w:b/>
          <w:color w:val="1F4E79" w:themeColor="accent1" w:themeShade="80"/>
        </w:rPr>
      </w:pPr>
    </w:p>
    <w:p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rsidR="00D936A0" w:rsidRPr="0038253B" w:rsidRDefault="00D936A0" w:rsidP="00772D8F">
      <w:pPr>
        <w:ind w:left="0" w:right="-432"/>
        <w:rPr>
          <w:rStyle w:val="IntenseEmphasis"/>
          <w:rFonts w:ascii="Arial" w:hAnsi="Arial"/>
          <w:vanish w:val="0"/>
          <w:color w:val="C45911" w:themeColor="accent2" w:themeShade="BF"/>
          <w:sz w:val="24"/>
        </w:rPr>
      </w:pPr>
    </w:p>
    <w:p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38253B" w:rsidRDefault="00CD2E4D" w:rsidP="00772D8F">
      <w:pPr>
        <w:ind w:left="0" w:right="-432"/>
        <w:rPr>
          <w:rStyle w:val="Emphasis"/>
          <w:vanish w:val="0"/>
          <w:color w:val="000000" w:themeColor="text1"/>
          <w:sz w:val="24"/>
        </w:rPr>
      </w:pPr>
    </w:p>
    <w:p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rsidR="001C24B3" w:rsidRPr="0038253B" w:rsidRDefault="001C24B3" w:rsidP="00772D8F">
      <w:pPr>
        <w:pStyle w:val="ListParagraph"/>
        <w:ind w:left="0" w:right="-432"/>
        <w:rPr>
          <w:rStyle w:val="Emphasis"/>
          <w:rFonts w:ascii="Arial" w:hAnsi="Arial"/>
          <w:b/>
          <w:vanish w:val="0"/>
          <w:color w:val="C45911" w:themeColor="accent2" w:themeShade="BF"/>
          <w:sz w:val="24"/>
        </w:rPr>
      </w:pPr>
    </w:p>
    <w:p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rsidR="00D936A0" w:rsidRPr="0038253B" w:rsidRDefault="00D936A0" w:rsidP="00772D8F">
      <w:pPr>
        <w:ind w:left="0" w:right="-432"/>
        <w:rPr>
          <w:rFonts w:asciiTheme="minorHAnsi" w:hAnsiTheme="minorHAnsi" w:cstheme="minorHAnsi"/>
        </w:rPr>
      </w:pPr>
    </w:p>
    <w:p w:rsidR="00D936A0" w:rsidRPr="0038253B" w:rsidRDefault="0065239D" w:rsidP="00772D8F">
      <w:pPr>
        <w:ind w:left="0" w:right="-432"/>
      </w:pPr>
      <w:r w:rsidRPr="0038253B">
        <w:t>DEQ will ensure these rules comply with statewide goals and are compatible with local plans by TEXT.</w:t>
      </w:r>
    </w:p>
    <w:p w:rsidR="0065239D" w:rsidRPr="0038253B" w:rsidRDefault="0065239D" w:rsidP="00501ABB">
      <w:pPr>
        <w:ind w:left="0"/>
      </w:pPr>
    </w:p>
    <w:p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rsidTr="0078711B">
        <w:trPr>
          <w:trHeight w:val="707"/>
          <w:jc w:val="center"/>
        </w:trPr>
        <w:tc>
          <w:tcPr>
            <w:tcW w:w="12590" w:type="dxa"/>
            <w:shd w:val="clear" w:color="000000" w:fill="D5DCE4" w:themeFill="text2" w:themeFillTint="33"/>
            <w:noWrap/>
            <w:vAlign w:val="bottom"/>
            <w:hideMark/>
          </w:tcPr>
          <w:p w:rsidR="00B56284" w:rsidRPr="0038253B" w:rsidRDefault="00B56284" w:rsidP="00A43288">
            <w:pPr>
              <w:ind w:left="0"/>
              <w:rPr>
                <w:color w:val="32525C"/>
                <w:sz w:val="28"/>
                <w:szCs w:val="28"/>
              </w:rPr>
            </w:pPr>
            <w:r w:rsidRPr="0038253B">
              <w:lastRenderedPageBreak/>
              <w:t> </w:t>
            </w:r>
          </w:p>
          <w:p w:rsidR="00B56284" w:rsidRPr="0038253B" w:rsidRDefault="00B56284" w:rsidP="00A43288">
            <w:pPr>
              <w:pStyle w:val="Heading1"/>
            </w:pPr>
            <w:r w:rsidRPr="0038253B">
              <w:t>EQC Prior Involvement</w:t>
            </w:r>
          </w:p>
          <w:p w:rsidR="00B56284" w:rsidRPr="0038253B" w:rsidRDefault="00B56284" w:rsidP="00A43288">
            <w:pPr>
              <w:ind w:left="0"/>
              <w:rPr>
                <w:b/>
                <w:color w:val="C45911" w:themeColor="accent2" w:themeShade="BF"/>
              </w:rPr>
            </w:pPr>
          </w:p>
        </w:tc>
      </w:tr>
    </w:tbl>
    <w:p w:rsidR="00B56284" w:rsidRPr="0038253B" w:rsidRDefault="00B56284" w:rsidP="00B56284">
      <w:pPr>
        <w:pStyle w:val="Heading3"/>
        <w:ind w:left="0" w:right="-432"/>
      </w:pPr>
    </w:p>
    <w:p w:rsidR="00B56284" w:rsidRPr="0038253B" w:rsidRDefault="00B56284" w:rsidP="00B56284">
      <w:pPr>
        <w:ind w:left="0" w:right="-432"/>
      </w:pPr>
    </w:p>
    <w:p w:rsidR="00B56284" w:rsidRPr="0038253B" w:rsidRDefault="00B56284" w:rsidP="00B56284">
      <w:pPr>
        <w:ind w:left="0" w:right="-432"/>
      </w:pPr>
    </w:p>
    <w:p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rsidR="00B56284" w:rsidRPr="0038253B" w:rsidRDefault="00B56284" w:rsidP="00B56284">
      <w:pPr>
        <w:ind w:left="0" w:right="-432"/>
      </w:pPr>
    </w:p>
    <w:p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rsidR="00B56284" w:rsidRPr="0038253B" w:rsidRDefault="00B56284" w:rsidP="00B56284">
      <w:pPr>
        <w:ind w:left="0" w:right="-432"/>
      </w:pPr>
    </w:p>
    <w:p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rsidR="00B56284" w:rsidRPr="0038253B" w:rsidRDefault="00B56284" w:rsidP="00B56284">
      <w:pPr>
        <w:ind w:left="0" w:right="-432"/>
        <w:rPr>
          <w:color w:val="C45911" w:themeColor="accent2" w:themeShade="BF"/>
        </w:rPr>
      </w:pPr>
    </w:p>
    <w:p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rsidR="00B56284" w:rsidRPr="0038253B" w:rsidRDefault="00B56284" w:rsidP="00B56284">
      <w:pPr>
        <w:ind w:left="0" w:right="-432"/>
        <w:rPr>
          <w:rStyle w:val="Emphasis"/>
          <w:rFonts w:ascii="Arial" w:hAnsi="Arial"/>
          <w:vanish w:val="0"/>
          <w:color w:val="C45911" w:themeColor="accent2" w:themeShade="BF"/>
          <w:sz w:val="24"/>
        </w:rPr>
      </w:pPr>
    </w:p>
    <w:p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rsidTr="0078711B">
        <w:trPr>
          <w:trHeight w:val="707"/>
          <w:jc w:val="center"/>
        </w:trPr>
        <w:tc>
          <w:tcPr>
            <w:tcW w:w="12680" w:type="dxa"/>
            <w:shd w:val="clear" w:color="000000" w:fill="D5DCE4" w:themeFill="text2" w:themeFillTint="33"/>
            <w:noWrap/>
            <w:vAlign w:val="bottom"/>
            <w:hideMark/>
          </w:tcPr>
          <w:p w:rsidR="00C9239E" w:rsidRPr="0038253B" w:rsidRDefault="00C9239E" w:rsidP="00501ABB">
            <w:pPr>
              <w:ind w:left="0"/>
              <w:rPr>
                <w:color w:val="32525C"/>
                <w:sz w:val="28"/>
                <w:szCs w:val="28"/>
              </w:rPr>
            </w:pPr>
            <w:r w:rsidRPr="0038253B">
              <w:lastRenderedPageBreak/>
              <w:t> </w:t>
            </w:r>
          </w:p>
          <w:p w:rsidR="004300F3" w:rsidRPr="0038253B" w:rsidRDefault="00407280" w:rsidP="000770BB">
            <w:pPr>
              <w:pStyle w:val="Heading1"/>
            </w:pPr>
            <w:r w:rsidRPr="0038253B">
              <w:t>Advisory Committee</w:t>
            </w:r>
          </w:p>
          <w:p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rsidR="00C9239E" w:rsidRPr="0038253B" w:rsidRDefault="00C9239E" w:rsidP="00501ABB">
      <w:pPr>
        <w:ind w:left="0"/>
      </w:pPr>
      <w:r w:rsidRPr="0038253B">
        <w:t>  </w:t>
      </w:r>
    </w:p>
    <w:p w:rsidR="00407280" w:rsidRPr="0038253B" w:rsidRDefault="00407280" w:rsidP="00407280">
      <w:pPr>
        <w:pStyle w:val="Heading3"/>
        <w:ind w:left="0" w:right="-432"/>
      </w:pPr>
      <w:r w:rsidRPr="0038253B">
        <w:t>Background</w:t>
      </w:r>
    </w:p>
    <w:p w:rsidR="00C9239E" w:rsidRPr="0038253B" w:rsidRDefault="00C9239E" w:rsidP="00772D8F">
      <w:pPr>
        <w:pStyle w:val="Heading3"/>
        <w:ind w:left="0" w:right="-432"/>
      </w:pPr>
    </w:p>
    <w:p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rsidR="00E82718" w:rsidRPr="0038253B" w:rsidRDefault="00E82718" w:rsidP="00772D8F">
      <w:pPr>
        <w:ind w:left="0" w:right="-432"/>
      </w:pPr>
    </w:p>
    <w:p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rsidR="00E026AC" w:rsidRPr="0038253B" w:rsidRDefault="00E026AC" w:rsidP="00772D8F">
      <w:pPr>
        <w:ind w:left="0" w:right="-432"/>
      </w:pPr>
    </w:p>
    <w:p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rsidR="00A76D00" w:rsidRPr="0038253B" w:rsidRDefault="00A76D00" w:rsidP="00772D8F">
      <w:pPr>
        <w:ind w:left="0" w:right="-432"/>
        <w:rPr>
          <w:color w:val="C45911" w:themeColor="accent2" w:themeShade="BF"/>
        </w:rPr>
      </w:pPr>
    </w:p>
    <w:p w:rsidR="00A76D00" w:rsidRPr="0038253B" w:rsidRDefault="00A76D00" w:rsidP="00772D8F">
      <w:pPr>
        <w:ind w:left="0" w:right="-432"/>
      </w:pPr>
      <w:r w:rsidRPr="0038253B">
        <w:t>The committee members were:</w:t>
      </w:r>
    </w:p>
    <w:p w:rsidR="00B86088" w:rsidRPr="0038253B" w:rsidRDefault="00B86088" w:rsidP="00772D8F">
      <w:pPr>
        <w:ind w:left="0" w:right="-432"/>
      </w:pPr>
    </w:p>
    <w:p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B86088" w:rsidRPr="0038253B" w:rsidRDefault="00B86088"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2A6179" w:rsidRPr="0038253B" w:rsidRDefault="002A6179"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2A6179" w:rsidRPr="0038253B" w:rsidRDefault="002A6179"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rsidR="002A6179" w:rsidRPr="0038253B" w:rsidRDefault="002A6179" w:rsidP="000872C2">
            <w:pPr>
              <w:ind w:left="0" w:right="0"/>
              <w:rPr>
                <w:szCs w:val="22"/>
              </w:rPr>
            </w:pPr>
          </w:p>
        </w:tc>
      </w:tr>
    </w:tbl>
    <w:p w:rsidR="00B86088" w:rsidRPr="0038253B" w:rsidRDefault="00B86088" w:rsidP="00772D8F">
      <w:pPr>
        <w:ind w:left="0" w:right="-432"/>
      </w:pPr>
    </w:p>
    <w:p w:rsidR="00A94E6E" w:rsidRPr="0038253B" w:rsidRDefault="00A94E6E" w:rsidP="00772D8F">
      <w:pPr>
        <w:ind w:left="0" w:right="-432"/>
      </w:pPr>
    </w:p>
    <w:p w:rsidR="00E82718" w:rsidRPr="0038253B" w:rsidRDefault="00E82718" w:rsidP="00772D8F">
      <w:pPr>
        <w:ind w:left="0" w:right="-432"/>
      </w:pPr>
    </w:p>
    <w:p w:rsidR="002048F4" w:rsidRPr="0038253B" w:rsidRDefault="002048F4" w:rsidP="00772D8F">
      <w:pPr>
        <w:pStyle w:val="Heading3"/>
        <w:ind w:left="0" w:right="-432"/>
      </w:pPr>
      <w:r w:rsidRPr="0038253B">
        <w:t>Meeting notifications</w:t>
      </w:r>
    </w:p>
    <w:p w:rsidR="002048F4" w:rsidRPr="0038253B" w:rsidRDefault="002048F4" w:rsidP="00772D8F">
      <w:pPr>
        <w:ind w:left="0" w:right="-432"/>
      </w:pPr>
    </w:p>
    <w:p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rsidR="00040AE3" w:rsidRPr="0038253B" w:rsidRDefault="00040AE3" w:rsidP="00772D8F">
      <w:pPr>
        <w:pStyle w:val="ListParagraph"/>
        <w:numPr>
          <w:ilvl w:val="0"/>
          <w:numId w:val="12"/>
        </w:numPr>
        <w:ind w:left="1080" w:right="-432"/>
      </w:pPr>
      <w:r w:rsidRPr="0038253B">
        <w:t xml:space="preserve"> </w:t>
      </w:r>
      <w:r w:rsidR="00D01042" w:rsidRPr="0038253B">
        <w:t>Rulemaking</w:t>
      </w:r>
    </w:p>
    <w:p w:rsidR="00040AE3" w:rsidRPr="0038253B" w:rsidRDefault="00040AE3" w:rsidP="00772D8F">
      <w:pPr>
        <w:pStyle w:val="ListParagraph"/>
        <w:numPr>
          <w:ilvl w:val="0"/>
          <w:numId w:val="12"/>
        </w:numPr>
        <w:ind w:left="1080" w:right="-432"/>
      </w:pPr>
      <w:r w:rsidRPr="0038253B">
        <w:t xml:space="preserve"> </w:t>
      </w:r>
    </w:p>
    <w:p w:rsidR="00040AE3" w:rsidRPr="0038253B" w:rsidRDefault="00040AE3" w:rsidP="00772D8F">
      <w:pPr>
        <w:pStyle w:val="ListParagraph"/>
        <w:numPr>
          <w:ilvl w:val="0"/>
          <w:numId w:val="12"/>
        </w:numPr>
        <w:ind w:left="1080" w:right="-432"/>
      </w:pPr>
    </w:p>
    <w:p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rsidR="00A76D00" w:rsidRPr="0038253B" w:rsidRDefault="00A76D00" w:rsidP="00772D8F">
      <w:pPr>
        <w:pStyle w:val="ListParagraph"/>
        <w:numPr>
          <w:ilvl w:val="1"/>
          <w:numId w:val="12"/>
        </w:numPr>
        <w:ind w:left="0" w:right="-432" w:firstLine="0"/>
      </w:pPr>
      <w:r w:rsidRPr="0038253B">
        <w:t>People who signed up for the advisory committee bulletin.</w:t>
      </w:r>
    </w:p>
    <w:p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1" w:history="1">
        <w:r w:rsidRPr="0038253B">
          <w:rPr>
            <w:rStyle w:val="Hyperlink"/>
          </w:rPr>
          <w:t>DEQ Calendar</w:t>
        </w:r>
      </w:hyperlink>
      <w:r w:rsidRPr="0038253B">
        <w:t>.</w:t>
      </w:r>
    </w:p>
    <w:p w:rsidR="00A76D00" w:rsidRPr="0038253B" w:rsidRDefault="00A76D00" w:rsidP="00772D8F">
      <w:pPr>
        <w:pStyle w:val="ListParagraph"/>
        <w:numPr>
          <w:ilvl w:val="0"/>
          <w:numId w:val="12"/>
        </w:numPr>
        <w:ind w:left="0" w:right="-432" w:firstLine="0"/>
      </w:pPr>
      <w:r w:rsidRPr="0038253B">
        <w:lastRenderedPageBreak/>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rsidR="00A76D00" w:rsidRPr="0038253B" w:rsidRDefault="00A76D00" w:rsidP="00772D8F">
      <w:pPr>
        <w:pStyle w:val="Heading3"/>
        <w:ind w:left="0" w:right="-432"/>
      </w:pPr>
      <w:r w:rsidRPr="0038253B">
        <w:t>Committee discussions</w:t>
      </w:r>
    </w:p>
    <w:p w:rsidR="00E026AC" w:rsidRPr="0038253B" w:rsidRDefault="00E026AC" w:rsidP="00772D8F">
      <w:pPr>
        <w:ind w:left="0" w:right="-432"/>
      </w:pPr>
    </w:p>
    <w:p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rsidR="00E026AC" w:rsidRPr="0038253B" w:rsidRDefault="00E026AC" w:rsidP="00772D8F">
      <w:pPr>
        <w:ind w:left="0" w:right="-432"/>
      </w:pPr>
    </w:p>
    <w:p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rsidTr="0078711B">
        <w:trPr>
          <w:trHeight w:val="749"/>
          <w:jc w:val="center"/>
        </w:trPr>
        <w:tc>
          <w:tcPr>
            <w:tcW w:w="12657" w:type="dxa"/>
            <w:shd w:val="clear" w:color="000000" w:fill="D5DCE4" w:themeFill="text2" w:themeFillTint="33"/>
            <w:noWrap/>
            <w:vAlign w:val="bottom"/>
            <w:hideMark/>
          </w:tcPr>
          <w:p w:rsidR="000C1364" w:rsidRPr="0038253B" w:rsidRDefault="000C1364" w:rsidP="00501ABB">
            <w:pPr>
              <w:ind w:left="0"/>
              <w:rPr>
                <w:color w:val="32525C"/>
                <w:sz w:val="28"/>
                <w:szCs w:val="28"/>
              </w:rPr>
            </w:pPr>
            <w:r w:rsidRPr="0038253B">
              <w:lastRenderedPageBreak/>
              <w:t> </w:t>
            </w:r>
          </w:p>
          <w:p w:rsidR="00CD56A3" w:rsidRPr="0038253B" w:rsidRDefault="000C1364" w:rsidP="000770BB">
            <w:pPr>
              <w:pStyle w:val="Heading1"/>
            </w:pPr>
            <w:bookmarkStart w:id="12" w:name="_Toc482800006"/>
            <w:r w:rsidRPr="0038253B">
              <w:t xml:space="preserve">Public </w:t>
            </w:r>
            <w:bookmarkEnd w:id="12"/>
            <w:r w:rsidR="0038516E" w:rsidRPr="0038253B">
              <w:t>Engagement</w:t>
            </w:r>
          </w:p>
          <w:p w:rsidR="000C1364" w:rsidRPr="0038253B" w:rsidRDefault="00D1364A" w:rsidP="00CD56A3">
            <w:pPr>
              <w:ind w:left="0"/>
              <w:rPr>
                <w:color w:val="C45911" w:themeColor="accent2" w:themeShade="BF"/>
              </w:rPr>
            </w:pPr>
            <w:r w:rsidRPr="0038253B">
              <w:t xml:space="preserve"> </w:t>
            </w:r>
            <w:r w:rsidRPr="0038253B">
              <w:rPr>
                <w:color w:val="C45911" w:themeColor="accent2" w:themeShade="BF"/>
              </w:rPr>
              <w:t>ORS 183.335(1); 468.020(2)</w:t>
            </w:r>
            <w:r w:rsidR="009C0A9E" w:rsidRPr="0038253B">
              <w:rPr>
                <w:color w:val="C45911" w:themeColor="accent2" w:themeShade="BF"/>
              </w:rPr>
              <w:t xml:space="preserve"> </w:t>
            </w:r>
            <w:hyperlink r:id="rId32" w:history="1">
              <w:r w:rsidR="009C0A9E" w:rsidRPr="0038253B">
                <w:rPr>
                  <w:rStyle w:val="Hyperlink"/>
                  <w:color w:val="034990" w:themeColor="hyperlink" w:themeShade="BF"/>
                </w:rPr>
                <w:t>Public Hearings</w:t>
              </w:r>
            </w:hyperlink>
          </w:p>
        </w:tc>
      </w:tr>
    </w:tbl>
    <w:p w:rsidR="000C1364" w:rsidRPr="0038253B" w:rsidRDefault="000C1364" w:rsidP="00501ABB">
      <w:pPr>
        <w:ind w:left="0"/>
      </w:pPr>
      <w:r w:rsidRPr="0038253B">
        <w:t>  </w:t>
      </w:r>
    </w:p>
    <w:p w:rsidR="00734913" w:rsidRPr="0038253B" w:rsidRDefault="00734913" w:rsidP="0027166A">
      <w:pPr>
        <w:pStyle w:val="Heading3"/>
        <w:ind w:left="0"/>
        <w:rPr>
          <w:rStyle w:val="SubtitleChar"/>
          <w:rFonts w:ascii="Arial" w:eastAsiaTheme="majorEastAsia" w:hAnsi="Arial" w:cstheme="majorBidi"/>
        </w:rPr>
      </w:pPr>
    </w:p>
    <w:p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rsidR="00E026AC" w:rsidRPr="0038253B" w:rsidRDefault="00E026AC" w:rsidP="00E026AC">
      <w:pPr>
        <w:rPr>
          <w:rFonts w:eastAsiaTheme="majorEastAsia"/>
        </w:rPr>
      </w:pPr>
    </w:p>
    <w:p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 xml:space="preserve">on </w:t>
      </w:r>
      <w:r w:rsidR="000D707E" w:rsidRPr="0038253B">
        <w:rPr>
          <w:color w:val="C45911" w:themeColor="accent2" w:themeShade="BF"/>
        </w:rPr>
        <w:t xml:space="preserve">DATE </w:t>
      </w:r>
      <w:r w:rsidR="000D707E" w:rsidRPr="0038253B">
        <w:t>by</w:t>
      </w:r>
      <w:r w:rsidRPr="0038253B">
        <w:t>:</w:t>
      </w:r>
      <w:r w:rsidR="006F1FBD" w:rsidRPr="0038253B">
        <w:t xml:space="preserve"> </w:t>
      </w:r>
    </w:p>
    <w:p w:rsidR="0005132C" w:rsidRPr="0038253B" w:rsidRDefault="0005132C" w:rsidP="00772D8F">
      <w:pPr>
        <w:pStyle w:val="ListParagraph"/>
        <w:ind w:left="0" w:right="-432"/>
      </w:pPr>
    </w:p>
    <w:p w:rsidR="00D01042" w:rsidRPr="0038253B" w:rsidRDefault="00D01042" w:rsidP="00772D8F">
      <w:pPr>
        <w:pStyle w:val="ListParagraph"/>
        <w:numPr>
          <w:ilvl w:val="0"/>
          <w:numId w:val="5"/>
        </w:numPr>
        <w:ind w:left="0" w:right="-432" w:firstLine="0"/>
      </w:pPr>
      <w:r w:rsidRPr="0038253B">
        <w:t xml:space="preserve">On </w:t>
      </w:r>
      <w:r w:rsidRPr="0038253B">
        <w:rPr>
          <w:color w:val="C45911" w:themeColor="accent2" w:themeShade="BF"/>
        </w:rPr>
        <w:t>DATE</w:t>
      </w:r>
      <w:r w:rsidRPr="0038253B">
        <w:t xml:space="preserve"> Filing notice with the Oregon Secretary of State for publication in the </w:t>
      </w:r>
      <w:r w:rsidRPr="0038253B">
        <w:rPr>
          <w:color w:val="C45911" w:themeColor="accent2" w:themeShade="BF"/>
        </w:rPr>
        <w:t>DATE</w:t>
      </w:r>
      <w:r w:rsidRPr="0038253B">
        <w:t xml:space="preserve"> Oregon Bulletin;</w:t>
      </w:r>
    </w:p>
    <w:p w:rsidR="00D01042" w:rsidRPr="0038253B" w:rsidRDefault="00D01042" w:rsidP="00772D8F">
      <w:pPr>
        <w:pStyle w:val="ListParagraph"/>
        <w:numPr>
          <w:ilvl w:val="0"/>
          <w:numId w:val="5"/>
        </w:numPr>
        <w:ind w:left="0" w:right="-432" w:firstLine="0"/>
      </w:pPr>
      <w:r w:rsidRPr="0038253B">
        <w:t>Notifying the EPA by mail;</w:t>
      </w:r>
    </w:p>
    <w:p w:rsidR="00D01042" w:rsidRPr="0038253B" w:rsidRDefault="00D01042" w:rsidP="00772D8F">
      <w:pPr>
        <w:pStyle w:val="ListParagraph"/>
        <w:numPr>
          <w:ilvl w:val="0"/>
          <w:numId w:val="5"/>
        </w:numPr>
        <w:ind w:left="0" w:right="-432" w:firstLine="0"/>
      </w:pPr>
      <w:r w:rsidRPr="0038253B">
        <w:t xml:space="preserve">Posting the Notice, Invitation to Comment and Draft Rules on the web page for this rulemaking, located at: </w:t>
      </w:r>
      <w:r w:rsidRPr="0038253B">
        <w:rPr>
          <w:color w:val="C45911" w:themeColor="accent2" w:themeShade="BF"/>
        </w:rPr>
        <w:t>RULEMAKING WEB PAGE LINK;</w:t>
      </w:r>
    </w:p>
    <w:p w:rsidR="00233537" w:rsidRPr="0038253B" w:rsidRDefault="000D707E" w:rsidP="00772D8F">
      <w:pPr>
        <w:pStyle w:val="ListParagraph"/>
        <w:numPr>
          <w:ilvl w:val="0"/>
          <w:numId w:val="5"/>
        </w:numPr>
        <w:ind w:left="0" w:right="-432" w:firstLine="0"/>
      </w:pPr>
      <w:r w:rsidRPr="0038253B">
        <w:t xml:space="preserve">Emailing </w:t>
      </w:r>
      <w:r w:rsidRPr="0038253B">
        <w:rPr>
          <w:color w:val="C45911" w:themeColor="accent2" w:themeShade="BF"/>
        </w:rPr>
        <w:t xml:space="preserve">NUMBER OF PARTIES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rsidR="002C4F3A" w:rsidRPr="0038253B" w:rsidRDefault="00EE0814" w:rsidP="00772D8F">
      <w:pPr>
        <w:pStyle w:val="ListParagraph"/>
        <w:numPr>
          <w:ilvl w:val="0"/>
          <w:numId w:val="5"/>
        </w:numPr>
        <w:ind w:right="-432"/>
      </w:pPr>
      <w:r w:rsidRPr="0038253B">
        <w:t>Rulemaking</w:t>
      </w:r>
    </w:p>
    <w:p w:rsidR="002C4F3A" w:rsidRPr="0038253B" w:rsidRDefault="002C4F3A" w:rsidP="00772D8F">
      <w:pPr>
        <w:pStyle w:val="ListParagraph"/>
        <w:numPr>
          <w:ilvl w:val="0"/>
          <w:numId w:val="5"/>
        </w:numPr>
        <w:ind w:right="-432"/>
      </w:pPr>
      <w:r w:rsidRPr="0038253B">
        <w:rPr>
          <w:color w:val="C45911" w:themeColor="accent2" w:themeShade="BF"/>
        </w:rPr>
        <w:t>TOPIC</w:t>
      </w:r>
    </w:p>
    <w:p w:rsidR="0005132C" w:rsidRPr="0038253B" w:rsidRDefault="002C4F3A" w:rsidP="00772D8F">
      <w:pPr>
        <w:pStyle w:val="ListParagraph"/>
        <w:numPr>
          <w:ilvl w:val="0"/>
          <w:numId w:val="5"/>
        </w:numPr>
        <w:ind w:right="-432"/>
        <w:rPr>
          <w:bCs/>
          <w:color w:val="385623" w:themeColor="accent6" w:themeShade="80"/>
        </w:rPr>
      </w:pPr>
      <w:r w:rsidRPr="0038253B">
        <w:rPr>
          <w:color w:val="C45911" w:themeColor="accent2" w:themeShade="BF"/>
        </w:rPr>
        <w:t>TOPIC</w:t>
      </w:r>
    </w:p>
    <w:p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3" w:history="1">
        <w:r w:rsidR="00C22E0C" w:rsidRPr="0038253B">
          <w:rPr>
            <w:u w:val="single"/>
          </w:rPr>
          <w:t>ORS 183.335</w:t>
        </w:r>
      </w:hyperlink>
      <w:r w:rsidR="00016F5E" w:rsidRPr="0038253B">
        <w:t>:</w:t>
      </w:r>
    </w:p>
    <w:p w:rsidR="00F0078E" w:rsidRPr="0038253B" w:rsidRDefault="00F0078E" w:rsidP="00772D8F">
      <w:pPr>
        <w:pStyle w:val="ListParagraph"/>
        <w:ind w:left="0" w:right="-432"/>
      </w:pPr>
    </w:p>
    <w:p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rsidR="00F0078E" w:rsidRPr="0038253B" w:rsidRDefault="00F0078E" w:rsidP="00772D8F">
      <w:pPr>
        <w:pStyle w:val="ListParagraph"/>
        <w:ind w:left="0" w:right="-432"/>
      </w:pPr>
    </w:p>
    <w:p w:rsidR="0068788A" w:rsidRPr="0038253B" w:rsidRDefault="00BD4585" w:rsidP="00772D8F">
      <w:pPr>
        <w:pStyle w:val="ListParagraph"/>
        <w:numPr>
          <w:ilvl w:val="0"/>
          <w:numId w:val="6"/>
        </w:numPr>
        <w:ind w:left="0" w:right="-432" w:firstLine="0"/>
      </w:pPr>
      <w:r w:rsidRPr="0038253B">
        <w:t>Emailing advisory committee members,</w:t>
      </w:r>
    </w:p>
    <w:p w:rsidR="00C35797" w:rsidRPr="0038253B" w:rsidRDefault="0052167E" w:rsidP="00772D8F">
      <w:pPr>
        <w:pStyle w:val="ListParagraph"/>
        <w:numPr>
          <w:ilvl w:val="0"/>
          <w:numId w:val="6"/>
        </w:numPr>
        <w:ind w:left="0" w:right="-432" w:firstLine="0"/>
        <w:contextualSpacing w:val="0"/>
      </w:pPr>
      <w:r w:rsidRPr="0038253B">
        <w:t>Postings on Twitter and Facebook</w:t>
      </w:r>
    </w:p>
    <w:p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4" w:history="1">
        <w:r w:rsidRPr="0038253B">
          <w:rPr>
            <w:rStyle w:val="Hyperlink"/>
          </w:rPr>
          <w:t>DEQ Calendar</w:t>
        </w:r>
      </w:hyperlink>
    </w:p>
    <w:p w:rsidR="008B471D" w:rsidRPr="0038253B" w:rsidRDefault="00016F5E" w:rsidP="00772D8F">
      <w:pPr>
        <w:pStyle w:val="ListParagraph"/>
        <w:numPr>
          <w:ilvl w:val="0"/>
          <w:numId w:val="6"/>
        </w:numPr>
        <w:ind w:left="0" w:right="-432" w:firstLine="0"/>
      </w:pPr>
      <w:r w:rsidRPr="0038253B">
        <w:rPr>
          <w:rStyle w:val="Emphasis"/>
          <w:rFonts w:ascii="Arial" w:hAnsi="Arial"/>
          <w:vanish w:val="0"/>
          <w:color w:val="C45911" w:themeColor="accent2" w:themeShade="BF"/>
          <w:sz w:val="24"/>
        </w:rPr>
        <w:t>Enter other notices here</w:t>
      </w:r>
    </w:p>
    <w:p w:rsidR="004C40F0" w:rsidRPr="0038253B" w:rsidRDefault="0052167E" w:rsidP="00772D8F">
      <w:pPr>
        <w:pStyle w:val="ListParagraph"/>
        <w:numPr>
          <w:ilvl w:val="0"/>
          <w:numId w:val="6"/>
        </w:numPr>
        <w:ind w:left="0" w:right="-432" w:firstLine="0"/>
      </w:pPr>
      <w:r w:rsidRPr="0038253B">
        <w:t xml:space="preserve"> </w:t>
      </w:r>
      <w:r w:rsidR="00CE1C16" w:rsidRPr="0038253B">
        <w:t xml:space="preserve">Publishing notice </w:t>
      </w:r>
      <w:r w:rsidR="001033D3" w:rsidRPr="0038253B">
        <w:t xml:space="preserve">in </w:t>
      </w:r>
      <w:r w:rsidR="007B7B80" w:rsidRPr="0038253B">
        <w:t>the following newspapers</w:t>
      </w:r>
      <w:r w:rsidR="00980249" w:rsidRPr="0038253B">
        <w:t xml:space="preserve"> (</w:t>
      </w:r>
      <w:r w:rsidR="00980249" w:rsidRPr="0038253B">
        <w:rPr>
          <w:color w:val="FF0000"/>
        </w:rPr>
        <w:t>ONLY WHERE RULE AFFECTS ONLY A LIMITED GEOGRAPHICAL AREA)</w:t>
      </w:r>
      <w:r w:rsidR="007B7B80" w:rsidRPr="0038253B">
        <w:t>:</w:t>
      </w:r>
    </w:p>
    <w:p w:rsidR="001033D3" w:rsidRPr="0038253B" w:rsidRDefault="001033D3" w:rsidP="00772D8F">
      <w:pPr>
        <w:pStyle w:val="ListParagraph"/>
        <w:ind w:left="0" w:right="-432"/>
        <w:rPr>
          <w:color w:val="C45911" w:themeColor="accent2" w:themeShade="BF"/>
        </w:rPr>
      </w:pPr>
      <w:r w:rsidRPr="0038253B">
        <w:rPr>
          <w:color w:val="C45911" w:themeColor="accent2" w:themeShade="BF"/>
        </w:rPr>
        <w:t>(choose the appropriate ones and delete the rest)</w:t>
      </w:r>
    </w:p>
    <w:p w:rsidR="007B7B80" w:rsidRPr="0038253B" w:rsidRDefault="007B7B80" w:rsidP="00772D8F">
      <w:pPr>
        <w:pStyle w:val="ListParagraph"/>
        <w:numPr>
          <w:ilvl w:val="0"/>
          <w:numId w:val="13"/>
        </w:numPr>
        <w:ind w:left="0" w:right="-432" w:firstLine="0"/>
      </w:pPr>
      <w:r w:rsidRPr="0038253B">
        <w:rPr>
          <w:i/>
        </w:rPr>
        <w:t xml:space="preserve">The Oregonian </w:t>
      </w:r>
      <w:r w:rsidRPr="0038253B">
        <w:rPr>
          <w:i/>
        </w:rPr>
        <w:tab/>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rPr>
          <w:i/>
        </w:rPr>
        <w:t xml:space="preserve"> </w:t>
      </w:r>
      <w:r w:rsidR="007B7B80" w:rsidRPr="0038253B">
        <w:rPr>
          <w:i/>
        </w:rPr>
        <w:t>East Oregon (Pendleton)</w:t>
      </w:r>
      <w:r w:rsidR="007B7B80" w:rsidRPr="0038253B">
        <w:rPr>
          <w:i/>
        </w:rPr>
        <w:tab/>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Register Guard (Eugene)</w:t>
      </w:r>
      <w:r w:rsidR="007B7B80" w:rsidRPr="0038253B">
        <w:t xml:space="preserve"> </w:t>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Mail Tribune (Medford)</w:t>
      </w:r>
      <w:r w:rsidR="007B7B80" w:rsidRPr="0038253B">
        <w:rPr>
          <w:i/>
        </w:rPr>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Klamath Herald &amp; News (Klamath Falls)</w:t>
      </w:r>
      <w:r w:rsidR="007B7B80" w:rsidRPr="0038253B">
        <w:t xml:space="preserve">  </w:t>
      </w:r>
      <w:r w:rsidR="007B7B80" w:rsidRPr="0038253B">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La Grande Observer (La Grande)</w:t>
      </w:r>
      <w:r w:rsidR="007B7B80" w:rsidRPr="0038253B">
        <w:t xml:space="preserve"> </w:t>
      </w:r>
      <w:r w:rsidR="007B7B80" w:rsidRPr="0038253B">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94060F" w:rsidRPr="0038253B">
        <w:rPr>
          <w:i/>
        </w:rPr>
        <w:t>Daily Journal of Commerce</w:t>
      </w:r>
      <w:r w:rsidR="0094060F" w:rsidRPr="0038253B">
        <w:rPr>
          <w:i/>
        </w:rPr>
        <w:tab/>
      </w:r>
      <w:r w:rsidR="00984CB7" w:rsidRPr="0038253B">
        <w:rPr>
          <w:color w:val="C45911" w:themeColor="accent2" w:themeShade="BF"/>
        </w:rPr>
        <w:t>PUBLICATION DATE</w:t>
      </w:r>
    </w:p>
    <w:p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rsidTr="0078711B">
        <w:trPr>
          <w:trHeight w:val="749"/>
          <w:jc w:val="center"/>
        </w:trPr>
        <w:tc>
          <w:tcPr>
            <w:tcW w:w="12600" w:type="dxa"/>
            <w:shd w:val="clear" w:color="000000" w:fill="D5DCE4" w:themeFill="text2" w:themeFillTint="33"/>
            <w:noWrap/>
            <w:vAlign w:val="bottom"/>
            <w:hideMark/>
          </w:tcPr>
          <w:p w:rsidR="00027E2F" w:rsidRPr="0038253B" w:rsidRDefault="00027E2F" w:rsidP="00A43288">
            <w:pPr>
              <w:ind w:left="0"/>
              <w:rPr>
                <w:color w:val="32525C"/>
                <w:sz w:val="28"/>
                <w:szCs w:val="28"/>
              </w:rPr>
            </w:pPr>
            <w:r w:rsidRPr="0038253B">
              <w:t> </w:t>
            </w:r>
          </w:p>
          <w:p w:rsidR="00027E2F" w:rsidRPr="0038253B" w:rsidRDefault="00027E2F" w:rsidP="00A43288">
            <w:pPr>
              <w:pStyle w:val="Heading1"/>
            </w:pPr>
            <w:r w:rsidRPr="0038253B">
              <w:t xml:space="preserve">Public </w:t>
            </w:r>
            <w:r>
              <w:t>Comment</w:t>
            </w:r>
          </w:p>
          <w:p w:rsidR="00027E2F" w:rsidRPr="0038253B" w:rsidRDefault="00027E2F"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5" w:history="1">
              <w:r w:rsidRPr="0038253B">
                <w:rPr>
                  <w:rStyle w:val="Hyperlink"/>
                  <w:color w:val="034990" w:themeColor="hyperlink" w:themeShade="BF"/>
                </w:rPr>
                <w:t>Public Hearings</w:t>
              </w:r>
            </w:hyperlink>
          </w:p>
        </w:tc>
      </w:tr>
    </w:tbl>
    <w:p w:rsidR="00027E2F" w:rsidRPr="0038253B" w:rsidRDefault="00027E2F" w:rsidP="00027E2F">
      <w:pPr>
        <w:ind w:left="0"/>
      </w:pPr>
      <w:r w:rsidRPr="0038253B">
        <w:t>  </w:t>
      </w:r>
    </w:p>
    <w:p w:rsidR="00027E2F" w:rsidRPr="0038253B" w:rsidRDefault="00027E2F" w:rsidP="00027E2F">
      <w:pPr>
        <w:pStyle w:val="Heading2"/>
        <w:ind w:left="0"/>
      </w:pPr>
      <w:r w:rsidRPr="0038253B">
        <w:t>How to comment on this rulemaking proposal</w:t>
      </w:r>
    </w:p>
    <w:p w:rsidR="00027E2F" w:rsidRPr="0038253B" w:rsidRDefault="00027E2F" w:rsidP="00027E2F">
      <w:pPr>
        <w:ind w:left="0"/>
      </w:pPr>
    </w:p>
    <w:p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rsidR="00027E2F" w:rsidRPr="0038253B" w:rsidRDefault="00027E2F" w:rsidP="00027E2F">
      <w:pPr>
        <w:ind w:left="0"/>
      </w:pPr>
    </w:p>
    <w:p w:rsidR="00027E2F" w:rsidRPr="0038253B" w:rsidRDefault="00027E2F" w:rsidP="00027E2F">
      <w:pPr>
        <w:pStyle w:val="Heading3"/>
        <w:ind w:left="0"/>
        <w:rPr>
          <w:szCs w:val="28"/>
        </w:rPr>
      </w:pPr>
      <w:r w:rsidRPr="0038253B">
        <w:rPr>
          <w:szCs w:val="28"/>
        </w:rPr>
        <w:t>Comment deadline</w:t>
      </w:r>
    </w:p>
    <w:p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Submit comment online</w:t>
      </w:r>
    </w:p>
    <w:p w:rsidR="00027E2F" w:rsidRPr="0038253B" w:rsidRDefault="00027E2F" w:rsidP="00027E2F">
      <w:pPr>
        <w:ind w:left="0"/>
        <w:rPr>
          <w:bCs/>
          <w:color w:val="BF8F00" w:themeColor="accent4" w:themeShade="BF"/>
        </w:rPr>
      </w:pPr>
      <w:r w:rsidRPr="0038253B">
        <w:rPr>
          <w:bCs/>
          <w:color w:val="BF8F00" w:themeColor="accent4" w:themeShade="BF"/>
        </w:rPr>
        <w:t>LINK TO RULEMAKING COMMENT PAGE (</w:t>
      </w:r>
      <w:r w:rsidRPr="0038253B">
        <w:rPr>
          <w:b/>
          <w:bCs/>
          <w:color w:val="BF8F00" w:themeColor="accent4" w:themeShade="BF"/>
        </w:rPr>
        <w:t>Note that this link will not be live until the day DEQ publishes notice to the public</w:t>
      </w:r>
      <w:r w:rsidRPr="0038253B">
        <w:rPr>
          <w:bCs/>
          <w:color w:val="BF8F00" w:themeColor="accent4" w:themeShade="BF"/>
        </w:rPr>
        <w:t>):</w:t>
      </w:r>
    </w:p>
    <w:p w:rsidR="00027E2F" w:rsidRPr="0038253B" w:rsidRDefault="00027E2F" w:rsidP="00027E2F">
      <w:pPr>
        <w:ind w:left="0"/>
        <w:rPr>
          <w:bCs/>
        </w:rPr>
      </w:pPr>
    </w:p>
    <w:p w:rsidR="00027E2F" w:rsidRPr="0038253B" w:rsidRDefault="00027E2F" w:rsidP="00027E2F">
      <w:pPr>
        <w:ind w:left="0"/>
        <w:rPr>
          <w:bCs/>
        </w:rPr>
      </w:pPr>
    </w:p>
    <w:p w:rsidR="00027E2F" w:rsidRPr="0038253B" w:rsidRDefault="00027E2F" w:rsidP="00027E2F">
      <w:pPr>
        <w:ind w:left="0"/>
      </w:pPr>
      <w:r w:rsidRPr="0038253B">
        <w:t>http://www.oregon.gov/deq/Regulations/rulemaking/Pages/c</w:t>
      </w:r>
      <w:r w:rsidRPr="0038253B">
        <w:rPr>
          <w:b/>
          <w:color w:val="C45911" w:themeColor="accent2" w:themeShade="BF"/>
        </w:rPr>
        <w:t>RULEMAKINGNAME</w:t>
      </w:r>
      <w:r w:rsidRPr="0038253B">
        <w:t>.aspx</w:t>
      </w:r>
    </w:p>
    <w:p w:rsidR="00027E2F" w:rsidRPr="0038253B" w:rsidRDefault="00027E2F" w:rsidP="00027E2F">
      <w:pPr>
        <w:ind w:left="0"/>
        <w:rPr>
          <w:bCs/>
          <w:color w:val="BF8F00" w:themeColor="accent4" w:themeShade="BF"/>
        </w:rPr>
      </w:pPr>
    </w:p>
    <w:p w:rsidR="00027E2F" w:rsidRPr="0038253B" w:rsidRDefault="00027E2F" w:rsidP="00027E2F">
      <w:pPr>
        <w:ind w:left="0"/>
        <w:rPr>
          <w:bCs/>
          <w:color w:val="BF8F00" w:themeColor="accent4" w:themeShade="BF"/>
        </w:rPr>
      </w:pPr>
    </w:p>
    <w:p w:rsidR="00027E2F" w:rsidRPr="0038253B" w:rsidRDefault="00027E2F" w:rsidP="00027E2F">
      <w:pPr>
        <w:ind w:left="0"/>
        <w:rPr>
          <w:bCs/>
          <w:color w:val="BF8F00" w:themeColor="accent4" w:themeShade="BF"/>
          <w:u w:val="single"/>
        </w:rPr>
      </w:pPr>
    </w:p>
    <w:p w:rsidR="00027E2F" w:rsidRPr="0038253B" w:rsidRDefault="00027E2F" w:rsidP="00027E2F">
      <w:pPr>
        <w:pStyle w:val="Heading4"/>
        <w:spacing w:before="0"/>
        <w:rPr>
          <w:sz w:val="28"/>
          <w:szCs w:val="28"/>
        </w:rPr>
      </w:pPr>
      <w:r w:rsidRPr="0038253B">
        <w:rPr>
          <w:sz w:val="28"/>
          <w:szCs w:val="28"/>
        </w:rPr>
        <w:t xml:space="preserve">Note for public university students: </w:t>
      </w:r>
    </w:p>
    <w:p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By mail</w:t>
      </w:r>
    </w:p>
    <w:p w:rsidR="00027E2F" w:rsidRPr="0038253B" w:rsidRDefault="00027E2F" w:rsidP="00027E2F">
      <w:pPr>
        <w:ind w:left="0"/>
      </w:pPr>
      <w:r w:rsidRPr="0038253B">
        <w:t>Oregon DEQ</w:t>
      </w:r>
    </w:p>
    <w:p w:rsidR="00027E2F" w:rsidRPr="0038253B" w:rsidRDefault="00027E2F" w:rsidP="00027E2F">
      <w:pPr>
        <w:ind w:left="0"/>
        <w:rPr>
          <w:b/>
        </w:rPr>
      </w:pPr>
      <w:r w:rsidRPr="0038253B">
        <w:t xml:space="preserve">Attn: </w:t>
      </w:r>
      <w:r w:rsidRPr="0038253B">
        <w:rPr>
          <w:color w:val="BF8F00" w:themeColor="accent4" w:themeShade="BF"/>
        </w:rPr>
        <w:t>RULE WRITER</w:t>
      </w:r>
    </w:p>
    <w:p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rsidR="00027E2F" w:rsidRPr="0038253B" w:rsidRDefault="00027E2F" w:rsidP="00027E2F">
      <w:pPr>
        <w:ind w:left="0"/>
      </w:pPr>
      <w:r w:rsidRPr="0038253B">
        <w:t>Portland, OR 97232-4100</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At hearing</w:t>
      </w:r>
    </w:p>
    <w:p w:rsidR="00027E2F" w:rsidRPr="0038253B" w:rsidRDefault="00027E2F" w:rsidP="00027E2F">
      <w:pPr>
        <w:ind w:left="0"/>
        <w:rPr>
          <w:color w:val="BF8F00" w:themeColor="accent4" w:themeShade="BF"/>
        </w:rPr>
      </w:pPr>
      <w:r w:rsidRPr="0038253B">
        <w:rPr>
          <w:color w:val="BF8F00" w:themeColor="accent4" w:themeShade="BF"/>
        </w:rPr>
        <w:t>DATE/MONTH</w:t>
      </w:r>
    </w:p>
    <w:p w:rsidR="00027E2F" w:rsidRPr="0038253B" w:rsidRDefault="00027E2F" w:rsidP="00027E2F">
      <w:pPr>
        <w:ind w:left="0"/>
        <w:rPr>
          <w:color w:val="BF8F00" w:themeColor="accent4" w:themeShade="BF"/>
        </w:rPr>
      </w:pPr>
    </w:p>
    <w:p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rsidR="00027E2F" w:rsidRPr="0038253B" w:rsidRDefault="00027E2F" w:rsidP="00027E2F"/>
    <w:p w:rsidR="00027E2F" w:rsidRPr="0038253B" w:rsidRDefault="00027E2F" w:rsidP="00027E2F">
      <w:pPr>
        <w:ind w:left="0"/>
      </w:pPr>
      <w:r w:rsidRPr="0038253B">
        <w:t xml:space="preserve">Teleconference call-in number: </w:t>
      </w:r>
    </w:p>
    <w:p w:rsidR="00027E2F" w:rsidRPr="0038253B" w:rsidRDefault="00027E2F" w:rsidP="00027E2F">
      <w:pPr>
        <w:ind w:left="0"/>
      </w:pPr>
      <w:r w:rsidRPr="0038253B">
        <w:lastRenderedPageBreak/>
        <w:t xml:space="preserve">Participant ID: </w:t>
      </w:r>
    </w:p>
    <w:p w:rsidR="00027E2F" w:rsidRPr="0038253B" w:rsidRDefault="00027E2F" w:rsidP="00027E2F">
      <w:pPr>
        <w:ind w:left="0"/>
      </w:pPr>
      <w:r w:rsidRPr="0038253B">
        <w:t xml:space="preserve">Webinar link (webinar has no audio, you must listen on the teleconference): </w:t>
      </w:r>
    </w:p>
    <w:p w:rsidR="00027E2F" w:rsidRPr="0038253B" w:rsidRDefault="00027E2F" w:rsidP="00027E2F">
      <w:pPr>
        <w:ind w:left="0"/>
      </w:pPr>
    </w:p>
    <w:p w:rsidR="00027E2F" w:rsidRPr="0038253B" w:rsidRDefault="00027E2F" w:rsidP="00027E2F">
      <w:pPr>
        <w:ind w:left="0"/>
      </w:pPr>
      <w:r w:rsidRPr="0038253B">
        <w:t xml:space="preserve">How to join the teleconference or webinar: </w:t>
      </w:r>
      <w:hyperlink r:id="rId36" w:history="1">
        <w:r w:rsidRPr="0038253B">
          <w:rPr>
            <w:rStyle w:val="Hyperlink"/>
          </w:rPr>
          <w:t>Teleconference and Webinar instructions</w:t>
        </w:r>
      </w:hyperlink>
    </w:p>
    <w:p w:rsidR="007B7B80" w:rsidRPr="0038253B" w:rsidRDefault="007B7B80" w:rsidP="00772D8F">
      <w:pPr>
        <w:pStyle w:val="ListParagraph"/>
        <w:ind w:left="0" w:right="-432"/>
      </w:pPr>
    </w:p>
    <w:p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rsidTr="0078711B">
        <w:trPr>
          <w:trHeight w:val="749"/>
          <w:jc w:val="center"/>
        </w:trPr>
        <w:tc>
          <w:tcPr>
            <w:tcW w:w="12636" w:type="dxa"/>
            <w:shd w:val="clear" w:color="000000" w:fill="D5DCE4" w:themeFill="text2" w:themeFillTint="33"/>
            <w:noWrap/>
            <w:vAlign w:val="bottom"/>
            <w:hideMark/>
          </w:tcPr>
          <w:p w:rsidR="00B56284" w:rsidRPr="0038253B" w:rsidRDefault="00B56284" w:rsidP="00A43288">
            <w:pPr>
              <w:ind w:left="0"/>
              <w:rPr>
                <w:color w:val="32525C"/>
                <w:sz w:val="28"/>
                <w:szCs w:val="28"/>
              </w:rPr>
            </w:pPr>
            <w:r w:rsidRPr="0038253B">
              <w:t> </w:t>
            </w:r>
          </w:p>
          <w:p w:rsidR="00B56284" w:rsidRPr="0038253B" w:rsidRDefault="00B56284" w:rsidP="00A43288">
            <w:pPr>
              <w:pStyle w:val="Heading1"/>
            </w:pPr>
            <w:r w:rsidRPr="0038253B">
              <w:t>Public Hearing</w:t>
            </w:r>
          </w:p>
          <w:p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7" w:history="1">
              <w:r w:rsidRPr="0038253B">
                <w:rPr>
                  <w:rStyle w:val="Hyperlink"/>
                  <w:color w:val="034990" w:themeColor="hyperlink" w:themeShade="BF"/>
                </w:rPr>
                <w:t>Public Hearings</w:t>
              </w:r>
            </w:hyperlink>
          </w:p>
        </w:tc>
      </w:tr>
    </w:tbl>
    <w:p w:rsidR="00B56284" w:rsidRPr="0038253B" w:rsidRDefault="00B56284" w:rsidP="00B56284">
      <w:pPr>
        <w:ind w:left="0"/>
      </w:pPr>
      <w:r w:rsidRPr="0038253B">
        <w:t>  </w:t>
      </w:r>
    </w:p>
    <w:p w:rsidR="00866F57" w:rsidRPr="0038253B" w:rsidRDefault="00866F57" w:rsidP="00734913">
      <w:pPr>
        <w:pStyle w:val="Heading3"/>
        <w:ind w:left="0" w:right="-432"/>
      </w:pPr>
      <w:r w:rsidRPr="0038253B">
        <w:t>Public hearings</w:t>
      </w:r>
    </w:p>
    <w:p w:rsidR="00E026AC" w:rsidRPr="0038253B" w:rsidRDefault="00E026AC" w:rsidP="00772D8F">
      <w:pPr>
        <w:ind w:right="-432"/>
      </w:pPr>
    </w:p>
    <w:p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rsidR="0004741B" w:rsidRPr="0038253B" w:rsidRDefault="0004741B" w:rsidP="00772D8F">
      <w:pPr>
        <w:ind w:left="0" w:right="-432"/>
      </w:pPr>
    </w:p>
    <w:p w:rsidR="0004741B" w:rsidRPr="0038253B" w:rsidRDefault="0004741B" w:rsidP="00772D8F">
      <w:pPr>
        <w:ind w:left="0" w:right="-432"/>
      </w:pPr>
      <w:r w:rsidRPr="0038253B">
        <w:t>Information about the public hearing:</w:t>
      </w:r>
    </w:p>
    <w:p w:rsidR="0004741B" w:rsidRPr="0038253B" w:rsidRDefault="0004741B" w:rsidP="00772D8F">
      <w:pPr>
        <w:ind w:left="0" w:right="-432"/>
      </w:pPr>
    </w:p>
    <w:p w:rsidR="0004741B" w:rsidRPr="0038253B" w:rsidRDefault="0004741B" w:rsidP="0004741B">
      <w:pPr>
        <w:pStyle w:val="ListParagraph"/>
        <w:numPr>
          <w:ilvl w:val="0"/>
          <w:numId w:val="32"/>
        </w:numPr>
        <w:ind w:right="-432"/>
      </w:pPr>
      <w:r w:rsidRPr="0038253B">
        <w:t xml:space="preserve">Date </w:t>
      </w:r>
    </w:p>
    <w:p w:rsidR="0004741B" w:rsidRPr="0038253B" w:rsidRDefault="0004741B" w:rsidP="0004741B">
      <w:pPr>
        <w:pStyle w:val="ListParagraph"/>
        <w:numPr>
          <w:ilvl w:val="0"/>
          <w:numId w:val="32"/>
        </w:numPr>
        <w:ind w:right="-432"/>
      </w:pPr>
      <w:r w:rsidRPr="0038253B">
        <w:t>Start time</w:t>
      </w:r>
    </w:p>
    <w:p w:rsidR="0004741B" w:rsidRPr="0038253B" w:rsidRDefault="0004741B" w:rsidP="0004741B">
      <w:pPr>
        <w:pStyle w:val="ListParagraph"/>
        <w:numPr>
          <w:ilvl w:val="0"/>
          <w:numId w:val="32"/>
        </w:numPr>
        <w:ind w:right="-432"/>
      </w:pPr>
      <w:r w:rsidRPr="0038253B">
        <w:t>Street address</w:t>
      </w:r>
    </w:p>
    <w:p w:rsidR="0004741B" w:rsidRPr="0038253B" w:rsidRDefault="0004741B" w:rsidP="0004741B">
      <w:pPr>
        <w:pStyle w:val="ListParagraph"/>
        <w:numPr>
          <w:ilvl w:val="0"/>
          <w:numId w:val="32"/>
        </w:numPr>
        <w:ind w:right="-432"/>
      </w:pPr>
      <w:r w:rsidRPr="0038253B">
        <w:t>Room</w:t>
      </w:r>
    </w:p>
    <w:p w:rsidR="0004741B" w:rsidRPr="0038253B" w:rsidRDefault="0004741B" w:rsidP="0004741B">
      <w:pPr>
        <w:pStyle w:val="ListParagraph"/>
        <w:numPr>
          <w:ilvl w:val="0"/>
          <w:numId w:val="32"/>
        </w:numPr>
        <w:ind w:right="-432"/>
      </w:pPr>
      <w:r w:rsidRPr="0038253B">
        <w:t>City</w:t>
      </w:r>
    </w:p>
    <w:p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rsidR="0004741B" w:rsidRPr="0038253B" w:rsidRDefault="0004741B" w:rsidP="0004741B">
      <w:pPr>
        <w:pStyle w:val="ListParagraph"/>
        <w:numPr>
          <w:ilvl w:val="0"/>
          <w:numId w:val="32"/>
        </w:numPr>
        <w:ind w:right="-432"/>
      </w:pPr>
      <w:r w:rsidRPr="0038253B">
        <w:t>Webinar link:</w:t>
      </w:r>
    </w:p>
    <w:p w:rsidR="0004741B" w:rsidRPr="0038253B" w:rsidRDefault="0004741B" w:rsidP="0004741B">
      <w:pPr>
        <w:pStyle w:val="ListParagraph"/>
        <w:numPr>
          <w:ilvl w:val="1"/>
          <w:numId w:val="32"/>
        </w:numPr>
        <w:ind w:right="-432"/>
      </w:pPr>
      <w:r w:rsidRPr="0038253B">
        <w:t xml:space="preserve">(4734 number) = </w:t>
      </w:r>
      <w:hyperlink r:id="rId38" w:history="1">
        <w:r w:rsidRPr="0038253B">
          <w:rPr>
            <w:rStyle w:val="Hyperlink"/>
          </w:rPr>
          <w:t>888-363-4734 webinar link</w:t>
        </w:r>
      </w:hyperlink>
    </w:p>
    <w:p w:rsidR="0004741B" w:rsidRPr="0038253B" w:rsidRDefault="0004741B" w:rsidP="0004741B">
      <w:pPr>
        <w:pStyle w:val="ListParagraph"/>
        <w:numPr>
          <w:ilvl w:val="1"/>
          <w:numId w:val="32"/>
        </w:numPr>
        <w:ind w:right="-432"/>
      </w:pPr>
      <w:r w:rsidRPr="0038253B">
        <w:rPr>
          <w:color w:val="C45911" w:themeColor="accent2" w:themeShade="BF"/>
        </w:rPr>
        <w:t>OR</w:t>
      </w:r>
    </w:p>
    <w:p w:rsidR="0004741B" w:rsidRPr="0038253B" w:rsidRDefault="0004741B" w:rsidP="00E862BA">
      <w:pPr>
        <w:pStyle w:val="ListParagraph"/>
        <w:numPr>
          <w:ilvl w:val="1"/>
          <w:numId w:val="32"/>
        </w:numPr>
        <w:ind w:right="-432"/>
      </w:pPr>
      <w:r w:rsidRPr="0038253B">
        <w:t xml:space="preserve">(0296 number) = </w:t>
      </w:r>
      <w:hyperlink r:id="rId39" w:history="1">
        <w:r w:rsidRPr="0038253B">
          <w:rPr>
            <w:rStyle w:val="Hyperlink"/>
          </w:rPr>
          <w:t>888-278-0296 webinar link</w:t>
        </w:r>
      </w:hyperlink>
    </w:p>
    <w:p w:rsidR="0004741B" w:rsidRPr="0038253B" w:rsidRDefault="0004741B" w:rsidP="0004741B">
      <w:pPr>
        <w:pStyle w:val="ListParagraph"/>
        <w:numPr>
          <w:ilvl w:val="0"/>
          <w:numId w:val="32"/>
        </w:numPr>
        <w:ind w:right="-432"/>
      </w:pPr>
      <w:r w:rsidRPr="0038253B">
        <w:t xml:space="preserve">Instructions on how to join webinar or teleconference: </w:t>
      </w:r>
      <w:hyperlink r:id="rId40" w:history="1">
        <w:r w:rsidRPr="0038253B">
          <w:rPr>
            <w:rStyle w:val="Hyperlink"/>
          </w:rPr>
          <w:t>Webinar/teleconference instructions</w:t>
        </w:r>
      </w:hyperlink>
    </w:p>
    <w:p w:rsidR="0004741B" w:rsidRPr="0038253B" w:rsidRDefault="0004741B" w:rsidP="0004741B">
      <w:pPr>
        <w:pStyle w:val="ListParagraph"/>
        <w:ind w:right="-432"/>
      </w:pPr>
    </w:p>
    <w:p w:rsidR="00D74378" w:rsidRPr="0038253B" w:rsidRDefault="00D74378" w:rsidP="00772D8F">
      <w:pPr>
        <w:ind w:left="0" w:right="-432"/>
      </w:pPr>
    </w:p>
    <w:p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rsidR="0047393E" w:rsidRPr="0038253B" w:rsidRDefault="0047393E" w:rsidP="00772D8F">
      <w:pPr>
        <w:ind w:left="0" w:right="-432"/>
      </w:pPr>
    </w:p>
    <w:p w:rsidR="00A31CE7" w:rsidRPr="0038253B" w:rsidRDefault="00E048AF" w:rsidP="00772D8F">
      <w:pPr>
        <w:ind w:left="0" w:right="-432"/>
      </w:pPr>
      <w:r w:rsidRPr="0038253B">
        <w:t>Any person can submit comments on the proposed rules as described in the Introduction section of this document.</w:t>
      </w:r>
    </w:p>
    <w:p w:rsidR="004B6A20" w:rsidRDefault="004B6A20" w:rsidP="00772D8F">
      <w:pPr>
        <w:ind w:left="0" w:right="-432"/>
        <w:rPr>
          <w:sz w:val="20"/>
          <w:szCs w:val="20"/>
        </w:rPr>
      </w:pPr>
    </w:p>
    <w:p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rsidR="00A31CE7" w:rsidRPr="0038253B" w:rsidRDefault="00A31CE7" w:rsidP="000770BB">
            <w:pPr>
              <w:pStyle w:val="Heading1"/>
            </w:pPr>
            <w:bookmarkStart w:id="13" w:name="_Toc482800007"/>
            <w:r w:rsidRPr="0038253B">
              <w:t xml:space="preserve">Draft </w:t>
            </w:r>
            <w:proofErr w:type="gramStart"/>
            <w:r w:rsidRPr="0038253B">
              <w:t>Rules  -</w:t>
            </w:r>
            <w:proofErr w:type="gramEnd"/>
            <w:r w:rsidRPr="0038253B">
              <w:t xml:space="preserve"> With Edits Highlighted</w:t>
            </w:r>
            <w:bookmarkEnd w:id="13"/>
          </w:p>
          <w:p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rsidR="00A31CE7" w:rsidRPr="0038253B" w:rsidRDefault="00A31CE7" w:rsidP="001B303C">
            <w:pPr>
              <w:ind w:left="0"/>
            </w:pPr>
          </w:p>
        </w:tc>
      </w:tr>
    </w:tbl>
    <w:p w:rsidR="00DB0862" w:rsidRPr="0038253B" w:rsidRDefault="00DB0862" w:rsidP="00501ABB">
      <w:pPr>
        <w:ind w:left="0"/>
      </w:pPr>
    </w:p>
    <w:p w:rsidR="002F5550" w:rsidRPr="0038253B" w:rsidRDefault="002F5550" w:rsidP="00501ABB">
      <w:pPr>
        <w:spacing w:after="120"/>
        <w:ind w:left="0"/>
        <w:rPr>
          <w:color w:val="000000"/>
        </w:rPr>
      </w:pPr>
    </w:p>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rsidR="00CB4A9C" w:rsidRPr="0038253B" w:rsidRDefault="00A31CE7" w:rsidP="008A0101">
            <w:pPr>
              <w:ind w:left="0"/>
              <w:rPr>
                <w:rFonts w:ascii="Arial" w:hAnsi="Arial" w:cs="Arial"/>
                <w:b/>
                <w:color w:val="BF8F00" w:themeColor="accent4" w:themeShade="BF"/>
                <w:sz w:val="36"/>
                <w:szCs w:val="36"/>
              </w:rPr>
            </w:pPr>
            <w:bookmarkStart w:id="14" w:name="_Toc482800008"/>
            <w:r w:rsidRPr="0038253B">
              <w:rPr>
                <w:rFonts w:ascii="Arial" w:hAnsi="Arial" w:cs="Arial"/>
                <w:b/>
                <w:sz w:val="36"/>
                <w:szCs w:val="36"/>
              </w:rPr>
              <w:lastRenderedPageBreak/>
              <w:t>Draft Rules – With Edits Incorporated</w:t>
            </w:r>
            <w:bookmarkEnd w:id="14"/>
            <w:r w:rsidR="008A0101" w:rsidRPr="0038253B">
              <w:rPr>
                <w:rFonts w:ascii="Arial" w:hAnsi="Arial" w:cs="Arial"/>
                <w:b/>
                <w:color w:val="BF8F00" w:themeColor="accent4" w:themeShade="BF"/>
                <w:sz w:val="36"/>
                <w:szCs w:val="36"/>
              </w:rPr>
              <w:t xml:space="preserve"> </w:t>
            </w:r>
          </w:p>
          <w:p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rsidR="00A31CE7" w:rsidRPr="0038253B" w:rsidRDefault="00A31CE7" w:rsidP="000770BB">
            <w:pPr>
              <w:pStyle w:val="Heading1"/>
            </w:pPr>
          </w:p>
          <w:p w:rsidR="00A31CE7" w:rsidRPr="0038253B" w:rsidRDefault="00A31CE7" w:rsidP="001B303C">
            <w:pPr>
              <w:ind w:left="0"/>
            </w:pPr>
          </w:p>
        </w:tc>
      </w:tr>
    </w:tbl>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rsidR="00A31CE7" w:rsidRPr="0038253B" w:rsidRDefault="00A31CE7" w:rsidP="000770BB">
            <w:pPr>
              <w:pStyle w:val="Heading1"/>
            </w:pPr>
            <w:bookmarkStart w:id="15" w:name="_Toc482800009"/>
            <w:r w:rsidRPr="0038253B">
              <w:lastRenderedPageBreak/>
              <w:t>Supporting documents</w:t>
            </w:r>
            <w:bookmarkEnd w:id="15"/>
          </w:p>
          <w:p w:rsidR="00A31CE7" w:rsidRPr="0038253B" w:rsidRDefault="00A31CE7" w:rsidP="001B303C">
            <w:pPr>
              <w:ind w:left="0"/>
            </w:pPr>
            <w:bookmarkStart w:id="16" w:name="_GoBack"/>
            <w:bookmarkEnd w:id="16"/>
          </w:p>
        </w:tc>
      </w:tr>
    </w:tbl>
    <w:p w:rsidR="00A31CE7" w:rsidRPr="0038253B" w:rsidRDefault="00A31CE7" w:rsidP="00501ABB">
      <w:pPr>
        <w:spacing w:after="120"/>
        <w:ind w:left="0"/>
        <w:rPr>
          <w:color w:val="000000"/>
        </w:rPr>
      </w:pPr>
    </w:p>
    <w:p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88" w:rsidRDefault="00A43288" w:rsidP="002D6C99">
      <w:r>
        <w:separator/>
      </w:r>
    </w:p>
  </w:endnote>
  <w:endnote w:type="continuationSeparator" w:id="0">
    <w:p w:rsidR="00A43288" w:rsidRDefault="00A4328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rsidR="00A43288" w:rsidRDefault="00A43288">
        <w:pPr>
          <w:pStyle w:val="Footer"/>
          <w:jc w:val="right"/>
        </w:pPr>
        <w:r>
          <w:fldChar w:fldCharType="begin"/>
        </w:r>
        <w:r>
          <w:instrText xml:space="preserve"> PAGE   \* MERGEFORMAT </w:instrText>
        </w:r>
        <w:r>
          <w:fldChar w:fldCharType="separate"/>
        </w:r>
        <w:r w:rsidR="0078711B">
          <w:rPr>
            <w:noProof/>
          </w:rPr>
          <w:t>34</w:t>
        </w:r>
        <w:r>
          <w:rPr>
            <w:noProof/>
          </w:rPr>
          <w:fldChar w:fldCharType="end"/>
        </w:r>
      </w:p>
    </w:sdtContent>
  </w:sdt>
  <w:p w:rsidR="00A43288" w:rsidRDefault="00A4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rsidR="00A43288" w:rsidRDefault="00A43288">
        <w:pPr>
          <w:pStyle w:val="Footer"/>
          <w:jc w:val="right"/>
        </w:pPr>
        <w:r>
          <w:fldChar w:fldCharType="begin"/>
        </w:r>
        <w:r>
          <w:instrText xml:space="preserve"> PAGE   \* MERGEFORMAT </w:instrText>
        </w:r>
        <w:r>
          <w:fldChar w:fldCharType="separate"/>
        </w:r>
        <w:r w:rsidR="0078711B">
          <w:rPr>
            <w:noProof/>
          </w:rPr>
          <w:t>1</w:t>
        </w:r>
        <w:r>
          <w:rPr>
            <w:noProof/>
          </w:rPr>
          <w:fldChar w:fldCharType="end"/>
        </w:r>
      </w:p>
    </w:sdtContent>
  </w:sdt>
  <w:p w:rsidR="00A43288" w:rsidRDefault="00A4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88" w:rsidRDefault="00A43288" w:rsidP="002D6C99">
      <w:r>
        <w:separator/>
      </w:r>
    </w:p>
  </w:footnote>
  <w:footnote w:type="continuationSeparator" w:id="0">
    <w:p w:rsidR="00A43288" w:rsidRDefault="00A4328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88" w:rsidRPr="00F72D05" w:rsidRDefault="00A43288"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88" w:rsidRDefault="00A4328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8"/>
  </w:num>
  <w:num w:numId="4">
    <w:abstractNumId w:val="21"/>
  </w:num>
  <w:num w:numId="5">
    <w:abstractNumId w:val="20"/>
  </w:num>
  <w:num w:numId="6">
    <w:abstractNumId w:val="25"/>
  </w:num>
  <w:num w:numId="7">
    <w:abstractNumId w:val="27"/>
  </w:num>
  <w:num w:numId="8">
    <w:abstractNumId w:val="14"/>
  </w:num>
  <w:num w:numId="9">
    <w:abstractNumId w:val="15"/>
  </w:num>
  <w:num w:numId="10">
    <w:abstractNumId w:val="11"/>
  </w:num>
  <w:num w:numId="11">
    <w:abstractNumId w:val="13"/>
  </w:num>
  <w:num w:numId="12">
    <w:abstractNumId w:val="26"/>
  </w:num>
  <w:num w:numId="13">
    <w:abstractNumId w:val="22"/>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4"/>
  </w:num>
  <w:num w:numId="29">
    <w:abstractNumId w:val="19"/>
  </w:num>
  <w:num w:numId="30">
    <w:abstractNumId w:val="16"/>
  </w:num>
  <w:num w:numId="31">
    <w:abstractNumId w:val="23"/>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75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ublic.govdelivery.com/accounts/ORDEQ/subscriber/new?topic_id=ORDEQ_???" TargetMode="External"/><Relationship Id="rId26" Type="http://schemas.openxmlformats.org/officeDocument/2006/relationships/hyperlink" Target="http://deqsps/programs/rulemaking/SitePages/Fee%20approval.aspx" TargetMode="External"/><Relationship Id="rId39" Type="http://schemas.openxmlformats.org/officeDocument/2006/relationships/hyperlink" Target="https://connect9.uc.att.com/service32/meet/?ExEventID=88040259"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oregon.gov/deq/Get-Involved/Pages/Calendar.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deq.state.or.us/regulations/docs/participantlinklog.pdf" TargetMode="External"/><Relationship Id="rId25" Type="http://schemas.openxmlformats.org/officeDocument/2006/relationships/image" Target="media/image3.png"/><Relationship Id="rId33" Type="http://schemas.openxmlformats.org/officeDocument/2006/relationships/hyperlink" Target="http://www.leg.state.or.us/ors/183.html" TargetMode="External"/><Relationship Id="rId38" Type="http://schemas.openxmlformats.org/officeDocument/2006/relationships/hyperlink" Target="https://connect9.uc.att.com/service32/meet/?ExEventID=81910322" TargetMode="External"/><Relationship Id="rId2" Type="http://schemas.openxmlformats.org/officeDocument/2006/relationships/customXml" Target="../customXml/item2.xml"/><Relationship Id="rId16" Type="http://schemas.openxmlformats.org/officeDocument/2006/relationships/hyperlink" Target="https://www.oregon.gov/deq/Rulemaking%20Docs/participantlinklog.pdf" TargetMode="External"/><Relationship Id="rId20" Type="http://schemas.openxmlformats.org/officeDocument/2006/relationships/hyperlink" Target="https://public.govdelivery.com/accounts/ORDEQ/subscriber/new?pop=t&amp;topic_id=ORDEQ_548" TargetMode="External"/><Relationship Id="rId29" Type="http://schemas.openxmlformats.org/officeDocument/2006/relationships/hyperlink" Target="http://deqsps/programs/rulemaking/SitePages/Land%20us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deqsps/programs/rulemaking/SitePages/Hearings.aspx" TargetMode="External"/><Relationship Id="rId37" Type="http://schemas.openxmlformats.org/officeDocument/2006/relationships/hyperlink" Target="http://deqsps/programs/rulemaking/SitePages/Hearings.aspx" TargetMode="External"/><Relationship Id="rId40" Type="http://schemas.openxmlformats.org/officeDocument/2006/relationships/hyperlink" Target="https://www.oregon.gov/deq/Rulemaking%20Docs/participantlinklog.pdf" TargetMode="External"/><Relationship Id="rId5" Type="http://schemas.openxmlformats.org/officeDocument/2006/relationships/numbering" Target="numbering.xml"/><Relationship Id="rId15" Type="http://schemas.openxmlformats.org/officeDocument/2006/relationships/hyperlink" Target="https://connect9.uc.att.com/service32/meet/?ExEventID=88040259" TargetMode="External"/><Relationship Id="rId23" Type="http://schemas.openxmlformats.org/officeDocument/2006/relationships/header" Target="header2.xml"/><Relationship Id="rId28" Type="http://schemas.openxmlformats.org/officeDocument/2006/relationships/hyperlink" Target="http://www.leg.state.or.us/ors/468a.html" TargetMode="External"/><Relationship Id="rId36" Type="http://schemas.openxmlformats.org/officeDocument/2006/relationships/hyperlink" Target="http://www.deq.state.or.us/regulations/docs/participantlinklog.pdf" TargetMode="External"/><Relationship Id="rId10" Type="http://schemas.openxmlformats.org/officeDocument/2006/relationships/endnotes" Target="endnotes.xml"/><Relationship Id="rId19" Type="http://schemas.openxmlformats.org/officeDocument/2006/relationships/hyperlink" Target="http://www.oregon.gov/deq/Regulations/rulemaking/Pages/R????.aspx"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1910322" TargetMode="External"/><Relationship Id="rId22" Type="http://schemas.openxmlformats.org/officeDocument/2006/relationships/footer" Target="footer1.xml"/><Relationship Id="rId27" Type="http://schemas.openxmlformats.org/officeDocument/2006/relationships/hyperlink" Target="http://deqsps/programs/rulemaking/SitePages/Fiscal%20and%20economic%20impact.aspx" TargetMode="External"/><Relationship Id="rId30" Type="http://schemas.openxmlformats.org/officeDocument/2006/relationships/image" Target="media/image4.tiff"/><Relationship Id="rId35" Type="http://schemas.openxmlformats.org/officeDocument/2006/relationships/hyperlink" Target="http://deqsps/programs/rulemaking/SitePages/Hear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39B75D422B247803531BA173F2169" ma:contentTypeVersion="" ma:contentTypeDescription="Create a new document." ma:contentTypeScope="" ma:versionID="6ec22e37c3690e88f8e731a29e187aa8">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9A1D2-A7EA-4BB8-8776-92C0C6D32220}"/>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92989C3D-C88A-48FB-87E8-A28B7EEBD73E}"/>
</file>

<file path=customXml/itemProps4.xml><?xml version="1.0" encoding="utf-8"?>
<ds:datastoreItem xmlns:ds="http://schemas.openxmlformats.org/officeDocument/2006/customXml" ds:itemID="{22ECCC32-2E68-4A2B-B86B-174D068D10D6}"/>
</file>

<file path=docProps/app.xml><?xml version="1.0" encoding="utf-8"?>
<Properties xmlns="http://schemas.openxmlformats.org/officeDocument/2006/extended-properties" xmlns:vt="http://schemas.openxmlformats.org/officeDocument/2006/docPropsVTypes">
  <Template>Normal.dotm</Template>
  <TotalTime>275</TotalTime>
  <Pages>35</Pages>
  <Words>6090</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GOLDSTEIN Meyer</cp:lastModifiedBy>
  <cp:revision>78</cp:revision>
  <cp:lastPrinted>2013-02-28T21:12:00Z</cp:lastPrinted>
  <dcterms:created xsi:type="dcterms:W3CDTF">2017-05-17T23:00:00Z</dcterms:created>
  <dcterms:modified xsi:type="dcterms:W3CDTF">2018-10-25T19:58:00Z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0x010100F0039B75D422B247803531BA173F2169</vt:lpwstr>
  </property>
</Properties>
</file>