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03" w:rsidRDefault="00040903"/>
    <w:tbl>
      <w:tblPr>
        <w:tblStyle w:val="TableGrid3"/>
        <w:tblW w:w="9360" w:type="dxa"/>
        <w:tblInd w:w="-2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58" w:type="dxa"/>
          <w:left w:w="14" w:type="dxa"/>
          <w:bottom w:w="58" w:type="dxa"/>
          <w:right w:w="86" w:type="dxa"/>
        </w:tblCellMar>
        <w:tblLook w:val="04A0" w:firstRow="1" w:lastRow="0" w:firstColumn="1" w:lastColumn="0" w:noHBand="0" w:noVBand="1"/>
      </w:tblPr>
      <w:tblGrid>
        <w:gridCol w:w="2160"/>
        <w:gridCol w:w="3711"/>
        <w:gridCol w:w="3489"/>
      </w:tblGrid>
      <w:tr w:rsidR="00542D80" w:rsidRPr="006249E6" w:rsidTr="00832A6F">
        <w:trPr>
          <w:trHeight w:val="1455"/>
          <w:tblHeader/>
        </w:trPr>
        <w:tc>
          <w:tcPr>
            <w:tcW w:w="9360" w:type="dxa"/>
            <w:gridSpan w:val="3"/>
            <w:shd w:val="clear" w:color="auto" w:fill="E2EFD9" w:themeFill="accent6" w:themeFillTint="33"/>
            <w:vAlign w:val="center"/>
          </w:tcPr>
          <w:p w:rsidR="00040903" w:rsidRDefault="00040903" w:rsidP="00832A6F">
            <w:pPr>
              <w:ind w:left="38" w:right="72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r w:rsidRPr="00040903">
              <w:rPr>
                <w:rFonts w:ascii="Arial" w:hAnsi="Arial" w:cs="Arial"/>
                <w:b/>
                <w:noProof/>
                <w:color w:val="auto"/>
                <w:sz w:val="32"/>
                <w:szCs w:val="32"/>
                <w:lang w:val="en-ZW" w:eastAsia="en-ZW"/>
              </w:rPr>
              <w:drawing>
                <wp:anchor distT="0" distB="0" distL="114300" distR="114300" simplePos="0" relativeHeight="251659264" behindDoc="0" locked="0" layoutInCell="1" allowOverlap="1" wp14:anchorId="18175F18" wp14:editId="53A7E0BA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13970</wp:posOffset>
                  </wp:positionV>
                  <wp:extent cx="451485" cy="929640"/>
                  <wp:effectExtent l="0" t="0" r="5715" b="381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929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542D80" w:rsidRPr="00040903" w:rsidRDefault="00542D80" w:rsidP="00832A6F">
            <w:pPr>
              <w:ind w:left="38" w:right="72"/>
              <w:jc w:val="center"/>
              <w:rPr>
                <w:rFonts w:ascii="Arial" w:hAnsi="Arial" w:cs="Arial"/>
                <w:b/>
                <w:color w:val="auto"/>
                <w:sz w:val="32"/>
              </w:rPr>
            </w:pPr>
            <w:bookmarkStart w:id="0" w:name="_GoBack"/>
            <w:bookmarkEnd w:id="0"/>
            <w:r w:rsidRPr="00040903">
              <w:rPr>
                <w:rFonts w:ascii="Arial" w:hAnsi="Arial" w:cs="Arial"/>
                <w:b/>
                <w:color w:val="auto"/>
                <w:sz w:val="32"/>
              </w:rPr>
              <w:t>Table 1 – 340-253-8010</w:t>
            </w:r>
          </w:p>
          <w:p w:rsidR="00542D80" w:rsidRPr="00333842" w:rsidRDefault="00542D80" w:rsidP="00832A6F">
            <w:pPr>
              <w:ind w:left="76" w:right="76"/>
              <w:jc w:val="center"/>
              <w:rPr>
                <w:rFonts w:ascii="Arial" w:hAnsi="Arial" w:cs="Arial"/>
                <w:color w:val="FFFFFF"/>
              </w:rPr>
            </w:pPr>
            <w:r w:rsidRPr="00333842">
              <w:rPr>
                <w:rFonts w:ascii="Arial" w:hAnsi="Arial" w:cs="Arial"/>
                <w:b/>
                <w:color w:val="auto"/>
              </w:rPr>
              <w:t>Oregon Clean Fuel Standard for Gasoline and Gasoline Substitutes</w:t>
            </w:r>
          </w:p>
        </w:tc>
      </w:tr>
      <w:tr w:rsidR="00542D80" w:rsidRPr="006249E6" w:rsidTr="00832A6F">
        <w:tc>
          <w:tcPr>
            <w:tcW w:w="2160" w:type="dxa"/>
            <w:shd w:val="clear" w:color="auto" w:fill="C5E0B3" w:themeFill="accent6" w:themeFillTint="66"/>
            <w:vAlign w:val="center"/>
          </w:tcPr>
          <w:p w:rsidR="00542D80" w:rsidRPr="00333842" w:rsidRDefault="00542D80" w:rsidP="00832A6F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333842">
              <w:rPr>
                <w:rFonts w:ascii="Arial" w:hAnsi="Arial" w:cs="Arial"/>
                <w:b/>
                <w:color w:val="000000"/>
                <w:sz w:val="28"/>
              </w:rPr>
              <w:t>Calendar Year</w:t>
            </w:r>
          </w:p>
        </w:tc>
        <w:tc>
          <w:tcPr>
            <w:tcW w:w="3711" w:type="dxa"/>
            <w:shd w:val="clear" w:color="auto" w:fill="C5E0B3" w:themeFill="accent6" w:themeFillTint="66"/>
            <w:vAlign w:val="center"/>
          </w:tcPr>
          <w:p w:rsidR="00542D80" w:rsidRPr="00333842" w:rsidRDefault="00542D80" w:rsidP="00832A6F">
            <w:pPr>
              <w:spacing w:after="120"/>
              <w:ind w:left="76" w:right="13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333842">
              <w:rPr>
                <w:rFonts w:ascii="Arial" w:hAnsi="Arial" w:cs="Arial"/>
                <w:b/>
                <w:color w:val="000000"/>
                <w:sz w:val="28"/>
              </w:rPr>
              <w:t>Oregon Clean Fuel Standard (gCO2e per MJ)</w:t>
            </w:r>
          </w:p>
        </w:tc>
        <w:tc>
          <w:tcPr>
            <w:tcW w:w="3489" w:type="dxa"/>
            <w:shd w:val="clear" w:color="auto" w:fill="C5E0B3" w:themeFill="accent6" w:themeFillTint="66"/>
            <w:vAlign w:val="center"/>
          </w:tcPr>
          <w:p w:rsidR="00542D80" w:rsidRPr="00333842" w:rsidRDefault="00542D80" w:rsidP="00832A6F">
            <w:pPr>
              <w:spacing w:after="120"/>
              <w:ind w:left="76" w:right="181"/>
              <w:jc w:val="center"/>
              <w:rPr>
                <w:rFonts w:ascii="Arial" w:hAnsi="Arial" w:cs="Arial"/>
                <w:b/>
                <w:color w:val="000000"/>
                <w:sz w:val="28"/>
              </w:rPr>
            </w:pPr>
            <w:r w:rsidRPr="00333842">
              <w:rPr>
                <w:rFonts w:ascii="Arial" w:hAnsi="Arial" w:cs="Arial"/>
                <w:b/>
                <w:color w:val="000000"/>
                <w:sz w:val="28"/>
              </w:rPr>
              <w:t>Percent Reduction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2015</w:t>
            </w:r>
          </w:p>
        </w:tc>
        <w:tc>
          <w:tcPr>
            <w:tcW w:w="7200" w:type="dxa"/>
            <w:gridSpan w:val="2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None (Gasoline Baseline is 98.62 for 2016-2017, 98.64 for 2018</w:t>
            </w:r>
            <w:r>
              <w:rPr>
                <w:color w:val="000000"/>
              </w:rPr>
              <w:t>, and 98.29 for 2019</w:t>
            </w:r>
            <w:r w:rsidRPr="006249E6">
              <w:rPr>
                <w:color w:val="000000"/>
              </w:rPr>
              <w:t xml:space="preserve"> and beyond)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2016*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 xml:space="preserve">98.37 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0.25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2017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98.13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0.50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2018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97.66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1.00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2019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6.82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1.50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2020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5.83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2.50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2021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4.85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3.50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2022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3.38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5.00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2023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</w:t>
            </w:r>
            <w:r>
              <w:rPr>
                <w:color w:val="000000"/>
              </w:rPr>
              <w:t>1.90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6.50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2024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90.</w:t>
            </w:r>
            <w:r>
              <w:rPr>
                <w:color w:val="000000"/>
              </w:rPr>
              <w:t>43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t>8.00 percent</w:t>
            </w:r>
          </w:p>
        </w:tc>
      </w:tr>
      <w:tr w:rsidR="00542D80" w:rsidRPr="006249E6" w:rsidTr="00832A6F">
        <w:trPr>
          <w:trHeight w:val="288"/>
        </w:trPr>
        <w:tc>
          <w:tcPr>
            <w:tcW w:w="2160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2025 and beyond</w:t>
            </w:r>
          </w:p>
        </w:tc>
        <w:tc>
          <w:tcPr>
            <w:tcW w:w="3711" w:type="dxa"/>
            <w:vAlign w:val="center"/>
          </w:tcPr>
          <w:p w:rsidR="00542D80" w:rsidRPr="006249E6" w:rsidRDefault="00542D80" w:rsidP="00832A6F">
            <w:pPr>
              <w:spacing w:before="120" w:after="120"/>
              <w:ind w:left="76" w:right="101"/>
              <w:jc w:val="center"/>
              <w:rPr>
                <w:color w:val="000000"/>
              </w:rPr>
            </w:pPr>
            <w:r w:rsidRPr="006249E6">
              <w:rPr>
                <w:color w:val="000000"/>
              </w:rPr>
              <w:t>88.</w:t>
            </w:r>
            <w:r>
              <w:rPr>
                <w:color w:val="000000"/>
              </w:rPr>
              <w:t>46</w:t>
            </w:r>
          </w:p>
        </w:tc>
        <w:tc>
          <w:tcPr>
            <w:tcW w:w="3489" w:type="dxa"/>
            <w:vAlign w:val="center"/>
          </w:tcPr>
          <w:p w:rsidR="00542D80" w:rsidRPr="006249E6" w:rsidRDefault="00542D80" w:rsidP="00542D80">
            <w:pPr>
              <w:numPr>
                <w:ilvl w:val="0"/>
                <w:numId w:val="1"/>
              </w:numPr>
              <w:spacing w:before="120" w:after="120"/>
              <w:ind w:right="101"/>
              <w:contextualSpacing/>
              <w:jc w:val="center"/>
              <w:outlineLvl w:val="9"/>
              <w:rPr>
                <w:color w:val="000000"/>
              </w:rPr>
            </w:pPr>
            <w:r w:rsidRPr="006249E6">
              <w:t>percent</w:t>
            </w:r>
          </w:p>
        </w:tc>
      </w:tr>
    </w:tbl>
    <w:p w:rsidR="00542D80" w:rsidRDefault="00542D80" w:rsidP="00542D80">
      <w:pPr>
        <w:ind w:right="144"/>
      </w:pPr>
      <w:r w:rsidRPr="003149E2">
        <w:t xml:space="preserve">*Initial compliance period is a two-year period for 2016 and 2017. </w:t>
      </w:r>
    </w:p>
    <w:p w:rsidR="00BA5D9D" w:rsidRDefault="00BA5D9D"/>
    <w:sectPr w:rsidR="00BA5D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A118A"/>
    <w:multiLevelType w:val="multilevel"/>
    <w:tmpl w:val="3C807BD8"/>
    <w:lvl w:ilvl="0">
      <w:start w:val="10"/>
      <w:numFmt w:val="decimal"/>
      <w:lvlText w:val="%1.0"/>
      <w:lvlJc w:val="left"/>
      <w:pPr>
        <w:ind w:left="616" w:hanging="540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336" w:hanging="54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2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956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40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756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836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55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636" w:hanging="180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D80"/>
    <w:rsid w:val="00040903"/>
    <w:rsid w:val="00542D80"/>
    <w:rsid w:val="00BA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14FE7"/>
  <w15:chartTrackingRefBased/>
  <w15:docId w15:val="{EEA4A97A-AC4F-4653-BD1C-871788866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2D80"/>
    <w:pPr>
      <w:spacing w:after="0" w:line="240" w:lineRule="auto"/>
      <w:ind w:left="720" w:right="18"/>
      <w:outlineLvl w:val="0"/>
    </w:pPr>
    <w:rPr>
      <w:rFonts w:ascii="Times New Roman" w:eastAsia="Times New Roman" w:hAnsi="Times New Roman" w:cs="Times New Roman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2D80"/>
    <w:rPr>
      <w:color w:val="0563C1" w:themeColor="hyperlink"/>
      <w:u w:val="single"/>
    </w:rPr>
  </w:style>
  <w:style w:type="table" w:customStyle="1" w:styleId="TableGrid3">
    <w:name w:val="Table Grid3"/>
    <w:basedOn w:val="TableNormal"/>
    <w:next w:val="TableGrid"/>
    <w:uiPriority w:val="59"/>
    <w:rsid w:val="00542D80"/>
    <w:pPr>
      <w:spacing w:after="0" w:line="240" w:lineRule="auto"/>
      <w:ind w:left="28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54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Environmental Quality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HNIDEY Emil</dc:creator>
  <cp:keywords/>
  <dc:description/>
  <cp:lastModifiedBy>HNIDEY Emil</cp:lastModifiedBy>
  <cp:revision>2</cp:revision>
  <dcterms:created xsi:type="dcterms:W3CDTF">2018-08-29T18:32:00Z</dcterms:created>
  <dcterms:modified xsi:type="dcterms:W3CDTF">2018-08-29T18:42:00Z</dcterms:modified>
</cp:coreProperties>
</file>