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3"/>
        <w:tblW w:w="936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58" w:type="dxa"/>
          <w:left w:w="14" w:type="dxa"/>
          <w:bottom w:w="58" w:type="dxa"/>
          <w:right w:w="86" w:type="dxa"/>
        </w:tblCellMar>
        <w:tblLook w:val="04A0" w:firstRow="1" w:lastRow="0" w:firstColumn="1" w:lastColumn="0" w:noHBand="0" w:noVBand="1"/>
      </w:tblPr>
      <w:tblGrid>
        <w:gridCol w:w="2160"/>
        <w:gridCol w:w="3711"/>
        <w:gridCol w:w="3489"/>
      </w:tblGrid>
      <w:tr w:rsidR="00A84BAF" w:rsidRPr="006249E6" w:rsidTr="009769F5">
        <w:trPr>
          <w:trHeight w:val="1455"/>
          <w:tblHeader/>
        </w:trPr>
        <w:tc>
          <w:tcPr>
            <w:tcW w:w="9360" w:type="dxa"/>
            <w:gridSpan w:val="3"/>
            <w:shd w:val="clear" w:color="auto" w:fill="E2EFD9" w:themeFill="accent6" w:themeFillTint="33"/>
            <w:vAlign w:val="center"/>
          </w:tcPr>
          <w:p w:rsidR="00A84BAF" w:rsidRPr="00332DEB" w:rsidRDefault="00A84BAF" w:rsidP="00901DAE">
            <w:pPr>
              <w:ind w:left="76" w:right="76"/>
              <w:jc w:val="center"/>
              <w:rPr>
                <w:rFonts w:ascii="Arial" w:hAnsi="Arial" w:cs="Arial"/>
                <w:b/>
                <w:color w:val="auto"/>
                <w:sz w:val="32"/>
              </w:rPr>
            </w:pPr>
            <w:r w:rsidRPr="009F1391">
              <w:rPr>
                <w:rFonts w:ascii="Arial" w:hAnsi="Arial" w:cs="Arial"/>
                <w:b/>
                <w:noProof/>
                <w:sz w:val="32"/>
                <w:szCs w:val="32"/>
                <w:lang w:val="en-ZW" w:eastAsia="en-ZW"/>
              </w:rPr>
              <w:drawing>
                <wp:anchor distT="0" distB="0" distL="114300" distR="114300" simplePos="0" relativeHeight="251662336" behindDoc="0" locked="0" layoutInCell="1" allowOverlap="1" wp14:anchorId="10FD8265" wp14:editId="6880182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-5715</wp:posOffset>
                  </wp:positionV>
                  <wp:extent cx="451485" cy="929640"/>
                  <wp:effectExtent l="0" t="0" r="5715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2DEB">
              <w:rPr>
                <w:rFonts w:ascii="Arial" w:hAnsi="Arial" w:cs="Arial"/>
                <w:b/>
                <w:color w:val="auto"/>
                <w:sz w:val="32"/>
              </w:rPr>
              <w:t>Table 1 – 340-253-8010</w:t>
            </w:r>
          </w:p>
          <w:p w:rsidR="00A84BAF" w:rsidRPr="00332DEB" w:rsidRDefault="00A84BAF" w:rsidP="00901DAE">
            <w:pPr>
              <w:ind w:left="72" w:right="72"/>
              <w:jc w:val="center"/>
              <w:rPr>
                <w:rFonts w:ascii="Arial" w:hAnsi="Arial" w:cs="Arial"/>
                <w:color w:val="auto"/>
              </w:rPr>
            </w:pPr>
          </w:p>
          <w:p w:rsidR="00A84BAF" w:rsidRPr="00332DEB" w:rsidRDefault="00A84BAF" w:rsidP="00901DAE">
            <w:pPr>
              <w:ind w:left="76" w:right="76"/>
              <w:jc w:val="center"/>
              <w:rPr>
                <w:rFonts w:ascii="Arial" w:hAnsi="Arial" w:cs="Arial"/>
                <w:color w:val="FFFFFF"/>
              </w:rPr>
            </w:pPr>
            <w:r w:rsidRPr="00332DEB">
              <w:rPr>
                <w:rFonts w:ascii="Arial" w:hAnsi="Arial" w:cs="Arial"/>
                <w:b/>
                <w:color w:val="auto"/>
              </w:rPr>
              <w:t>Oregon Clean Fuel Standard for Gasoline and Gasoline Substitutes</w:t>
            </w:r>
          </w:p>
        </w:tc>
      </w:tr>
      <w:tr w:rsidR="00A84BAF" w:rsidRPr="006249E6" w:rsidTr="009769F5">
        <w:tc>
          <w:tcPr>
            <w:tcW w:w="2160" w:type="dxa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Calendar Year</w:t>
            </w:r>
          </w:p>
        </w:tc>
        <w:tc>
          <w:tcPr>
            <w:tcW w:w="3711" w:type="dxa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Oregon Clean Fuel Standard (gCO2e per MJ)</w:t>
            </w:r>
          </w:p>
        </w:tc>
        <w:tc>
          <w:tcPr>
            <w:tcW w:w="3489" w:type="dxa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spacing w:after="120"/>
              <w:ind w:left="76" w:right="181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Percent Reduction</w:t>
            </w:r>
          </w:p>
        </w:tc>
      </w:tr>
      <w:tr w:rsidR="00A84BAF" w:rsidRPr="006249E6" w:rsidTr="009769F5">
        <w:trPr>
          <w:trHeight w:val="288"/>
        </w:trPr>
        <w:tc>
          <w:tcPr>
            <w:tcW w:w="216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2015</w:t>
            </w:r>
          </w:p>
        </w:tc>
        <w:tc>
          <w:tcPr>
            <w:tcW w:w="7200" w:type="dxa"/>
            <w:gridSpan w:val="2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None (Gasoline Baseline is 98.62 for 2016-2017, 98.64 for 2018</w:t>
            </w:r>
            <w:r>
              <w:rPr>
                <w:color w:val="000000"/>
              </w:rPr>
              <w:t>, and 98.06 for 2019</w:t>
            </w:r>
            <w:r w:rsidRPr="006249E6">
              <w:rPr>
                <w:color w:val="000000"/>
              </w:rPr>
              <w:t xml:space="preserve"> and beyond)</w:t>
            </w:r>
          </w:p>
        </w:tc>
      </w:tr>
      <w:tr w:rsidR="00A84BAF" w:rsidRPr="006249E6" w:rsidTr="009769F5">
        <w:trPr>
          <w:trHeight w:val="288"/>
        </w:trPr>
        <w:tc>
          <w:tcPr>
            <w:tcW w:w="216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2016*</w:t>
            </w:r>
          </w:p>
        </w:tc>
        <w:tc>
          <w:tcPr>
            <w:tcW w:w="371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 xml:space="preserve">98.37 </w:t>
            </w:r>
          </w:p>
        </w:tc>
        <w:tc>
          <w:tcPr>
            <w:tcW w:w="348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0.25 percent</w:t>
            </w:r>
          </w:p>
        </w:tc>
      </w:tr>
      <w:tr w:rsidR="00A84BAF" w:rsidRPr="006249E6" w:rsidTr="009769F5">
        <w:trPr>
          <w:trHeight w:val="288"/>
        </w:trPr>
        <w:tc>
          <w:tcPr>
            <w:tcW w:w="216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2017</w:t>
            </w:r>
          </w:p>
        </w:tc>
        <w:tc>
          <w:tcPr>
            <w:tcW w:w="371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98.13</w:t>
            </w:r>
          </w:p>
        </w:tc>
        <w:tc>
          <w:tcPr>
            <w:tcW w:w="348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0.50 percent</w:t>
            </w:r>
          </w:p>
        </w:tc>
      </w:tr>
      <w:tr w:rsidR="00A84BAF" w:rsidRPr="006249E6" w:rsidTr="009769F5">
        <w:trPr>
          <w:trHeight w:val="288"/>
        </w:trPr>
        <w:tc>
          <w:tcPr>
            <w:tcW w:w="216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2018</w:t>
            </w:r>
          </w:p>
        </w:tc>
        <w:tc>
          <w:tcPr>
            <w:tcW w:w="371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97.66</w:t>
            </w:r>
          </w:p>
        </w:tc>
        <w:tc>
          <w:tcPr>
            <w:tcW w:w="348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1.00 percent</w:t>
            </w:r>
          </w:p>
        </w:tc>
      </w:tr>
      <w:tr w:rsidR="00A84BAF" w:rsidRPr="006249E6" w:rsidTr="009769F5">
        <w:trPr>
          <w:trHeight w:val="288"/>
        </w:trPr>
        <w:tc>
          <w:tcPr>
            <w:tcW w:w="216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2019</w:t>
            </w:r>
          </w:p>
        </w:tc>
        <w:tc>
          <w:tcPr>
            <w:tcW w:w="371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</w:t>
            </w:r>
            <w:r>
              <w:rPr>
                <w:color w:val="000000"/>
              </w:rPr>
              <w:t>6.59</w:t>
            </w:r>
          </w:p>
        </w:tc>
        <w:tc>
          <w:tcPr>
            <w:tcW w:w="348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1.50 percent</w:t>
            </w:r>
          </w:p>
        </w:tc>
      </w:tr>
      <w:tr w:rsidR="00A84BAF" w:rsidRPr="006249E6" w:rsidTr="009769F5">
        <w:trPr>
          <w:trHeight w:val="288"/>
        </w:trPr>
        <w:tc>
          <w:tcPr>
            <w:tcW w:w="216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2020</w:t>
            </w:r>
          </w:p>
        </w:tc>
        <w:tc>
          <w:tcPr>
            <w:tcW w:w="371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</w:t>
            </w:r>
            <w:r>
              <w:rPr>
                <w:color w:val="000000"/>
              </w:rPr>
              <w:t>5.61</w:t>
            </w:r>
          </w:p>
        </w:tc>
        <w:tc>
          <w:tcPr>
            <w:tcW w:w="348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2.50 percent</w:t>
            </w:r>
          </w:p>
        </w:tc>
      </w:tr>
      <w:tr w:rsidR="00A84BAF" w:rsidRPr="006249E6" w:rsidTr="009769F5">
        <w:trPr>
          <w:trHeight w:val="288"/>
        </w:trPr>
        <w:tc>
          <w:tcPr>
            <w:tcW w:w="216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2021</w:t>
            </w:r>
          </w:p>
        </w:tc>
        <w:tc>
          <w:tcPr>
            <w:tcW w:w="371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</w:t>
            </w:r>
            <w:r>
              <w:rPr>
                <w:color w:val="000000"/>
              </w:rPr>
              <w:t>4.63</w:t>
            </w:r>
          </w:p>
        </w:tc>
        <w:tc>
          <w:tcPr>
            <w:tcW w:w="348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3.50 percent</w:t>
            </w:r>
          </w:p>
        </w:tc>
      </w:tr>
      <w:tr w:rsidR="00A84BAF" w:rsidRPr="006249E6" w:rsidTr="009769F5">
        <w:trPr>
          <w:trHeight w:val="288"/>
        </w:trPr>
        <w:tc>
          <w:tcPr>
            <w:tcW w:w="216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2022</w:t>
            </w:r>
          </w:p>
        </w:tc>
        <w:tc>
          <w:tcPr>
            <w:tcW w:w="371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</w:t>
            </w:r>
            <w:r>
              <w:rPr>
                <w:color w:val="000000"/>
              </w:rPr>
              <w:t>3.15</w:t>
            </w:r>
          </w:p>
        </w:tc>
        <w:tc>
          <w:tcPr>
            <w:tcW w:w="348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5.00 percent</w:t>
            </w:r>
          </w:p>
        </w:tc>
      </w:tr>
      <w:tr w:rsidR="00A84BAF" w:rsidRPr="006249E6" w:rsidTr="009769F5">
        <w:trPr>
          <w:trHeight w:val="288"/>
        </w:trPr>
        <w:tc>
          <w:tcPr>
            <w:tcW w:w="216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2023</w:t>
            </w:r>
          </w:p>
        </w:tc>
        <w:tc>
          <w:tcPr>
            <w:tcW w:w="371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</w:t>
            </w:r>
            <w:r>
              <w:rPr>
                <w:color w:val="000000"/>
              </w:rPr>
              <w:t>1.68</w:t>
            </w:r>
          </w:p>
        </w:tc>
        <w:tc>
          <w:tcPr>
            <w:tcW w:w="348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6.50 percent</w:t>
            </w:r>
          </w:p>
        </w:tc>
      </w:tr>
      <w:tr w:rsidR="00A84BAF" w:rsidRPr="006249E6" w:rsidTr="009769F5">
        <w:trPr>
          <w:trHeight w:val="288"/>
        </w:trPr>
        <w:tc>
          <w:tcPr>
            <w:tcW w:w="216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2024</w:t>
            </w:r>
          </w:p>
        </w:tc>
        <w:tc>
          <w:tcPr>
            <w:tcW w:w="371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90.</w:t>
            </w:r>
            <w:r>
              <w:rPr>
                <w:color w:val="000000"/>
              </w:rPr>
              <w:t>21</w:t>
            </w:r>
          </w:p>
        </w:tc>
        <w:tc>
          <w:tcPr>
            <w:tcW w:w="348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8.00 percent</w:t>
            </w:r>
          </w:p>
        </w:tc>
      </w:tr>
      <w:tr w:rsidR="00A84BAF" w:rsidRPr="006249E6" w:rsidTr="009769F5">
        <w:trPr>
          <w:trHeight w:val="288"/>
        </w:trPr>
        <w:tc>
          <w:tcPr>
            <w:tcW w:w="216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2025 and beyond</w:t>
            </w:r>
          </w:p>
        </w:tc>
        <w:tc>
          <w:tcPr>
            <w:tcW w:w="371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88.</w:t>
            </w:r>
            <w:r>
              <w:rPr>
                <w:color w:val="000000"/>
              </w:rPr>
              <w:t>25</w:t>
            </w:r>
          </w:p>
        </w:tc>
        <w:tc>
          <w:tcPr>
            <w:tcW w:w="3489" w:type="dxa"/>
            <w:vAlign w:val="center"/>
          </w:tcPr>
          <w:p w:rsidR="00A84BAF" w:rsidRPr="006249E6" w:rsidRDefault="00A84BAF" w:rsidP="00A84BAF">
            <w:pPr>
              <w:numPr>
                <w:ilvl w:val="0"/>
                <w:numId w:val="1"/>
              </w:numPr>
              <w:spacing w:before="120" w:after="120"/>
              <w:ind w:right="101"/>
              <w:contextualSpacing/>
              <w:jc w:val="center"/>
              <w:outlineLvl w:val="9"/>
              <w:rPr>
                <w:color w:val="000000"/>
              </w:rPr>
            </w:pPr>
            <w:r w:rsidRPr="006249E6">
              <w:t>percent</w:t>
            </w:r>
          </w:p>
        </w:tc>
      </w:tr>
    </w:tbl>
    <w:p w:rsidR="00A84BAF" w:rsidRDefault="00A84BAF" w:rsidP="00A84BAF">
      <w:pPr>
        <w:ind w:right="144"/>
      </w:pPr>
      <w:r w:rsidRPr="003149E2">
        <w:t xml:space="preserve">*Initial compliance period is a two-year period for 2016 and 2017. </w:t>
      </w:r>
    </w:p>
    <w:p w:rsidR="009769F5" w:rsidRDefault="009769F5">
      <w:pPr>
        <w:spacing w:after="160" w:line="259" w:lineRule="auto"/>
        <w:ind w:left="0" w:right="0"/>
        <w:outlineLvl w:val="9"/>
        <w:rPr>
          <w:rStyle w:val="Hyperlink"/>
          <w:b/>
          <w:bCs/>
        </w:rPr>
      </w:pPr>
      <w:r>
        <w:rPr>
          <w:rStyle w:val="Hyperlink"/>
          <w:b/>
          <w:bCs/>
        </w:rPr>
        <w:br w:type="page"/>
      </w:r>
    </w:p>
    <w:p w:rsidR="009769F5" w:rsidRDefault="009769F5" w:rsidP="00A84BAF">
      <w:pPr>
        <w:spacing w:after="100" w:afterAutospacing="1"/>
        <w:ind w:left="0" w:right="0"/>
        <w:rPr>
          <w:rStyle w:val="Hyperlink"/>
          <w:b/>
          <w:bCs/>
        </w:rPr>
      </w:pPr>
    </w:p>
    <w:tbl>
      <w:tblPr>
        <w:tblStyle w:val="TableGrid2"/>
        <w:tblW w:w="9360" w:type="dxa"/>
        <w:tblInd w:w="-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2159"/>
        <w:gridCol w:w="3691"/>
        <w:gridCol w:w="3510"/>
      </w:tblGrid>
      <w:tr w:rsidR="00A84BAF" w:rsidRPr="006249E6" w:rsidTr="00B20527">
        <w:trPr>
          <w:trHeight w:val="1597"/>
          <w:tblHeader/>
        </w:trPr>
        <w:tc>
          <w:tcPr>
            <w:tcW w:w="9360" w:type="dxa"/>
            <w:gridSpan w:val="3"/>
            <w:shd w:val="clear" w:color="auto" w:fill="E2EFD9" w:themeFill="accent6" w:themeFillTint="33"/>
            <w:vAlign w:val="center"/>
          </w:tcPr>
          <w:p w:rsidR="00A84BAF" w:rsidRPr="00332DEB" w:rsidRDefault="00A84BAF" w:rsidP="00901DAE">
            <w:pPr>
              <w:ind w:left="76" w:right="76"/>
              <w:jc w:val="center"/>
              <w:rPr>
                <w:rFonts w:ascii="Arial" w:hAnsi="Arial" w:cs="Arial"/>
                <w:b/>
                <w:color w:val="auto"/>
                <w:sz w:val="32"/>
              </w:rPr>
            </w:pPr>
            <w:r w:rsidRPr="009F1391">
              <w:rPr>
                <w:rFonts w:ascii="Arial" w:hAnsi="Arial" w:cs="Arial"/>
                <w:b/>
                <w:noProof/>
                <w:sz w:val="32"/>
                <w:szCs w:val="32"/>
                <w:lang w:val="en-ZW" w:eastAsia="en-ZW"/>
              </w:rPr>
              <w:drawing>
                <wp:anchor distT="0" distB="0" distL="114300" distR="114300" simplePos="0" relativeHeight="251663360" behindDoc="0" locked="0" layoutInCell="1" allowOverlap="1" wp14:anchorId="152CA575" wp14:editId="6CD43FEF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36830</wp:posOffset>
                  </wp:positionV>
                  <wp:extent cx="451485" cy="929640"/>
                  <wp:effectExtent l="0" t="0" r="5715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2DEB">
              <w:rPr>
                <w:rFonts w:ascii="Arial" w:hAnsi="Arial" w:cs="Arial"/>
                <w:b/>
                <w:color w:val="auto"/>
                <w:sz w:val="32"/>
              </w:rPr>
              <w:t>Table 2 – 340-253-8020</w:t>
            </w:r>
          </w:p>
          <w:p w:rsidR="00A84BAF" w:rsidRPr="00332DEB" w:rsidRDefault="00A84BAF" w:rsidP="00901DAE">
            <w:pPr>
              <w:ind w:left="76" w:right="76"/>
              <w:jc w:val="center"/>
              <w:rPr>
                <w:rFonts w:ascii="Arial" w:hAnsi="Arial" w:cs="Arial"/>
                <w:color w:val="auto"/>
              </w:rPr>
            </w:pPr>
          </w:p>
          <w:p w:rsidR="00A84BAF" w:rsidRPr="00332DEB" w:rsidRDefault="00A84BAF" w:rsidP="00901DAE">
            <w:pPr>
              <w:spacing w:after="120"/>
              <w:ind w:left="76" w:right="76"/>
              <w:jc w:val="center"/>
              <w:rPr>
                <w:rFonts w:ascii="Arial" w:hAnsi="Arial" w:cs="Arial"/>
                <w:color w:val="FFFFFF"/>
              </w:rPr>
            </w:pPr>
            <w:r w:rsidRPr="00332DEB">
              <w:rPr>
                <w:rFonts w:ascii="Arial" w:hAnsi="Arial" w:cs="Arial"/>
                <w:b/>
                <w:color w:val="auto"/>
              </w:rPr>
              <w:t>Oregon Clean Fuel Standard for Diesel Fuel and Diesel Substitutes</w:t>
            </w:r>
          </w:p>
        </w:tc>
      </w:tr>
      <w:tr w:rsidR="00A84BAF" w:rsidRPr="006249E6" w:rsidTr="00B20527">
        <w:tc>
          <w:tcPr>
            <w:tcW w:w="2159" w:type="dxa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Calendar Year</w:t>
            </w:r>
          </w:p>
        </w:tc>
        <w:tc>
          <w:tcPr>
            <w:tcW w:w="3691" w:type="dxa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Oregon Clean Fuel Standard (gCO2e per MJ)</w:t>
            </w:r>
          </w:p>
        </w:tc>
        <w:tc>
          <w:tcPr>
            <w:tcW w:w="3510" w:type="dxa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spacing w:after="120"/>
              <w:ind w:left="76" w:right="181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Percent Reduction</w:t>
            </w:r>
          </w:p>
        </w:tc>
      </w:tr>
      <w:tr w:rsidR="00A84BAF" w:rsidRPr="006249E6" w:rsidTr="00B20527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2015</w:t>
            </w:r>
          </w:p>
        </w:tc>
        <w:tc>
          <w:tcPr>
            <w:tcW w:w="7201" w:type="dxa"/>
            <w:gridSpan w:val="2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None (Diesel Baseline is 99.64 for 2016-2017, 99.61 for 2018</w:t>
            </w:r>
            <w:r>
              <w:t xml:space="preserve">, </w:t>
            </w:r>
            <w:r w:rsidRPr="006249E6">
              <w:t xml:space="preserve">and </w:t>
            </w:r>
            <w:r>
              <w:t xml:space="preserve">98.74 for 2019 and </w:t>
            </w:r>
            <w:r w:rsidRPr="006249E6">
              <w:t>beyond)</w:t>
            </w:r>
          </w:p>
        </w:tc>
      </w:tr>
      <w:tr w:rsidR="00A84BAF" w:rsidRPr="006249E6" w:rsidTr="00B20527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2016*</w:t>
            </w:r>
          </w:p>
        </w:tc>
        <w:tc>
          <w:tcPr>
            <w:tcW w:w="369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99.39</w:t>
            </w:r>
          </w:p>
        </w:tc>
        <w:tc>
          <w:tcPr>
            <w:tcW w:w="351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0.25 percent</w:t>
            </w:r>
          </w:p>
        </w:tc>
      </w:tr>
      <w:tr w:rsidR="00A84BAF" w:rsidRPr="006249E6" w:rsidTr="00B20527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2017</w:t>
            </w:r>
          </w:p>
        </w:tc>
        <w:tc>
          <w:tcPr>
            <w:tcW w:w="369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99.14</w:t>
            </w:r>
          </w:p>
        </w:tc>
        <w:tc>
          <w:tcPr>
            <w:tcW w:w="351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0.50 percent</w:t>
            </w:r>
          </w:p>
        </w:tc>
      </w:tr>
      <w:tr w:rsidR="00A84BAF" w:rsidRPr="006249E6" w:rsidTr="00B20527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2018</w:t>
            </w:r>
          </w:p>
        </w:tc>
        <w:tc>
          <w:tcPr>
            <w:tcW w:w="369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98.61</w:t>
            </w:r>
          </w:p>
        </w:tc>
        <w:tc>
          <w:tcPr>
            <w:tcW w:w="351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1.00 percent</w:t>
            </w:r>
          </w:p>
        </w:tc>
      </w:tr>
      <w:tr w:rsidR="00A84BAF" w:rsidRPr="006249E6" w:rsidTr="00B20527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2019</w:t>
            </w:r>
          </w:p>
        </w:tc>
        <w:tc>
          <w:tcPr>
            <w:tcW w:w="369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</w:t>
            </w:r>
            <w:r>
              <w:t>7.26</w:t>
            </w:r>
          </w:p>
        </w:tc>
        <w:tc>
          <w:tcPr>
            <w:tcW w:w="351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1.50 percent</w:t>
            </w:r>
          </w:p>
        </w:tc>
      </w:tr>
      <w:tr w:rsidR="00A84BAF" w:rsidRPr="006249E6" w:rsidTr="00B20527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2020</w:t>
            </w:r>
          </w:p>
        </w:tc>
        <w:tc>
          <w:tcPr>
            <w:tcW w:w="369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</w:t>
            </w:r>
            <w:r>
              <w:t>6.27</w:t>
            </w:r>
          </w:p>
        </w:tc>
        <w:tc>
          <w:tcPr>
            <w:tcW w:w="351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2.50 percent</w:t>
            </w:r>
          </w:p>
        </w:tc>
      </w:tr>
      <w:tr w:rsidR="00A84BAF" w:rsidRPr="006249E6" w:rsidTr="00B20527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2021</w:t>
            </w:r>
          </w:p>
        </w:tc>
        <w:tc>
          <w:tcPr>
            <w:tcW w:w="369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</w:t>
            </w:r>
            <w:r>
              <w:t>5.29</w:t>
            </w:r>
          </w:p>
        </w:tc>
        <w:tc>
          <w:tcPr>
            <w:tcW w:w="351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3.50 percent</w:t>
            </w:r>
          </w:p>
        </w:tc>
      </w:tr>
      <w:tr w:rsidR="00A84BAF" w:rsidRPr="006249E6" w:rsidTr="00B20527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2022</w:t>
            </w:r>
          </w:p>
        </w:tc>
        <w:tc>
          <w:tcPr>
            <w:tcW w:w="369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</w:t>
            </w:r>
            <w:r>
              <w:t>3.81</w:t>
            </w:r>
          </w:p>
        </w:tc>
        <w:tc>
          <w:tcPr>
            <w:tcW w:w="351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5.00 percent</w:t>
            </w:r>
          </w:p>
        </w:tc>
      </w:tr>
      <w:tr w:rsidR="00A84BAF" w:rsidRPr="006249E6" w:rsidTr="00B20527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2023</w:t>
            </w:r>
          </w:p>
        </w:tc>
        <w:tc>
          <w:tcPr>
            <w:tcW w:w="369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</w:t>
            </w:r>
            <w:r>
              <w:t>2.32</w:t>
            </w:r>
          </w:p>
        </w:tc>
        <w:tc>
          <w:tcPr>
            <w:tcW w:w="351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6.50 percent</w:t>
            </w:r>
          </w:p>
        </w:tc>
      </w:tr>
      <w:tr w:rsidR="00A84BAF" w:rsidRPr="006249E6" w:rsidTr="00B20527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2024</w:t>
            </w:r>
          </w:p>
        </w:tc>
        <w:tc>
          <w:tcPr>
            <w:tcW w:w="369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</w:t>
            </w:r>
            <w:r>
              <w:t>0.84</w:t>
            </w:r>
          </w:p>
        </w:tc>
        <w:tc>
          <w:tcPr>
            <w:tcW w:w="351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8.00 percent</w:t>
            </w:r>
          </w:p>
        </w:tc>
      </w:tr>
      <w:tr w:rsidR="00A84BAF" w:rsidRPr="006249E6" w:rsidTr="00B20527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2025 and beyond</w:t>
            </w:r>
          </w:p>
        </w:tc>
        <w:tc>
          <w:tcPr>
            <w:tcW w:w="369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t>88.87</w:t>
            </w:r>
          </w:p>
        </w:tc>
        <w:tc>
          <w:tcPr>
            <w:tcW w:w="3510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10.00 percent</w:t>
            </w:r>
          </w:p>
        </w:tc>
      </w:tr>
    </w:tbl>
    <w:p w:rsidR="00A84BAF" w:rsidRDefault="00A84BAF" w:rsidP="00A84BAF">
      <w:pPr>
        <w:spacing w:after="100" w:afterAutospacing="1"/>
        <w:ind w:left="0" w:right="0"/>
      </w:pPr>
      <w:r w:rsidRPr="003149E2">
        <w:t xml:space="preserve">*Initial compliance period is a two-year period for 2016 and 2017. </w:t>
      </w:r>
    </w:p>
    <w:p w:rsidR="00B20527" w:rsidRDefault="00B20527">
      <w:pPr>
        <w:spacing w:after="160" w:line="259" w:lineRule="auto"/>
        <w:ind w:left="0" w:right="0"/>
        <w:outlineLvl w:val="9"/>
        <w:rPr>
          <w:rStyle w:val="Hyperlink"/>
          <w:b/>
          <w:bCs/>
        </w:rPr>
      </w:pPr>
      <w:r>
        <w:rPr>
          <w:rStyle w:val="Hyperlink"/>
          <w:b/>
          <w:bCs/>
        </w:rPr>
        <w:br w:type="page"/>
      </w:r>
    </w:p>
    <w:p w:rsidR="00B20527" w:rsidRDefault="00B20527" w:rsidP="00A84BAF">
      <w:pPr>
        <w:spacing w:after="100" w:afterAutospacing="1"/>
        <w:ind w:left="0" w:right="0"/>
        <w:rPr>
          <w:rStyle w:val="Hyperlink"/>
          <w:b/>
          <w:bCs/>
        </w:rPr>
      </w:pPr>
    </w:p>
    <w:tbl>
      <w:tblPr>
        <w:tblStyle w:val="TableGrid2"/>
        <w:tblW w:w="936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2159"/>
        <w:gridCol w:w="7201"/>
      </w:tblGrid>
      <w:tr w:rsidR="00A84BAF" w:rsidRPr="006249E6" w:rsidTr="009B178F">
        <w:trPr>
          <w:trHeight w:val="1669"/>
          <w:tblHeader/>
        </w:trPr>
        <w:tc>
          <w:tcPr>
            <w:tcW w:w="9360" w:type="dxa"/>
            <w:gridSpan w:val="2"/>
            <w:shd w:val="clear" w:color="auto" w:fill="E2EFD9" w:themeFill="accent6" w:themeFillTint="33"/>
            <w:vAlign w:val="center"/>
          </w:tcPr>
          <w:p w:rsidR="00A84BAF" w:rsidRPr="00332DEB" w:rsidRDefault="00A84BAF" w:rsidP="00901DAE">
            <w:pPr>
              <w:ind w:left="76" w:right="76"/>
              <w:jc w:val="center"/>
              <w:rPr>
                <w:rFonts w:ascii="Arial" w:hAnsi="Arial" w:cs="Arial"/>
                <w:b/>
                <w:color w:val="auto"/>
                <w:sz w:val="32"/>
              </w:rPr>
            </w:pPr>
            <w:r w:rsidRPr="00332DEB">
              <w:rPr>
                <w:rFonts w:ascii="Arial" w:hAnsi="Arial" w:cs="Arial"/>
                <w:b/>
                <w:noProof/>
                <w:color w:val="auto"/>
                <w:sz w:val="32"/>
                <w:szCs w:val="32"/>
                <w:lang w:val="en-ZW" w:eastAsia="en-ZW"/>
              </w:rPr>
              <w:drawing>
                <wp:anchor distT="0" distB="0" distL="114300" distR="114300" simplePos="0" relativeHeight="251664384" behindDoc="0" locked="0" layoutInCell="1" allowOverlap="1" wp14:anchorId="25A5AA23" wp14:editId="5F7CD35C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15240</wp:posOffset>
                  </wp:positionV>
                  <wp:extent cx="451485" cy="929640"/>
                  <wp:effectExtent l="0" t="0" r="571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2DEB">
              <w:rPr>
                <w:rFonts w:ascii="Arial" w:hAnsi="Arial" w:cs="Arial"/>
                <w:b/>
                <w:color w:val="auto"/>
                <w:sz w:val="32"/>
              </w:rPr>
              <w:t>Table 3 – 340-253-8030</w:t>
            </w:r>
          </w:p>
          <w:p w:rsidR="00A84BAF" w:rsidRPr="00332DEB" w:rsidRDefault="00A84BAF" w:rsidP="00901DAE">
            <w:pPr>
              <w:ind w:left="76" w:right="76"/>
              <w:jc w:val="center"/>
              <w:rPr>
                <w:rFonts w:ascii="Arial" w:hAnsi="Arial" w:cs="Arial"/>
                <w:color w:val="auto"/>
              </w:rPr>
            </w:pPr>
          </w:p>
          <w:p w:rsidR="00A84BAF" w:rsidRPr="006249E6" w:rsidRDefault="00A84BAF" w:rsidP="00901DAE">
            <w:pPr>
              <w:spacing w:after="120"/>
              <w:ind w:left="76" w:right="76"/>
              <w:jc w:val="center"/>
              <w:rPr>
                <w:color w:val="FFFFFF"/>
              </w:rPr>
            </w:pPr>
            <w:r w:rsidRPr="00332DEB">
              <w:rPr>
                <w:rFonts w:ascii="Arial" w:hAnsi="Arial" w:cs="Arial"/>
                <w:b/>
                <w:color w:val="auto"/>
              </w:rPr>
              <w:t>Oregon Clean Fuel Standard for Alternative Jet Fuel</w:t>
            </w:r>
          </w:p>
        </w:tc>
      </w:tr>
      <w:tr w:rsidR="00A84BAF" w:rsidRPr="006249E6" w:rsidTr="009B178F">
        <w:tc>
          <w:tcPr>
            <w:tcW w:w="2159" w:type="dxa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Calendar Year</w:t>
            </w:r>
          </w:p>
        </w:tc>
        <w:tc>
          <w:tcPr>
            <w:tcW w:w="7201" w:type="dxa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Oregon Clean Fuel Standard (gCO2e per MJ)</w:t>
            </w:r>
          </w:p>
        </w:tc>
      </w:tr>
      <w:tr w:rsidR="00A84BAF" w:rsidRPr="006249E6" w:rsidTr="009B178F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2015</w:t>
            </w:r>
          </w:p>
        </w:tc>
        <w:tc>
          <w:tcPr>
            <w:tcW w:w="720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None (Diesel Baseline is 99.64 for 2016-2017, 99.61 for 2018</w:t>
            </w:r>
            <w:r>
              <w:t>,</w:t>
            </w:r>
            <w:r w:rsidRPr="006249E6">
              <w:t xml:space="preserve"> and </w:t>
            </w:r>
            <w:r>
              <w:t xml:space="preserve">98.74 for 2019 and </w:t>
            </w:r>
            <w:r w:rsidRPr="006249E6">
              <w:t>beyond</w:t>
            </w:r>
            <w:r>
              <w:t>. The fossil jet baseline is 90.97.</w:t>
            </w:r>
            <w:r w:rsidRPr="006249E6">
              <w:t>)</w:t>
            </w:r>
          </w:p>
        </w:tc>
      </w:tr>
      <w:tr w:rsidR="00A84BAF" w:rsidRPr="006249E6" w:rsidTr="009B178F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2019</w:t>
            </w:r>
          </w:p>
        </w:tc>
        <w:tc>
          <w:tcPr>
            <w:tcW w:w="720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90.80</w:t>
            </w:r>
          </w:p>
        </w:tc>
      </w:tr>
      <w:tr w:rsidR="00A84BAF" w:rsidRPr="006249E6" w:rsidTr="009B178F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2020</w:t>
            </w:r>
          </w:p>
        </w:tc>
        <w:tc>
          <w:tcPr>
            <w:tcW w:w="720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90.80</w:t>
            </w:r>
          </w:p>
        </w:tc>
      </w:tr>
      <w:tr w:rsidR="00A84BAF" w:rsidRPr="006249E6" w:rsidTr="009B178F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2021</w:t>
            </w:r>
          </w:p>
        </w:tc>
        <w:tc>
          <w:tcPr>
            <w:tcW w:w="720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90.80</w:t>
            </w:r>
          </w:p>
        </w:tc>
      </w:tr>
      <w:tr w:rsidR="00A84BAF" w:rsidRPr="006249E6" w:rsidTr="009B178F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2022</w:t>
            </w:r>
          </w:p>
        </w:tc>
        <w:tc>
          <w:tcPr>
            <w:tcW w:w="720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90.80</w:t>
            </w:r>
          </w:p>
        </w:tc>
      </w:tr>
      <w:tr w:rsidR="00A84BAF" w:rsidRPr="006249E6" w:rsidTr="009B178F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2023</w:t>
            </w:r>
          </w:p>
        </w:tc>
        <w:tc>
          <w:tcPr>
            <w:tcW w:w="720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90.80</w:t>
            </w:r>
          </w:p>
        </w:tc>
      </w:tr>
      <w:tr w:rsidR="00A84BAF" w:rsidRPr="006249E6" w:rsidTr="009B178F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2024</w:t>
            </w:r>
          </w:p>
        </w:tc>
        <w:tc>
          <w:tcPr>
            <w:tcW w:w="720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90.80</w:t>
            </w:r>
          </w:p>
        </w:tc>
      </w:tr>
      <w:tr w:rsidR="00A84BAF" w:rsidRPr="006249E6" w:rsidTr="009B178F">
        <w:trPr>
          <w:trHeight w:val="350"/>
        </w:trPr>
        <w:tc>
          <w:tcPr>
            <w:tcW w:w="2159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2025 and beyond</w:t>
            </w:r>
          </w:p>
        </w:tc>
        <w:tc>
          <w:tcPr>
            <w:tcW w:w="7201" w:type="dxa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t>88.87</w:t>
            </w:r>
          </w:p>
        </w:tc>
      </w:tr>
    </w:tbl>
    <w:p w:rsidR="00A84BAF" w:rsidRPr="00B54349" w:rsidRDefault="00A84BAF" w:rsidP="00A84BAF">
      <w:pPr>
        <w:spacing w:after="100" w:afterAutospacing="1"/>
        <w:ind w:left="0" w:right="0"/>
      </w:pPr>
    </w:p>
    <w:p w:rsidR="009B178F" w:rsidRDefault="009B178F">
      <w:pPr>
        <w:spacing w:after="160" w:line="259" w:lineRule="auto"/>
        <w:ind w:left="0" w:right="0"/>
        <w:outlineLvl w:val="9"/>
      </w:pPr>
      <w:r>
        <w:br w:type="page"/>
      </w:r>
    </w:p>
    <w:tbl>
      <w:tblPr>
        <w:tblStyle w:val="TableGrid11"/>
        <w:tblW w:w="945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522"/>
        <w:gridCol w:w="1620"/>
        <w:gridCol w:w="3518"/>
        <w:gridCol w:w="2790"/>
      </w:tblGrid>
      <w:tr w:rsidR="00A84BAF" w:rsidRPr="006249E6" w:rsidTr="001E17C6">
        <w:trPr>
          <w:trHeight w:val="1561"/>
          <w:tblHeader/>
        </w:trPr>
        <w:tc>
          <w:tcPr>
            <w:tcW w:w="9450" w:type="dxa"/>
            <w:gridSpan w:val="4"/>
            <w:shd w:val="clear" w:color="auto" w:fill="E2EFD9" w:themeFill="accent6" w:themeFillTint="33"/>
            <w:vAlign w:val="center"/>
          </w:tcPr>
          <w:p w:rsidR="00A84BAF" w:rsidRPr="00A84BAF" w:rsidRDefault="00A84BAF" w:rsidP="00901DAE">
            <w:pPr>
              <w:ind w:left="76"/>
              <w:jc w:val="center"/>
              <w:rPr>
                <w:rFonts w:ascii="Arial" w:hAnsi="Arial" w:cs="Arial"/>
                <w:b/>
                <w:color w:val="auto"/>
                <w:sz w:val="32"/>
                <w:lang w:bidi="en-US"/>
              </w:rPr>
            </w:pPr>
            <w:r w:rsidRPr="009F1391">
              <w:rPr>
                <w:rFonts w:ascii="Arial" w:hAnsi="Arial" w:cs="Arial"/>
                <w:b/>
                <w:noProof/>
                <w:sz w:val="32"/>
                <w:szCs w:val="32"/>
                <w:lang w:val="en-ZW" w:eastAsia="en-ZW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2C557AC" wp14:editId="77C146DC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-1270</wp:posOffset>
                  </wp:positionV>
                  <wp:extent cx="451485" cy="929640"/>
                  <wp:effectExtent l="0" t="0" r="5715" b="381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4BAF">
              <w:rPr>
                <w:rFonts w:ascii="Arial" w:hAnsi="Arial" w:cs="Arial"/>
                <w:b/>
                <w:color w:val="auto"/>
                <w:sz w:val="32"/>
              </w:rPr>
              <w:t xml:space="preserve">Table 4 – 340-253-8040 </w:t>
            </w:r>
          </w:p>
          <w:p w:rsidR="00A84BAF" w:rsidRPr="00332DEB" w:rsidRDefault="00A84BAF" w:rsidP="00901DAE">
            <w:pPr>
              <w:ind w:left="76"/>
              <w:jc w:val="center"/>
              <w:rPr>
                <w:rFonts w:ascii="Arial" w:hAnsi="Arial" w:cs="Arial"/>
                <w:color w:val="auto"/>
                <w:lang w:bidi="en-US"/>
              </w:rPr>
            </w:pPr>
          </w:p>
          <w:p w:rsidR="00A84BAF" w:rsidRPr="00332DEB" w:rsidRDefault="00A84BAF" w:rsidP="00901DAE">
            <w:pPr>
              <w:ind w:left="76"/>
              <w:jc w:val="center"/>
              <w:rPr>
                <w:rFonts w:ascii="Arial" w:hAnsi="Arial" w:cs="Arial"/>
                <w:color w:val="FFFFFF"/>
                <w:lang w:bidi="en-US"/>
              </w:rPr>
            </w:pPr>
            <w:r w:rsidRPr="00332DEB">
              <w:rPr>
                <w:rFonts w:ascii="Arial" w:hAnsi="Arial" w:cs="Arial"/>
                <w:b/>
                <w:color w:val="auto"/>
              </w:rPr>
              <w:t xml:space="preserve">Oregon Carbon Intensity Lookup Table </w:t>
            </w:r>
          </w:p>
        </w:tc>
      </w:tr>
      <w:tr w:rsidR="00A84BAF" w:rsidRPr="006249E6" w:rsidTr="001E17C6">
        <w:trPr>
          <w:trHeight w:val="706"/>
        </w:trPr>
        <w:tc>
          <w:tcPr>
            <w:tcW w:w="1522" w:type="dxa"/>
            <w:vMerge w:val="restart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Fuel</w:t>
            </w:r>
          </w:p>
        </w:tc>
        <w:tc>
          <w:tcPr>
            <w:tcW w:w="1620" w:type="dxa"/>
            <w:vMerge w:val="restart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Pathway Identifier</w:t>
            </w:r>
          </w:p>
        </w:tc>
        <w:tc>
          <w:tcPr>
            <w:tcW w:w="3518" w:type="dxa"/>
            <w:vMerge w:val="restart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Pathway Description</w:t>
            </w:r>
          </w:p>
        </w:tc>
        <w:tc>
          <w:tcPr>
            <w:tcW w:w="2790" w:type="dxa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Carbon Intensity Values (gCO2e/MJ)</w:t>
            </w:r>
          </w:p>
        </w:tc>
      </w:tr>
      <w:tr w:rsidR="00A84BAF" w:rsidRPr="006249E6" w:rsidTr="001E17C6">
        <w:trPr>
          <w:trHeight w:val="355"/>
        </w:trPr>
        <w:tc>
          <w:tcPr>
            <w:tcW w:w="1522" w:type="dxa"/>
            <w:vMerge/>
            <w:shd w:val="clear" w:color="auto" w:fill="C5E0B3" w:themeFill="accent6" w:themeFillTint="66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shd w:val="clear" w:color="auto" w:fill="C5E0B3" w:themeFill="accent6" w:themeFillTint="66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3518" w:type="dxa"/>
            <w:vMerge/>
            <w:shd w:val="clear" w:color="auto" w:fill="C5E0B3" w:themeFill="accent6" w:themeFillTint="66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2790" w:type="dxa"/>
            <w:shd w:val="clear" w:color="auto" w:fill="A8D08D" w:themeFill="accent6" w:themeFillTint="99"/>
            <w:vAlign w:val="center"/>
          </w:tcPr>
          <w:p w:rsidR="00A84BAF" w:rsidRPr="00332DEB" w:rsidRDefault="00A84BAF" w:rsidP="00901DAE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Total Lifecycle Emissions</w:t>
            </w:r>
          </w:p>
        </w:tc>
      </w:tr>
      <w:tr w:rsidR="00A84BAF" w:rsidRPr="006249E6" w:rsidTr="001E17C6">
        <w:tc>
          <w:tcPr>
            <w:tcW w:w="1522" w:type="dxa"/>
            <w:vMerge w:val="restart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Gasoline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ORGAS001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Clear gasoline - based on a weighted average of gasoline supplied to Oregon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100.</w:t>
            </w:r>
            <w:r>
              <w:t>14</w:t>
            </w:r>
          </w:p>
        </w:tc>
      </w:tr>
      <w:tr w:rsidR="00A84BAF" w:rsidRPr="006249E6" w:rsidTr="001E17C6"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ORGAS002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t>Imported b</w:t>
            </w:r>
            <w:r w:rsidRPr="006249E6">
              <w:t xml:space="preserve">lended gasoline (E10) </w:t>
            </w:r>
            <w:r>
              <w:t>–</w:t>
            </w:r>
            <w:r w:rsidRPr="006249E6">
              <w:t xml:space="preserve"> 90% clear gasoline &amp; 10% corn ethanol based on Midwest average</w:t>
            </w:r>
            <w:r>
              <w:t xml:space="preserve">. </w:t>
            </w:r>
            <w:proofErr w:type="gramStart"/>
            <w:r>
              <w:t>Cannot be used</w:t>
            </w:r>
            <w:proofErr w:type="gramEnd"/>
            <w:r>
              <w:t xml:space="preserve"> to report exports except when the specific gallon was also imported under this fuel pathway code. </w:t>
            </w:r>
            <w:r w:rsidRPr="006249E6"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98.</w:t>
            </w:r>
            <w:r>
              <w:t>06</w:t>
            </w:r>
          </w:p>
        </w:tc>
      </w:tr>
      <w:tr w:rsidR="00A84BAF" w:rsidRPr="006249E6" w:rsidTr="001E17C6">
        <w:tc>
          <w:tcPr>
            <w:tcW w:w="1522" w:type="dxa"/>
            <w:vMerge w:val="restart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Diesel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ORULSD001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6249E6">
              <w:t>Clear diesel, based on a weighted average of diesel fuel supplied to Oregon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>
              <w:t>100.74</w:t>
            </w:r>
          </w:p>
        </w:tc>
      </w:tr>
      <w:tr w:rsidR="00A84BAF" w:rsidRPr="006249E6" w:rsidTr="001E17C6"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ORULSD002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>
              <w:t>Imported blended diesel (B5) –</w:t>
            </w:r>
            <w:r w:rsidRPr="006249E6">
              <w:t xml:space="preserve"> 95% clear diesel &amp; 5% soybean biodiesel</w:t>
            </w:r>
            <w:r>
              <w:t xml:space="preserve">. </w:t>
            </w:r>
            <w:proofErr w:type="gramStart"/>
            <w:r>
              <w:t>Cannot be used</w:t>
            </w:r>
            <w:proofErr w:type="gramEnd"/>
            <w:r>
              <w:t xml:space="preserve"> to report exports except when the specific gallon was also imported under this fuel pathway code.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>
              <w:t>98.74</w:t>
            </w:r>
          </w:p>
        </w:tc>
      </w:tr>
      <w:tr w:rsidR="00A84BAF" w:rsidRPr="006249E6" w:rsidTr="001E17C6"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ORULSD003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>
              <w:t>Imported b</w:t>
            </w:r>
            <w:r w:rsidRPr="006249E6">
              <w:t>lended diesel (B20) – 80% clear diesel &amp; 20% soybean biodiesel</w:t>
            </w:r>
            <w:r>
              <w:t xml:space="preserve">. </w:t>
            </w:r>
            <w:proofErr w:type="gramStart"/>
            <w:r>
              <w:t>Cannot be used</w:t>
            </w:r>
            <w:proofErr w:type="gramEnd"/>
            <w:r>
              <w:t xml:space="preserve"> to report exports except when the specific gallon was also imported under this fuel pathway code.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>
              <w:t>92.68</w:t>
            </w:r>
          </w:p>
        </w:tc>
      </w:tr>
      <w:tr w:rsidR="00A84BAF" w:rsidRPr="006249E6" w:rsidTr="001E17C6">
        <w:tc>
          <w:tcPr>
            <w:tcW w:w="152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Compressed Natural Gas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t>ORCNG001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t>North American NG delivered via pipeline; compressed in OR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>
              <w:t>79.98</w:t>
            </w:r>
          </w:p>
        </w:tc>
      </w:tr>
      <w:tr w:rsidR="00A84BAF" w:rsidRPr="006249E6" w:rsidTr="001E17C6">
        <w:tc>
          <w:tcPr>
            <w:tcW w:w="152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Liquefied Natural Gas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ORLNG001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North American NG delivered via pipeline; liquefied in OR using liquefaction with 80% efficiency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t>86.88</w:t>
            </w:r>
          </w:p>
        </w:tc>
      </w:tr>
      <w:tr w:rsidR="00A84BAF" w:rsidRPr="006249E6" w:rsidTr="001E17C6">
        <w:tc>
          <w:tcPr>
            <w:tcW w:w="152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Liquefied Petroleum Gas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ORLPG001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6249E6">
              <w:t>Liquefied petroleum gas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8</w:t>
            </w:r>
            <w:r>
              <w:rPr>
                <w:color w:val="000000"/>
              </w:rPr>
              <w:t>0.88</w:t>
            </w:r>
          </w:p>
        </w:tc>
      </w:tr>
      <w:tr w:rsidR="00A84BAF" w:rsidRPr="006249E6" w:rsidTr="001E17C6">
        <w:tc>
          <w:tcPr>
            <w:tcW w:w="1522" w:type="dxa"/>
            <w:vMerge w:val="restart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lastRenderedPageBreak/>
              <w:t>Electricity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ORELEC100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6249E6">
              <w:t xml:space="preserve">Solar </w:t>
            </w:r>
            <w:proofErr w:type="gramStart"/>
            <w:r w:rsidRPr="006249E6">
              <w:t>power,</w:t>
            </w:r>
            <w:proofErr w:type="gramEnd"/>
            <w:r w:rsidRPr="006249E6">
              <w:t xml:space="preserve"> produced at or directly connected to the site of the charging station in Oregon</w:t>
            </w:r>
            <w:r>
              <w:t xml:space="preserve">, subject to </w:t>
            </w:r>
            <w:r w:rsidRPr="001954B7">
              <w:t>OAR 340-253-0470 (3).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0</w:t>
            </w:r>
          </w:p>
        </w:tc>
      </w:tr>
      <w:tr w:rsidR="00A84BAF" w:rsidRPr="006249E6" w:rsidTr="001E17C6"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ORELEC101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6249E6">
              <w:t>Wind power, produced at or directly connected to the site of the charging station in Oregon</w:t>
            </w:r>
            <w:r>
              <w:t xml:space="preserve">, subject to </w:t>
            </w:r>
            <w:r w:rsidRPr="001954B7">
              <w:t>OAR 340-253-0470 (3).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0</w:t>
            </w:r>
          </w:p>
        </w:tc>
      </w:tr>
      <w:tr w:rsidR="00A84BAF" w:rsidRPr="006249E6" w:rsidTr="001E17C6">
        <w:tc>
          <w:tcPr>
            <w:tcW w:w="1522" w:type="dxa"/>
            <w:vMerge w:val="restart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Hydrogen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116430">
              <w:t>ORHYF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964C52">
              <w:t>Compressed H2 produced in Oregon from central steam methane reformation of North American fossil-based NG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t>120</w:t>
            </w:r>
            <w:r w:rsidRPr="00964C52">
              <w:t>.6</w:t>
            </w:r>
            <w:r>
              <w:t>8</w:t>
            </w:r>
          </w:p>
        </w:tc>
      </w:tr>
      <w:tr w:rsidR="00A84BAF" w:rsidRPr="006249E6" w:rsidTr="001E17C6"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116430">
              <w:t>ORHYFL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964C52">
              <w:t>Liquefied H2 produced in Oregon from central steam methane reformation of North American fossil-based NG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t>157.29</w:t>
            </w:r>
          </w:p>
        </w:tc>
      </w:tr>
      <w:tr w:rsidR="00A84BAF" w:rsidRPr="006249E6" w:rsidTr="001E17C6"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116430">
              <w:t>ORHYB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964C52">
              <w:t xml:space="preserve">Compressed H2 produced in Oregon from central steam methane reformation of </w:t>
            </w:r>
            <w:proofErr w:type="spellStart"/>
            <w:r w:rsidRPr="00964C52">
              <w:t>biomethane</w:t>
            </w:r>
            <w:proofErr w:type="spellEnd"/>
            <w:r w:rsidRPr="00964C52">
              <w:t xml:space="preserve"> (renewable feedstock) from North American landfills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t>116.76</w:t>
            </w:r>
          </w:p>
        </w:tc>
      </w:tr>
      <w:tr w:rsidR="00A84BAF" w:rsidRPr="006249E6" w:rsidTr="001E17C6"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116430">
              <w:t>ORHYBL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964C52">
              <w:t xml:space="preserve">Liquefied H2 produced in Oregon from central steam methane reformation of </w:t>
            </w:r>
            <w:proofErr w:type="spellStart"/>
            <w:r w:rsidRPr="00964C52">
              <w:t>biomethane</w:t>
            </w:r>
            <w:proofErr w:type="spellEnd"/>
            <w:r w:rsidRPr="00964C52">
              <w:t xml:space="preserve"> (renewable feedstock) from North American landfills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964C52">
              <w:t>14</w:t>
            </w:r>
            <w:r>
              <w:t>9.70</w:t>
            </w:r>
          </w:p>
        </w:tc>
      </w:tr>
      <w:tr w:rsidR="00A84BAF" w:rsidRPr="006249E6" w:rsidTr="001E17C6"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116430">
              <w:t>ORHYEG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964C52">
              <w:t>Compressed H2 produced in Oregon from electrolysis using Oregon average grid electricity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t>205.38</w:t>
            </w:r>
          </w:p>
        </w:tc>
      </w:tr>
      <w:tr w:rsidR="00A84BAF" w:rsidRPr="006249E6" w:rsidTr="001E17C6"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116430">
              <w:t>ORHYEB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964C52">
              <w:t>Compressed H2 produced in Oregon from electrolysis using BPA average grid electricity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t>31.65</w:t>
            </w:r>
          </w:p>
        </w:tc>
      </w:tr>
      <w:tr w:rsidR="00A84BAF" w:rsidRPr="006249E6" w:rsidTr="001E17C6"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116430">
              <w:t>ORHYER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964C52">
              <w:t>Compressed H2 produced in Oregon from electrolysis using solar- or wind-generated electricity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t>13.11</w:t>
            </w:r>
          </w:p>
        </w:tc>
      </w:tr>
    </w:tbl>
    <w:p w:rsidR="00A84BAF" w:rsidRDefault="00A84BAF" w:rsidP="00A84BAF">
      <w:pPr>
        <w:spacing w:after="100" w:afterAutospacing="1"/>
        <w:ind w:left="0" w:right="0"/>
        <w:rPr>
          <w:b/>
          <w:bCs/>
        </w:rPr>
      </w:pPr>
    </w:p>
    <w:p w:rsidR="001E17C6" w:rsidRDefault="001E17C6">
      <w:pPr>
        <w:spacing w:after="160" w:line="259" w:lineRule="auto"/>
        <w:ind w:left="0" w:right="0"/>
        <w:outlineLvl w:val="9"/>
      </w:pPr>
      <w:r>
        <w:br w:type="page"/>
      </w:r>
    </w:p>
    <w:tbl>
      <w:tblPr>
        <w:tblStyle w:val="TableGrid1"/>
        <w:tblW w:w="9870" w:type="dxa"/>
        <w:tblInd w:w="-6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2580"/>
        <w:gridCol w:w="1620"/>
        <w:gridCol w:w="1800"/>
        <w:gridCol w:w="1260"/>
        <w:gridCol w:w="1350"/>
        <w:gridCol w:w="1260"/>
      </w:tblGrid>
      <w:tr w:rsidR="00A84BAF" w:rsidRPr="006249E6" w:rsidTr="00343AED">
        <w:trPr>
          <w:tblHeader/>
        </w:trPr>
        <w:tc>
          <w:tcPr>
            <w:tcW w:w="98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A84BAF" w:rsidRPr="00332DEB" w:rsidRDefault="00A84BAF" w:rsidP="00901DAE">
            <w:pPr>
              <w:spacing w:after="120"/>
              <w:ind w:left="0" w:right="634"/>
              <w:jc w:val="center"/>
              <w:rPr>
                <w:rFonts w:ascii="Arial" w:hAnsi="Arial" w:cs="Arial"/>
                <w:b/>
                <w:color w:val="auto"/>
                <w:sz w:val="32"/>
                <w:szCs w:val="22"/>
              </w:rPr>
            </w:pPr>
            <w:r w:rsidRPr="00332DEB">
              <w:rPr>
                <w:rFonts w:ascii="Arial" w:hAnsi="Arial" w:cs="Arial"/>
                <w:noProof/>
                <w:color w:val="FFFFFF"/>
                <w:sz w:val="22"/>
                <w:szCs w:val="22"/>
                <w:lang w:val="en-ZW" w:eastAsia="en-ZW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4CC85CE8" wp14:editId="3DA11B34">
                  <wp:simplePos x="0" y="0"/>
                  <wp:positionH relativeFrom="column">
                    <wp:posOffset>-399415</wp:posOffset>
                  </wp:positionH>
                  <wp:positionV relativeFrom="paragraph">
                    <wp:posOffset>-1391920</wp:posOffset>
                  </wp:positionV>
                  <wp:extent cx="541020" cy="1249680"/>
                  <wp:effectExtent l="0" t="0" r="0" b="7620"/>
                  <wp:wrapTight wrapText="bothSides">
                    <wp:wrapPolygon edited="0">
                      <wp:start x="0" y="0"/>
                      <wp:lineTo x="0" y="21402"/>
                      <wp:lineTo x="20535" y="21402"/>
                      <wp:lineTo x="20535" y="0"/>
                      <wp:lineTo x="0" y="0"/>
                    </wp:wrapPolygon>
                  </wp:wrapTight>
                  <wp:docPr id="1" name="Picture 1" descr="C:\Users\mgoldst\AppData\Local\Microsoft\Windows\Temporary Internet Files\Content.IE5\5ZP7N75R\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goldst\AppData\Local\Microsoft\Windows\Temporary Internet Files\Content.IE5\5ZP7N75R\pansm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32DEB">
              <w:rPr>
                <w:rFonts w:ascii="Arial" w:hAnsi="Arial" w:cs="Arial"/>
                <w:b/>
                <w:color w:val="auto"/>
                <w:sz w:val="32"/>
                <w:szCs w:val="22"/>
              </w:rPr>
              <w:t>Table 5 – 340-253-8050</w:t>
            </w:r>
          </w:p>
          <w:p w:rsidR="00A84BAF" w:rsidRPr="00332DEB" w:rsidRDefault="00A84BAF" w:rsidP="00901DAE">
            <w:pPr>
              <w:spacing w:after="120"/>
              <w:ind w:left="0" w:right="634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332DEB">
              <w:rPr>
                <w:rFonts w:ascii="Arial" w:hAnsi="Arial" w:cs="Arial"/>
                <w:b/>
                <w:color w:val="auto"/>
                <w:szCs w:val="22"/>
              </w:rPr>
              <w:t>Summary Checklist of Quarterly Progress and Annual Compliance Reporting Requirements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bottom w:val="single" w:sz="12" w:space="0" w:color="000000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0" w:right="76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332DEB">
              <w:rPr>
                <w:rFonts w:ascii="Arial" w:hAnsi="Arial" w:cs="Arial"/>
                <w:b/>
                <w:color w:val="000000"/>
                <w:szCs w:val="22"/>
              </w:rPr>
              <w:t>Parameters to Report</w:t>
            </w:r>
          </w:p>
        </w:tc>
        <w:tc>
          <w:tcPr>
            <w:tcW w:w="1620" w:type="dxa"/>
            <w:tcBorders>
              <w:bottom w:val="single" w:sz="12" w:space="0" w:color="000000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0" w:right="76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332DEB">
              <w:rPr>
                <w:rFonts w:ascii="Arial" w:hAnsi="Arial" w:cs="Arial"/>
                <w:b/>
                <w:color w:val="000000"/>
                <w:szCs w:val="22"/>
              </w:rPr>
              <w:t>Gasoline &amp; Diesel Fuel</w:t>
            </w:r>
          </w:p>
        </w:tc>
        <w:tc>
          <w:tcPr>
            <w:tcW w:w="1800" w:type="dxa"/>
            <w:tcBorders>
              <w:bottom w:val="single" w:sz="12" w:space="0" w:color="000000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0" w:right="76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332DEB">
              <w:rPr>
                <w:rFonts w:ascii="Arial" w:hAnsi="Arial" w:cs="Arial"/>
                <w:b/>
                <w:color w:val="000000"/>
                <w:szCs w:val="22"/>
              </w:rPr>
              <w:t>Ethanol, Biodiesel &amp; Renewable Diesel</w:t>
            </w:r>
          </w:p>
        </w:tc>
        <w:tc>
          <w:tcPr>
            <w:tcW w:w="1260" w:type="dxa"/>
            <w:tcBorders>
              <w:left w:val="single" w:sz="24" w:space="0" w:color="auto"/>
              <w:bottom w:val="single" w:sz="12" w:space="0" w:color="000000"/>
            </w:tcBorders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0" w:right="76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332DEB">
              <w:rPr>
                <w:rFonts w:ascii="Arial" w:hAnsi="Arial" w:cs="Arial"/>
                <w:b/>
                <w:color w:val="000000"/>
                <w:szCs w:val="22"/>
              </w:rPr>
              <w:t xml:space="preserve">CNG, LNG &amp; LPG 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12" w:space="0" w:color="000000"/>
            </w:tcBorders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0" w:right="76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332DEB">
              <w:rPr>
                <w:rFonts w:ascii="Arial" w:hAnsi="Arial" w:cs="Arial"/>
                <w:b/>
                <w:color w:val="000000"/>
                <w:szCs w:val="22"/>
              </w:rPr>
              <w:t>Electricity</w:t>
            </w:r>
          </w:p>
        </w:tc>
        <w:tc>
          <w:tcPr>
            <w:tcW w:w="1260" w:type="dxa"/>
            <w:tcBorders>
              <w:left w:val="single" w:sz="24" w:space="0" w:color="auto"/>
              <w:bottom w:val="single" w:sz="12" w:space="0" w:color="000000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0" w:right="76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332DEB">
              <w:rPr>
                <w:rFonts w:ascii="Arial" w:hAnsi="Arial" w:cs="Arial"/>
                <w:b/>
                <w:color w:val="000000"/>
                <w:szCs w:val="22"/>
              </w:rPr>
              <w:t>Hydrogen &amp; Hydrogen Blends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Company or organization name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Reporting period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Fuel pathway code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Transaction type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Transaction date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Business Partner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Production Company ID and Facility ID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n/a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n/a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n/a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Physical transport mode code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Aggregation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Application / EER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Amount of each fuel used as gasoline replacement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Amount of each fuel used as diesel fuel replacement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*Credits/deficits generated per quarter (MT)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987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b/>
                <w:sz w:val="22"/>
                <w:szCs w:val="22"/>
              </w:rPr>
              <w:t>For Annual Compliance Reporting (in addition to the items above)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*Credits and Deficits generated per year (MT)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lastRenderedPageBreak/>
              <w:t>*Credits/deficits carried over from the previous year (MT), if any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*Credits acquired from another party (MT), if any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*Credits sold to another party (MT), if any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A84BAF" w:rsidRPr="006249E6" w:rsidTr="00343AED">
        <w:tc>
          <w:tcPr>
            <w:tcW w:w="2580" w:type="dxa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*Credits retired within LCFS (MT) to meet compliance obligation, if any</w:t>
            </w:r>
          </w:p>
        </w:tc>
        <w:tc>
          <w:tcPr>
            <w:tcW w:w="162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</w:tbl>
    <w:p w:rsidR="00A84BAF" w:rsidRDefault="00A84BAF" w:rsidP="00A84BAF">
      <w:pPr>
        <w:spacing w:after="100" w:afterAutospacing="1"/>
        <w:ind w:left="0" w:right="0"/>
      </w:pPr>
    </w:p>
    <w:p w:rsidR="00343AED" w:rsidRDefault="00343AED">
      <w:pPr>
        <w:spacing w:after="160" w:line="259" w:lineRule="auto"/>
        <w:ind w:left="0" w:right="0"/>
        <w:outlineLvl w:val="9"/>
      </w:pPr>
      <w:r>
        <w:br w:type="page"/>
      </w:r>
    </w:p>
    <w:p w:rsidR="00343AED" w:rsidRPr="00B54349" w:rsidRDefault="00343AED" w:rsidP="00A84BAF">
      <w:pPr>
        <w:spacing w:after="100" w:afterAutospacing="1"/>
        <w:ind w:left="0" w:right="0"/>
      </w:pPr>
    </w:p>
    <w:tbl>
      <w:tblPr>
        <w:tblStyle w:val="TableGrid1"/>
        <w:tblW w:w="916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759"/>
        <w:gridCol w:w="3401"/>
      </w:tblGrid>
      <w:tr w:rsidR="00A84BAF" w:rsidRPr="006249E6" w:rsidTr="004032B7">
        <w:trPr>
          <w:tblHeader/>
        </w:trPr>
        <w:tc>
          <w:tcPr>
            <w:tcW w:w="9160" w:type="dxa"/>
            <w:gridSpan w:val="2"/>
            <w:shd w:val="clear" w:color="auto" w:fill="E2EFD9" w:themeFill="accent6" w:themeFillTint="33"/>
            <w:vAlign w:val="center"/>
          </w:tcPr>
          <w:p w:rsidR="00A84BAF" w:rsidRPr="006249E6" w:rsidRDefault="00A84BAF" w:rsidP="00901DAE">
            <w:pPr>
              <w:spacing w:after="120"/>
              <w:ind w:left="0" w:right="63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49E6">
              <w:rPr>
                <w:noProof/>
                <w:color w:val="FFFFFF"/>
                <w:sz w:val="22"/>
                <w:szCs w:val="22"/>
                <w:lang w:val="en-ZW" w:eastAsia="en-ZW"/>
              </w:rPr>
              <w:drawing>
                <wp:anchor distT="0" distB="0" distL="114300" distR="114300" simplePos="0" relativeHeight="251660288" behindDoc="1" locked="0" layoutInCell="1" allowOverlap="1" wp14:anchorId="689D7B72" wp14:editId="7C95B148">
                  <wp:simplePos x="0" y="0"/>
                  <wp:positionH relativeFrom="column">
                    <wp:posOffset>-353695</wp:posOffset>
                  </wp:positionH>
                  <wp:positionV relativeFrom="paragraph">
                    <wp:posOffset>-34925</wp:posOffset>
                  </wp:positionV>
                  <wp:extent cx="541020" cy="1249680"/>
                  <wp:effectExtent l="0" t="0" r="0" b="7620"/>
                  <wp:wrapTight wrapText="bothSides">
                    <wp:wrapPolygon edited="0">
                      <wp:start x="0" y="0"/>
                      <wp:lineTo x="0" y="21402"/>
                      <wp:lineTo x="20535" y="21402"/>
                      <wp:lineTo x="20535" y="0"/>
                      <wp:lineTo x="0" y="0"/>
                    </wp:wrapPolygon>
                  </wp:wrapTight>
                  <wp:docPr id="6" name="Picture 6" descr="C:\Users\mgoldst\AppData\Local\Microsoft\Windows\Temporary Internet Files\Content.IE5\5ZP7N75R\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goldst\AppData\Local\Microsoft\Windows\Temporary Internet Files\Content.IE5\5ZP7N75R\pansm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4BAF" w:rsidRPr="00332DEB" w:rsidRDefault="00A84BAF" w:rsidP="00901DAE">
            <w:pPr>
              <w:spacing w:after="120"/>
              <w:ind w:left="0" w:right="57"/>
              <w:jc w:val="center"/>
              <w:rPr>
                <w:rFonts w:ascii="Arial" w:hAnsi="Arial" w:cs="Arial"/>
                <w:b/>
                <w:color w:val="auto"/>
                <w:sz w:val="32"/>
                <w:szCs w:val="22"/>
              </w:rPr>
            </w:pPr>
            <w:r w:rsidRPr="00332DEB">
              <w:rPr>
                <w:rFonts w:ascii="Arial" w:hAnsi="Arial" w:cs="Arial"/>
                <w:b/>
                <w:color w:val="auto"/>
                <w:sz w:val="32"/>
                <w:szCs w:val="22"/>
              </w:rPr>
              <w:t>Table 6 – 340-253-8060</w:t>
            </w:r>
          </w:p>
          <w:p w:rsidR="00A84BAF" w:rsidRPr="006249E6" w:rsidRDefault="00A84BAF" w:rsidP="00901DAE">
            <w:pPr>
              <w:spacing w:after="120"/>
              <w:ind w:left="0" w:right="57"/>
              <w:jc w:val="center"/>
              <w:rPr>
                <w:color w:val="000000"/>
                <w:sz w:val="22"/>
                <w:szCs w:val="22"/>
              </w:rPr>
            </w:pPr>
            <w:r w:rsidRPr="00332DEB">
              <w:rPr>
                <w:rFonts w:ascii="Arial" w:hAnsi="Arial" w:cs="Arial"/>
                <w:b/>
                <w:color w:val="auto"/>
                <w:szCs w:val="22"/>
              </w:rPr>
              <w:t>Oregon Energy Densities of Fuels</w:t>
            </w:r>
          </w:p>
        </w:tc>
      </w:tr>
      <w:tr w:rsidR="00A84BAF" w:rsidRPr="006249E6" w:rsidTr="004032B7">
        <w:tc>
          <w:tcPr>
            <w:tcW w:w="5759" w:type="dxa"/>
            <w:shd w:val="clear" w:color="auto" w:fill="C5E0B3" w:themeFill="accent6" w:themeFillTint="66"/>
            <w:vAlign w:val="center"/>
          </w:tcPr>
          <w:p w:rsidR="00A84BAF" w:rsidRPr="004032B7" w:rsidRDefault="00A84BAF" w:rsidP="00901DAE">
            <w:pPr>
              <w:spacing w:before="120" w:after="120"/>
              <w:ind w:left="75" w:right="0"/>
              <w:contextualSpacing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4032B7">
              <w:rPr>
                <w:rFonts w:ascii="Arial" w:hAnsi="Arial" w:cs="Arial"/>
                <w:b/>
                <w:color w:val="000000"/>
                <w:szCs w:val="22"/>
              </w:rPr>
              <w:t>Fuel (unit)</w:t>
            </w:r>
          </w:p>
        </w:tc>
        <w:tc>
          <w:tcPr>
            <w:tcW w:w="3401" w:type="dxa"/>
            <w:shd w:val="clear" w:color="auto" w:fill="C5E0B3" w:themeFill="accent6" w:themeFillTint="66"/>
            <w:vAlign w:val="center"/>
          </w:tcPr>
          <w:p w:rsidR="00A84BAF" w:rsidRPr="004032B7" w:rsidRDefault="00A84BAF" w:rsidP="00901DAE">
            <w:pPr>
              <w:spacing w:before="120" w:after="120"/>
              <w:ind w:left="76" w:right="0"/>
              <w:contextualSpacing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4032B7">
              <w:rPr>
                <w:rFonts w:ascii="Arial" w:hAnsi="Arial" w:cs="Arial"/>
                <w:b/>
                <w:color w:val="000000"/>
                <w:szCs w:val="22"/>
              </w:rPr>
              <w:t>MJ/unit</w:t>
            </w:r>
          </w:p>
        </w:tc>
      </w:tr>
      <w:tr w:rsidR="00A84BAF" w:rsidRPr="006249E6" w:rsidTr="004032B7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Gasoline (gallon)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122.48 (MJ/gallon)</w:t>
            </w:r>
          </w:p>
        </w:tc>
      </w:tr>
      <w:tr w:rsidR="00A84BAF" w:rsidRPr="006249E6" w:rsidTr="004032B7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Diesel fuel (gallon)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134.48 (MJ/gallon)</w:t>
            </w:r>
          </w:p>
        </w:tc>
      </w:tr>
      <w:tr w:rsidR="00A84BAF" w:rsidRPr="006249E6" w:rsidTr="004032B7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Compressed natural gas (</w:t>
            </w:r>
            <w:proofErr w:type="spellStart"/>
            <w:r>
              <w:rPr>
                <w:color w:val="000000"/>
                <w:sz w:val="22"/>
                <w:szCs w:val="22"/>
              </w:rPr>
              <w:t>therm</w:t>
            </w:r>
            <w:proofErr w:type="spellEnd"/>
            <w:r w:rsidRPr="006249E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105.5</w:t>
            </w:r>
            <w:r w:rsidRPr="006249E6">
              <w:rPr>
                <w:color w:val="000000"/>
                <w:sz w:val="22"/>
                <w:szCs w:val="22"/>
              </w:rPr>
              <w:t xml:space="preserve"> (MJ/</w:t>
            </w:r>
            <w:proofErr w:type="spellStart"/>
            <w:r>
              <w:rPr>
                <w:color w:val="000000"/>
                <w:sz w:val="22"/>
                <w:szCs w:val="22"/>
              </w:rPr>
              <w:t>therms</w:t>
            </w:r>
            <w:proofErr w:type="spellEnd"/>
            <w:r w:rsidRPr="006249E6">
              <w:rPr>
                <w:color w:val="000000"/>
                <w:sz w:val="22"/>
                <w:szCs w:val="22"/>
              </w:rPr>
              <w:t>)</w:t>
            </w:r>
          </w:p>
        </w:tc>
      </w:tr>
      <w:tr w:rsidR="00A84BAF" w:rsidRPr="006249E6" w:rsidTr="004032B7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Electricity (kilowatt hour)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3.60 (MJ/kilowatt hour)</w:t>
            </w:r>
          </w:p>
        </w:tc>
      </w:tr>
      <w:tr w:rsidR="00A84BAF" w:rsidRPr="006249E6" w:rsidTr="004032B7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Denatured ethanol (gallon)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81.51 (MJ/gallon)</w:t>
            </w:r>
          </w:p>
        </w:tc>
      </w:tr>
      <w:tr w:rsidR="00A84BAF" w:rsidRPr="006249E6" w:rsidTr="004032B7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Clear biodiesel (gallon)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126.13 (MJ/gallon)</w:t>
            </w:r>
          </w:p>
        </w:tc>
      </w:tr>
      <w:tr w:rsidR="00A84BAF" w:rsidRPr="006249E6" w:rsidTr="004032B7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Liquefied natural gas (gallon)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78.83 (MJ/gallon)</w:t>
            </w:r>
          </w:p>
        </w:tc>
      </w:tr>
      <w:tr w:rsidR="00A84BAF" w:rsidRPr="006249E6" w:rsidTr="004032B7">
        <w:trPr>
          <w:trHeight w:val="372"/>
        </w:trPr>
        <w:tc>
          <w:tcPr>
            <w:tcW w:w="5759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Hydrogen (kilogram)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6249E6">
              <w:rPr>
                <w:color w:val="000000"/>
                <w:sz w:val="22"/>
                <w:szCs w:val="22"/>
              </w:rPr>
              <w:t>.00 (MJ/kilogram)</w:t>
            </w:r>
          </w:p>
        </w:tc>
      </w:tr>
      <w:tr w:rsidR="00A84BAF" w:rsidRPr="006249E6" w:rsidTr="004032B7">
        <w:trPr>
          <w:trHeight w:val="350"/>
        </w:trPr>
        <w:tc>
          <w:tcPr>
            <w:tcW w:w="5759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Liquefied petroleum gas (gallon)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89.63 (MJ/gallon)</w:t>
            </w:r>
          </w:p>
        </w:tc>
      </w:tr>
      <w:tr w:rsidR="00A84BAF" w:rsidRPr="006249E6" w:rsidTr="004032B7">
        <w:trPr>
          <w:trHeight w:val="350"/>
        </w:trPr>
        <w:tc>
          <w:tcPr>
            <w:tcW w:w="5759" w:type="dxa"/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Renewable hydrocarbon diesel (gallon)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A84BAF" w:rsidRPr="006249E6" w:rsidDel="00B42B3F" w:rsidRDefault="00A84BAF" w:rsidP="00901DAE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129.65 (MJ/gallon)</w:t>
            </w:r>
          </w:p>
        </w:tc>
      </w:tr>
      <w:tr w:rsidR="00A84BAF" w:rsidRPr="006249E6" w:rsidTr="004032B7">
        <w:trPr>
          <w:trHeight w:val="350"/>
        </w:trPr>
        <w:tc>
          <w:tcPr>
            <w:tcW w:w="5759" w:type="dxa"/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49E6">
              <w:rPr>
                <w:color w:val="000000"/>
                <w:sz w:val="22"/>
                <w:szCs w:val="22"/>
              </w:rPr>
              <w:t>Undenatured</w:t>
            </w:r>
            <w:proofErr w:type="spellEnd"/>
            <w:r w:rsidRPr="006249E6">
              <w:rPr>
                <w:color w:val="000000"/>
                <w:sz w:val="22"/>
                <w:szCs w:val="22"/>
              </w:rPr>
              <w:t xml:space="preserve"> anhydrous ethanol (gallon)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A84BAF" w:rsidRPr="006249E6" w:rsidDel="00B42B3F" w:rsidRDefault="00A84BAF" w:rsidP="00901DAE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80.53 (MJ/gallon)</w:t>
            </w:r>
          </w:p>
        </w:tc>
      </w:tr>
      <w:tr w:rsidR="00A84BAF" w:rsidRPr="006249E6" w:rsidTr="004032B7">
        <w:trPr>
          <w:trHeight w:val="350"/>
        </w:trPr>
        <w:tc>
          <w:tcPr>
            <w:tcW w:w="5759" w:type="dxa"/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75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Alternative Jet Fuel (gal)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126.37 (MJ/gallon)</w:t>
            </w:r>
          </w:p>
        </w:tc>
      </w:tr>
    </w:tbl>
    <w:p w:rsidR="004032B7" w:rsidRDefault="004032B7">
      <w:pPr>
        <w:spacing w:after="160" w:line="259" w:lineRule="auto"/>
        <w:ind w:left="0" w:right="0"/>
        <w:outlineLvl w:val="9"/>
      </w:pPr>
      <w:r>
        <w:br w:type="page"/>
      </w:r>
    </w:p>
    <w:tbl>
      <w:tblPr>
        <w:tblStyle w:val="TableGrid1"/>
        <w:tblW w:w="9905" w:type="dxa"/>
        <w:tblInd w:w="-5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950"/>
        <w:gridCol w:w="1260"/>
        <w:gridCol w:w="2070"/>
        <w:gridCol w:w="1350"/>
        <w:gridCol w:w="1560"/>
        <w:gridCol w:w="1715"/>
      </w:tblGrid>
      <w:tr w:rsidR="00A84BAF" w:rsidRPr="006249E6" w:rsidTr="00FF7395">
        <w:trPr>
          <w:trHeight w:val="1931"/>
          <w:tblHeader/>
        </w:trPr>
        <w:tc>
          <w:tcPr>
            <w:tcW w:w="990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A84BAF" w:rsidRPr="000A6AF5" w:rsidRDefault="00A84BAF" w:rsidP="00901DAE">
            <w:pPr>
              <w:spacing w:after="120"/>
              <w:ind w:left="0" w:right="634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332DEB">
              <w:rPr>
                <w:rFonts w:ascii="Arial" w:hAnsi="Arial" w:cs="Arial"/>
                <w:noProof/>
                <w:color w:val="FFFFFF"/>
                <w:sz w:val="22"/>
                <w:szCs w:val="22"/>
                <w:lang w:val="en-ZW" w:eastAsia="en-ZW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15BF1470" wp14:editId="5E7FDB23">
                  <wp:simplePos x="0" y="0"/>
                  <wp:positionH relativeFrom="column">
                    <wp:posOffset>-353695</wp:posOffset>
                  </wp:positionH>
                  <wp:positionV relativeFrom="paragraph">
                    <wp:posOffset>-18415</wp:posOffset>
                  </wp:positionV>
                  <wp:extent cx="541020" cy="1249680"/>
                  <wp:effectExtent l="0" t="0" r="0" b="7620"/>
                  <wp:wrapTight wrapText="bothSides">
                    <wp:wrapPolygon edited="0">
                      <wp:start x="0" y="0"/>
                      <wp:lineTo x="0" y="21402"/>
                      <wp:lineTo x="20535" y="21402"/>
                      <wp:lineTo x="20535" y="0"/>
                      <wp:lineTo x="0" y="0"/>
                    </wp:wrapPolygon>
                  </wp:wrapTight>
                  <wp:docPr id="7" name="Picture 7" descr="C:\Users\mgoldst\AppData\Local\Microsoft\Windows\Temporary Internet Files\Content.IE5\5ZP7N75R\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goldst\AppData\Local\Microsoft\Windows\Temporary Internet Files\Content.IE5\5ZP7N75R\pansm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4BAF" w:rsidRPr="00332DEB" w:rsidRDefault="00A84BAF" w:rsidP="00901DAE">
            <w:pPr>
              <w:tabs>
                <w:tab w:val="left" w:pos="8986"/>
              </w:tabs>
              <w:spacing w:after="120"/>
              <w:ind w:left="0" w:right="76"/>
              <w:jc w:val="center"/>
              <w:rPr>
                <w:rFonts w:ascii="Arial" w:hAnsi="Arial" w:cs="Arial"/>
                <w:b/>
                <w:color w:val="auto"/>
                <w:sz w:val="32"/>
                <w:szCs w:val="22"/>
              </w:rPr>
            </w:pPr>
            <w:r w:rsidRPr="00332DEB">
              <w:rPr>
                <w:rFonts w:ascii="Arial" w:hAnsi="Arial" w:cs="Arial"/>
                <w:b/>
                <w:color w:val="auto"/>
                <w:sz w:val="32"/>
                <w:szCs w:val="22"/>
              </w:rPr>
              <w:t>Table 7 – 340-253-8070</w:t>
            </w:r>
          </w:p>
          <w:p w:rsidR="00A84BAF" w:rsidRPr="00332DEB" w:rsidRDefault="00A84BAF" w:rsidP="00901DAE">
            <w:pPr>
              <w:spacing w:after="120"/>
              <w:ind w:left="0" w:right="634"/>
              <w:jc w:val="center"/>
              <w:rPr>
                <w:rFonts w:ascii="Arial" w:hAnsi="Arial" w:cs="Arial"/>
                <w:noProof/>
                <w:color w:val="FFFFFF"/>
                <w:sz w:val="22"/>
                <w:szCs w:val="22"/>
              </w:rPr>
            </w:pPr>
            <w:r w:rsidRPr="00332DEB">
              <w:rPr>
                <w:rFonts w:ascii="Arial" w:hAnsi="Arial" w:cs="Arial"/>
                <w:b/>
                <w:color w:val="auto"/>
                <w:szCs w:val="22"/>
              </w:rPr>
              <w:t>Oregon Energy Economy Ratio Values for Fuels</w:t>
            </w:r>
            <w:r w:rsidRPr="00332DE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A84BAF" w:rsidRPr="006249E6" w:rsidTr="00FF7395">
        <w:trPr>
          <w:trHeight w:val="996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332DEB">
              <w:rPr>
                <w:rFonts w:ascii="Arial" w:hAnsi="Arial" w:cs="Arial"/>
                <w:b/>
                <w:color w:val="000000"/>
                <w:szCs w:val="22"/>
              </w:rPr>
              <w:t>Light/Medium Duty Applications (Fuels used as gasoline replacements)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332DEB">
              <w:rPr>
                <w:rFonts w:ascii="Arial" w:hAnsi="Arial" w:cs="Arial"/>
                <w:b/>
                <w:color w:val="000000"/>
                <w:szCs w:val="22"/>
              </w:rPr>
              <w:t>Heavy-Duty/Off-Road Applications</w:t>
            </w:r>
          </w:p>
          <w:p w:rsidR="00A84BAF" w:rsidRPr="00332DEB" w:rsidRDefault="00A84BAF" w:rsidP="00901DAE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332DEB">
              <w:rPr>
                <w:rFonts w:ascii="Arial" w:hAnsi="Arial" w:cs="Arial"/>
                <w:b/>
                <w:color w:val="000000"/>
                <w:szCs w:val="22"/>
              </w:rPr>
              <w:t>(Fuels used as diesel</w:t>
            </w:r>
          </w:p>
          <w:p w:rsidR="00A84BAF" w:rsidRPr="00332DEB" w:rsidRDefault="00A84BAF" w:rsidP="00901DAE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332DEB">
              <w:rPr>
                <w:rFonts w:ascii="Arial" w:hAnsi="Arial" w:cs="Arial"/>
                <w:b/>
                <w:color w:val="000000"/>
                <w:szCs w:val="22"/>
              </w:rPr>
              <w:t>replacements)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332DEB">
              <w:rPr>
                <w:rFonts w:ascii="Arial" w:hAnsi="Arial" w:cs="Arial"/>
                <w:b/>
                <w:color w:val="000000"/>
                <w:szCs w:val="22"/>
              </w:rPr>
              <w:t>Aviation Applications</w:t>
            </w:r>
          </w:p>
          <w:p w:rsidR="00A84BAF" w:rsidRPr="00332DEB" w:rsidRDefault="00A84BAF" w:rsidP="00901DAE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332DEB">
              <w:rPr>
                <w:rFonts w:ascii="Arial" w:hAnsi="Arial" w:cs="Arial"/>
                <w:b/>
                <w:color w:val="000000"/>
                <w:szCs w:val="22"/>
              </w:rPr>
              <w:t>(Fuels used as jet fuel</w:t>
            </w:r>
          </w:p>
          <w:p w:rsidR="00A84BAF" w:rsidRPr="00332DEB" w:rsidRDefault="00A84BAF" w:rsidP="00901DAE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332DEB">
              <w:rPr>
                <w:rFonts w:ascii="Arial" w:hAnsi="Arial" w:cs="Arial"/>
                <w:b/>
                <w:color w:val="000000"/>
                <w:szCs w:val="22"/>
              </w:rPr>
              <w:t>replacements)</w:t>
            </w:r>
          </w:p>
        </w:tc>
      </w:tr>
      <w:tr w:rsidR="00A84BAF" w:rsidRPr="006249E6" w:rsidTr="00FF7395">
        <w:trPr>
          <w:trHeight w:val="996"/>
        </w:trPr>
        <w:tc>
          <w:tcPr>
            <w:tcW w:w="1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A84BAF" w:rsidRPr="00332DEB" w:rsidRDefault="00A84BAF" w:rsidP="00901DAE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bidi="en-US"/>
              </w:rPr>
            </w:pPr>
            <w:r w:rsidRPr="00332DEB">
              <w:rPr>
                <w:rFonts w:ascii="Arial" w:hAnsi="Arial" w:cs="Arial"/>
                <w:b/>
                <w:color w:val="000000"/>
                <w:sz w:val="22"/>
                <w:szCs w:val="22"/>
              </w:rPr>
              <w:t>Fuel/Vehicle Combination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A84BAF" w:rsidRPr="00332DEB" w:rsidRDefault="00A84BAF" w:rsidP="00901DAE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bidi="en-US"/>
              </w:rPr>
            </w:pPr>
            <w:r w:rsidRPr="00332DEB">
              <w:rPr>
                <w:rFonts w:ascii="Arial" w:hAnsi="Arial" w:cs="Arial"/>
                <w:b/>
                <w:color w:val="000000"/>
                <w:sz w:val="22"/>
                <w:szCs w:val="22"/>
              </w:rPr>
              <w:t>EER Value Relative to Gasoline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A84BAF" w:rsidRPr="00332DEB" w:rsidRDefault="00A84BAF" w:rsidP="00901DAE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32DEB">
              <w:rPr>
                <w:rFonts w:ascii="Arial" w:hAnsi="Arial" w:cs="Arial"/>
                <w:b/>
                <w:color w:val="000000"/>
                <w:sz w:val="22"/>
                <w:szCs w:val="22"/>
              </w:rPr>
              <w:t>Fuel/Vehicle Combination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A84BAF" w:rsidRPr="00332DEB" w:rsidRDefault="00A84BAF" w:rsidP="00901DAE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32DEB">
              <w:rPr>
                <w:rFonts w:ascii="Arial" w:hAnsi="Arial" w:cs="Arial"/>
                <w:b/>
                <w:color w:val="000000"/>
                <w:sz w:val="22"/>
                <w:szCs w:val="22"/>
              </w:rPr>
              <w:t>EER Value Relative to Diesel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A84BAF" w:rsidRPr="00332DEB" w:rsidRDefault="00A84BAF" w:rsidP="00901DAE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32DEB">
              <w:rPr>
                <w:rFonts w:ascii="Arial" w:hAnsi="Arial" w:cs="Arial"/>
                <w:b/>
                <w:color w:val="000000"/>
                <w:sz w:val="22"/>
                <w:szCs w:val="22"/>
              </w:rPr>
              <w:t>Fuel/Vehicle Combination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84BAF" w:rsidRPr="00332DEB" w:rsidRDefault="00A84BAF" w:rsidP="00901DAE">
            <w:pPr>
              <w:ind w:left="0" w:righ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32DEB">
              <w:rPr>
                <w:rFonts w:ascii="Arial" w:hAnsi="Arial" w:cs="Arial"/>
                <w:b/>
                <w:color w:val="000000"/>
                <w:sz w:val="22"/>
                <w:szCs w:val="22"/>
              </w:rPr>
              <w:t>EER Value relative to conventional jet</w:t>
            </w:r>
          </w:p>
        </w:tc>
      </w:tr>
      <w:tr w:rsidR="00A84BAF" w:rsidRPr="006249E6" w:rsidTr="00FF7395">
        <w:trPr>
          <w:trHeight w:val="348"/>
        </w:trPr>
        <w:tc>
          <w:tcPr>
            <w:tcW w:w="1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 xml:space="preserve">Gasoline (including E10) or any other </w:t>
            </w:r>
            <w:r>
              <w:rPr>
                <w:sz w:val="22"/>
                <w:szCs w:val="22"/>
              </w:rPr>
              <w:t>gasoline-</w:t>
            </w:r>
            <w:r w:rsidRPr="006249E6">
              <w:rPr>
                <w:sz w:val="22"/>
                <w:szCs w:val="22"/>
              </w:rPr>
              <w:t>ethanol blend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 xml:space="preserve">Diesel fuel (including B5) or </w:t>
            </w:r>
            <w:r>
              <w:rPr>
                <w:sz w:val="22"/>
                <w:szCs w:val="22"/>
              </w:rPr>
              <w:t xml:space="preserve">any </w:t>
            </w:r>
            <w:r w:rsidRPr="006249E6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blend of</w:t>
            </w:r>
            <w:r w:rsidRPr="006249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diesel and </w:t>
            </w:r>
            <w:r w:rsidRPr="006249E6">
              <w:rPr>
                <w:sz w:val="22"/>
                <w:szCs w:val="22"/>
              </w:rPr>
              <w:t xml:space="preserve">biodiesel or renewable hydrocarbon diesel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Alternative Jet Fuel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A84BAF" w:rsidRPr="006249E6" w:rsidTr="00FF7395">
        <w:trPr>
          <w:trHeight w:val="348"/>
        </w:trPr>
        <w:tc>
          <w:tcPr>
            <w:tcW w:w="1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CNG Internal Combustion Engine Vehicle (ICEV)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CNG</w:t>
            </w:r>
            <w:r>
              <w:rPr>
                <w:sz w:val="22"/>
                <w:szCs w:val="22"/>
              </w:rPr>
              <w:t>,</w:t>
            </w:r>
            <w:r w:rsidRPr="006249E6">
              <w:rPr>
                <w:sz w:val="22"/>
                <w:szCs w:val="22"/>
              </w:rPr>
              <w:t xml:space="preserve"> LNG</w:t>
            </w:r>
            <w:r>
              <w:rPr>
                <w:sz w:val="22"/>
                <w:szCs w:val="22"/>
              </w:rPr>
              <w:t>, or LPG</w:t>
            </w:r>
            <w:r w:rsidRPr="006249E6">
              <w:rPr>
                <w:sz w:val="22"/>
                <w:szCs w:val="22"/>
              </w:rPr>
              <w:t xml:space="preserve"> (Spark-Ignition Engines)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0.9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4BAF" w:rsidRPr="006249E6" w:rsidTr="00FF7395">
        <w:trPr>
          <w:trHeight w:val="348"/>
        </w:trPr>
        <w:tc>
          <w:tcPr>
            <w:tcW w:w="1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Electricity/Battery Electric Vehicle or Plug-In Hybrid Electric Vehicle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CNG</w:t>
            </w:r>
            <w:r>
              <w:rPr>
                <w:sz w:val="22"/>
                <w:szCs w:val="22"/>
              </w:rPr>
              <w:t>,</w:t>
            </w:r>
            <w:r w:rsidRPr="006249E6">
              <w:rPr>
                <w:sz w:val="22"/>
                <w:szCs w:val="22"/>
              </w:rPr>
              <w:t>LNG</w:t>
            </w:r>
            <w:r>
              <w:rPr>
                <w:sz w:val="22"/>
                <w:szCs w:val="22"/>
              </w:rPr>
              <w:t>, or LPG</w:t>
            </w:r>
            <w:r w:rsidRPr="006249E6">
              <w:rPr>
                <w:sz w:val="22"/>
                <w:szCs w:val="22"/>
              </w:rPr>
              <w:t>(Compression-Ignition Engines)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4BAF" w:rsidRPr="006249E6" w:rsidTr="00FF7395">
        <w:trPr>
          <w:trHeight w:val="348"/>
        </w:trPr>
        <w:tc>
          <w:tcPr>
            <w:tcW w:w="1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</w:rPr>
              <w:t>Electricity/On-Road Electric Motorcycle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Electricity/Battery Electric Vehicle or Plug-In Hybrid Electric Vehicle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4BAF" w:rsidRPr="006249E6" w:rsidTr="00FF7395">
        <w:trPr>
          <w:trHeight w:val="348"/>
        </w:trPr>
        <w:tc>
          <w:tcPr>
            <w:tcW w:w="1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Propane/Propane Forklift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Electricity/Battery Electric or Plug-in Hybrid Transit Bus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4BAF" w:rsidRPr="006249E6" w:rsidTr="00FF7395">
        <w:trPr>
          <w:trHeight w:val="348"/>
        </w:trPr>
        <w:tc>
          <w:tcPr>
            <w:tcW w:w="1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Hydrogen/Fuel Cell Vehicle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2.5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Electricity/Fixed Guideway Light Rail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4BAF" w:rsidRPr="006249E6" w:rsidTr="00FF7395">
        <w:trPr>
          <w:trHeight w:val="348"/>
        </w:trPr>
        <w:tc>
          <w:tcPr>
            <w:tcW w:w="195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A84BAF" w:rsidRPr="006249E6" w:rsidRDefault="00A84BAF" w:rsidP="00901DAE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Electricity/Fixed Guideway Streetcar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4BAF" w:rsidRPr="006249E6" w:rsidTr="00FF7395">
        <w:trPr>
          <w:trHeight w:val="348"/>
        </w:trPr>
        <w:tc>
          <w:tcPr>
            <w:tcW w:w="195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84BAF" w:rsidRPr="006249E6" w:rsidRDefault="00A84BAF" w:rsidP="00901DAE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Electricity/Fixed Guideway Aerial Tram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4BAF" w:rsidRPr="006249E6" w:rsidTr="00FF7395">
        <w:trPr>
          <w:trHeight w:val="348"/>
        </w:trPr>
        <w:tc>
          <w:tcPr>
            <w:tcW w:w="195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84BAF" w:rsidRPr="006249E6" w:rsidRDefault="00A84BAF" w:rsidP="00901DAE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Electricity/Electric Forklift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4BAF" w:rsidRPr="006249E6" w:rsidTr="00FF7395">
        <w:trPr>
          <w:trHeight w:val="348"/>
        </w:trPr>
        <w:tc>
          <w:tcPr>
            <w:tcW w:w="195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84BAF" w:rsidRPr="006249E6" w:rsidRDefault="00A84BAF" w:rsidP="00901DAE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Electricity/Electric TRU (</w:t>
            </w:r>
            <w:proofErr w:type="spellStart"/>
            <w:r>
              <w:rPr>
                <w:sz w:val="22"/>
                <w:szCs w:val="22"/>
              </w:rPr>
              <w:t>eTRU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4BAF" w:rsidRPr="006249E6" w:rsidTr="00FF7395">
        <w:trPr>
          <w:trHeight w:val="348"/>
        </w:trPr>
        <w:tc>
          <w:tcPr>
            <w:tcW w:w="195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84BAF" w:rsidRPr="006249E6" w:rsidRDefault="00A84BAF" w:rsidP="00901DAE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Hydrogen/Fuel Cell Vehicle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1.9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4BAF" w:rsidRPr="006249E6" w:rsidTr="00FF7395">
        <w:trPr>
          <w:trHeight w:val="348"/>
        </w:trPr>
        <w:tc>
          <w:tcPr>
            <w:tcW w:w="195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A84BAF" w:rsidRPr="006249E6" w:rsidRDefault="00A84BAF" w:rsidP="00901DAE">
            <w:pPr>
              <w:suppressAutoHyphens/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Hydrogen/Fuel Cell Forklift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18" w:space="0" w:color="auto"/>
              <w:right w:val="single" w:sz="12" w:space="0" w:color="auto"/>
            </w:tcBorders>
            <w:vAlign w:val="center"/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8" w:space="0" w:color="auto"/>
              <w:right w:val="nil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84BAF" w:rsidRPr="006249E6" w:rsidRDefault="00A84BAF" w:rsidP="00901DAE">
            <w:pPr>
              <w:suppressAutoHyphens/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F7395" w:rsidRDefault="00FF7395">
      <w:pPr>
        <w:spacing w:after="160" w:line="259" w:lineRule="auto"/>
        <w:ind w:left="0" w:right="0"/>
        <w:outlineLvl w:val="9"/>
      </w:pPr>
      <w:r>
        <w:br w:type="page"/>
      </w:r>
    </w:p>
    <w:tbl>
      <w:tblPr>
        <w:tblStyle w:val="TableGrid2"/>
        <w:tblW w:w="9360" w:type="dxa"/>
        <w:tblInd w:w="-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2"/>
        <w:gridCol w:w="2468"/>
        <w:gridCol w:w="3510"/>
      </w:tblGrid>
      <w:tr w:rsidR="00A84BAF" w:rsidRPr="006249E6" w:rsidTr="00AF3E43">
        <w:trPr>
          <w:trHeight w:val="1687"/>
          <w:tblHeader/>
        </w:trPr>
        <w:tc>
          <w:tcPr>
            <w:tcW w:w="9360" w:type="dxa"/>
            <w:gridSpan w:val="3"/>
            <w:shd w:val="clear" w:color="auto" w:fill="E2EFD9" w:themeFill="accent6" w:themeFillTint="33"/>
            <w:vAlign w:val="center"/>
          </w:tcPr>
          <w:p w:rsidR="00A84BAF" w:rsidRPr="00332DEB" w:rsidRDefault="00A84BAF" w:rsidP="00901DAE">
            <w:pPr>
              <w:ind w:left="76" w:right="76"/>
              <w:jc w:val="center"/>
              <w:rPr>
                <w:rFonts w:ascii="Arial" w:hAnsi="Arial" w:cs="Arial"/>
                <w:b/>
                <w:color w:val="auto"/>
                <w:sz w:val="32"/>
              </w:rPr>
            </w:pPr>
            <w:r w:rsidRPr="009F1391">
              <w:rPr>
                <w:rFonts w:ascii="Arial" w:hAnsi="Arial" w:cs="Arial"/>
                <w:b/>
                <w:noProof/>
                <w:sz w:val="32"/>
                <w:szCs w:val="32"/>
                <w:lang w:val="en-ZW" w:eastAsia="en-ZW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6A06AE5F" wp14:editId="1D5C587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10160</wp:posOffset>
                  </wp:positionV>
                  <wp:extent cx="451485" cy="929640"/>
                  <wp:effectExtent l="0" t="0" r="5715" b="381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2DEB">
              <w:rPr>
                <w:rFonts w:ascii="Arial" w:hAnsi="Arial" w:cs="Arial"/>
                <w:b/>
                <w:color w:val="auto"/>
                <w:sz w:val="32"/>
              </w:rPr>
              <w:t>Table 8 – 340-253-8080</w:t>
            </w:r>
          </w:p>
          <w:p w:rsidR="00A84BAF" w:rsidRPr="006249E6" w:rsidRDefault="00A84BAF" w:rsidP="00901DAE">
            <w:pPr>
              <w:spacing w:after="120"/>
              <w:ind w:left="76" w:right="76"/>
              <w:jc w:val="center"/>
              <w:rPr>
                <w:color w:val="FFFFFF"/>
              </w:rPr>
            </w:pPr>
            <w:r w:rsidRPr="00332DEB">
              <w:rPr>
                <w:rFonts w:ascii="Arial" w:hAnsi="Arial" w:cs="Arial"/>
                <w:b/>
                <w:color w:val="auto"/>
              </w:rPr>
              <w:t>Oregon Substitute Fuel Pathway Codes</w:t>
            </w:r>
          </w:p>
        </w:tc>
      </w:tr>
      <w:tr w:rsidR="00A84BAF" w:rsidRPr="006249E6" w:rsidTr="00AF3E43">
        <w:tc>
          <w:tcPr>
            <w:tcW w:w="338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Fuel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Fuel Pathway code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spacing w:after="120"/>
              <w:ind w:left="76" w:right="181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CI (gCO2e/MJ)</w:t>
            </w:r>
          </w:p>
        </w:tc>
      </w:tr>
      <w:tr w:rsidR="00A84BAF" w:rsidRPr="006249E6" w:rsidTr="00AF3E43">
        <w:trPr>
          <w:trHeight w:val="350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145C35">
              <w:rPr>
                <w:color w:val="000000"/>
              </w:rPr>
              <w:t xml:space="preserve">Substitute CI for Ethanol. This pathway </w:t>
            </w:r>
            <w:proofErr w:type="gramStart"/>
            <w:r w:rsidRPr="00145C35">
              <w:rPr>
                <w:color w:val="000000"/>
              </w:rPr>
              <w:t>may only be used</w:t>
            </w:r>
            <w:proofErr w:type="gramEnd"/>
            <w:r w:rsidRPr="00145C35">
              <w:rPr>
                <w:color w:val="000000"/>
              </w:rPr>
              <w:t xml:space="preserve"> to report transactions that are sales or purchases without obligation, exports, loss of inventory, not for transportation use, and exempt fuel use.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ETH0116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A84BAF" w:rsidRPr="006249E6" w:rsidTr="00AF3E43">
        <w:trPr>
          <w:trHeight w:val="350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145C35">
              <w:rPr>
                <w:color w:val="000000"/>
              </w:rPr>
              <w:t xml:space="preserve">Substitute CI for Biodiesel. This pathway </w:t>
            </w:r>
            <w:proofErr w:type="gramStart"/>
            <w:r w:rsidRPr="00145C35">
              <w:rPr>
                <w:color w:val="000000"/>
              </w:rPr>
              <w:t>may only be used</w:t>
            </w:r>
            <w:proofErr w:type="gramEnd"/>
            <w:r w:rsidRPr="00145C35">
              <w:rPr>
                <w:color w:val="000000"/>
              </w:rPr>
              <w:t xml:space="preserve"> to report transactions that are sales or purchases without obligation, exports, loss of inventory, not for transportation use, and exempt fuel use.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BIOD0116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84BAF" w:rsidRPr="006249E6" w:rsidTr="00AF3E43">
        <w:trPr>
          <w:trHeight w:val="350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145C35">
              <w:rPr>
                <w:color w:val="000000"/>
              </w:rPr>
              <w:t xml:space="preserve">Substitute CI for Renewable Diesel. This pathway </w:t>
            </w:r>
            <w:proofErr w:type="gramStart"/>
            <w:r w:rsidRPr="00145C35">
              <w:rPr>
                <w:color w:val="000000"/>
              </w:rPr>
              <w:t>may only be used</w:t>
            </w:r>
            <w:proofErr w:type="gramEnd"/>
            <w:r w:rsidRPr="00145C35">
              <w:rPr>
                <w:color w:val="000000"/>
              </w:rPr>
              <w:t xml:space="preserve"> to report transactions that are sales or purchases without obligation, exports, loss of inventory, not for transport</w:t>
            </w:r>
            <w:r>
              <w:rPr>
                <w:color w:val="000000"/>
              </w:rPr>
              <w:t>ation use, and exempt fuel use.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AA6BE1">
              <w:rPr>
                <w:color w:val="000000"/>
              </w:rPr>
              <w:t>RNWD0116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84BAF" w:rsidRPr="006249E6" w:rsidTr="00AF3E43">
        <w:trPr>
          <w:trHeight w:val="350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Substitute CI for E10 Gasoline. </w:t>
            </w:r>
            <w:r w:rsidRPr="00145C35">
              <w:rPr>
                <w:color w:val="000000"/>
              </w:rPr>
              <w:t xml:space="preserve">This pathway </w:t>
            </w:r>
            <w:proofErr w:type="gramStart"/>
            <w:r w:rsidRPr="00145C35">
              <w:rPr>
                <w:color w:val="000000"/>
              </w:rPr>
              <w:t>may only be used</w:t>
            </w:r>
            <w:proofErr w:type="gramEnd"/>
            <w:r w:rsidRPr="00145C35">
              <w:rPr>
                <w:color w:val="000000"/>
              </w:rPr>
              <w:t xml:space="preserve"> to report transactions that are sales or purchases without obligation, exports, loss of inventory, not for transport</w:t>
            </w:r>
            <w:r>
              <w:rPr>
                <w:color w:val="000000"/>
              </w:rPr>
              <w:t>ation use, and exempt fuel use.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ORGAS0116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For 2019: 96.59</w:t>
            </w:r>
          </w:p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For 2020 and beyond: 96.00</w:t>
            </w:r>
          </w:p>
        </w:tc>
      </w:tr>
      <w:tr w:rsidR="00A84BAF" w:rsidRPr="006249E6" w:rsidTr="00AF3E43">
        <w:trPr>
          <w:trHeight w:val="350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Substitute CI for B5 Diesel.</w:t>
            </w:r>
            <w:r w:rsidRPr="00145C35">
              <w:rPr>
                <w:color w:val="000000"/>
              </w:rPr>
              <w:t xml:space="preserve"> This pathway </w:t>
            </w:r>
            <w:proofErr w:type="gramStart"/>
            <w:r w:rsidRPr="00145C35">
              <w:rPr>
                <w:color w:val="000000"/>
              </w:rPr>
              <w:t>may only be used</w:t>
            </w:r>
            <w:proofErr w:type="gramEnd"/>
            <w:r w:rsidRPr="00145C35">
              <w:rPr>
                <w:color w:val="000000"/>
              </w:rPr>
              <w:t xml:space="preserve"> to report transactions that are sales or purchases without obligation, exports, loss of inventory, not </w:t>
            </w:r>
            <w:r w:rsidRPr="00145C35">
              <w:rPr>
                <w:color w:val="000000"/>
              </w:rPr>
              <w:lastRenderedPageBreak/>
              <w:t>for transport</w:t>
            </w:r>
            <w:r>
              <w:rPr>
                <w:color w:val="000000"/>
              </w:rPr>
              <w:t>ation use, and exempt fuel use.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ORULSD01165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For 2019: 97.26</w:t>
            </w:r>
          </w:p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For 2020 and beyond: 96.71</w:t>
            </w:r>
          </w:p>
        </w:tc>
      </w:tr>
      <w:tr w:rsidR="00A84BAF" w:rsidRPr="006249E6" w:rsidTr="00AF3E43">
        <w:trPr>
          <w:trHeight w:val="350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Substitute CI for B20 Diesel.</w:t>
            </w:r>
            <w:r w:rsidRPr="00145C35">
              <w:rPr>
                <w:color w:val="000000"/>
              </w:rPr>
              <w:t xml:space="preserve"> This pathway </w:t>
            </w:r>
            <w:proofErr w:type="gramStart"/>
            <w:r w:rsidRPr="00145C35">
              <w:rPr>
                <w:color w:val="000000"/>
              </w:rPr>
              <w:t>may only be used</w:t>
            </w:r>
            <w:proofErr w:type="gramEnd"/>
            <w:r w:rsidRPr="00145C35">
              <w:rPr>
                <w:color w:val="000000"/>
              </w:rPr>
              <w:t xml:space="preserve"> to report transactions that are sales or purchases without obligation, exports, loss of inventory, not for transport</w:t>
            </w:r>
            <w:r>
              <w:rPr>
                <w:color w:val="000000"/>
              </w:rPr>
              <w:t>ation use, and exempt fuel use.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ORULSD011620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84.45</w:t>
            </w:r>
          </w:p>
        </w:tc>
      </w:tr>
    </w:tbl>
    <w:p w:rsidR="00A84BAF" w:rsidRDefault="00A84BAF" w:rsidP="00A84BAF">
      <w:pPr>
        <w:spacing w:after="100" w:afterAutospacing="1"/>
        <w:ind w:left="0" w:right="0"/>
      </w:pPr>
    </w:p>
    <w:p w:rsidR="00AF3E43" w:rsidRDefault="00AF3E43">
      <w:pPr>
        <w:spacing w:after="160" w:line="259" w:lineRule="auto"/>
        <w:ind w:left="0" w:right="0"/>
        <w:outlineLvl w:val="9"/>
      </w:pPr>
      <w:r>
        <w:br w:type="page"/>
      </w:r>
    </w:p>
    <w:tbl>
      <w:tblPr>
        <w:tblStyle w:val="TableGrid11"/>
        <w:tblW w:w="9450" w:type="dxa"/>
        <w:tblInd w:w="-4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522"/>
        <w:gridCol w:w="1800"/>
        <w:gridCol w:w="2198"/>
        <w:gridCol w:w="2032"/>
        <w:gridCol w:w="1890"/>
        <w:gridCol w:w="8"/>
      </w:tblGrid>
      <w:tr w:rsidR="00A84BAF" w:rsidRPr="006249E6" w:rsidTr="00BE11DB">
        <w:trPr>
          <w:trHeight w:val="1651"/>
          <w:tblHeader/>
        </w:trPr>
        <w:tc>
          <w:tcPr>
            <w:tcW w:w="9450" w:type="dxa"/>
            <w:gridSpan w:val="6"/>
            <w:shd w:val="clear" w:color="auto" w:fill="E2EFD9" w:themeFill="accent6" w:themeFillTint="33"/>
            <w:vAlign w:val="center"/>
          </w:tcPr>
          <w:p w:rsidR="00A84BAF" w:rsidRPr="00332DEB" w:rsidRDefault="00A84BAF" w:rsidP="00901DAE">
            <w:pPr>
              <w:ind w:left="76"/>
              <w:jc w:val="center"/>
              <w:rPr>
                <w:rFonts w:ascii="Arial" w:hAnsi="Arial" w:cs="Arial"/>
                <w:b/>
                <w:color w:val="auto"/>
                <w:sz w:val="32"/>
                <w:lang w:bidi="en-US"/>
              </w:rPr>
            </w:pPr>
            <w:r w:rsidRPr="009F1391">
              <w:rPr>
                <w:rFonts w:ascii="Arial" w:hAnsi="Arial" w:cs="Arial"/>
                <w:b/>
                <w:noProof/>
                <w:sz w:val="32"/>
                <w:szCs w:val="32"/>
                <w:lang w:val="en-ZW" w:eastAsia="en-ZW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7ABB956A" wp14:editId="095FF3D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47625</wp:posOffset>
                  </wp:positionV>
                  <wp:extent cx="451485" cy="929640"/>
                  <wp:effectExtent l="0" t="0" r="5715" b="381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2DEB">
              <w:rPr>
                <w:rFonts w:ascii="Arial" w:hAnsi="Arial" w:cs="Arial"/>
                <w:b/>
                <w:color w:val="auto"/>
                <w:sz w:val="32"/>
              </w:rPr>
              <w:t xml:space="preserve">Table 9 – 340-253-8090 </w:t>
            </w:r>
          </w:p>
          <w:p w:rsidR="00A84BAF" w:rsidRPr="006249E6" w:rsidRDefault="00A84BAF" w:rsidP="00901DAE">
            <w:pPr>
              <w:ind w:left="433"/>
              <w:jc w:val="center"/>
              <w:rPr>
                <w:color w:val="FFFFFF"/>
                <w:lang w:bidi="en-US"/>
              </w:rPr>
            </w:pPr>
            <w:r w:rsidRPr="00332DEB">
              <w:rPr>
                <w:rFonts w:ascii="Arial" w:hAnsi="Arial" w:cs="Arial"/>
                <w:b/>
                <w:color w:val="auto"/>
              </w:rPr>
              <w:t>Oregon Temporary Fuel Pathway Codes for Fuels with Indeterminate CIs</w:t>
            </w:r>
          </w:p>
        </w:tc>
      </w:tr>
      <w:tr w:rsidR="00A84BAF" w:rsidRPr="006249E6" w:rsidTr="00C628C6">
        <w:trPr>
          <w:gridAfter w:val="1"/>
          <w:wAfter w:w="8" w:type="dxa"/>
          <w:trHeight w:val="490"/>
        </w:trPr>
        <w:tc>
          <w:tcPr>
            <w:tcW w:w="1522" w:type="dxa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Fuel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Feedstock</w:t>
            </w:r>
          </w:p>
        </w:tc>
        <w:tc>
          <w:tcPr>
            <w:tcW w:w="2198" w:type="dxa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Process Energy</w:t>
            </w:r>
          </w:p>
        </w:tc>
        <w:tc>
          <w:tcPr>
            <w:tcW w:w="2032" w:type="dxa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FPC</w:t>
            </w:r>
          </w:p>
        </w:tc>
        <w:tc>
          <w:tcPr>
            <w:tcW w:w="1890" w:type="dxa"/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ind w:lef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332DEB">
              <w:rPr>
                <w:rFonts w:ascii="Arial" w:hAnsi="Arial" w:cs="Arial"/>
                <w:b/>
                <w:color w:val="000000"/>
              </w:rPr>
              <w:t>CI (gCO</w:t>
            </w:r>
            <w:r w:rsidRPr="00332DEB">
              <w:rPr>
                <w:rFonts w:ascii="Arial" w:hAnsi="Arial" w:cs="Arial"/>
                <w:b/>
                <w:color w:val="000000"/>
                <w:vertAlign w:val="subscript"/>
              </w:rPr>
              <w:t>2</w:t>
            </w:r>
            <w:r w:rsidRPr="00332DEB">
              <w:rPr>
                <w:rFonts w:ascii="Arial" w:hAnsi="Arial" w:cs="Arial"/>
                <w:b/>
                <w:color w:val="000000"/>
              </w:rPr>
              <w:t>e/MJ)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Ethanol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Corn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ORETH100T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77.35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Sorghum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ORETH101T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93.35</w:t>
            </w:r>
          </w:p>
        </w:tc>
      </w:tr>
      <w:tr w:rsidR="00A84BAF" w:rsidRPr="006249E6" w:rsidTr="00C628C6">
        <w:trPr>
          <w:gridAfter w:val="1"/>
          <w:wAfter w:w="8" w:type="dxa"/>
          <w:trHeight w:val="345"/>
        </w:trPr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 xml:space="preserve">Sugarcane and Molasses 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Bagasse and straw only, no grid electricity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ORETH102T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57.09</w:t>
            </w:r>
          </w:p>
        </w:tc>
      </w:tr>
      <w:tr w:rsidR="00A84BAF" w:rsidRPr="006249E6" w:rsidTr="00C628C6">
        <w:trPr>
          <w:gridAfter w:val="1"/>
          <w:wAfter w:w="8" w:type="dxa"/>
          <w:trHeight w:val="489"/>
        </w:trPr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Any starch or sugar feedstock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Any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ORETH103T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100.</w:t>
            </w:r>
            <w:r>
              <w:rPr>
                <w:color w:val="000000"/>
              </w:rPr>
              <w:t>14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Corn Stover, Wheat Straw, or Sugarcane Straw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As specified in OR-Greet 2.0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ORETH104T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41.05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Biodiesel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t>Any feedstock derived from animal fats, corn oil, or a waste stream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t>ORBIOD200T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47.30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Any feedstock derived from plant oils except for Palm</w:t>
            </w:r>
            <w:r>
              <w:rPr>
                <w:rFonts w:eastAsia="Arial Unicode MS"/>
                <w:u w:color="000000"/>
              </w:rPr>
              <w:t>-derived</w:t>
            </w:r>
            <w:r w:rsidRPr="006249E6">
              <w:rPr>
                <w:rFonts w:eastAsia="Arial Unicode MS"/>
                <w:u w:color="000000"/>
              </w:rPr>
              <w:t xml:space="preserve"> oils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ORBIOD201T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65.03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Any feedstock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Any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ORBIOD202T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10</w:t>
            </w:r>
            <w:r>
              <w:rPr>
                <w:rFonts w:eastAsia="Arial Unicode MS"/>
                <w:u w:color="000000"/>
              </w:rPr>
              <w:t>0.74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Renewable Diesel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t>Any feedstock derived from animal fats, corn oil, or a waste stream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ORRNWD300T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39.26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Any feedstock derived from plant oils except for Palm</w:t>
            </w:r>
            <w:r>
              <w:rPr>
                <w:rFonts w:eastAsia="Arial Unicode MS"/>
                <w:u w:color="000000"/>
              </w:rPr>
              <w:t>-derived</w:t>
            </w:r>
            <w:r w:rsidRPr="006249E6">
              <w:rPr>
                <w:rFonts w:eastAsia="Arial Unicode MS"/>
                <w:u w:color="000000"/>
              </w:rPr>
              <w:t xml:space="preserve"> oils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ORRNWD301T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56.55</w:t>
            </w:r>
          </w:p>
        </w:tc>
      </w:tr>
      <w:tr w:rsidR="00A84BAF" w:rsidRPr="006249E6" w:rsidTr="00C628C6">
        <w:trPr>
          <w:gridAfter w:val="1"/>
          <w:wAfter w:w="8" w:type="dxa"/>
          <w:trHeight w:val="400"/>
        </w:trPr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Any feedstock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Any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rFonts w:eastAsia="Arial Unicode MS"/>
                <w:u w:color="000000"/>
              </w:rPr>
            </w:pPr>
            <w:r w:rsidRPr="006249E6">
              <w:rPr>
                <w:rFonts w:eastAsia="Arial Unicode MS"/>
                <w:u w:color="000000"/>
              </w:rPr>
              <w:t>ORRNWD302T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10</w:t>
            </w:r>
            <w:r>
              <w:rPr>
                <w:color w:val="000000"/>
              </w:rPr>
              <w:t>0.74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proofErr w:type="spellStart"/>
            <w:r w:rsidRPr="006249E6">
              <w:rPr>
                <w:color w:val="000000"/>
              </w:rPr>
              <w:t>Biomethane</w:t>
            </w:r>
            <w:proofErr w:type="spellEnd"/>
            <w:r w:rsidRPr="006249E6">
              <w:rPr>
                <w:color w:val="000000"/>
              </w:rPr>
              <w:t xml:space="preserve"> CNG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6249E6">
              <w:t>Landfill or Digester Gas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ORCNG500T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63.96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>
              <w:t>Municipal Wastewater sludge, Food Waste, Green Waste, or Other Organic Waste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>
              <w:t>Grid electricity, natural gas, and/or parasitic load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ORCNG501T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proofErr w:type="spellStart"/>
            <w:r w:rsidRPr="006249E6">
              <w:rPr>
                <w:color w:val="000000"/>
              </w:rPr>
              <w:t>Biomethane</w:t>
            </w:r>
            <w:proofErr w:type="spellEnd"/>
            <w:r w:rsidRPr="006249E6">
              <w:rPr>
                <w:color w:val="000000"/>
              </w:rPr>
              <w:t xml:space="preserve"> LNG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6249E6">
              <w:t>Landfill or Digester Gas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ORLNG501T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80.44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>
              <w:t>Municipal Wastewater sludge, Food Waste, Green Waste, or Other Organic Waste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>
              <w:t>Grid electricity, natural gas, and/or parasitic load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ORLNG502T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proofErr w:type="spellStart"/>
            <w:r w:rsidRPr="006249E6">
              <w:rPr>
                <w:color w:val="000000"/>
              </w:rPr>
              <w:t>Biomethane</w:t>
            </w:r>
            <w:proofErr w:type="spellEnd"/>
            <w:r w:rsidRPr="006249E6">
              <w:rPr>
                <w:color w:val="000000"/>
              </w:rPr>
              <w:t xml:space="preserve"> L-CNG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6249E6">
              <w:t>Landfill or Digester Gas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6249E6">
              <w:t>Grid electricity, natural gas, and/or renewables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ORLCNG502T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84.65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vMerge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>
              <w:t>Municipal Wastewater sludge, Food Waste, Green Waste, or Other Organic Waste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>
              <w:t>Grid electricity, natural gas, and/or parasitic load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ORLCNG503T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Biomethane</w:t>
            </w:r>
            <w:proofErr w:type="spellEnd"/>
            <w:r>
              <w:rPr>
                <w:color w:val="000000"/>
              </w:rPr>
              <w:t xml:space="preserve"> CNG, LNG, L-CNG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>
              <w:t>Dairy Manure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>
              <w:t>Grid electricity, natural gas, and/or parasitic load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ORLCNG504T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>
              <w:rPr>
                <w:color w:val="000000"/>
              </w:rPr>
              <w:t>-150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Electricity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Coal, Natural Gas, Hydroelectric Dams, Wind Mills, etc.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Oregon average electricity mix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t>ORELEC600T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135.00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lastRenderedPageBreak/>
              <w:t>Any Gasoline Substitute Feedstock-Fuel Combination Not Included Above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Any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6249E6">
              <w:t>Any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6249E6">
              <w:t>ORSG800T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100.</w:t>
            </w:r>
            <w:r>
              <w:rPr>
                <w:color w:val="000000"/>
              </w:rPr>
              <w:t>14</w:t>
            </w:r>
          </w:p>
        </w:tc>
      </w:tr>
      <w:tr w:rsidR="00A84BAF" w:rsidRPr="006249E6" w:rsidTr="00C628C6">
        <w:trPr>
          <w:gridAfter w:val="1"/>
          <w:wAfter w:w="8" w:type="dxa"/>
        </w:trPr>
        <w:tc>
          <w:tcPr>
            <w:tcW w:w="152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Any Diesel Substitute Feedstock-Fuel Combination Not Included Above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Any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6249E6">
              <w:t>Any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</w:pPr>
            <w:r w:rsidRPr="006249E6">
              <w:t>ORSD801T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84BAF" w:rsidRPr="006249E6" w:rsidRDefault="00A84BAF" w:rsidP="00901DAE">
            <w:pPr>
              <w:ind w:left="76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10</w:t>
            </w:r>
            <w:r>
              <w:rPr>
                <w:color w:val="000000"/>
              </w:rPr>
              <w:t>0.74</w:t>
            </w:r>
          </w:p>
        </w:tc>
      </w:tr>
    </w:tbl>
    <w:p w:rsidR="00C628C6" w:rsidRDefault="00C628C6">
      <w:pPr>
        <w:spacing w:after="160" w:line="259" w:lineRule="auto"/>
        <w:ind w:left="0" w:right="0"/>
        <w:outlineLvl w:val="9"/>
        <w:rPr>
          <w:rStyle w:val="Hyperlink"/>
        </w:rPr>
      </w:pPr>
      <w:r>
        <w:rPr>
          <w:rStyle w:val="Hyperlink"/>
        </w:rPr>
        <w:br w:type="page"/>
      </w:r>
    </w:p>
    <w:p w:rsidR="00C628C6" w:rsidRPr="00B54349" w:rsidRDefault="00C628C6" w:rsidP="00A84BAF">
      <w:pPr>
        <w:spacing w:after="100" w:afterAutospacing="1"/>
        <w:ind w:left="0" w:right="0"/>
      </w:pPr>
    </w:p>
    <w:tbl>
      <w:tblPr>
        <w:tblStyle w:val="TableGrid1"/>
        <w:tblW w:w="9090" w:type="dxa"/>
        <w:tblInd w:w="-2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040"/>
        <w:gridCol w:w="3989"/>
        <w:gridCol w:w="61"/>
      </w:tblGrid>
      <w:tr w:rsidR="00A84BAF" w:rsidRPr="006249E6" w:rsidTr="00C50D02">
        <w:trPr>
          <w:trHeight w:val="1963"/>
          <w:tblHeader/>
        </w:trPr>
        <w:tc>
          <w:tcPr>
            <w:tcW w:w="909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A84BAF" w:rsidRPr="00332DEB" w:rsidRDefault="00A84BAF" w:rsidP="00901DAE">
            <w:pPr>
              <w:tabs>
                <w:tab w:val="left" w:pos="8986"/>
              </w:tabs>
              <w:spacing w:after="120"/>
              <w:ind w:left="0" w:right="76"/>
              <w:jc w:val="center"/>
              <w:rPr>
                <w:rFonts w:ascii="Arial" w:hAnsi="Arial" w:cs="Arial"/>
                <w:b/>
                <w:color w:val="auto"/>
                <w:sz w:val="32"/>
                <w:szCs w:val="22"/>
              </w:rPr>
            </w:pPr>
            <w:r w:rsidRPr="009F1391">
              <w:rPr>
                <w:rFonts w:ascii="Arial" w:hAnsi="Arial" w:cs="Arial"/>
                <w:b/>
                <w:noProof/>
                <w:sz w:val="32"/>
                <w:szCs w:val="32"/>
                <w:lang w:val="en-ZW" w:eastAsia="en-ZW"/>
              </w:rPr>
              <w:drawing>
                <wp:anchor distT="0" distB="0" distL="114300" distR="114300" simplePos="0" relativeHeight="251668480" behindDoc="0" locked="0" layoutInCell="1" allowOverlap="1" wp14:anchorId="4119CA48" wp14:editId="157203D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121920</wp:posOffset>
                  </wp:positionV>
                  <wp:extent cx="451485" cy="929640"/>
                  <wp:effectExtent l="0" t="0" r="5715" b="381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2DEB">
              <w:rPr>
                <w:rFonts w:ascii="Arial" w:hAnsi="Arial" w:cs="Arial"/>
                <w:b/>
                <w:color w:val="auto"/>
                <w:sz w:val="32"/>
                <w:szCs w:val="22"/>
              </w:rPr>
              <w:t>Table 10 – 340-253-8100</w:t>
            </w:r>
          </w:p>
          <w:p w:rsidR="00A84BAF" w:rsidRPr="006249E6" w:rsidRDefault="00A84BAF" w:rsidP="00901DAE">
            <w:pPr>
              <w:tabs>
                <w:tab w:val="left" w:pos="8986"/>
              </w:tabs>
              <w:spacing w:after="120"/>
              <w:ind w:left="793" w:right="76"/>
              <w:jc w:val="center"/>
              <w:rPr>
                <w:color w:val="FFFFFF"/>
                <w:sz w:val="22"/>
                <w:szCs w:val="22"/>
              </w:rPr>
            </w:pPr>
            <w:r w:rsidRPr="00332DEB">
              <w:rPr>
                <w:rFonts w:ascii="Arial" w:hAnsi="Arial" w:cs="Arial"/>
                <w:b/>
                <w:color w:val="auto"/>
                <w:sz w:val="22"/>
                <w:szCs w:val="22"/>
              </w:rPr>
              <w:t>Oregon Summary of Indirect Land-Use Change Values for Crop-Based Biofuels</w:t>
            </w:r>
          </w:p>
        </w:tc>
      </w:tr>
      <w:tr w:rsidR="00A84BAF" w:rsidRPr="006249E6" w:rsidTr="00C50D02"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spacing w:before="120" w:after="120"/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332DEB">
              <w:rPr>
                <w:rFonts w:ascii="Arial" w:hAnsi="Arial" w:cs="Arial"/>
                <w:b/>
                <w:color w:val="000000"/>
                <w:szCs w:val="22"/>
              </w:rPr>
              <w:t>Feedstock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A84BAF" w:rsidRPr="00332DEB" w:rsidRDefault="00A84BAF" w:rsidP="00901DAE">
            <w:pPr>
              <w:spacing w:before="120" w:after="120"/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332DEB">
              <w:rPr>
                <w:rFonts w:ascii="Arial" w:hAnsi="Arial" w:cs="Arial"/>
                <w:b/>
                <w:color w:val="000000"/>
                <w:szCs w:val="22"/>
                <w:lang w:bidi="en-US"/>
              </w:rPr>
              <w:t>ILUC Value (gCO</w:t>
            </w:r>
            <w:r w:rsidRPr="00332DEB">
              <w:rPr>
                <w:rFonts w:ascii="Arial" w:hAnsi="Arial" w:cs="Arial"/>
                <w:b/>
                <w:color w:val="000000"/>
                <w:szCs w:val="22"/>
                <w:vertAlign w:val="subscript"/>
                <w:lang w:bidi="en-US"/>
              </w:rPr>
              <w:t>2</w:t>
            </w:r>
            <w:r w:rsidRPr="00332DEB">
              <w:rPr>
                <w:rFonts w:ascii="Arial" w:hAnsi="Arial" w:cs="Arial"/>
                <w:b/>
                <w:color w:val="000000"/>
                <w:szCs w:val="22"/>
                <w:lang w:bidi="en-US"/>
              </w:rPr>
              <w:t>e/MJ)</w:t>
            </w:r>
          </w:p>
        </w:tc>
      </w:tr>
      <w:tr w:rsidR="00A84BAF" w:rsidRPr="006249E6" w:rsidTr="00C50D02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</w:rPr>
              <w:t>Corn Ethanol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7.60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:rsidR="00A84BAF" w:rsidRPr="006249E6" w:rsidRDefault="00A84BAF" w:rsidP="00901DAE">
            <w:pPr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4BAF" w:rsidRPr="006249E6" w:rsidTr="00C50D02">
        <w:trPr>
          <w:trHeight w:val="255"/>
        </w:trPr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</w:rPr>
              <w:t>Sorghum Ethanol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  <w:lang w:bidi="en-US"/>
              </w:rPr>
              <w:t>19.40</w:t>
            </w:r>
          </w:p>
        </w:tc>
        <w:tc>
          <w:tcPr>
            <w:tcW w:w="61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:rsidR="00A84BAF" w:rsidRPr="006249E6" w:rsidRDefault="00A84BAF" w:rsidP="00901DAE">
            <w:pPr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4BAF" w:rsidRPr="006249E6" w:rsidTr="00C50D02">
        <w:trPr>
          <w:trHeight w:val="489"/>
        </w:trPr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</w:rPr>
              <w:t>Sugarcane Ethanol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11.80</w:t>
            </w:r>
          </w:p>
        </w:tc>
        <w:tc>
          <w:tcPr>
            <w:tcW w:w="61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:rsidR="00A84BAF" w:rsidRPr="006249E6" w:rsidRDefault="00A84BAF" w:rsidP="00901DAE">
            <w:pPr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4BAF" w:rsidRPr="006249E6" w:rsidTr="00C50D02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</w:rPr>
              <w:t>Soybean Biodiesel or Renewable Diesel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29.10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:rsidR="00A84BAF" w:rsidRPr="006249E6" w:rsidRDefault="00A84BAF" w:rsidP="00901DAE">
            <w:pPr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4BAF" w:rsidRPr="006249E6" w:rsidTr="00C50D02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Canola Biodiesel or Renewable Diesel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14.50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:rsidR="00A84BAF" w:rsidRPr="006249E6" w:rsidRDefault="00A84BAF" w:rsidP="00901DAE">
            <w:pPr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4BAF" w:rsidRPr="006249E6" w:rsidTr="00C50D02">
        <w:trPr>
          <w:trHeight w:val="318"/>
        </w:trPr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Palm Biodiesel or Renewable Diesel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FFFFFF"/>
            </w:tcBorders>
            <w:vAlign w:val="center"/>
          </w:tcPr>
          <w:p w:rsidR="00A84BAF" w:rsidRPr="006249E6" w:rsidRDefault="00A84BAF" w:rsidP="00901DAE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71.40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</w:tcPr>
          <w:p w:rsidR="00A84BAF" w:rsidRPr="006249E6" w:rsidRDefault="00A84BAF" w:rsidP="00901DAE">
            <w:pPr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S</w:t>
            </w:r>
          </w:p>
        </w:tc>
      </w:tr>
    </w:tbl>
    <w:p w:rsidR="00A84BAF" w:rsidRDefault="00A84BAF" w:rsidP="00A84BAF">
      <w:pPr>
        <w:spacing w:after="100" w:afterAutospacing="1"/>
        <w:ind w:left="0" w:right="0"/>
      </w:pPr>
      <w:bookmarkStart w:id="0" w:name="_GoBack"/>
      <w:bookmarkEnd w:id="0"/>
    </w:p>
    <w:sectPr w:rsidR="00A84BAF" w:rsidSect="00A84BAF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856" w:rsidRDefault="00B20527">
      <w:r>
        <w:separator/>
      </w:r>
    </w:p>
  </w:endnote>
  <w:endnote w:type="continuationSeparator" w:id="0">
    <w:p w:rsidR="00E15856" w:rsidRDefault="00B2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4759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5D2E" w:rsidRDefault="00D013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D0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15D2E" w:rsidRDefault="00C50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403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5D2E" w:rsidRDefault="00D013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5D2E" w:rsidRDefault="00C50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856" w:rsidRDefault="00B20527">
      <w:r>
        <w:separator/>
      </w:r>
    </w:p>
  </w:footnote>
  <w:footnote w:type="continuationSeparator" w:id="0">
    <w:p w:rsidR="00E15856" w:rsidRDefault="00B2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2E" w:rsidRDefault="00C50D02" w:rsidP="00CC521E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118A"/>
    <w:multiLevelType w:val="multilevel"/>
    <w:tmpl w:val="3C807BD8"/>
    <w:lvl w:ilvl="0">
      <w:start w:val="10"/>
      <w:numFmt w:val="decimal"/>
      <w:lvlText w:val="%1.0"/>
      <w:lvlJc w:val="left"/>
      <w:pPr>
        <w:ind w:left="616" w:hanging="540"/>
      </w:pPr>
      <w:rPr>
        <w:rFonts w:hint="default"/>
        <w:color w:val="auto"/>
      </w:rPr>
    </w:lvl>
    <w:lvl w:ilvl="1">
      <w:start w:val="1"/>
      <w:numFmt w:val="decimalZero"/>
      <w:lvlText w:val="%1.%2"/>
      <w:lvlJc w:val="left"/>
      <w:pPr>
        <w:ind w:left="1336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5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03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756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8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55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636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AF"/>
    <w:rsid w:val="00006AD0"/>
    <w:rsid w:val="001E17C6"/>
    <w:rsid w:val="00343AED"/>
    <w:rsid w:val="004032B7"/>
    <w:rsid w:val="009769F5"/>
    <w:rsid w:val="009B178F"/>
    <w:rsid w:val="00A84BAF"/>
    <w:rsid w:val="00AF3E43"/>
    <w:rsid w:val="00B20527"/>
    <w:rsid w:val="00BE11DB"/>
    <w:rsid w:val="00C50D02"/>
    <w:rsid w:val="00C628C6"/>
    <w:rsid w:val="00D01354"/>
    <w:rsid w:val="00E15856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B865B-1993-4CE8-A3A0-AC3B1C00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BAF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B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BAF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4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BAF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A84BAF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84BAF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84BAF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84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8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16</Pages>
  <Words>1710</Words>
  <Characters>9766</Characters>
  <Application>Microsoft Office Word</Application>
  <DocSecurity>0</DocSecurity>
  <Lines>887</Lines>
  <Paragraphs>573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13</cp:revision>
  <dcterms:created xsi:type="dcterms:W3CDTF">2018-11-13T22:51:00Z</dcterms:created>
  <dcterms:modified xsi:type="dcterms:W3CDTF">2018-11-13T23:33:00Z</dcterms:modified>
</cp:coreProperties>
</file>