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0223A" w14:textId="77777777" w:rsidR="000A3C5B" w:rsidRPr="00D84819" w:rsidRDefault="00257D81" w:rsidP="00FB52F7">
      <w:pPr>
        <w:ind w:left="1800" w:firstLine="360"/>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2F50269B" wp14:editId="2F50269C">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Pr>
          <w:rFonts w:ascii="Arial" w:hAnsi="Arial" w:cs="Arial"/>
        </w:rPr>
        <w:t xml:space="preserve">    </w:t>
      </w:r>
      <w:r w:rsidR="000A3C5B" w:rsidRPr="00D84819">
        <w:rPr>
          <w:rFonts w:ascii="Arial" w:hAnsi="Arial" w:cs="Arial"/>
        </w:rPr>
        <w:t>Oregon Department of Environmental Quality</w:t>
      </w:r>
    </w:p>
    <w:p w14:paraId="2F50223B" w14:textId="64030A34" w:rsidR="000A3C5B" w:rsidRPr="009F37B6" w:rsidRDefault="000A3C5B" w:rsidP="00501ABB">
      <w:pPr>
        <w:tabs>
          <w:tab w:val="center" w:pos="5580"/>
        </w:tabs>
        <w:ind w:left="0"/>
        <w:rPr>
          <w:rStyle w:val="Emphasis"/>
          <w:rFonts w:ascii="Arial" w:hAnsi="Arial" w:cs="Arial"/>
          <w:vanish w:val="0"/>
          <w:color w:val="525252" w:themeColor="accent3" w:themeShade="80"/>
        </w:rPr>
      </w:pPr>
      <w:r>
        <w:tab/>
      </w:r>
      <w:r w:rsidR="006C0B82">
        <w:rPr>
          <w:rStyle w:val="Emphasis"/>
          <w:rFonts w:ascii="Arial" w:hAnsi="Arial" w:cs="Arial"/>
          <w:vanish w:val="0"/>
          <w:color w:val="525252" w:themeColor="accent3" w:themeShade="80"/>
        </w:rPr>
        <w:t>September 1, 2018</w:t>
      </w:r>
    </w:p>
    <w:p w14:paraId="2F50223C" w14:textId="77777777" w:rsidR="000A3C5B" w:rsidRPr="000A3C5B" w:rsidRDefault="000A3C5B" w:rsidP="007D6F88">
      <w:pPr>
        <w:pStyle w:val="Heading2"/>
        <w:jc w:val="center"/>
      </w:pPr>
      <w:r w:rsidRPr="000A3C5B">
        <w:t>Notice of Proposed Rulemaking</w:t>
      </w:r>
    </w:p>
    <w:p w14:paraId="2F50223D" w14:textId="77777777" w:rsidR="000A3C5B" w:rsidRPr="009F37B6" w:rsidRDefault="000A3C5B" w:rsidP="00501ABB">
      <w:pPr>
        <w:ind w:left="0"/>
        <w:rPr>
          <w:rFonts w:ascii="Arial" w:hAnsi="Arial" w:cs="Arial"/>
        </w:rPr>
      </w:pPr>
    </w:p>
    <w:p w14:paraId="2F50223E" w14:textId="05E1D6EA" w:rsidR="00727622" w:rsidRPr="006C0B82" w:rsidRDefault="006C0B82" w:rsidP="00501ABB">
      <w:pPr>
        <w:ind w:left="0"/>
        <w:jc w:val="center"/>
        <w:rPr>
          <w:rStyle w:val="Strong"/>
          <w:rFonts w:ascii="Arial" w:hAnsi="Arial" w:cs="Arial"/>
        </w:rPr>
      </w:pPr>
      <w:r w:rsidRPr="006C0B82">
        <w:rPr>
          <w:rStyle w:val="Strong"/>
          <w:rFonts w:ascii="Arial" w:hAnsi="Arial" w:cs="Arial"/>
        </w:rPr>
        <w:t>CFP 2018 Rulemaking</w:t>
      </w:r>
    </w:p>
    <w:p w14:paraId="2F50223F" w14:textId="77777777" w:rsidR="00867C8C" w:rsidRPr="009F37B6" w:rsidRDefault="00867C8C" w:rsidP="00501ABB">
      <w:pPr>
        <w:ind w:left="0"/>
        <w:jc w:val="center"/>
        <w:rPr>
          <w:rFonts w:ascii="Arial" w:hAnsi="Arial" w:cs="Arial"/>
          <w:sz w:val="26"/>
          <w:szCs w:val="26"/>
        </w:rPr>
      </w:pPr>
    </w:p>
    <w:p w14:paraId="2F50224E" w14:textId="77777777" w:rsidR="0095000E" w:rsidRPr="0095000E" w:rsidRDefault="0095000E" w:rsidP="0095000E"/>
    <w:p w14:paraId="2F50225B" w14:textId="5C08379B" w:rsidR="00447098" w:rsidRPr="00447098" w:rsidRDefault="00447098" w:rsidP="00447098">
      <w:pPr>
        <w:pStyle w:val="Heading2"/>
        <w:ind w:left="0"/>
      </w:pPr>
    </w:p>
    <w:p w14:paraId="2F50225C" w14:textId="77777777" w:rsidR="00AA42DD" w:rsidRPr="00AA42DD" w:rsidRDefault="00AA42DD" w:rsidP="00AA42DD">
      <w:pPr>
        <w:pStyle w:val="Title"/>
        <w:jc w:val="center"/>
        <w:rPr>
          <w:rFonts w:ascii="Arial" w:hAnsi="Arial" w:cs="Arial"/>
          <w:color w:val="000000" w:themeColor="text1"/>
        </w:rPr>
      </w:pPr>
      <w:r>
        <w:rPr>
          <w:color w:val="000000" w:themeColor="text1"/>
        </w:rPr>
        <w:t>Table of Contents</w:t>
      </w:r>
    </w:p>
    <w:p w14:paraId="5F9BF0B8" w14:textId="3B2EADD5" w:rsidR="005A5751" w:rsidRDefault="004B5396">
      <w:pPr>
        <w:pStyle w:val="TOC1"/>
        <w:tabs>
          <w:tab w:val="right" w:leader="dot" w:pos="8990"/>
        </w:tabs>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2107420" w:history="1">
        <w:r w:rsidR="005A5751" w:rsidRPr="0089375B">
          <w:rPr>
            <w:rStyle w:val="Hyperlink"/>
            <w:noProof/>
          </w:rPr>
          <w:t>Introduction</w:t>
        </w:r>
        <w:r w:rsidR="005A5751">
          <w:rPr>
            <w:noProof/>
            <w:webHidden/>
          </w:rPr>
          <w:tab/>
        </w:r>
        <w:r w:rsidR="005A5751">
          <w:rPr>
            <w:noProof/>
            <w:webHidden/>
          </w:rPr>
          <w:fldChar w:fldCharType="begin"/>
        </w:r>
        <w:r w:rsidR="005A5751">
          <w:rPr>
            <w:noProof/>
            <w:webHidden/>
          </w:rPr>
          <w:instrText xml:space="preserve"> PAGEREF _Toc522107420 \h </w:instrText>
        </w:r>
        <w:r w:rsidR="005A5751">
          <w:rPr>
            <w:noProof/>
            <w:webHidden/>
          </w:rPr>
        </w:r>
        <w:r w:rsidR="005A5751">
          <w:rPr>
            <w:noProof/>
            <w:webHidden/>
          </w:rPr>
          <w:fldChar w:fldCharType="separate"/>
        </w:r>
        <w:r w:rsidR="005A5751">
          <w:rPr>
            <w:noProof/>
            <w:webHidden/>
          </w:rPr>
          <w:t>2</w:t>
        </w:r>
        <w:r w:rsidR="005A5751">
          <w:rPr>
            <w:noProof/>
            <w:webHidden/>
          </w:rPr>
          <w:fldChar w:fldCharType="end"/>
        </w:r>
      </w:hyperlink>
    </w:p>
    <w:p w14:paraId="7C6EAC44" w14:textId="1A1063E2" w:rsidR="005A5751" w:rsidRDefault="00EC2A6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1" w:history="1">
        <w:r w:rsidR="005A5751" w:rsidRPr="0089375B">
          <w:rPr>
            <w:rStyle w:val="Hyperlink"/>
            <w:noProof/>
          </w:rPr>
          <w:t>Overview</w:t>
        </w:r>
        <w:r w:rsidR="005A5751">
          <w:rPr>
            <w:noProof/>
            <w:webHidden/>
          </w:rPr>
          <w:tab/>
        </w:r>
        <w:r w:rsidR="005A5751">
          <w:rPr>
            <w:noProof/>
            <w:webHidden/>
          </w:rPr>
          <w:fldChar w:fldCharType="begin"/>
        </w:r>
        <w:r w:rsidR="005A5751">
          <w:rPr>
            <w:noProof/>
            <w:webHidden/>
          </w:rPr>
          <w:instrText xml:space="preserve"> PAGEREF _Toc522107421 \h </w:instrText>
        </w:r>
        <w:r w:rsidR="005A5751">
          <w:rPr>
            <w:noProof/>
            <w:webHidden/>
          </w:rPr>
        </w:r>
        <w:r w:rsidR="005A5751">
          <w:rPr>
            <w:noProof/>
            <w:webHidden/>
          </w:rPr>
          <w:fldChar w:fldCharType="separate"/>
        </w:r>
        <w:r w:rsidR="005A5751">
          <w:rPr>
            <w:noProof/>
            <w:webHidden/>
          </w:rPr>
          <w:t>5</w:t>
        </w:r>
        <w:r w:rsidR="005A5751">
          <w:rPr>
            <w:noProof/>
            <w:webHidden/>
          </w:rPr>
          <w:fldChar w:fldCharType="end"/>
        </w:r>
      </w:hyperlink>
    </w:p>
    <w:p w14:paraId="3CD39C59" w14:textId="19695330" w:rsidR="005A5751" w:rsidRDefault="00EC2A6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2" w:history="1">
        <w:r w:rsidR="005A5751" w:rsidRPr="0089375B">
          <w:rPr>
            <w:rStyle w:val="Hyperlink"/>
            <w:noProof/>
          </w:rPr>
          <w:t>Statement of need</w:t>
        </w:r>
        <w:r w:rsidR="005A5751">
          <w:rPr>
            <w:noProof/>
            <w:webHidden/>
          </w:rPr>
          <w:tab/>
        </w:r>
        <w:r w:rsidR="005A5751">
          <w:rPr>
            <w:noProof/>
            <w:webHidden/>
          </w:rPr>
          <w:fldChar w:fldCharType="begin"/>
        </w:r>
        <w:r w:rsidR="005A5751">
          <w:rPr>
            <w:noProof/>
            <w:webHidden/>
          </w:rPr>
          <w:instrText xml:space="preserve"> PAGEREF _Toc522107422 \h </w:instrText>
        </w:r>
        <w:r w:rsidR="005A5751">
          <w:rPr>
            <w:noProof/>
            <w:webHidden/>
          </w:rPr>
        </w:r>
        <w:r w:rsidR="005A5751">
          <w:rPr>
            <w:noProof/>
            <w:webHidden/>
          </w:rPr>
          <w:fldChar w:fldCharType="separate"/>
        </w:r>
        <w:r w:rsidR="005A5751">
          <w:rPr>
            <w:noProof/>
            <w:webHidden/>
          </w:rPr>
          <w:t>7</w:t>
        </w:r>
        <w:r w:rsidR="005A5751">
          <w:rPr>
            <w:noProof/>
            <w:webHidden/>
          </w:rPr>
          <w:fldChar w:fldCharType="end"/>
        </w:r>
      </w:hyperlink>
    </w:p>
    <w:p w14:paraId="1D21CEB0" w14:textId="5FAE45E5" w:rsidR="005A5751" w:rsidRDefault="00EC2A6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3" w:history="1">
        <w:r w:rsidR="005A5751" w:rsidRPr="0089375B">
          <w:rPr>
            <w:rStyle w:val="Hyperlink"/>
            <w:noProof/>
          </w:rPr>
          <w:t>Rules affected, authorities, supporting documents</w:t>
        </w:r>
        <w:r w:rsidR="005A5751">
          <w:rPr>
            <w:noProof/>
            <w:webHidden/>
          </w:rPr>
          <w:tab/>
        </w:r>
        <w:r w:rsidR="005A5751">
          <w:rPr>
            <w:noProof/>
            <w:webHidden/>
          </w:rPr>
          <w:fldChar w:fldCharType="begin"/>
        </w:r>
        <w:r w:rsidR="005A5751">
          <w:rPr>
            <w:noProof/>
            <w:webHidden/>
          </w:rPr>
          <w:instrText xml:space="preserve"> PAGEREF _Toc522107423 \h </w:instrText>
        </w:r>
        <w:r w:rsidR="005A5751">
          <w:rPr>
            <w:noProof/>
            <w:webHidden/>
          </w:rPr>
        </w:r>
        <w:r w:rsidR="005A5751">
          <w:rPr>
            <w:noProof/>
            <w:webHidden/>
          </w:rPr>
          <w:fldChar w:fldCharType="separate"/>
        </w:r>
        <w:r w:rsidR="005A5751">
          <w:rPr>
            <w:noProof/>
            <w:webHidden/>
          </w:rPr>
          <w:t>8</w:t>
        </w:r>
        <w:r w:rsidR="005A5751">
          <w:rPr>
            <w:noProof/>
            <w:webHidden/>
          </w:rPr>
          <w:fldChar w:fldCharType="end"/>
        </w:r>
      </w:hyperlink>
    </w:p>
    <w:p w14:paraId="3502ECF0" w14:textId="4F0791F2" w:rsidR="005A5751" w:rsidRDefault="00EC2A6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4" w:history="1">
        <w:r w:rsidR="005A5751" w:rsidRPr="0089375B">
          <w:rPr>
            <w:rStyle w:val="Hyperlink"/>
            <w:noProof/>
          </w:rPr>
          <w:t>Fee Analysis</w:t>
        </w:r>
        <w:r w:rsidR="005A5751">
          <w:rPr>
            <w:noProof/>
            <w:webHidden/>
          </w:rPr>
          <w:tab/>
        </w:r>
        <w:r w:rsidR="005A5751">
          <w:rPr>
            <w:noProof/>
            <w:webHidden/>
          </w:rPr>
          <w:fldChar w:fldCharType="begin"/>
        </w:r>
        <w:r w:rsidR="005A5751">
          <w:rPr>
            <w:noProof/>
            <w:webHidden/>
          </w:rPr>
          <w:instrText xml:space="preserve"> PAGEREF _Toc522107424 \h </w:instrText>
        </w:r>
        <w:r w:rsidR="005A5751">
          <w:rPr>
            <w:noProof/>
            <w:webHidden/>
          </w:rPr>
        </w:r>
        <w:r w:rsidR="005A5751">
          <w:rPr>
            <w:noProof/>
            <w:webHidden/>
          </w:rPr>
          <w:fldChar w:fldCharType="separate"/>
        </w:r>
        <w:r w:rsidR="005A5751">
          <w:rPr>
            <w:noProof/>
            <w:webHidden/>
          </w:rPr>
          <w:t>9</w:t>
        </w:r>
        <w:r w:rsidR="005A5751">
          <w:rPr>
            <w:noProof/>
            <w:webHidden/>
          </w:rPr>
          <w:fldChar w:fldCharType="end"/>
        </w:r>
      </w:hyperlink>
    </w:p>
    <w:p w14:paraId="4C48731A" w14:textId="25AA005F" w:rsidR="005A5751" w:rsidRDefault="00EC2A6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5" w:history="1">
        <w:r w:rsidR="005A5751" w:rsidRPr="0089375B">
          <w:rPr>
            <w:rStyle w:val="Hyperlink"/>
            <w:noProof/>
          </w:rPr>
          <w:t>Statement of fiscal and economic impact</w:t>
        </w:r>
        <w:r w:rsidR="005A5751">
          <w:rPr>
            <w:noProof/>
            <w:webHidden/>
          </w:rPr>
          <w:tab/>
        </w:r>
        <w:r w:rsidR="005A5751">
          <w:rPr>
            <w:noProof/>
            <w:webHidden/>
          </w:rPr>
          <w:fldChar w:fldCharType="begin"/>
        </w:r>
        <w:r w:rsidR="005A5751">
          <w:rPr>
            <w:noProof/>
            <w:webHidden/>
          </w:rPr>
          <w:instrText xml:space="preserve"> PAGEREF _Toc522107425 \h </w:instrText>
        </w:r>
        <w:r w:rsidR="005A5751">
          <w:rPr>
            <w:noProof/>
            <w:webHidden/>
          </w:rPr>
        </w:r>
        <w:r w:rsidR="005A5751">
          <w:rPr>
            <w:noProof/>
            <w:webHidden/>
          </w:rPr>
          <w:fldChar w:fldCharType="separate"/>
        </w:r>
        <w:r w:rsidR="005A5751">
          <w:rPr>
            <w:noProof/>
            <w:webHidden/>
          </w:rPr>
          <w:t>10</w:t>
        </w:r>
        <w:r w:rsidR="005A5751">
          <w:rPr>
            <w:noProof/>
            <w:webHidden/>
          </w:rPr>
          <w:fldChar w:fldCharType="end"/>
        </w:r>
      </w:hyperlink>
    </w:p>
    <w:p w14:paraId="127483F7" w14:textId="41CDC72D" w:rsidR="005A5751" w:rsidRDefault="00EC2A6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6" w:history="1">
        <w:r w:rsidR="005A5751" w:rsidRPr="0089375B">
          <w:rPr>
            <w:rStyle w:val="Hyperlink"/>
            <w:noProof/>
          </w:rPr>
          <w:t>Federal relationship</w:t>
        </w:r>
        <w:r w:rsidR="005A5751">
          <w:rPr>
            <w:noProof/>
            <w:webHidden/>
          </w:rPr>
          <w:tab/>
        </w:r>
        <w:r w:rsidR="005A5751">
          <w:rPr>
            <w:noProof/>
            <w:webHidden/>
          </w:rPr>
          <w:fldChar w:fldCharType="begin"/>
        </w:r>
        <w:r w:rsidR="005A5751">
          <w:rPr>
            <w:noProof/>
            <w:webHidden/>
          </w:rPr>
          <w:instrText xml:space="preserve"> PAGEREF _Toc522107426 \h </w:instrText>
        </w:r>
        <w:r w:rsidR="005A5751">
          <w:rPr>
            <w:noProof/>
            <w:webHidden/>
          </w:rPr>
        </w:r>
        <w:r w:rsidR="005A5751">
          <w:rPr>
            <w:noProof/>
            <w:webHidden/>
          </w:rPr>
          <w:fldChar w:fldCharType="separate"/>
        </w:r>
        <w:r w:rsidR="005A5751">
          <w:rPr>
            <w:noProof/>
            <w:webHidden/>
          </w:rPr>
          <w:t>22</w:t>
        </w:r>
        <w:r w:rsidR="005A5751">
          <w:rPr>
            <w:noProof/>
            <w:webHidden/>
          </w:rPr>
          <w:fldChar w:fldCharType="end"/>
        </w:r>
      </w:hyperlink>
    </w:p>
    <w:p w14:paraId="1AF75434" w14:textId="1E0839CA" w:rsidR="005A5751" w:rsidRDefault="00EC2A6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7" w:history="1">
        <w:r w:rsidR="005A5751" w:rsidRPr="0089375B">
          <w:rPr>
            <w:rStyle w:val="Hyperlink"/>
            <w:noProof/>
          </w:rPr>
          <w:t>Land use</w:t>
        </w:r>
        <w:r w:rsidR="005A5751">
          <w:rPr>
            <w:noProof/>
            <w:webHidden/>
          </w:rPr>
          <w:tab/>
        </w:r>
        <w:r w:rsidR="005A5751">
          <w:rPr>
            <w:noProof/>
            <w:webHidden/>
          </w:rPr>
          <w:fldChar w:fldCharType="begin"/>
        </w:r>
        <w:r w:rsidR="005A5751">
          <w:rPr>
            <w:noProof/>
            <w:webHidden/>
          </w:rPr>
          <w:instrText xml:space="preserve"> PAGEREF _Toc522107427 \h </w:instrText>
        </w:r>
        <w:r w:rsidR="005A5751">
          <w:rPr>
            <w:noProof/>
            <w:webHidden/>
          </w:rPr>
        </w:r>
        <w:r w:rsidR="005A5751">
          <w:rPr>
            <w:noProof/>
            <w:webHidden/>
          </w:rPr>
          <w:fldChar w:fldCharType="separate"/>
        </w:r>
        <w:r w:rsidR="005A5751">
          <w:rPr>
            <w:noProof/>
            <w:webHidden/>
          </w:rPr>
          <w:t>23</w:t>
        </w:r>
        <w:r w:rsidR="005A5751">
          <w:rPr>
            <w:noProof/>
            <w:webHidden/>
          </w:rPr>
          <w:fldChar w:fldCharType="end"/>
        </w:r>
      </w:hyperlink>
    </w:p>
    <w:p w14:paraId="1D660E95" w14:textId="6243A2A7" w:rsidR="005A5751" w:rsidRDefault="00EC2A6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8" w:history="1">
        <w:r w:rsidR="005A5751" w:rsidRPr="0089375B">
          <w:rPr>
            <w:rStyle w:val="Hyperlink"/>
            <w:noProof/>
          </w:rPr>
          <w:t>Stakeholder and public involvement</w:t>
        </w:r>
        <w:r w:rsidR="005A5751">
          <w:rPr>
            <w:noProof/>
            <w:webHidden/>
          </w:rPr>
          <w:tab/>
        </w:r>
        <w:r w:rsidR="005A5751">
          <w:rPr>
            <w:noProof/>
            <w:webHidden/>
          </w:rPr>
          <w:fldChar w:fldCharType="begin"/>
        </w:r>
        <w:r w:rsidR="005A5751">
          <w:rPr>
            <w:noProof/>
            <w:webHidden/>
          </w:rPr>
          <w:instrText xml:space="preserve"> PAGEREF _Toc522107428 \h </w:instrText>
        </w:r>
        <w:r w:rsidR="005A5751">
          <w:rPr>
            <w:noProof/>
            <w:webHidden/>
          </w:rPr>
        </w:r>
        <w:r w:rsidR="005A5751">
          <w:rPr>
            <w:noProof/>
            <w:webHidden/>
          </w:rPr>
          <w:fldChar w:fldCharType="separate"/>
        </w:r>
        <w:r w:rsidR="005A5751">
          <w:rPr>
            <w:noProof/>
            <w:webHidden/>
          </w:rPr>
          <w:t>24</w:t>
        </w:r>
        <w:r w:rsidR="005A5751">
          <w:rPr>
            <w:noProof/>
            <w:webHidden/>
          </w:rPr>
          <w:fldChar w:fldCharType="end"/>
        </w:r>
      </w:hyperlink>
    </w:p>
    <w:p w14:paraId="6F4A2CBD" w14:textId="11064B83" w:rsidR="005A5751" w:rsidRDefault="00EC2A6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9" w:history="1">
        <w:r w:rsidR="005A5751" w:rsidRPr="0089375B">
          <w:rPr>
            <w:rStyle w:val="Hyperlink"/>
            <w:noProof/>
          </w:rPr>
          <w:t>Public notice and hearings</w:t>
        </w:r>
        <w:r w:rsidR="005A5751">
          <w:rPr>
            <w:noProof/>
            <w:webHidden/>
          </w:rPr>
          <w:tab/>
        </w:r>
        <w:r w:rsidR="005A5751">
          <w:rPr>
            <w:noProof/>
            <w:webHidden/>
          </w:rPr>
          <w:fldChar w:fldCharType="begin"/>
        </w:r>
        <w:r w:rsidR="005A5751">
          <w:rPr>
            <w:noProof/>
            <w:webHidden/>
          </w:rPr>
          <w:instrText xml:space="preserve"> PAGEREF _Toc522107429 \h </w:instrText>
        </w:r>
        <w:r w:rsidR="005A5751">
          <w:rPr>
            <w:noProof/>
            <w:webHidden/>
          </w:rPr>
        </w:r>
        <w:r w:rsidR="005A5751">
          <w:rPr>
            <w:noProof/>
            <w:webHidden/>
          </w:rPr>
          <w:fldChar w:fldCharType="separate"/>
        </w:r>
        <w:r w:rsidR="005A5751">
          <w:rPr>
            <w:noProof/>
            <w:webHidden/>
          </w:rPr>
          <w:t>26</w:t>
        </w:r>
        <w:r w:rsidR="005A5751">
          <w:rPr>
            <w:noProof/>
            <w:webHidden/>
          </w:rPr>
          <w:fldChar w:fldCharType="end"/>
        </w:r>
      </w:hyperlink>
    </w:p>
    <w:p w14:paraId="0BA33ADC" w14:textId="4976DAB6" w:rsidR="005A5751" w:rsidRDefault="00EC2A6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30" w:history="1">
        <w:r w:rsidR="005A5751" w:rsidRPr="0089375B">
          <w:rPr>
            <w:rStyle w:val="Hyperlink"/>
            <w:noProof/>
          </w:rPr>
          <w:t>Draft Rules  - With Edits Highlighted</w:t>
        </w:r>
        <w:r w:rsidR="005A5751">
          <w:rPr>
            <w:noProof/>
            <w:webHidden/>
          </w:rPr>
          <w:tab/>
        </w:r>
        <w:r w:rsidR="005A5751">
          <w:rPr>
            <w:noProof/>
            <w:webHidden/>
          </w:rPr>
          <w:fldChar w:fldCharType="begin"/>
        </w:r>
        <w:r w:rsidR="005A5751">
          <w:rPr>
            <w:noProof/>
            <w:webHidden/>
          </w:rPr>
          <w:instrText xml:space="preserve"> PAGEREF _Toc522107430 \h </w:instrText>
        </w:r>
        <w:r w:rsidR="005A5751">
          <w:rPr>
            <w:noProof/>
            <w:webHidden/>
          </w:rPr>
        </w:r>
        <w:r w:rsidR="005A5751">
          <w:rPr>
            <w:noProof/>
            <w:webHidden/>
          </w:rPr>
          <w:fldChar w:fldCharType="separate"/>
        </w:r>
        <w:r w:rsidR="005A5751">
          <w:rPr>
            <w:noProof/>
            <w:webHidden/>
          </w:rPr>
          <w:t>28</w:t>
        </w:r>
        <w:r w:rsidR="005A5751">
          <w:rPr>
            <w:noProof/>
            <w:webHidden/>
          </w:rPr>
          <w:fldChar w:fldCharType="end"/>
        </w:r>
      </w:hyperlink>
    </w:p>
    <w:p w14:paraId="1015C87E" w14:textId="304F1430" w:rsidR="005A5751" w:rsidRDefault="00EC2A6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31" w:history="1">
        <w:r w:rsidR="005A5751" w:rsidRPr="0089375B">
          <w:rPr>
            <w:rStyle w:val="Hyperlink"/>
            <w:noProof/>
          </w:rPr>
          <w:t>Draft Rules – With Edits Incorporated</w:t>
        </w:r>
        <w:r w:rsidR="005A5751">
          <w:rPr>
            <w:noProof/>
            <w:webHidden/>
          </w:rPr>
          <w:tab/>
        </w:r>
        <w:r w:rsidR="005A5751">
          <w:rPr>
            <w:noProof/>
            <w:webHidden/>
          </w:rPr>
          <w:fldChar w:fldCharType="begin"/>
        </w:r>
        <w:r w:rsidR="005A5751">
          <w:rPr>
            <w:noProof/>
            <w:webHidden/>
          </w:rPr>
          <w:instrText xml:space="preserve"> PAGEREF _Toc522107431 \h </w:instrText>
        </w:r>
        <w:r w:rsidR="005A5751">
          <w:rPr>
            <w:noProof/>
            <w:webHidden/>
          </w:rPr>
        </w:r>
        <w:r w:rsidR="005A5751">
          <w:rPr>
            <w:noProof/>
            <w:webHidden/>
          </w:rPr>
          <w:fldChar w:fldCharType="separate"/>
        </w:r>
        <w:r w:rsidR="005A5751">
          <w:rPr>
            <w:noProof/>
            <w:webHidden/>
          </w:rPr>
          <w:t>29</w:t>
        </w:r>
        <w:r w:rsidR="005A5751">
          <w:rPr>
            <w:noProof/>
            <w:webHidden/>
          </w:rPr>
          <w:fldChar w:fldCharType="end"/>
        </w:r>
      </w:hyperlink>
    </w:p>
    <w:p w14:paraId="2EB93096" w14:textId="0F134AA7" w:rsidR="005A5751" w:rsidRDefault="00EC2A6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32" w:history="1">
        <w:r w:rsidR="005A5751" w:rsidRPr="0089375B">
          <w:rPr>
            <w:rStyle w:val="Hyperlink"/>
            <w:noProof/>
          </w:rPr>
          <w:t>Supporting documents</w:t>
        </w:r>
        <w:r w:rsidR="005A5751">
          <w:rPr>
            <w:noProof/>
            <w:webHidden/>
          </w:rPr>
          <w:tab/>
        </w:r>
        <w:r w:rsidR="005A5751">
          <w:rPr>
            <w:noProof/>
            <w:webHidden/>
          </w:rPr>
          <w:fldChar w:fldCharType="begin"/>
        </w:r>
        <w:r w:rsidR="005A5751">
          <w:rPr>
            <w:noProof/>
            <w:webHidden/>
          </w:rPr>
          <w:instrText xml:space="preserve"> PAGEREF _Toc522107432 \h </w:instrText>
        </w:r>
        <w:r w:rsidR="005A5751">
          <w:rPr>
            <w:noProof/>
            <w:webHidden/>
          </w:rPr>
        </w:r>
        <w:r w:rsidR="005A5751">
          <w:rPr>
            <w:noProof/>
            <w:webHidden/>
          </w:rPr>
          <w:fldChar w:fldCharType="separate"/>
        </w:r>
        <w:r w:rsidR="005A5751">
          <w:rPr>
            <w:noProof/>
            <w:webHidden/>
          </w:rPr>
          <w:t>30</w:t>
        </w:r>
        <w:r w:rsidR="005A5751">
          <w:rPr>
            <w:noProof/>
            <w:webHidden/>
          </w:rPr>
          <w:fldChar w:fldCharType="end"/>
        </w:r>
      </w:hyperlink>
    </w:p>
    <w:p w14:paraId="2F50226B" w14:textId="3D617A41" w:rsidR="001D24C7" w:rsidRDefault="004B5396" w:rsidP="00501ABB">
      <w:pPr>
        <w:pStyle w:val="Heading2"/>
        <w:ind w:left="0"/>
      </w:pPr>
      <w:r>
        <w:fldChar w:fldCharType="end"/>
      </w:r>
    </w:p>
    <w:p w14:paraId="2F50226C"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2F50226F"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2F50226E" w14:textId="3A785597" w:rsidR="00F72D05" w:rsidRPr="0085122C" w:rsidRDefault="00F72D05" w:rsidP="005A5751">
            <w:pPr>
              <w:pStyle w:val="Heading1"/>
            </w:pPr>
            <w:bookmarkStart w:id="0" w:name="_Toc522107420"/>
            <w:r>
              <w:rPr>
                <w:szCs w:val="36"/>
              </w:rPr>
              <w:lastRenderedPageBreak/>
              <w:t>Introduction</w:t>
            </w:r>
            <w:bookmarkEnd w:id="0"/>
          </w:p>
        </w:tc>
      </w:tr>
    </w:tbl>
    <w:p w14:paraId="2F502270" w14:textId="77777777" w:rsidR="00F72D05" w:rsidRDefault="00F72D05" w:rsidP="00F72D05">
      <w:pPr>
        <w:pStyle w:val="ListParagraph"/>
        <w:ind w:left="0"/>
      </w:pPr>
    </w:p>
    <w:p w14:paraId="2F502271" w14:textId="77777777" w:rsidR="00F72D05" w:rsidRDefault="00F72D05" w:rsidP="003F70E1">
      <w:pPr>
        <w:pStyle w:val="ListParagraph"/>
        <w:ind w:left="0"/>
      </w:pPr>
      <w:r w:rsidRPr="002175B6">
        <w:t>DEQ invites public input on proposed permanent rule amendments to chapter 340 of the Oregon Administrative Rules.</w:t>
      </w:r>
    </w:p>
    <w:p w14:paraId="2F502272" w14:textId="77777777" w:rsidR="00F72D05" w:rsidRDefault="00F72D05" w:rsidP="00F72D05">
      <w:pPr>
        <w:pStyle w:val="ListParagraph"/>
        <w:ind w:left="630"/>
      </w:pPr>
    </w:p>
    <w:p w14:paraId="2F502273" w14:textId="77777777" w:rsidR="00F72D05" w:rsidRPr="00DD0975" w:rsidRDefault="00F72D05" w:rsidP="003F70E1">
      <w:pPr>
        <w:pStyle w:val="Heading2"/>
        <w:ind w:left="0"/>
      </w:pPr>
      <w:r>
        <w:t>Background</w:t>
      </w:r>
    </w:p>
    <w:p w14:paraId="7E122854" w14:textId="12DD952F" w:rsidR="005A5751" w:rsidRPr="00036088" w:rsidRDefault="005A5751" w:rsidP="005A5751">
      <w:pPr>
        <w:ind w:left="0"/>
      </w:pPr>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with the </w:t>
      </w:r>
      <w:r w:rsidRPr="009C35D1">
        <w:t>Clean Fuels Program</w:t>
      </w:r>
      <w:r>
        <w:t xml:space="preserve"> (CFP)</w:t>
      </w:r>
      <w:r w:rsidRPr="009C35D1">
        <w:t xml:space="preserve">. </w:t>
      </w:r>
      <w:r w:rsidR="00816925">
        <w:t xml:space="preserve">The 2017 Oregon Legislature authorized additional provisions to manage and </w:t>
      </w:r>
      <w:r w:rsidR="00816925" w:rsidRPr="00036088">
        <w:t xml:space="preserve">contain the costs </w:t>
      </w:r>
      <w:r w:rsidR="00816925">
        <w:t xml:space="preserve">of </w:t>
      </w:r>
      <w:r w:rsidR="00816925" w:rsidRPr="00036088">
        <w:t>compli</w:t>
      </w:r>
      <w:r w:rsidR="00816925">
        <w:t>a</w:t>
      </w:r>
      <w:r w:rsidR="00816925" w:rsidRPr="00036088">
        <w:t>n</w:t>
      </w:r>
      <w:r w:rsidR="00816925">
        <w:t>ce</w:t>
      </w:r>
      <w:r w:rsidR="00816925" w:rsidRPr="00036088">
        <w:t xml:space="preserve"> with the CFP</w:t>
      </w:r>
      <w:r>
        <w:t>.</w:t>
      </w:r>
      <w:r w:rsidR="00816925">
        <w:t xml:space="preserve"> </w:t>
      </w:r>
    </w:p>
    <w:p w14:paraId="2F502274" w14:textId="77777777" w:rsidR="00F72D05" w:rsidRPr="002175B6" w:rsidRDefault="00F72D05" w:rsidP="003F70E1">
      <w:pPr>
        <w:pStyle w:val="ListParagraph"/>
        <w:ind w:left="0"/>
      </w:pPr>
    </w:p>
    <w:p w14:paraId="2F502275" w14:textId="77777777" w:rsidR="00F72D05" w:rsidRPr="002175B6" w:rsidRDefault="00F72D05" w:rsidP="003F70E1">
      <w:pPr>
        <w:pStyle w:val="Heading3"/>
        <w:spacing w:before="0"/>
        <w:ind w:left="0"/>
      </w:pPr>
      <w:r w:rsidRPr="002175B6">
        <w:t>DEQ proposal</w:t>
      </w:r>
    </w:p>
    <w:p w14:paraId="2F502276" w14:textId="71BAEBD2" w:rsidR="00F72D05" w:rsidRDefault="00F72D05" w:rsidP="003F70E1">
      <w:pPr>
        <w:ind w:left="0"/>
      </w:pPr>
      <w:r w:rsidRPr="002175B6">
        <w:t xml:space="preserve">DEQ proposes the following changes to </w:t>
      </w:r>
      <w:r w:rsidR="00EC2A68" w:rsidRPr="002175B6">
        <w:t xml:space="preserve">division number </w:t>
      </w:r>
      <w:r w:rsidR="00EC2A68" w:rsidRPr="006C0B82">
        <w:t xml:space="preserve">253 </w:t>
      </w:r>
      <w:r w:rsidR="00EC2A68">
        <w:t>of chapter</w:t>
      </w:r>
      <w:r w:rsidR="00EC2A68" w:rsidRPr="002175B6">
        <w:t xml:space="preserve"> 340</w:t>
      </w:r>
      <w:r w:rsidRPr="002175B6">
        <w:t>O</w:t>
      </w:r>
      <w:r w:rsidR="00EC2A68">
        <w:t xml:space="preserve">regon </w:t>
      </w:r>
      <w:r w:rsidRPr="002175B6">
        <w:t>A</w:t>
      </w:r>
      <w:r w:rsidR="00EC2A68">
        <w:t xml:space="preserve">dministrative </w:t>
      </w:r>
      <w:r w:rsidRPr="002175B6">
        <w:t>R</w:t>
      </w:r>
      <w:r w:rsidR="00EC2A68">
        <w:t>ules</w:t>
      </w:r>
      <w:r w:rsidRPr="002175B6">
        <w:t xml:space="preserve">, </w:t>
      </w:r>
      <w:r w:rsidRPr="006C0B82">
        <w:t>t</w:t>
      </w:r>
      <w:r w:rsidRPr="002175B6">
        <w:t xml:space="preserve">hat will:   </w:t>
      </w:r>
    </w:p>
    <w:p w14:paraId="62958138" w14:textId="370735D7" w:rsidR="00816925" w:rsidRDefault="00816925" w:rsidP="00816925">
      <w:pPr>
        <w:numPr>
          <w:ilvl w:val="0"/>
          <w:numId w:val="32"/>
        </w:numPr>
        <w:ind w:left="720" w:right="0"/>
        <w:outlineLvl w:val="3"/>
      </w:pPr>
      <w:r>
        <w:t>u</w:t>
      </w:r>
      <w:r w:rsidRPr="00C306AF">
        <w:t>pdate the models used to determine the carbon intensities of fuels</w:t>
      </w:r>
      <w:r>
        <w:t xml:space="preserve"> and the resulting changes;</w:t>
      </w:r>
    </w:p>
    <w:p w14:paraId="1C8B1C3C" w14:textId="39EE58CC" w:rsidR="00816925" w:rsidRDefault="00816925" w:rsidP="00816925">
      <w:pPr>
        <w:numPr>
          <w:ilvl w:val="0"/>
          <w:numId w:val="32"/>
        </w:numPr>
        <w:ind w:left="720" w:right="0"/>
        <w:outlineLvl w:val="3"/>
      </w:pPr>
      <w:r>
        <w:t>a</w:t>
      </w:r>
      <w:r w:rsidRPr="00C306AF">
        <w:t>dd</w:t>
      </w:r>
      <w:r>
        <w:t xml:space="preserve"> new categories of fuel used to </w:t>
      </w:r>
      <w:r w:rsidRPr="00C306AF">
        <w:t>generat</w:t>
      </w:r>
      <w:r>
        <w:t>e credits</w:t>
      </w:r>
      <w:r w:rsidRPr="00C306AF">
        <w:t xml:space="preserve"> </w:t>
      </w:r>
      <w:r>
        <w:t>and add new fuels that could generate credits; and</w:t>
      </w:r>
    </w:p>
    <w:p w14:paraId="1FC6E9F0" w14:textId="77777777" w:rsidR="00816925" w:rsidRDefault="00816925" w:rsidP="00816925">
      <w:pPr>
        <w:numPr>
          <w:ilvl w:val="0"/>
          <w:numId w:val="32"/>
        </w:numPr>
        <w:ind w:left="720" w:right="0"/>
        <w:outlineLvl w:val="3"/>
      </w:pPr>
      <w:r>
        <w:t>make some housekeeping changes.</w:t>
      </w:r>
    </w:p>
    <w:p w14:paraId="1AED6C37" w14:textId="5FE49CBD" w:rsidR="006C0B82" w:rsidRDefault="006C0B82" w:rsidP="003F70E1">
      <w:pPr>
        <w:ind w:left="0"/>
      </w:pPr>
    </w:p>
    <w:p w14:paraId="21D35846" w14:textId="77777777" w:rsidR="00816925" w:rsidRDefault="00816925" w:rsidP="00816925">
      <w:pPr>
        <w:ind w:left="0"/>
      </w:pPr>
      <w:r>
        <w:t>DEQ also proposes to amend rules under division 12 of chapter 340 of the Oregon Administrative Rules to classify certain violations and establish or clarify enforcement criteria for violations of the Oregon Clean Fuels Program.</w:t>
      </w:r>
    </w:p>
    <w:p w14:paraId="2F502277" w14:textId="77777777" w:rsidR="00F72D05" w:rsidRDefault="00F72D05" w:rsidP="003F70E1">
      <w:pPr>
        <w:ind w:left="0"/>
      </w:pPr>
    </w:p>
    <w:p w14:paraId="2F502278" w14:textId="77777777" w:rsidR="00F72D05" w:rsidRPr="002175B6" w:rsidRDefault="00F72D05" w:rsidP="003F70E1">
      <w:pPr>
        <w:pStyle w:val="Heading3"/>
        <w:spacing w:before="0"/>
        <w:ind w:left="0"/>
      </w:pPr>
      <w:r w:rsidRPr="002175B6">
        <w:t>More information</w:t>
      </w:r>
    </w:p>
    <w:p w14:paraId="2F50227A" w14:textId="5EFF6415"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3" w:history="1">
        <w:r w:rsidR="006C0B82" w:rsidRPr="000A3922">
          <w:rPr>
            <w:rStyle w:val="Hyperlink"/>
          </w:rPr>
          <w:t>https://www.oregon.gov/deq/Regulations/rulemaking/Pages/rCFP2018.aspx</w:t>
        </w:r>
      </w:hyperlink>
      <w:r w:rsidR="006C0B82">
        <w:rPr>
          <w:color w:val="BF8F00" w:themeColor="accent4" w:themeShade="BF"/>
        </w:rPr>
        <w:t xml:space="preserve"> </w:t>
      </w:r>
    </w:p>
    <w:p w14:paraId="06AF6DFF" w14:textId="77777777" w:rsidR="006C0B82" w:rsidRPr="002175B6" w:rsidRDefault="006C0B82" w:rsidP="003F70E1">
      <w:pPr>
        <w:ind w:left="0"/>
      </w:pPr>
    </w:p>
    <w:p w14:paraId="2F50227B" w14:textId="77777777" w:rsidR="00F72D05" w:rsidRDefault="00F72D05" w:rsidP="003F70E1">
      <w:pPr>
        <w:pStyle w:val="Heading3"/>
        <w:spacing w:before="0"/>
        <w:ind w:left="0"/>
      </w:pPr>
      <w:r>
        <w:t xml:space="preserve">Public </w:t>
      </w:r>
      <w:r w:rsidRPr="002175B6">
        <w:t>Hearing</w:t>
      </w:r>
      <w:r>
        <w:t>s</w:t>
      </w:r>
      <w:r w:rsidRPr="002175B6">
        <w:t xml:space="preserve"> </w:t>
      </w:r>
    </w:p>
    <w:p w14:paraId="2F50227D" w14:textId="78EB3F7C"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2F50227E" w14:textId="77777777" w:rsidR="00E048AF" w:rsidRDefault="00E048AF" w:rsidP="003F70E1">
      <w:pPr>
        <w:ind w:left="0"/>
      </w:pPr>
    </w:p>
    <w:p w14:paraId="2F50227F" w14:textId="2137962B" w:rsidR="00E048AF" w:rsidRDefault="00E048AF" w:rsidP="003F70E1">
      <w:pPr>
        <w:ind w:left="0"/>
      </w:pPr>
      <w:r>
        <w:t xml:space="preserve">Date: </w:t>
      </w:r>
      <w:r w:rsidR="006C0B82">
        <w:t>September 20, 2018</w:t>
      </w:r>
    </w:p>
    <w:p w14:paraId="2F502280" w14:textId="52A11C7D" w:rsidR="00E048AF" w:rsidRDefault="00E048AF" w:rsidP="003F70E1">
      <w:pPr>
        <w:ind w:left="0"/>
      </w:pPr>
      <w:r>
        <w:t xml:space="preserve">Time: </w:t>
      </w:r>
      <w:r w:rsidR="006C0B82">
        <w:t>1:30 pm</w:t>
      </w:r>
    </w:p>
    <w:p w14:paraId="2F502281" w14:textId="43A03B8E" w:rsidR="00E048AF" w:rsidRDefault="00E048AF" w:rsidP="003F70E1">
      <w:pPr>
        <w:ind w:left="0"/>
      </w:pPr>
      <w:r>
        <w:t xml:space="preserve">Location: </w:t>
      </w:r>
      <w:r w:rsidR="006C0B82">
        <w:t>DEQ Headquarters</w:t>
      </w:r>
      <w:r w:rsidR="006815B5">
        <w:t xml:space="preserve"> Office</w:t>
      </w:r>
      <w:r w:rsidR="006C0B82">
        <w:t>, 700 NE Multnomah Street, Conference Room 601, Portland, OR 97232</w:t>
      </w:r>
    </w:p>
    <w:p w14:paraId="2F502282" w14:textId="77777777" w:rsidR="00F72D05" w:rsidRPr="00C53AB0" w:rsidRDefault="00F72D05" w:rsidP="003F70E1">
      <w:pPr>
        <w:ind w:left="0"/>
      </w:pPr>
    </w:p>
    <w:p w14:paraId="2F502283" w14:textId="77777777" w:rsidR="00F72D05" w:rsidRPr="000F7BDA" w:rsidRDefault="00F72D05" w:rsidP="003F70E1">
      <w:pPr>
        <w:pStyle w:val="Heading2"/>
        <w:ind w:left="0"/>
      </w:pPr>
      <w:r w:rsidRPr="000F7BDA">
        <w:lastRenderedPageBreak/>
        <w:t>How to comment on this rulemaking proposal</w:t>
      </w:r>
    </w:p>
    <w:p w14:paraId="2F502285" w14:textId="77777777" w:rsidR="00F72D05" w:rsidRDefault="00F72D05" w:rsidP="003F70E1">
      <w:pPr>
        <w:ind w:left="0"/>
      </w:pPr>
      <w:r>
        <w:t>DEQ is asking for public comment on the proposed rules. Anyone can submit comments and questions about this rulemaking. A person can submit comments through an online web page, by regular mail or at the public hearing.</w:t>
      </w:r>
    </w:p>
    <w:p w14:paraId="2F502286" w14:textId="77777777" w:rsidR="00F72D05" w:rsidRDefault="00F72D05" w:rsidP="003F70E1">
      <w:pPr>
        <w:ind w:left="0"/>
      </w:pPr>
    </w:p>
    <w:p w14:paraId="2F502287" w14:textId="77777777" w:rsidR="00F72D05" w:rsidRPr="00536F84" w:rsidRDefault="00F72D05" w:rsidP="003F70E1">
      <w:pPr>
        <w:pStyle w:val="Heading3"/>
        <w:ind w:left="0"/>
      </w:pPr>
      <w:r w:rsidRPr="00536F84">
        <w:t>Comment deadline</w:t>
      </w:r>
    </w:p>
    <w:p w14:paraId="2F502288" w14:textId="67C76194"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6C0B82" w:rsidRPr="006C0B82">
        <w:t>September 21, 2018</w:t>
      </w:r>
      <w:r w:rsidRPr="006C0B82">
        <w:t>.</w:t>
      </w:r>
    </w:p>
    <w:p w14:paraId="2F502289" w14:textId="77777777" w:rsidR="00F72D05" w:rsidRPr="002175B6" w:rsidRDefault="00F72D05" w:rsidP="003F70E1">
      <w:pPr>
        <w:ind w:left="0"/>
      </w:pPr>
    </w:p>
    <w:p w14:paraId="2F50228A" w14:textId="77777777" w:rsidR="00F72D05" w:rsidRPr="002175B6" w:rsidRDefault="00F72D05" w:rsidP="003F70E1">
      <w:pPr>
        <w:pStyle w:val="Heading4"/>
        <w:spacing w:before="0"/>
      </w:pPr>
      <w:r>
        <w:t>Submit comment o</w:t>
      </w:r>
      <w:r w:rsidRPr="002175B6">
        <w:t>nline</w:t>
      </w:r>
    </w:p>
    <w:p w14:paraId="2F50228E" w14:textId="27F7FFD9" w:rsidR="006A7E58" w:rsidRDefault="00EC2A68" w:rsidP="006A7E58">
      <w:pPr>
        <w:ind w:left="0"/>
      </w:pPr>
      <w:hyperlink r:id="rId14" w:history="1">
        <w:r w:rsidR="006815B5" w:rsidRPr="000A3922">
          <w:rPr>
            <w:rStyle w:val="Hyperlink"/>
          </w:rPr>
          <w:t>http://www.oregon.gov/deq/Regulations/rulemaking/Pages/cCFP2018.aspx</w:t>
        </w:r>
      </w:hyperlink>
      <w:r w:rsidR="006C0B82">
        <w:t xml:space="preserve"> </w:t>
      </w:r>
    </w:p>
    <w:p w14:paraId="2F50228F" w14:textId="77777777" w:rsidR="006A7E58" w:rsidRDefault="006A7E58" w:rsidP="003F70E1">
      <w:pPr>
        <w:ind w:left="0"/>
        <w:rPr>
          <w:bCs/>
          <w:color w:val="BF8F00" w:themeColor="accent4" w:themeShade="BF"/>
        </w:rPr>
      </w:pPr>
    </w:p>
    <w:p w14:paraId="2F502290" w14:textId="77777777" w:rsidR="006A7E58" w:rsidRDefault="006A7E58" w:rsidP="003F70E1">
      <w:pPr>
        <w:ind w:left="0"/>
        <w:rPr>
          <w:bCs/>
          <w:color w:val="BF8F00" w:themeColor="accent4" w:themeShade="BF"/>
        </w:rPr>
      </w:pPr>
    </w:p>
    <w:p w14:paraId="2F502291" w14:textId="77777777" w:rsidR="00F72D05" w:rsidRPr="00270078" w:rsidRDefault="00F72D05" w:rsidP="003F70E1">
      <w:pPr>
        <w:ind w:left="0"/>
        <w:rPr>
          <w:bCs/>
          <w:color w:val="BF8F00" w:themeColor="accent4" w:themeShade="BF"/>
          <w:u w:val="single"/>
        </w:rPr>
      </w:pPr>
    </w:p>
    <w:p w14:paraId="2F502292" w14:textId="77777777" w:rsidR="00F72D05" w:rsidRDefault="00F72D05" w:rsidP="003F70E1">
      <w:pPr>
        <w:pStyle w:val="Heading4"/>
        <w:spacing w:before="0"/>
      </w:pPr>
      <w:r>
        <w:t xml:space="preserve">Note for public university students: </w:t>
      </w:r>
    </w:p>
    <w:p w14:paraId="2F502293"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2F502294" w14:textId="77777777" w:rsidR="00F72D05" w:rsidRPr="004C3791" w:rsidRDefault="00F72D05" w:rsidP="003F70E1">
      <w:pPr>
        <w:ind w:left="0"/>
      </w:pPr>
    </w:p>
    <w:p w14:paraId="2F502295" w14:textId="77777777" w:rsidR="00F72D05" w:rsidRPr="002175B6" w:rsidRDefault="00F72D05" w:rsidP="003F70E1">
      <w:pPr>
        <w:pStyle w:val="Heading4"/>
        <w:spacing w:before="0"/>
      </w:pPr>
      <w:r w:rsidRPr="002175B6">
        <w:t>By mail</w:t>
      </w:r>
    </w:p>
    <w:p w14:paraId="2F502296" w14:textId="77777777" w:rsidR="00F72D05" w:rsidRPr="002175B6" w:rsidRDefault="00F72D05" w:rsidP="003F70E1">
      <w:pPr>
        <w:ind w:left="0"/>
      </w:pPr>
      <w:r w:rsidRPr="002175B6">
        <w:t>Oregon DEQ</w:t>
      </w:r>
    </w:p>
    <w:p w14:paraId="2F502297" w14:textId="5ADF9688" w:rsidR="00F72D05" w:rsidRPr="006C0B82" w:rsidRDefault="00F72D05" w:rsidP="003F70E1">
      <w:pPr>
        <w:ind w:left="0"/>
        <w:rPr>
          <w:b/>
        </w:rPr>
      </w:pPr>
      <w:r w:rsidRPr="006C0B82">
        <w:t xml:space="preserve">Attn: </w:t>
      </w:r>
      <w:r w:rsidR="006C0B82" w:rsidRPr="006C0B82">
        <w:t>Cory-Ann Wind</w:t>
      </w:r>
    </w:p>
    <w:p w14:paraId="2F502298" w14:textId="77777777" w:rsidR="00F72D05" w:rsidRPr="002175B6" w:rsidRDefault="00753654" w:rsidP="003F70E1">
      <w:pPr>
        <w:ind w:left="0"/>
      </w:pPr>
      <w:r>
        <w:t>700 NE  Multnomah St., Room 600</w:t>
      </w:r>
    </w:p>
    <w:p w14:paraId="2F502299" w14:textId="77777777" w:rsidR="00F72D05" w:rsidRDefault="00753654" w:rsidP="003F70E1">
      <w:pPr>
        <w:ind w:left="0"/>
      </w:pPr>
      <w:r>
        <w:t>Portland, OR 97232-4100</w:t>
      </w:r>
    </w:p>
    <w:p w14:paraId="2F50229A" w14:textId="77777777" w:rsidR="00F72D05" w:rsidRPr="002175B6" w:rsidRDefault="00F72D05" w:rsidP="003F70E1">
      <w:pPr>
        <w:ind w:left="0"/>
      </w:pPr>
    </w:p>
    <w:p w14:paraId="2F50229B" w14:textId="77777777" w:rsidR="00F72D05" w:rsidRPr="002175B6" w:rsidRDefault="00F72D05" w:rsidP="003F70E1">
      <w:pPr>
        <w:pStyle w:val="Heading4"/>
        <w:spacing w:before="0"/>
      </w:pPr>
      <w:r w:rsidRPr="002175B6">
        <w:t>At hearing</w:t>
      </w:r>
    </w:p>
    <w:p w14:paraId="59012F1A" w14:textId="77777777" w:rsidR="006C0B82" w:rsidRPr="006815B5" w:rsidRDefault="006C0B82" w:rsidP="006C0B82">
      <w:pPr>
        <w:ind w:left="0"/>
      </w:pPr>
      <w:r w:rsidRPr="006815B5">
        <w:t>September 20, 2018</w:t>
      </w:r>
    </w:p>
    <w:p w14:paraId="0B0CBA54" w14:textId="2F3B886B" w:rsidR="006C0B82" w:rsidRPr="006815B5" w:rsidRDefault="006C0B82" w:rsidP="003F70E1">
      <w:pPr>
        <w:ind w:left="0"/>
      </w:pPr>
      <w:r w:rsidRPr="006815B5">
        <w:t xml:space="preserve">1:30 pm </w:t>
      </w:r>
    </w:p>
    <w:p w14:paraId="325CAAEC" w14:textId="77777777" w:rsidR="006C0B82" w:rsidRPr="006815B5" w:rsidRDefault="006C0B82" w:rsidP="003F70E1">
      <w:pPr>
        <w:ind w:left="0"/>
      </w:pPr>
      <w:r w:rsidRPr="006815B5">
        <w:t>Oregon DEQ Headquarters Office</w:t>
      </w:r>
    </w:p>
    <w:p w14:paraId="196FCAB0" w14:textId="77777777" w:rsidR="006C0B82" w:rsidRPr="006815B5" w:rsidRDefault="006C0B82" w:rsidP="003F70E1">
      <w:pPr>
        <w:ind w:left="0"/>
      </w:pPr>
      <w:r w:rsidRPr="006815B5">
        <w:t>700 NE Multnomah Street</w:t>
      </w:r>
    </w:p>
    <w:p w14:paraId="5E745795" w14:textId="77777777" w:rsidR="006C0B82" w:rsidRPr="006815B5" w:rsidRDefault="006C0B82" w:rsidP="003F70E1">
      <w:pPr>
        <w:ind w:left="0"/>
      </w:pPr>
      <w:r w:rsidRPr="006815B5">
        <w:t>Conference Room 601</w:t>
      </w:r>
    </w:p>
    <w:p w14:paraId="2F50229D" w14:textId="77777777" w:rsidR="00F72D05" w:rsidRPr="00270078" w:rsidRDefault="00F72D05" w:rsidP="003F70E1">
      <w:pPr>
        <w:ind w:left="0"/>
        <w:rPr>
          <w:color w:val="BF8F00" w:themeColor="accent4" w:themeShade="BF"/>
        </w:rPr>
      </w:pPr>
    </w:p>
    <w:p w14:paraId="2F50229E"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2F50229F" w14:textId="77777777" w:rsidR="005A5041" w:rsidRDefault="005A5041" w:rsidP="005A5041"/>
    <w:p w14:paraId="2F5022A0" w14:textId="1A3FC660" w:rsidR="005A5041" w:rsidRDefault="005A5041" w:rsidP="005A5041">
      <w:pPr>
        <w:ind w:left="0"/>
      </w:pPr>
      <w:r>
        <w:t xml:space="preserve">Teleconference call-in number: </w:t>
      </w:r>
      <w:r w:rsidR="00050E4B">
        <w:t>888-278-0296</w:t>
      </w:r>
    </w:p>
    <w:p w14:paraId="2F5022A1" w14:textId="0E66F11B" w:rsidR="005A5041" w:rsidRDefault="005A5041" w:rsidP="005A5041">
      <w:pPr>
        <w:ind w:left="0"/>
      </w:pPr>
      <w:r>
        <w:t xml:space="preserve">Participant ID: </w:t>
      </w:r>
      <w:r w:rsidR="00ED573C">
        <w:t>8040259</w:t>
      </w:r>
    </w:p>
    <w:p w14:paraId="2F5022A2" w14:textId="77777777" w:rsidR="005A5041" w:rsidRDefault="005A5041" w:rsidP="005A5041">
      <w:pPr>
        <w:ind w:left="0"/>
      </w:pPr>
      <w:r>
        <w:t xml:space="preserve">Webinar link (webinar has no audio, you must listen on the teleconference): </w:t>
      </w:r>
    </w:p>
    <w:p w14:paraId="2F5022A3" w14:textId="77777777" w:rsidR="005A5041" w:rsidRDefault="005A5041" w:rsidP="005A5041">
      <w:pPr>
        <w:ind w:left="0"/>
      </w:pPr>
    </w:p>
    <w:p w14:paraId="2F5022A4" w14:textId="77777777" w:rsidR="005A5041" w:rsidRPr="005A5041" w:rsidRDefault="005A5041" w:rsidP="005A5041">
      <w:pPr>
        <w:ind w:left="0"/>
      </w:pPr>
      <w:r>
        <w:t xml:space="preserve">How to join the teleconference or webinar: </w:t>
      </w:r>
      <w:hyperlink r:id="rId15" w:history="1">
        <w:r>
          <w:rPr>
            <w:rStyle w:val="Hyperlink"/>
          </w:rPr>
          <w:t>Teleconference and Webinar instructions</w:t>
        </w:r>
      </w:hyperlink>
    </w:p>
    <w:p w14:paraId="2F5022A5" w14:textId="77777777" w:rsidR="005A5041" w:rsidRDefault="005A5041" w:rsidP="00655561">
      <w:pPr>
        <w:pStyle w:val="Heading3"/>
        <w:spacing w:before="0"/>
        <w:ind w:left="0"/>
      </w:pPr>
    </w:p>
    <w:p w14:paraId="2F5022A6" w14:textId="77777777" w:rsidR="00655561" w:rsidRDefault="00655561" w:rsidP="00655561">
      <w:pPr>
        <w:pStyle w:val="Heading3"/>
        <w:spacing w:before="0"/>
        <w:ind w:left="0"/>
      </w:pPr>
      <w:r w:rsidRPr="002175B6">
        <w:t>Sign up for rulemaking notices</w:t>
      </w:r>
    </w:p>
    <w:p w14:paraId="2F5022A7"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2F5022A8" w14:textId="7B115117" w:rsidR="00931E4B" w:rsidRPr="00931E4B" w:rsidRDefault="00EC2A68" w:rsidP="00BC7242">
      <w:pPr>
        <w:ind w:left="0"/>
      </w:pPr>
      <w:hyperlink r:id="rId16" w:history="1">
        <w:r w:rsidR="00050E4B">
          <w:rPr>
            <w:rStyle w:val="Hyperlink"/>
          </w:rPr>
          <w:t>CFP 2018</w:t>
        </w:r>
        <w:r w:rsidR="00783B27">
          <w:rPr>
            <w:rStyle w:val="Hyperlink"/>
          </w:rPr>
          <w:t xml:space="preserve"> Rulemaking Email List</w:t>
        </w:r>
      </w:hyperlink>
      <w:r w:rsidR="00BC7242">
        <w:t xml:space="preserve">; or on the rulemaking web site: </w:t>
      </w:r>
      <w:hyperlink r:id="rId17"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2F5022A9" w14:textId="77777777" w:rsidR="00783B27" w:rsidRDefault="00783B27" w:rsidP="00655561">
      <w:pPr>
        <w:ind w:left="0"/>
      </w:pPr>
    </w:p>
    <w:p w14:paraId="2F5022AA"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8" w:history="1">
        <w:r>
          <w:rPr>
            <w:rStyle w:val="Hyperlink"/>
          </w:rPr>
          <w:t>DEQ Email Notice List</w:t>
        </w:r>
      </w:hyperlink>
      <w:r>
        <w:t>.</w:t>
      </w:r>
    </w:p>
    <w:p w14:paraId="2F5022AB" w14:textId="77777777" w:rsidR="00783B27" w:rsidRDefault="00783B27" w:rsidP="00655561">
      <w:pPr>
        <w:ind w:left="0"/>
        <w:rPr>
          <w:color w:val="BF8F00" w:themeColor="accent4" w:themeShade="BF"/>
        </w:rPr>
      </w:pPr>
    </w:p>
    <w:p w14:paraId="2F5022AC" w14:textId="77777777" w:rsidR="00CA3AB6" w:rsidRPr="002175B6" w:rsidRDefault="00CA3AB6" w:rsidP="003F70E1">
      <w:pPr>
        <w:pStyle w:val="Heading3"/>
        <w:tabs>
          <w:tab w:val="left" w:pos="2093"/>
        </w:tabs>
        <w:spacing w:before="0"/>
        <w:ind w:left="0"/>
      </w:pPr>
      <w:r w:rsidRPr="002175B6">
        <w:t>What will happen next?</w:t>
      </w:r>
    </w:p>
    <w:p w14:paraId="2F5022AD"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2F5022AE" w14:textId="77777777" w:rsidR="00CA3AB6" w:rsidRDefault="00CA3AB6" w:rsidP="003F70E1">
      <w:pPr>
        <w:ind w:left="0"/>
      </w:pPr>
    </w:p>
    <w:p w14:paraId="2F5022AF" w14:textId="77777777" w:rsidR="00CA3AB6" w:rsidRPr="002175B6" w:rsidRDefault="00CA3AB6" w:rsidP="003F70E1">
      <w:pPr>
        <w:pStyle w:val="Heading3"/>
        <w:spacing w:before="0"/>
        <w:ind w:left="0"/>
      </w:pPr>
      <w:r w:rsidRPr="002175B6">
        <w:t>Present proposal to the EQC</w:t>
      </w:r>
    </w:p>
    <w:p w14:paraId="2F5022B0" w14:textId="243ABA84"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r w:rsidRPr="00050E4B">
        <w:t xml:space="preserve">. </w:t>
      </w:r>
    </w:p>
    <w:p w14:paraId="2F5022B1" w14:textId="77777777" w:rsidR="00CA3AB6" w:rsidRPr="00050E4B" w:rsidRDefault="00CA3AB6" w:rsidP="003F70E1">
      <w:pPr>
        <w:ind w:left="0"/>
      </w:pPr>
    </w:p>
    <w:p w14:paraId="2F5022B2" w14:textId="77777777" w:rsidR="00F72D05" w:rsidRDefault="00F72D05" w:rsidP="003F70E1">
      <w:pPr>
        <w:pStyle w:val="Heading3"/>
        <w:spacing w:before="0"/>
        <w:ind w:left="0"/>
      </w:pPr>
      <w:r>
        <w:t>Accessibility information</w:t>
      </w:r>
    </w:p>
    <w:p w14:paraId="2F5022B3" w14:textId="77777777" w:rsidR="00F72D05" w:rsidRDefault="00F72D05" w:rsidP="003F70E1">
      <w:pPr>
        <w:ind w:left="0"/>
      </w:pPr>
      <w:r>
        <w:t>You may review copies of all documents referenced in this announcement at:</w:t>
      </w:r>
    </w:p>
    <w:p w14:paraId="2F5022B4" w14:textId="77777777" w:rsidR="00F72D05" w:rsidRDefault="00F72D05" w:rsidP="003F70E1">
      <w:pPr>
        <w:ind w:left="0"/>
      </w:pPr>
    </w:p>
    <w:p w14:paraId="2F5022B5" w14:textId="77777777" w:rsidR="00F72D05" w:rsidRDefault="00F72D05" w:rsidP="003F70E1">
      <w:pPr>
        <w:ind w:left="0"/>
      </w:pPr>
      <w:r>
        <w:t>Oregon Department of Environmental Quality</w:t>
      </w:r>
    </w:p>
    <w:p w14:paraId="2F5022B6" w14:textId="77777777" w:rsidR="00F72D05" w:rsidRDefault="00753654" w:rsidP="003F70E1">
      <w:pPr>
        <w:ind w:left="0"/>
      </w:pPr>
      <w:r>
        <w:t>700 NE Multnomah St., Room 600</w:t>
      </w:r>
    </w:p>
    <w:p w14:paraId="2F5022B7" w14:textId="77777777" w:rsidR="00F72D05" w:rsidRDefault="00753654" w:rsidP="003F70E1">
      <w:pPr>
        <w:ind w:left="0"/>
      </w:pPr>
      <w:r>
        <w:t>Portland, OR, 97232-4100</w:t>
      </w:r>
    </w:p>
    <w:p w14:paraId="2F5022B8" w14:textId="77777777" w:rsidR="00F72D05" w:rsidRDefault="00F72D05" w:rsidP="003F70E1">
      <w:pPr>
        <w:ind w:left="0"/>
      </w:pPr>
    </w:p>
    <w:p w14:paraId="2F5022B9" w14:textId="17E1E106" w:rsidR="00F72D05" w:rsidRPr="000241CB" w:rsidRDefault="00F72D05" w:rsidP="003F70E1">
      <w:pPr>
        <w:ind w:left="0"/>
      </w:pPr>
      <w:r>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2F5022BA" w14:textId="77777777" w:rsidR="00F72D05" w:rsidRDefault="00F72D05" w:rsidP="003F70E1">
      <w:pPr>
        <w:ind w:left="0"/>
      </w:pPr>
    </w:p>
    <w:p w14:paraId="2F5022BC" w14:textId="44F77F70" w:rsidR="00F72D05" w:rsidRPr="002175B6" w:rsidRDefault="00F72D05" w:rsidP="00EC2A68">
      <w:pPr>
        <w:ind w:left="0"/>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14:paraId="2F5022BD" w14:textId="3E9ED7EB" w:rsidR="00EC2A68" w:rsidRDefault="00EC2A68">
      <w:pPr>
        <w:spacing w:after="120"/>
        <w:ind w:left="2880" w:right="0"/>
        <w:outlineLvl w:val="9"/>
      </w:pPr>
      <w:r>
        <w:br w:type="page"/>
      </w:r>
    </w:p>
    <w:p w14:paraId="6ECE3606"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2F5022C0"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2F5022BF" w14:textId="4A919B04" w:rsidR="002C612F" w:rsidRPr="002C612F" w:rsidRDefault="00E131C7" w:rsidP="00EC2A68">
            <w:pPr>
              <w:pStyle w:val="Heading1"/>
            </w:pPr>
            <w:bookmarkStart w:id="1" w:name="_Toc522107421"/>
            <w:r w:rsidRPr="00B96F38">
              <w:rPr>
                <w:szCs w:val="36"/>
              </w:rPr>
              <w:t>Overview</w:t>
            </w:r>
            <w:bookmarkEnd w:id="1"/>
          </w:p>
        </w:tc>
      </w:tr>
    </w:tbl>
    <w:p w14:paraId="2F5022C2" w14:textId="00F78181"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5B1C24D7" w14:textId="77777777" w:rsidR="000241CB" w:rsidRDefault="000241CB" w:rsidP="000241CB">
      <w:pPr>
        <w:ind w:left="0"/>
      </w:pPr>
      <w:r>
        <w:t>DEQ proposes to amend Oregon Clean Fuels Program rules under division 253 of chapter 340 of the Oregon Administrative Rules. The proposed rule changes would:</w:t>
      </w:r>
    </w:p>
    <w:p w14:paraId="61BE396D"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59ADE4F6" w14:textId="77777777" w:rsidR="000241CB" w:rsidRDefault="000241CB" w:rsidP="000241CB">
      <w:pPr>
        <w:numPr>
          <w:ilvl w:val="0"/>
          <w:numId w:val="32"/>
        </w:numPr>
        <w:ind w:left="720" w:right="0"/>
        <w:outlineLvl w:val="3"/>
      </w:pPr>
      <w:r>
        <w:t>a</w:t>
      </w:r>
      <w:r w:rsidRPr="00C306AF">
        <w:t>dd</w:t>
      </w:r>
      <w:r>
        <w:t xml:space="preserve"> new categories of fuel used to </w:t>
      </w:r>
      <w:r w:rsidRPr="00C306AF">
        <w:t>generat</w:t>
      </w:r>
      <w:r>
        <w:t>e credits</w:t>
      </w:r>
      <w:r w:rsidRPr="00C306AF">
        <w:t xml:space="preserve"> </w:t>
      </w:r>
      <w:r>
        <w:t>including forklifts and truck refrigeration units and add new fuels that could generate credits including alternative jet fuel and renewable propane; and</w:t>
      </w:r>
    </w:p>
    <w:p w14:paraId="7F358D73" w14:textId="77777777" w:rsidR="000241CB" w:rsidRDefault="000241CB" w:rsidP="000241CB">
      <w:pPr>
        <w:numPr>
          <w:ilvl w:val="0"/>
          <w:numId w:val="32"/>
        </w:numPr>
        <w:ind w:left="720" w:right="0"/>
        <w:outlineLvl w:val="3"/>
      </w:pPr>
      <w:r>
        <w:t>make some housekeeping changes.</w:t>
      </w:r>
    </w:p>
    <w:p w14:paraId="44807E0C" w14:textId="77777777" w:rsidR="000241CB" w:rsidRDefault="000241CB" w:rsidP="000241CB">
      <w:pPr>
        <w:ind w:left="0"/>
      </w:pPr>
    </w:p>
    <w:p w14:paraId="10706336" w14:textId="77777777" w:rsidR="000241CB" w:rsidRDefault="000241CB" w:rsidP="000241CB">
      <w:pPr>
        <w:ind w:left="0"/>
      </w:pPr>
      <w:r>
        <w:t>DEQ also proposes to amend rules under division 12 of chapter 340 of the Oregon Administrative Rules to classify certain violations and establish or clarify enforcement criteria for violations of the Oregon Clean Fuels Program.</w:t>
      </w:r>
    </w:p>
    <w:p w14:paraId="2F5022C8" w14:textId="702F8369" w:rsidR="001307E8" w:rsidRPr="00A7538A" w:rsidRDefault="00B54125" w:rsidP="00501ABB">
      <w:pPr>
        <w:pStyle w:val="Heading2"/>
        <w:ind w:left="0"/>
        <w:rPr>
          <w:color w:val="C45911" w:themeColor="accent2" w:themeShade="BF"/>
        </w:rPr>
      </w:pPr>
      <w:r w:rsidRPr="004257B4">
        <w:rPr>
          <w:rStyle w:val="Heading3Char"/>
        </w:rPr>
        <w:t>Brief history</w:t>
      </w:r>
    </w:p>
    <w:p w14:paraId="588FD138"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205A306E" w14:textId="77777777" w:rsidR="000241CB" w:rsidRPr="00531949" w:rsidRDefault="000241CB" w:rsidP="000241CB">
      <w:pPr>
        <w:ind w:left="0"/>
      </w:pPr>
    </w:p>
    <w:p w14:paraId="3F00B2B2" w14:textId="77777777" w:rsidR="000241CB" w:rsidRPr="00531949" w:rsidRDefault="000241CB" w:rsidP="000241CB">
      <w:pPr>
        <w:ind w:left="0"/>
      </w:pPr>
      <w:r w:rsidRPr="00531949">
        <w:t xml:space="preserve">The EQC adopted phase 1 rules on Dec. 7, 2012 that required Oregon transportation fuel producers and importers to register, keep records and report the volumes and carbon intensities of the transportation fuels they provide in Oregon. </w:t>
      </w:r>
    </w:p>
    <w:p w14:paraId="18D41C20" w14:textId="77777777" w:rsidR="000241CB" w:rsidRPr="00531949" w:rsidRDefault="000241CB" w:rsidP="000241CB">
      <w:pPr>
        <w:ind w:left="0"/>
      </w:pPr>
    </w:p>
    <w:p w14:paraId="1C47B9B7" w14:textId="77777777" w:rsidR="000241CB" w:rsidRPr="00531949" w:rsidRDefault="000241CB" w:rsidP="000241CB">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06AC5CE7" w14:textId="77777777" w:rsidR="000241CB" w:rsidRPr="00531949" w:rsidRDefault="000241CB" w:rsidP="000241CB">
      <w:pPr>
        <w:ind w:left="0"/>
      </w:pPr>
    </w:p>
    <w:p w14:paraId="1D74BEF8"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22CEFAA6" w14:textId="77777777" w:rsidR="000241CB" w:rsidRPr="00531949" w:rsidRDefault="000241CB" w:rsidP="000241CB">
      <w:pPr>
        <w:ind w:left="0"/>
      </w:pPr>
    </w:p>
    <w:p w14:paraId="797281E0" w14:textId="77777777" w:rsidR="000241CB" w:rsidRPr="00531949" w:rsidRDefault="000241CB" w:rsidP="000241CB">
      <w:pPr>
        <w:ind w:left="0"/>
        <w:rPr>
          <w:bCs/>
        </w:rPr>
      </w:pPr>
      <w:r w:rsidRPr="00531949">
        <w:rPr>
          <w:bCs/>
        </w:rPr>
        <w:t>The EQC adopted updated rules on Dec. 9, 2015 to implement SB 324 (2015).</w:t>
      </w:r>
    </w:p>
    <w:p w14:paraId="38ED6AD5" w14:textId="77777777" w:rsidR="000241CB" w:rsidRPr="00531949" w:rsidRDefault="000241CB" w:rsidP="000241CB">
      <w:pPr>
        <w:ind w:left="0"/>
        <w:rPr>
          <w:bCs/>
        </w:rPr>
      </w:pPr>
    </w:p>
    <w:p w14:paraId="07283BFC"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2D91D46A" w14:textId="77777777" w:rsidR="000241CB" w:rsidRDefault="000241CB" w:rsidP="000241CB">
      <w:pPr>
        <w:ind w:left="0"/>
      </w:pPr>
    </w:p>
    <w:p w14:paraId="4E8EC43E" w14:textId="77777777" w:rsidR="000241CB" w:rsidRDefault="000241CB" w:rsidP="000241CB">
      <w:pPr>
        <w:ind w:left="0" w:right="14"/>
      </w:pPr>
      <w:r>
        <w:t xml:space="preserve">The 2017 Oregon Legislature passed House Bill 2017 that </w:t>
      </w:r>
      <w:r w:rsidRPr="00531949">
        <w:t>add</w:t>
      </w:r>
      <w:r>
        <w:t>ed</w:t>
      </w:r>
      <w:r w:rsidRPr="00531949">
        <w:t xml:space="preserve"> provisions for a Credit Clearance Market (CCM) as an additional cost containment mechanism</w:t>
      </w:r>
      <w:r>
        <w:t>. The EQC adopted updated rules on Nov. 2, 2017 adding the CCM mechanism, u</w:t>
      </w:r>
      <w:r w:rsidRPr="00531949">
        <w:t>pdat</w:t>
      </w:r>
      <w:r>
        <w:t xml:space="preserve">ing </w:t>
      </w:r>
      <w:r w:rsidRPr="00531949">
        <w:t>several provisions relating to electricity’s use as a transportation fuel</w:t>
      </w:r>
      <w:r>
        <w:t xml:space="preserve"> and a</w:t>
      </w:r>
      <w:r w:rsidRPr="00531949">
        <w:t>dd</w:t>
      </w:r>
      <w:r>
        <w:t>ing</w:t>
      </w:r>
      <w:r w:rsidRPr="00531949">
        <w:t xml:space="preserve"> market monitoring provisions</w:t>
      </w:r>
      <w:r>
        <w:t>.</w:t>
      </w:r>
    </w:p>
    <w:p w14:paraId="2F5022CA" w14:textId="717025CC" w:rsidR="00B54125" w:rsidRPr="00F06EEF" w:rsidRDefault="00B54125" w:rsidP="00501ABB">
      <w:pPr>
        <w:pStyle w:val="Heading2"/>
        <w:ind w:left="0"/>
        <w:rPr>
          <w:color w:val="C45911" w:themeColor="accent2" w:themeShade="BF"/>
        </w:rPr>
      </w:pPr>
      <w:r w:rsidRPr="004257B4">
        <w:rPr>
          <w:rStyle w:val="Heading3Char"/>
        </w:rPr>
        <w:lastRenderedPageBreak/>
        <w:t>Regulated parties</w:t>
      </w:r>
    </w:p>
    <w:p w14:paraId="27859E93" w14:textId="318EF89A" w:rsidR="000241CB" w:rsidRPr="009C35D1" w:rsidRDefault="000241CB" w:rsidP="00EC2A68">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are r</w:t>
      </w:r>
      <w:r w:rsidRPr="009C35D1">
        <w:t xml:space="preserve">egistered </w:t>
      </w:r>
      <w:r>
        <w:t>to participate, representing</w:t>
      </w:r>
      <w:r w:rsidRPr="009C35D1">
        <w:t xml:space="preserve">: </w:t>
      </w:r>
    </w:p>
    <w:p w14:paraId="4C213615" w14:textId="77777777" w:rsidR="000241CB" w:rsidRPr="009C35D1" w:rsidRDefault="000241CB" w:rsidP="00EC2A68">
      <w:pPr>
        <w:pStyle w:val="ListParagraph"/>
        <w:widowControl w:val="0"/>
        <w:tabs>
          <w:tab w:val="left" w:pos="360"/>
        </w:tabs>
        <w:ind w:left="1080" w:right="14"/>
        <w:rPr>
          <w:i/>
        </w:rPr>
      </w:pPr>
    </w:p>
    <w:p w14:paraId="3124A4D0" w14:textId="4DF31DB9" w:rsidR="000241CB" w:rsidRPr="00CA2937" w:rsidRDefault="000241CB" w:rsidP="00EC2A68">
      <w:pPr>
        <w:pStyle w:val="ListParagraph"/>
        <w:widowControl w:val="0"/>
        <w:numPr>
          <w:ilvl w:val="0"/>
          <w:numId w:val="33"/>
        </w:numPr>
        <w:ind w:left="720" w:right="14"/>
      </w:pPr>
      <w:r w:rsidRPr="00CA2937">
        <w:rPr>
          <w:i/>
        </w:rPr>
        <w:t xml:space="preserve">Importers of Blendstocks - </w:t>
      </w:r>
      <w:r w:rsidRPr="00CA2937">
        <w:t xml:space="preserve">These are businesses that import fuel components </w:t>
      </w:r>
      <w:r>
        <w:t>which</w:t>
      </w:r>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65D38997" w14:textId="77777777" w:rsidR="000241CB" w:rsidRPr="009C35D1" w:rsidRDefault="000241CB" w:rsidP="00EC2A68">
      <w:pPr>
        <w:widowControl w:val="0"/>
      </w:pPr>
    </w:p>
    <w:p w14:paraId="7F525160" w14:textId="3C32C524" w:rsidR="000241CB" w:rsidRPr="00885129" w:rsidRDefault="000241CB" w:rsidP="00EC2A68">
      <w:pPr>
        <w:pStyle w:val="ListParagraph"/>
        <w:widowControl w:val="0"/>
        <w:numPr>
          <w:ilvl w:val="0"/>
          <w:numId w:val="33"/>
        </w:numPr>
        <w:ind w:left="720" w:right="0"/>
        <w:contextualSpacing w:val="0"/>
        <w:outlineLvl w:val="9"/>
      </w:pPr>
      <w:r w:rsidRPr="00885129">
        <w:rPr>
          <w:i/>
        </w:rPr>
        <w:t xml:space="preserve">Importers of Finished Fuels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rsidR="00822368">
        <w:t>50</w:t>
      </w:r>
      <w:r w:rsidRPr="00885129">
        <w:t xml:space="preserve"> businesses registered as importers of finished fuels, </w:t>
      </w:r>
      <w:r w:rsidR="00822368">
        <w:t>35</w:t>
      </w:r>
      <w:r w:rsidRPr="00885129">
        <w:t xml:space="preserve"> businesses are large (500,000 gallons per year and greater)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 does not align with the statutory definition of “small business” that is used to analyze the fiscal and economic impact to small businesses.</w:t>
      </w:r>
    </w:p>
    <w:p w14:paraId="1408C2D1" w14:textId="77777777" w:rsidR="000241CB" w:rsidRPr="00885129" w:rsidRDefault="000241CB" w:rsidP="00EC2A68">
      <w:pPr>
        <w:pStyle w:val="ListParagraph"/>
        <w:widowControl w:val="0"/>
        <w:ind w:right="14"/>
      </w:pPr>
    </w:p>
    <w:p w14:paraId="2F2697FB" w14:textId="34C814D5" w:rsidR="000241CB" w:rsidRPr="00CA2937" w:rsidRDefault="000241CB" w:rsidP="00EC2A68">
      <w:pPr>
        <w:pStyle w:val="ListParagraph"/>
        <w:widowControl w:val="0"/>
        <w:numPr>
          <w:ilvl w:val="0"/>
          <w:numId w:val="33"/>
        </w:numPr>
        <w:ind w:left="72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76A139AB" w14:textId="77777777" w:rsidR="000241CB" w:rsidRPr="009C35D1" w:rsidRDefault="000241CB" w:rsidP="00EC2A68">
      <w:pPr>
        <w:widowControl w:val="0"/>
      </w:pPr>
    </w:p>
    <w:p w14:paraId="222E4BE2" w14:textId="4C04C177" w:rsidR="000241CB" w:rsidRPr="00CA2937" w:rsidRDefault="000241CB" w:rsidP="00EC2A68">
      <w:pPr>
        <w:pStyle w:val="ListParagraph"/>
        <w:widowControl w:val="0"/>
        <w:numPr>
          <w:ilvl w:val="0"/>
          <w:numId w:val="33"/>
        </w:numPr>
        <w:ind w:left="720" w:right="14"/>
        <w:contextualSpacing w:val="0"/>
        <w:outlineLvl w:val="9"/>
      </w:pPr>
      <w:r w:rsidRPr="00CA2937">
        <w:rPr>
          <w:i/>
        </w:rPr>
        <w:t xml:space="preserve">Credit Generators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generators.</w:t>
      </w:r>
    </w:p>
    <w:p w14:paraId="2F5022CF" w14:textId="77777777" w:rsidR="00B54125" w:rsidRDefault="00B54125" w:rsidP="00501ABB">
      <w:pPr>
        <w:ind w:left="0"/>
      </w:pPr>
    </w:p>
    <w:p w14:paraId="2F5022D0" w14:textId="1FFB9542"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p>
    <w:p w14:paraId="2F5022D1"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2F5022D2" w14:textId="77777777" w:rsidR="005B0C97" w:rsidRPr="00F05E86" w:rsidRDefault="005B0C97" w:rsidP="00596822">
      <w:pPr>
        <w:pStyle w:val="Heading1"/>
        <w:sectPr w:rsidR="005B0C97" w:rsidRPr="00F05E86" w:rsidSect="00CC521E">
          <w:headerReference w:type="default" r:id="rId19"/>
          <w:footerReference w:type="default" r:id="rId20"/>
          <w:headerReference w:type="first" r:id="rId21"/>
          <w:footerReference w:type="first" r:id="rId22"/>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14:paraId="2F5022E0"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2F5022DF" w14:textId="1DAFB3D2" w:rsidR="00A04AFA" w:rsidRPr="00F40122" w:rsidRDefault="00A04AFA" w:rsidP="00E56A1F">
            <w:pPr>
              <w:pStyle w:val="TOC1"/>
              <w:rPr>
                <w:b/>
              </w:rPr>
            </w:pPr>
            <w:bookmarkStart w:id="2" w:name="_Toc522107422"/>
            <w:r w:rsidRPr="00B96F38">
              <w:rPr>
                <w:rStyle w:val="Heading1Char"/>
              </w:rPr>
              <w:lastRenderedPageBreak/>
              <w:t>Statement of need</w:t>
            </w:r>
            <w:bookmarkEnd w:id="2"/>
            <w:r w:rsidR="00D1364A" w:rsidRPr="00F40122">
              <w:rPr>
                <w:b/>
                <w:color w:val="806000" w:themeColor="accent4" w:themeShade="80"/>
              </w:rPr>
              <w:t xml:space="preserve"> </w:t>
            </w:r>
          </w:p>
        </w:tc>
      </w:tr>
    </w:tbl>
    <w:p w14:paraId="2F5022F2" w14:textId="3F3C83E1" w:rsidR="00F8126E" w:rsidRDefault="00E56A1F" w:rsidP="00E56A1F">
      <w:pPr>
        <w:pStyle w:val="NormalWeb"/>
      </w:pPr>
      <w:r>
        <w:rPr>
          <w:color w:val="000000"/>
        </w:rPr>
        <w:t>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While the CFP has been operating since 2016, there are several needs that this proposed rulemaking is seeking to address as described below.</w:t>
      </w:r>
      <w:r>
        <w:rPr>
          <w:color w:val="auto"/>
        </w:rP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2F5022F5" w14:textId="77777777" w:rsidTr="009F37B6">
        <w:trPr>
          <w:trHeight w:val="531"/>
          <w:tblHeader/>
          <w:jc w:val="center"/>
        </w:trPr>
        <w:tc>
          <w:tcPr>
            <w:tcW w:w="4495" w:type="dxa"/>
            <w:shd w:val="clear" w:color="auto" w:fill="E2EFD9" w:themeFill="accent6" w:themeFillTint="33"/>
            <w:noWrap/>
            <w:vAlign w:val="center"/>
            <w:hideMark/>
          </w:tcPr>
          <w:p w14:paraId="2F5022F3" w14:textId="77777777" w:rsidR="0055604D" w:rsidRPr="00385055" w:rsidRDefault="0055604D" w:rsidP="002C612F">
            <w:pPr>
              <w:pStyle w:val="Title"/>
              <w:spacing w:before="120"/>
              <w:ind w:left="0" w:right="-36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5" w:type="dxa"/>
            <w:shd w:val="clear" w:color="auto" w:fill="E2EFD9" w:themeFill="accent6" w:themeFillTint="33"/>
            <w:noWrap/>
            <w:vAlign w:val="center"/>
            <w:hideMark/>
          </w:tcPr>
          <w:p w14:paraId="2F5022F4" w14:textId="77777777" w:rsidR="0055604D" w:rsidRPr="00385055" w:rsidRDefault="00325AA6" w:rsidP="002C612F">
            <w:pPr>
              <w:pStyle w:val="Title"/>
              <w:spacing w:before="120"/>
              <w:ind w:left="0" w:right="-36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2F5022F7" w14:textId="77777777" w:rsidTr="009F37B6">
        <w:trPr>
          <w:trHeight w:val="19"/>
          <w:jc w:val="center"/>
        </w:trPr>
        <w:tc>
          <w:tcPr>
            <w:tcW w:w="8991" w:type="dxa"/>
            <w:gridSpan w:val="2"/>
            <w:shd w:val="clear" w:color="auto" w:fill="C5E0B3" w:themeFill="accent6" w:themeFillTint="66"/>
            <w:hideMark/>
          </w:tcPr>
          <w:p w14:paraId="2F5022F6" w14:textId="77777777" w:rsidR="00E8332D" w:rsidRPr="005311A9" w:rsidRDefault="00E8332D" w:rsidP="002C612F">
            <w:pPr>
              <w:pStyle w:val="Subtitle"/>
              <w:ind w:left="0" w:right="-360"/>
              <w:rPr>
                <w:rFonts w:ascii="Arial" w:hAnsi="Arial" w:cs="Arial"/>
              </w:rPr>
            </w:pPr>
            <w:r w:rsidRPr="005311A9">
              <w:rPr>
                <w:rFonts w:ascii="Arial" w:hAnsi="Arial" w:cs="Arial"/>
              </w:rPr>
              <w:t>Enter rule or topic subtitle</w:t>
            </w:r>
          </w:p>
        </w:tc>
      </w:tr>
      <w:tr w:rsidR="00F8126E" w:rsidRPr="006726CF" w14:paraId="2F5022FA" w14:textId="77777777" w:rsidTr="004D0217">
        <w:trPr>
          <w:trHeight w:val="19"/>
          <w:jc w:val="center"/>
        </w:trPr>
        <w:tc>
          <w:tcPr>
            <w:tcW w:w="4495" w:type="dxa"/>
            <w:shd w:val="clear" w:color="auto" w:fill="auto"/>
            <w:hideMark/>
          </w:tcPr>
          <w:p w14:paraId="2F5022F8" w14:textId="77777777" w:rsidR="00F8126E" w:rsidRPr="005311A9" w:rsidRDefault="00D96929" w:rsidP="002C612F">
            <w:pPr>
              <w:ind w:left="0" w:right="-360"/>
              <w:rPr>
                <w:sz w:val="22"/>
                <w:szCs w:val="22"/>
              </w:rPr>
            </w:pPr>
            <w:r w:rsidRPr="005311A9">
              <w:rPr>
                <w:sz w:val="22"/>
                <w:szCs w:val="22"/>
              </w:rPr>
              <w:t>What need would the proposed rule address?</w:t>
            </w:r>
          </w:p>
        </w:tc>
        <w:tc>
          <w:tcPr>
            <w:tcW w:w="4495" w:type="dxa"/>
            <w:shd w:val="clear" w:color="auto" w:fill="auto"/>
            <w:hideMark/>
          </w:tcPr>
          <w:p w14:paraId="2F5022F9" w14:textId="77777777" w:rsidR="00F8126E" w:rsidRPr="005311A9" w:rsidRDefault="00F8126E" w:rsidP="002C612F">
            <w:pPr>
              <w:ind w:left="0" w:right="-360"/>
              <w:rPr>
                <w:sz w:val="22"/>
                <w:szCs w:val="22"/>
              </w:rPr>
            </w:pPr>
          </w:p>
        </w:tc>
      </w:tr>
      <w:tr w:rsidR="00F8126E" w:rsidRPr="006726CF" w14:paraId="2F5022FD" w14:textId="77777777" w:rsidTr="004D0217">
        <w:trPr>
          <w:trHeight w:val="19"/>
          <w:jc w:val="center"/>
        </w:trPr>
        <w:tc>
          <w:tcPr>
            <w:tcW w:w="4495" w:type="dxa"/>
            <w:shd w:val="clear" w:color="auto" w:fill="auto"/>
            <w:hideMark/>
          </w:tcPr>
          <w:p w14:paraId="2F5022FB" w14:textId="77777777" w:rsidR="00F8126E" w:rsidRPr="005311A9" w:rsidRDefault="00F8126E" w:rsidP="002C612F">
            <w:pPr>
              <w:ind w:left="0" w:right="-36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5" w:type="dxa"/>
            <w:shd w:val="clear" w:color="auto" w:fill="auto"/>
            <w:hideMark/>
          </w:tcPr>
          <w:p w14:paraId="2F5022FC" w14:textId="77777777" w:rsidR="00F8126E" w:rsidRPr="005311A9" w:rsidRDefault="00F8126E" w:rsidP="002C612F">
            <w:pPr>
              <w:ind w:left="0" w:right="-360"/>
              <w:rPr>
                <w:sz w:val="22"/>
                <w:szCs w:val="22"/>
              </w:rPr>
            </w:pPr>
          </w:p>
        </w:tc>
      </w:tr>
      <w:tr w:rsidR="00F8126E" w:rsidRPr="006726CF" w14:paraId="2F502300" w14:textId="77777777" w:rsidTr="004D0217">
        <w:trPr>
          <w:trHeight w:val="263"/>
          <w:jc w:val="center"/>
        </w:trPr>
        <w:tc>
          <w:tcPr>
            <w:tcW w:w="4495" w:type="dxa"/>
            <w:shd w:val="clear" w:color="auto" w:fill="auto"/>
            <w:hideMark/>
          </w:tcPr>
          <w:p w14:paraId="2F5022FE" w14:textId="77777777" w:rsidR="00F8126E" w:rsidRPr="005311A9" w:rsidRDefault="00BE2A1D" w:rsidP="002C612F">
            <w:pPr>
              <w:ind w:left="0" w:right="-360"/>
              <w:rPr>
                <w:sz w:val="22"/>
                <w:szCs w:val="22"/>
              </w:rPr>
            </w:pPr>
            <w:r w:rsidRPr="005311A9">
              <w:rPr>
                <w:sz w:val="22"/>
                <w:szCs w:val="22"/>
              </w:rPr>
              <w:t>How will DEQ know the rule addressed the need?</w:t>
            </w:r>
          </w:p>
        </w:tc>
        <w:tc>
          <w:tcPr>
            <w:tcW w:w="4495" w:type="dxa"/>
            <w:shd w:val="clear" w:color="auto" w:fill="auto"/>
            <w:hideMark/>
          </w:tcPr>
          <w:p w14:paraId="2F5022FF" w14:textId="77777777" w:rsidR="00F8126E" w:rsidRPr="005311A9" w:rsidRDefault="00F8126E" w:rsidP="002C612F">
            <w:pPr>
              <w:ind w:left="0" w:right="-360"/>
              <w:rPr>
                <w:sz w:val="22"/>
                <w:szCs w:val="22"/>
              </w:rPr>
            </w:pPr>
          </w:p>
        </w:tc>
      </w:tr>
      <w:tr w:rsidR="00E8332D" w:rsidRPr="006726CF" w14:paraId="2F502302" w14:textId="77777777" w:rsidTr="009F37B6">
        <w:trPr>
          <w:trHeight w:val="19"/>
          <w:jc w:val="center"/>
        </w:trPr>
        <w:tc>
          <w:tcPr>
            <w:tcW w:w="8991" w:type="dxa"/>
            <w:gridSpan w:val="2"/>
            <w:shd w:val="clear" w:color="auto" w:fill="C5E0B3" w:themeFill="accent6" w:themeFillTint="66"/>
            <w:hideMark/>
          </w:tcPr>
          <w:p w14:paraId="2F502301" w14:textId="77777777" w:rsidR="00E8332D" w:rsidRPr="005311A9" w:rsidRDefault="00E8332D" w:rsidP="002C612F">
            <w:pPr>
              <w:pStyle w:val="Subtitle"/>
              <w:ind w:left="0" w:right="-360"/>
              <w:rPr>
                <w:rFonts w:ascii="Arial" w:hAnsi="Arial" w:cs="Arial"/>
              </w:rPr>
            </w:pPr>
            <w:r w:rsidRPr="005311A9">
              <w:rPr>
                <w:rFonts w:ascii="Arial" w:hAnsi="Arial" w:cs="Arial"/>
              </w:rPr>
              <w:t xml:space="preserve">Enter rule or topic subtitle </w:t>
            </w:r>
          </w:p>
        </w:tc>
      </w:tr>
      <w:tr w:rsidR="00F8126E" w:rsidRPr="006726CF" w14:paraId="2F502305" w14:textId="77777777" w:rsidTr="004D0217">
        <w:trPr>
          <w:trHeight w:val="19"/>
          <w:jc w:val="center"/>
        </w:trPr>
        <w:tc>
          <w:tcPr>
            <w:tcW w:w="4495" w:type="dxa"/>
            <w:shd w:val="clear" w:color="auto" w:fill="auto"/>
            <w:hideMark/>
          </w:tcPr>
          <w:p w14:paraId="2F502303" w14:textId="77777777" w:rsidR="00F8126E" w:rsidRPr="005311A9" w:rsidRDefault="00D96929" w:rsidP="002C612F">
            <w:pPr>
              <w:ind w:left="0" w:right="-360"/>
              <w:rPr>
                <w:sz w:val="22"/>
                <w:szCs w:val="22"/>
              </w:rPr>
            </w:pPr>
            <w:r w:rsidRPr="005311A9">
              <w:rPr>
                <w:sz w:val="22"/>
                <w:szCs w:val="22"/>
              </w:rPr>
              <w:t>What need would the proposed rule address?</w:t>
            </w:r>
          </w:p>
        </w:tc>
        <w:tc>
          <w:tcPr>
            <w:tcW w:w="4495" w:type="dxa"/>
            <w:shd w:val="clear" w:color="auto" w:fill="auto"/>
            <w:hideMark/>
          </w:tcPr>
          <w:p w14:paraId="2F502304" w14:textId="77777777" w:rsidR="00F8126E" w:rsidRPr="005311A9" w:rsidRDefault="00F8126E" w:rsidP="002C612F">
            <w:pPr>
              <w:ind w:left="0" w:right="-360"/>
              <w:rPr>
                <w:sz w:val="22"/>
                <w:szCs w:val="22"/>
              </w:rPr>
            </w:pPr>
          </w:p>
        </w:tc>
      </w:tr>
      <w:tr w:rsidR="00F8126E" w:rsidRPr="006726CF" w14:paraId="2F502308" w14:textId="77777777" w:rsidTr="004D0217">
        <w:trPr>
          <w:trHeight w:val="19"/>
          <w:jc w:val="center"/>
        </w:trPr>
        <w:tc>
          <w:tcPr>
            <w:tcW w:w="4495" w:type="dxa"/>
            <w:shd w:val="clear" w:color="auto" w:fill="auto"/>
            <w:hideMark/>
          </w:tcPr>
          <w:p w14:paraId="2F502306" w14:textId="77777777" w:rsidR="00F8126E" w:rsidRPr="005311A9" w:rsidRDefault="00F8126E" w:rsidP="002C612F">
            <w:pPr>
              <w:ind w:left="0" w:right="-36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5" w:type="dxa"/>
            <w:shd w:val="clear" w:color="auto" w:fill="auto"/>
            <w:hideMark/>
          </w:tcPr>
          <w:p w14:paraId="2F502307" w14:textId="77777777" w:rsidR="00F8126E" w:rsidRPr="005311A9" w:rsidRDefault="00F8126E" w:rsidP="002C612F">
            <w:pPr>
              <w:ind w:left="0" w:right="-360"/>
              <w:rPr>
                <w:sz w:val="22"/>
                <w:szCs w:val="22"/>
              </w:rPr>
            </w:pPr>
          </w:p>
        </w:tc>
      </w:tr>
      <w:tr w:rsidR="00F8126E" w:rsidRPr="006726CF" w14:paraId="2F50230B" w14:textId="77777777" w:rsidTr="004D0217">
        <w:trPr>
          <w:trHeight w:val="19"/>
          <w:jc w:val="center"/>
        </w:trPr>
        <w:tc>
          <w:tcPr>
            <w:tcW w:w="4495" w:type="dxa"/>
            <w:shd w:val="clear" w:color="auto" w:fill="auto"/>
            <w:hideMark/>
          </w:tcPr>
          <w:p w14:paraId="2F502309" w14:textId="77777777" w:rsidR="00F8126E" w:rsidRPr="005311A9" w:rsidRDefault="00BE2A1D" w:rsidP="002C612F">
            <w:pPr>
              <w:ind w:left="0" w:right="-360"/>
              <w:rPr>
                <w:sz w:val="22"/>
                <w:szCs w:val="22"/>
              </w:rPr>
            </w:pPr>
            <w:r w:rsidRPr="005311A9">
              <w:rPr>
                <w:sz w:val="22"/>
                <w:szCs w:val="22"/>
              </w:rPr>
              <w:t>How will DEQ know the rule addressed the need?</w:t>
            </w:r>
          </w:p>
        </w:tc>
        <w:tc>
          <w:tcPr>
            <w:tcW w:w="4495" w:type="dxa"/>
            <w:shd w:val="clear" w:color="auto" w:fill="auto"/>
            <w:hideMark/>
          </w:tcPr>
          <w:p w14:paraId="2F50230A" w14:textId="77777777" w:rsidR="00F8126E" w:rsidRPr="005311A9" w:rsidRDefault="00F8126E" w:rsidP="002C612F">
            <w:pPr>
              <w:ind w:left="0" w:right="-360"/>
              <w:rPr>
                <w:sz w:val="22"/>
                <w:szCs w:val="22"/>
              </w:rPr>
            </w:pPr>
          </w:p>
        </w:tc>
      </w:tr>
      <w:tr w:rsidR="00E8332D" w:rsidRPr="006726CF" w14:paraId="2F50230D" w14:textId="77777777" w:rsidTr="009F37B6">
        <w:trPr>
          <w:trHeight w:val="326"/>
          <w:jc w:val="center"/>
        </w:trPr>
        <w:tc>
          <w:tcPr>
            <w:tcW w:w="8991" w:type="dxa"/>
            <w:gridSpan w:val="2"/>
            <w:shd w:val="clear" w:color="auto" w:fill="C5E0B3" w:themeFill="accent6" w:themeFillTint="66"/>
            <w:hideMark/>
          </w:tcPr>
          <w:p w14:paraId="2F50230C" w14:textId="77777777" w:rsidR="00E8332D" w:rsidRPr="005311A9" w:rsidRDefault="00E8332D" w:rsidP="002C612F">
            <w:pPr>
              <w:pStyle w:val="Subtitle"/>
              <w:ind w:left="0" w:right="-360"/>
              <w:rPr>
                <w:rFonts w:ascii="Arial" w:hAnsi="Arial" w:cs="Arial"/>
              </w:rPr>
            </w:pPr>
            <w:r w:rsidRPr="005311A9">
              <w:rPr>
                <w:rFonts w:ascii="Arial" w:hAnsi="Arial" w:cs="Arial"/>
              </w:rPr>
              <w:t>Enter rule or topic subtitle</w:t>
            </w:r>
          </w:p>
        </w:tc>
      </w:tr>
      <w:tr w:rsidR="00F8126E" w:rsidRPr="006726CF" w14:paraId="2F502310" w14:textId="77777777" w:rsidTr="004D0217">
        <w:trPr>
          <w:trHeight w:val="19"/>
          <w:jc w:val="center"/>
        </w:trPr>
        <w:tc>
          <w:tcPr>
            <w:tcW w:w="4495" w:type="dxa"/>
            <w:shd w:val="clear" w:color="auto" w:fill="auto"/>
            <w:hideMark/>
          </w:tcPr>
          <w:p w14:paraId="2F50230E" w14:textId="77777777" w:rsidR="00F8126E" w:rsidRPr="005311A9" w:rsidRDefault="00D96929" w:rsidP="002C612F">
            <w:pPr>
              <w:ind w:left="0" w:right="-360"/>
              <w:rPr>
                <w:sz w:val="22"/>
                <w:szCs w:val="22"/>
              </w:rPr>
            </w:pPr>
            <w:r w:rsidRPr="005311A9">
              <w:rPr>
                <w:sz w:val="22"/>
                <w:szCs w:val="22"/>
              </w:rPr>
              <w:t>What need would the proposed rule address?</w:t>
            </w:r>
          </w:p>
        </w:tc>
        <w:tc>
          <w:tcPr>
            <w:tcW w:w="4495" w:type="dxa"/>
            <w:shd w:val="clear" w:color="auto" w:fill="auto"/>
            <w:hideMark/>
          </w:tcPr>
          <w:p w14:paraId="2F50230F" w14:textId="77777777" w:rsidR="00F8126E" w:rsidRPr="005311A9" w:rsidRDefault="00F8126E" w:rsidP="002C612F">
            <w:pPr>
              <w:ind w:left="0" w:right="-360"/>
              <w:rPr>
                <w:sz w:val="22"/>
                <w:szCs w:val="22"/>
              </w:rPr>
            </w:pPr>
          </w:p>
        </w:tc>
      </w:tr>
      <w:tr w:rsidR="00F8126E" w:rsidRPr="006726CF" w14:paraId="2F502313" w14:textId="77777777" w:rsidTr="004D0217">
        <w:trPr>
          <w:trHeight w:val="19"/>
          <w:jc w:val="center"/>
        </w:trPr>
        <w:tc>
          <w:tcPr>
            <w:tcW w:w="4495" w:type="dxa"/>
            <w:shd w:val="clear" w:color="auto" w:fill="auto"/>
            <w:hideMark/>
          </w:tcPr>
          <w:p w14:paraId="2F502311" w14:textId="77777777" w:rsidR="00F8126E" w:rsidRPr="005311A9" w:rsidRDefault="00F8126E" w:rsidP="002C612F">
            <w:pPr>
              <w:ind w:left="0" w:right="-36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5" w:type="dxa"/>
            <w:shd w:val="clear" w:color="auto" w:fill="auto"/>
            <w:hideMark/>
          </w:tcPr>
          <w:p w14:paraId="2F502312" w14:textId="77777777" w:rsidR="00F8126E" w:rsidRPr="005311A9" w:rsidRDefault="00F8126E" w:rsidP="002C612F">
            <w:pPr>
              <w:ind w:left="0" w:right="-360"/>
              <w:rPr>
                <w:sz w:val="22"/>
                <w:szCs w:val="22"/>
              </w:rPr>
            </w:pPr>
          </w:p>
        </w:tc>
      </w:tr>
      <w:tr w:rsidR="00F8126E" w:rsidRPr="006726CF" w14:paraId="2F502316" w14:textId="77777777" w:rsidTr="004D0217">
        <w:trPr>
          <w:trHeight w:val="19"/>
          <w:jc w:val="center"/>
        </w:trPr>
        <w:tc>
          <w:tcPr>
            <w:tcW w:w="4495" w:type="dxa"/>
            <w:shd w:val="clear" w:color="auto" w:fill="auto"/>
            <w:hideMark/>
          </w:tcPr>
          <w:p w14:paraId="2F502314" w14:textId="77777777" w:rsidR="00F8126E" w:rsidRPr="005311A9" w:rsidRDefault="00BE2A1D" w:rsidP="002C612F">
            <w:pPr>
              <w:ind w:left="0" w:right="-360"/>
              <w:rPr>
                <w:sz w:val="22"/>
                <w:szCs w:val="22"/>
              </w:rPr>
            </w:pPr>
            <w:r w:rsidRPr="005311A9">
              <w:rPr>
                <w:sz w:val="22"/>
                <w:szCs w:val="22"/>
              </w:rPr>
              <w:t>How will DEQ know the rule addressed the need?</w:t>
            </w:r>
          </w:p>
        </w:tc>
        <w:tc>
          <w:tcPr>
            <w:tcW w:w="4495" w:type="dxa"/>
            <w:shd w:val="clear" w:color="auto" w:fill="auto"/>
            <w:hideMark/>
          </w:tcPr>
          <w:p w14:paraId="2F502315" w14:textId="77777777" w:rsidR="00F8126E" w:rsidRPr="005311A9" w:rsidRDefault="00F8126E" w:rsidP="002C612F">
            <w:pPr>
              <w:ind w:left="0" w:right="-360"/>
              <w:rPr>
                <w:sz w:val="22"/>
                <w:szCs w:val="22"/>
              </w:rPr>
            </w:pPr>
          </w:p>
        </w:tc>
      </w:tr>
      <w:tr w:rsidR="003A2F55" w:rsidRPr="006726CF" w14:paraId="2F502318" w14:textId="77777777" w:rsidTr="009F37B6">
        <w:trPr>
          <w:trHeight w:val="19"/>
          <w:jc w:val="center"/>
        </w:trPr>
        <w:tc>
          <w:tcPr>
            <w:tcW w:w="8991" w:type="dxa"/>
            <w:gridSpan w:val="2"/>
            <w:shd w:val="clear" w:color="auto" w:fill="C5E0B3" w:themeFill="accent6" w:themeFillTint="66"/>
            <w:hideMark/>
          </w:tcPr>
          <w:p w14:paraId="2F502317" w14:textId="77777777" w:rsidR="003A2F55" w:rsidRPr="003F5BBD" w:rsidRDefault="00F135FF" w:rsidP="002C612F">
            <w:pPr>
              <w:pStyle w:val="Subtitle"/>
              <w:ind w:left="0" w:right="-360"/>
              <w:rPr>
                <w:rFonts w:ascii="Arial" w:hAnsi="Arial" w:cs="Arial"/>
              </w:rPr>
            </w:pPr>
            <w:r w:rsidRPr="003F5BBD">
              <w:rPr>
                <w:rFonts w:ascii="Arial" w:hAnsi="Arial" w:cs="Arial"/>
              </w:rPr>
              <w:t>Enter rule or topic title</w:t>
            </w:r>
          </w:p>
        </w:tc>
      </w:tr>
      <w:tr w:rsidR="00F8126E" w:rsidRPr="006726CF" w14:paraId="2F50231B" w14:textId="77777777" w:rsidTr="004D0217">
        <w:trPr>
          <w:trHeight w:val="19"/>
          <w:jc w:val="center"/>
        </w:trPr>
        <w:tc>
          <w:tcPr>
            <w:tcW w:w="4495" w:type="dxa"/>
            <w:shd w:val="clear" w:color="auto" w:fill="auto"/>
            <w:hideMark/>
          </w:tcPr>
          <w:p w14:paraId="2F502319" w14:textId="77777777" w:rsidR="00F8126E" w:rsidRPr="003F5BBD" w:rsidRDefault="00D96929" w:rsidP="002C612F">
            <w:pPr>
              <w:ind w:left="0" w:right="-360"/>
              <w:rPr>
                <w:sz w:val="22"/>
                <w:szCs w:val="22"/>
              </w:rPr>
            </w:pPr>
            <w:r w:rsidRPr="003F5BBD">
              <w:rPr>
                <w:sz w:val="22"/>
                <w:szCs w:val="22"/>
              </w:rPr>
              <w:t>What need would the proposed rule address?</w:t>
            </w:r>
          </w:p>
        </w:tc>
        <w:tc>
          <w:tcPr>
            <w:tcW w:w="4495" w:type="dxa"/>
            <w:shd w:val="clear" w:color="auto" w:fill="auto"/>
            <w:hideMark/>
          </w:tcPr>
          <w:p w14:paraId="2F50231A" w14:textId="77777777" w:rsidR="00F8126E" w:rsidRPr="003F5BBD" w:rsidRDefault="00F8126E" w:rsidP="002C612F">
            <w:pPr>
              <w:ind w:left="0" w:right="-360"/>
              <w:rPr>
                <w:sz w:val="22"/>
                <w:szCs w:val="22"/>
              </w:rPr>
            </w:pPr>
          </w:p>
        </w:tc>
      </w:tr>
      <w:tr w:rsidR="00F8126E" w:rsidRPr="006726CF" w14:paraId="2F50231E" w14:textId="77777777" w:rsidTr="004D0217">
        <w:trPr>
          <w:trHeight w:val="19"/>
          <w:jc w:val="center"/>
        </w:trPr>
        <w:tc>
          <w:tcPr>
            <w:tcW w:w="4495" w:type="dxa"/>
            <w:shd w:val="clear" w:color="auto" w:fill="auto"/>
            <w:hideMark/>
          </w:tcPr>
          <w:p w14:paraId="2F50231C" w14:textId="77777777" w:rsidR="00F8126E" w:rsidRPr="003F5BBD" w:rsidRDefault="00F8126E" w:rsidP="002C612F">
            <w:pPr>
              <w:ind w:left="0" w:right="-360"/>
              <w:rPr>
                <w:sz w:val="22"/>
                <w:szCs w:val="22"/>
              </w:rPr>
            </w:pPr>
            <w:r w:rsidRPr="003F5BBD">
              <w:rPr>
                <w:sz w:val="22"/>
                <w:szCs w:val="22"/>
              </w:rPr>
              <w:t xml:space="preserve">How would the proposed rule </w:t>
            </w:r>
            <w:r w:rsidR="00A66C7E" w:rsidRPr="003F5BBD">
              <w:rPr>
                <w:sz w:val="22"/>
                <w:szCs w:val="22"/>
              </w:rPr>
              <w:t>address</w:t>
            </w:r>
            <w:r w:rsidRPr="003F5BBD">
              <w:rPr>
                <w:sz w:val="22"/>
                <w:szCs w:val="22"/>
              </w:rPr>
              <w:t xml:space="preserve"> the </w:t>
            </w:r>
            <w:r w:rsidR="00A66C7E" w:rsidRPr="003F5BBD">
              <w:rPr>
                <w:sz w:val="22"/>
                <w:szCs w:val="22"/>
              </w:rPr>
              <w:t>need</w:t>
            </w:r>
            <w:r w:rsidRPr="003F5BBD">
              <w:rPr>
                <w:sz w:val="22"/>
                <w:szCs w:val="22"/>
              </w:rPr>
              <w:t xml:space="preserve">? </w:t>
            </w:r>
          </w:p>
        </w:tc>
        <w:tc>
          <w:tcPr>
            <w:tcW w:w="4495" w:type="dxa"/>
            <w:shd w:val="clear" w:color="auto" w:fill="auto"/>
            <w:hideMark/>
          </w:tcPr>
          <w:p w14:paraId="2F50231D" w14:textId="77777777" w:rsidR="00F8126E" w:rsidRPr="003F5BBD" w:rsidRDefault="00F8126E" w:rsidP="002C612F">
            <w:pPr>
              <w:ind w:left="0" w:right="-360"/>
              <w:rPr>
                <w:sz w:val="22"/>
                <w:szCs w:val="22"/>
              </w:rPr>
            </w:pPr>
          </w:p>
        </w:tc>
      </w:tr>
      <w:tr w:rsidR="00F8126E" w:rsidRPr="006726CF" w14:paraId="2F502321" w14:textId="77777777" w:rsidTr="004D0217">
        <w:trPr>
          <w:trHeight w:val="19"/>
          <w:jc w:val="center"/>
        </w:trPr>
        <w:tc>
          <w:tcPr>
            <w:tcW w:w="4495" w:type="dxa"/>
            <w:shd w:val="clear" w:color="auto" w:fill="auto"/>
            <w:hideMark/>
          </w:tcPr>
          <w:p w14:paraId="2F50231F" w14:textId="77777777" w:rsidR="00F8126E" w:rsidRPr="003F5BBD" w:rsidRDefault="00BE2A1D" w:rsidP="002C612F">
            <w:pPr>
              <w:ind w:left="0" w:right="-360"/>
              <w:rPr>
                <w:sz w:val="22"/>
                <w:szCs w:val="22"/>
              </w:rPr>
            </w:pPr>
            <w:r w:rsidRPr="003F5BBD">
              <w:rPr>
                <w:sz w:val="22"/>
                <w:szCs w:val="22"/>
              </w:rPr>
              <w:t>How will DEQ know the rule addressed the need?</w:t>
            </w:r>
          </w:p>
        </w:tc>
        <w:tc>
          <w:tcPr>
            <w:tcW w:w="4495" w:type="dxa"/>
            <w:shd w:val="clear" w:color="auto" w:fill="auto"/>
            <w:hideMark/>
          </w:tcPr>
          <w:p w14:paraId="2F502320" w14:textId="77777777" w:rsidR="00F8126E" w:rsidRPr="003F5BBD" w:rsidRDefault="00F8126E" w:rsidP="002C612F">
            <w:pPr>
              <w:ind w:left="0" w:right="-360"/>
              <w:rPr>
                <w:sz w:val="22"/>
                <w:szCs w:val="22"/>
              </w:rPr>
            </w:pPr>
          </w:p>
        </w:tc>
      </w:tr>
    </w:tbl>
    <w:p w14:paraId="2F502348" w14:textId="77777777" w:rsidR="00AD357E" w:rsidRDefault="00AD357E" w:rsidP="002C612F">
      <w:pPr>
        <w:ind w:left="0" w:right="-360"/>
      </w:pPr>
      <w:bookmarkStart w:id="3" w:name="RequestForOtherOptions"/>
    </w:p>
    <w:bookmarkEnd w:id="3"/>
    <w:p w14:paraId="2F502349" w14:textId="77777777" w:rsidR="0027111E" w:rsidRDefault="0027111E" w:rsidP="002C612F">
      <w:pPr>
        <w:ind w:left="0" w:right="-360"/>
        <w:sectPr w:rsidR="0027111E" w:rsidSect="00CC521E">
          <w:pgSz w:w="12240" w:h="15840"/>
          <w:pgMar w:top="1440" w:right="1440" w:bottom="1440" w:left="1440" w:header="720" w:footer="720" w:gutter="360"/>
          <w:cols w:space="720"/>
          <w:docGrid w:linePitch="360"/>
        </w:sectPr>
      </w:pPr>
    </w:p>
    <w:tbl>
      <w:tblPr>
        <w:tblW w:w="9070" w:type="dxa"/>
        <w:jc w:val="center"/>
        <w:tblLook w:val="04A0" w:firstRow="1" w:lastRow="0" w:firstColumn="1" w:lastColumn="0" w:noHBand="0" w:noVBand="1"/>
      </w:tblPr>
      <w:tblGrid>
        <w:gridCol w:w="9070"/>
      </w:tblGrid>
      <w:tr w:rsidR="0027111E" w:rsidRPr="00B15DF7" w14:paraId="2F50234D"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2F50234A" w14:textId="77777777" w:rsidR="0027111E" w:rsidRPr="00B15DF7" w:rsidRDefault="0027111E" w:rsidP="003861C1">
            <w:pPr>
              <w:ind w:left="0"/>
              <w:jc w:val="center"/>
            </w:pPr>
          </w:p>
          <w:p w14:paraId="2F50234C" w14:textId="0DB38139" w:rsidR="0027111E" w:rsidRPr="00F40122" w:rsidRDefault="0027111E" w:rsidP="00EC2A68">
            <w:pPr>
              <w:pStyle w:val="TOC1"/>
              <w:rPr>
                <w:rStyle w:val="Emphasis"/>
                <w:rFonts w:asciiTheme="majorHAnsi" w:hAnsiTheme="majorHAnsi"/>
                <w:b/>
                <w:bCs w:val="0"/>
                <w:vanish w:val="0"/>
                <w:color w:val="C45911" w:themeColor="accent2" w:themeShade="BF"/>
              </w:rPr>
            </w:pPr>
            <w:bookmarkStart w:id="4" w:name="_Toc522107423"/>
            <w:r w:rsidRPr="00B96F38">
              <w:rPr>
                <w:rStyle w:val="Heading1Char"/>
              </w:rPr>
              <w:t>Rules affected, authorities, supporting documents</w:t>
            </w:r>
            <w:bookmarkEnd w:id="4"/>
          </w:p>
        </w:tc>
      </w:tr>
    </w:tbl>
    <w:p w14:paraId="2F50234F" w14:textId="77777777" w:rsidR="00F40122" w:rsidRPr="00B15DF7" w:rsidRDefault="00F40122" w:rsidP="002C612F">
      <w:pPr>
        <w:ind w:left="0" w:right="-360"/>
      </w:pPr>
    </w:p>
    <w:p w14:paraId="2F502350" w14:textId="77777777" w:rsidR="0027111E" w:rsidRPr="005656D8" w:rsidRDefault="0027111E" w:rsidP="002C612F">
      <w:pPr>
        <w:pStyle w:val="Heading4"/>
        <w:ind w:right="-360"/>
      </w:pPr>
      <w:r w:rsidRPr="005656D8">
        <w:t>Lead division</w:t>
      </w:r>
    </w:p>
    <w:p w14:paraId="2F502351" w14:textId="7719322A" w:rsidR="0082074B" w:rsidRDefault="00E56A1F" w:rsidP="002C612F">
      <w:pPr>
        <w:tabs>
          <w:tab w:val="left" w:pos="4500"/>
        </w:tabs>
        <w:ind w:left="0" w:right="-360"/>
      </w:pPr>
      <w:r>
        <w:t>Air Quality Division</w:t>
      </w:r>
    </w:p>
    <w:p w14:paraId="1CA6789C" w14:textId="24BE16DE" w:rsidR="00E56A1F" w:rsidRDefault="00E56A1F" w:rsidP="002C612F">
      <w:pPr>
        <w:tabs>
          <w:tab w:val="left" w:pos="4500"/>
        </w:tabs>
        <w:ind w:left="0" w:right="-360"/>
      </w:pPr>
      <w:r>
        <w:t>Air Quality Planning Section</w:t>
      </w:r>
    </w:p>
    <w:p w14:paraId="2B80137F" w14:textId="77777777" w:rsidR="00E56A1F" w:rsidRPr="00891607" w:rsidRDefault="00E56A1F" w:rsidP="002C612F">
      <w:pPr>
        <w:tabs>
          <w:tab w:val="left" w:pos="4500"/>
        </w:tabs>
        <w:ind w:left="0" w:right="-360"/>
      </w:pPr>
    </w:p>
    <w:p w14:paraId="2F502352" w14:textId="77777777" w:rsidR="00D60BF9" w:rsidRPr="006807BF" w:rsidRDefault="00D60BF9" w:rsidP="002C612F">
      <w:pPr>
        <w:pStyle w:val="Heading4"/>
        <w:ind w:right="-360"/>
      </w:pPr>
      <w:r w:rsidRPr="006807BF">
        <w:t>Program or activity</w:t>
      </w:r>
    </w:p>
    <w:p w14:paraId="2F502353" w14:textId="514151BC" w:rsidR="00D60BF9" w:rsidRDefault="00E56A1F" w:rsidP="002C612F">
      <w:pPr>
        <w:tabs>
          <w:tab w:val="left" w:pos="4500"/>
        </w:tabs>
        <w:ind w:left="0" w:right="-360"/>
      </w:pPr>
      <w:r>
        <w:t>Oregon Clean Fuels Program</w:t>
      </w:r>
    </w:p>
    <w:p w14:paraId="51E98498" w14:textId="77777777" w:rsidR="00E56A1F" w:rsidRPr="00891607" w:rsidRDefault="00E56A1F" w:rsidP="002C612F">
      <w:pPr>
        <w:tabs>
          <w:tab w:val="left" w:pos="4500"/>
        </w:tabs>
        <w:ind w:left="0" w:right="-360"/>
      </w:pPr>
    </w:p>
    <w:p w14:paraId="2F502354" w14:textId="77777777" w:rsidR="00B34CF8" w:rsidRPr="006807BF" w:rsidRDefault="0027111E" w:rsidP="002C612F">
      <w:pPr>
        <w:pStyle w:val="Heading4"/>
        <w:ind w:right="-360"/>
      </w:pPr>
      <w:r w:rsidRPr="006807BF">
        <w:t>Chapter 340 action</w:t>
      </w:r>
    </w:p>
    <w:p w14:paraId="2F502356" w14:textId="77777777" w:rsidR="00DC0365" w:rsidRPr="00DC0365" w:rsidRDefault="00DC0365" w:rsidP="002C612F">
      <w:pPr>
        <w:ind w:left="0" w:right="-360"/>
        <w:rPr>
          <w:rFonts w:ascii="Arial" w:hAnsi="Arial" w:cs="Arial"/>
          <w:color w:val="C45911" w:themeColor="accent2" w:themeShade="BF"/>
          <w:sz w:val="28"/>
          <w:szCs w:val="28"/>
        </w:rPr>
      </w:pPr>
    </w:p>
    <w:p w14:paraId="2F502377" w14:textId="77777777" w:rsidR="0055529F" w:rsidRPr="00AB558B" w:rsidRDefault="0055529F" w:rsidP="002C612F">
      <w:pPr>
        <w:ind w:left="0" w:right="-360"/>
        <w:jc w:val="center"/>
        <w:rPr>
          <w:rFonts w:ascii="Arial" w:hAnsi="Arial" w:cs="Arial"/>
        </w:rPr>
      </w:pPr>
      <w:r w:rsidRPr="00AB558B">
        <w:rPr>
          <w:rFonts w:ascii="Arial" w:hAnsi="Arial" w:cs="Arial"/>
        </w:rPr>
        <w:t>Amend - OAR</w:t>
      </w:r>
    </w:p>
    <w:p w14:paraId="2F502379" w14:textId="77777777" w:rsidR="009826B5" w:rsidRDefault="009826B5" w:rsidP="002C612F">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E56A1F" w14:paraId="2F50237F" w14:textId="77777777" w:rsidTr="00270825">
        <w:tc>
          <w:tcPr>
            <w:tcW w:w="1728" w:type="dxa"/>
          </w:tcPr>
          <w:p w14:paraId="2F50237A" w14:textId="07A39A2B" w:rsidR="00E56A1F" w:rsidRPr="00AB558B" w:rsidRDefault="00E56A1F" w:rsidP="00270825">
            <w:pPr>
              <w:ind w:left="0" w:right="-360"/>
            </w:pPr>
            <w:r w:rsidRPr="00F24484">
              <w:t>340-235-0000</w:t>
            </w:r>
          </w:p>
        </w:tc>
        <w:tc>
          <w:tcPr>
            <w:tcW w:w="1728" w:type="dxa"/>
          </w:tcPr>
          <w:p w14:paraId="2F50237B" w14:textId="2A5E2350" w:rsidR="00E56A1F" w:rsidRPr="00AB558B" w:rsidRDefault="00E56A1F" w:rsidP="00270825">
            <w:pPr>
              <w:ind w:left="0" w:right="-360"/>
            </w:pPr>
            <w:r w:rsidRPr="00F24484">
              <w:t>340-235-0040</w:t>
            </w:r>
          </w:p>
        </w:tc>
        <w:tc>
          <w:tcPr>
            <w:tcW w:w="1728" w:type="dxa"/>
          </w:tcPr>
          <w:p w14:paraId="2F50237C" w14:textId="787D76AC" w:rsidR="00E56A1F" w:rsidRPr="00AB558B" w:rsidRDefault="00E56A1F" w:rsidP="00270825">
            <w:pPr>
              <w:ind w:left="0" w:right="-360"/>
            </w:pPr>
            <w:r w:rsidRPr="00F24484">
              <w:t>340-235-0060</w:t>
            </w:r>
          </w:p>
        </w:tc>
        <w:tc>
          <w:tcPr>
            <w:tcW w:w="1728" w:type="dxa"/>
          </w:tcPr>
          <w:p w14:paraId="2F50237D" w14:textId="003E90AF" w:rsidR="00E56A1F" w:rsidRPr="00AB558B" w:rsidRDefault="00E56A1F" w:rsidP="00270825">
            <w:pPr>
              <w:ind w:left="0" w:right="-360"/>
            </w:pPr>
            <w:r w:rsidRPr="00F24484">
              <w:t>340-235-0100</w:t>
            </w:r>
          </w:p>
        </w:tc>
        <w:tc>
          <w:tcPr>
            <w:tcW w:w="1728" w:type="dxa"/>
          </w:tcPr>
          <w:p w14:paraId="2F50237E" w14:textId="7B414823" w:rsidR="00E56A1F" w:rsidRPr="00AB558B" w:rsidRDefault="00E56A1F" w:rsidP="00270825">
            <w:pPr>
              <w:ind w:left="0" w:right="-360"/>
            </w:pPr>
            <w:r w:rsidRPr="00F24484">
              <w:t>340-235-0200</w:t>
            </w:r>
          </w:p>
        </w:tc>
      </w:tr>
      <w:tr w:rsidR="00E56A1F" w14:paraId="2F502385" w14:textId="77777777" w:rsidTr="00270825">
        <w:tc>
          <w:tcPr>
            <w:tcW w:w="1728" w:type="dxa"/>
          </w:tcPr>
          <w:p w14:paraId="2F502380" w14:textId="12795A42" w:rsidR="00E56A1F" w:rsidRPr="00AB558B" w:rsidRDefault="00E56A1F" w:rsidP="00270825">
            <w:pPr>
              <w:ind w:left="0" w:right="-360"/>
            </w:pPr>
            <w:r w:rsidRPr="00F24484">
              <w:t>340-235-0250</w:t>
            </w:r>
          </w:p>
        </w:tc>
        <w:tc>
          <w:tcPr>
            <w:tcW w:w="1728" w:type="dxa"/>
          </w:tcPr>
          <w:p w14:paraId="2F502381" w14:textId="54885B49" w:rsidR="00E56A1F" w:rsidRPr="00AB558B" w:rsidRDefault="00E56A1F" w:rsidP="00270825">
            <w:pPr>
              <w:ind w:left="0" w:right="-360"/>
            </w:pPr>
            <w:r w:rsidRPr="00F24484">
              <w:t>340-235-0310</w:t>
            </w:r>
          </w:p>
        </w:tc>
        <w:tc>
          <w:tcPr>
            <w:tcW w:w="1728" w:type="dxa"/>
          </w:tcPr>
          <w:p w14:paraId="2F502382" w14:textId="0E22DA09" w:rsidR="00E56A1F" w:rsidRPr="00AB558B" w:rsidRDefault="00E56A1F" w:rsidP="00270825">
            <w:pPr>
              <w:ind w:left="0" w:right="-360"/>
            </w:pPr>
            <w:r w:rsidRPr="00F24484">
              <w:t>340-235-0320</w:t>
            </w:r>
          </w:p>
        </w:tc>
        <w:tc>
          <w:tcPr>
            <w:tcW w:w="1728" w:type="dxa"/>
          </w:tcPr>
          <w:p w14:paraId="2F502383" w14:textId="6A134EED" w:rsidR="00E56A1F" w:rsidRPr="00AB558B" w:rsidRDefault="00E56A1F" w:rsidP="00270825">
            <w:pPr>
              <w:ind w:left="0" w:right="-360"/>
            </w:pPr>
            <w:r w:rsidRPr="00F24484">
              <w:t>340-235-0330</w:t>
            </w:r>
          </w:p>
        </w:tc>
        <w:tc>
          <w:tcPr>
            <w:tcW w:w="1728" w:type="dxa"/>
          </w:tcPr>
          <w:p w14:paraId="2F502384" w14:textId="01C7DB21" w:rsidR="00E56A1F" w:rsidRPr="00AB558B" w:rsidRDefault="00E56A1F" w:rsidP="00270825">
            <w:pPr>
              <w:ind w:left="0" w:right="-360"/>
            </w:pPr>
            <w:r w:rsidRPr="00F24484">
              <w:t>340-253-0400</w:t>
            </w:r>
          </w:p>
        </w:tc>
      </w:tr>
      <w:tr w:rsidR="00E56A1F" w14:paraId="2F50238B" w14:textId="77777777" w:rsidTr="00270825">
        <w:tc>
          <w:tcPr>
            <w:tcW w:w="1728" w:type="dxa"/>
          </w:tcPr>
          <w:p w14:paraId="2F502386" w14:textId="5113658A" w:rsidR="00E56A1F" w:rsidRPr="00AB558B" w:rsidRDefault="00E56A1F" w:rsidP="00270825">
            <w:pPr>
              <w:ind w:left="0" w:right="-360"/>
            </w:pPr>
            <w:r w:rsidRPr="00F24484">
              <w:t>340-253-0450</w:t>
            </w:r>
          </w:p>
        </w:tc>
        <w:tc>
          <w:tcPr>
            <w:tcW w:w="1728" w:type="dxa"/>
          </w:tcPr>
          <w:p w14:paraId="2F502387" w14:textId="2C86A09F" w:rsidR="00E56A1F" w:rsidRPr="00AB558B" w:rsidRDefault="00E56A1F" w:rsidP="00270825">
            <w:pPr>
              <w:ind w:left="0" w:right="-360"/>
            </w:pPr>
            <w:r w:rsidRPr="00F24484">
              <w:t>340-235-0470</w:t>
            </w:r>
          </w:p>
        </w:tc>
        <w:tc>
          <w:tcPr>
            <w:tcW w:w="1728" w:type="dxa"/>
          </w:tcPr>
          <w:p w14:paraId="2F502388" w14:textId="72858ECD" w:rsidR="00E56A1F" w:rsidRPr="00AB558B" w:rsidRDefault="00E56A1F" w:rsidP="00270825">
            <w:pPr>
              <w:tabs>
                <w:tab w:val="left" w:pos="390"/>
              </w:tabs>
              <w:ind w:left="0" w:right="-360"/>
            </w:pPr>
            <w:r w:rsidRPr="00F24484">
              <w:t>340-253-0500</w:t>
            </w:r>
          </w:p>
        </w:tc>
        <w:tc>
          <w:tcPr>
            <w:tcW w:w="1728" w:type="dxa"/>
          </w:tcPr>
          <w:p w14:paraId="2F502389" w14:textId="08C433B4" w:rsidR="00E56A1F" w:rsidRPr="00AB558B" w:rsidRDefault="00E56A1F" w:rsidP="00270825">
            <w:pPr>
              <w:ind w:left="0" w:right="-360"/>
            </w:pPr>
            <w:r w:rsidRPr="00F24484">
              <w:t>340-253-0600</w:t>
            </w:r>
          </w:p>
        </w:tc>
        <w:tc>
          <w:tcPr>
            <w:tcW w:w="1728" w:type="dxa"/>
          </w:tcPr>
          <w:p w14:paraId="2F50238A" w14:textId="6A004326" w:rsidR="00E56A1F" w:rsidRPr="00AB558B" w:rsidRDefault="00E56A1F" w:rsidP="00270825">
            <w:pPr>
              <w:ind w:left="0" w:right="-360"/>
            </w:pPr>
            <w:r w:rsidRPr="00F24484">
              <w:t>340-253-0620</w:t>
            </w:r>
          </w:p>
        </w:tc>
      </w:tr>
      <w:tr w:rsidR="00E56A1F" w14:paraId="2F502391" w14:textId="77777777" w:rsidTr="00270825">
        <w:tc>
          <w:tcPr>
            <w:tcW w:w="1728" w:type="dxa"/>
          </w:tcPr>
          <w:p w14:paraId="2F50238C" w14:textId="0DE610C7" w:rsidR="00E56A1F" w:rsidRPr="00AB558B" w:rsidRDefault="00E56A1F" w:rsidP="00270825">
            <w:pPr>
              <w:ind w:left="0" w:right="-360"/>
            </w:pPr>
            <w:r w:rsidRPr="00F24484">
              <w:t>340-253-0630</w:t>
            </w:r>
          </w:p>
        </w:tc>
        <w:tc>
          <w:tcPr>
            <w:tcW w:w="1728" w:type="dxa"/>
          </w:tcPr>
          <w:p w14:paraId="2F50238D" w14:textId="759F6961" w:rsidR="00E56A1F" w:rsidRPr="00AB558B" w:rsidRDefault="00E56A1F" w:rsidP="00270825">
            <w:pPr>
              <w:ind w:left="0" w:right="-360"/>
            </w:pPr>
            <w:r w:rsidRPr="00F24484">
              <w:t>340-253-0640</w:t>
            </w:r>
          </w:p>
        </w:tc>
        <w:tc>
          <w:tcPr>
            <w:tcW w:w="1728" w:type="dxa"/>
          </w:tcPr>
          <w:p w14:paraId="2F50238E" w14:textId="01194128" w:rsidR="00E56A1F" w:rsidRPr="00AB558B" w:rsidRDefault="00E56A1F" w:rsidP="00270825">
            <w:pPr>
              <w:ind w:left="0" w:right="-360"/>
            </w:pPr>
            <w:r w:rsidRPr="00F24484">
              <w:t>340-253-0650</w:t>
            </w:r>
          </w:p>
        </w:tc>
        <w:tc>
          <w:tcPr>
            <w:tcW w:w="1728" w:type="dxa"/>
          </w:tcPr>
          <w:p w14:paraId="2F50238F" w14:textId="1D66646E" w:rsidR="00E56A1F" w:rsidRPr="00AB558B" w:rsidRDefault="00E56A1F" w:rsidP="00270825">
            <w:pPr>
              <w:ind w:left="0" w:right="-360"/>
            </w:pPr>
            <w:r w:rsidRPr="00F24484">
              <w:t>340-253-0670</w:t>
            </w:r>
          </w:p>
        </w:tc>
        <w:tc>
          <w:tcPr>
            <w:tcW w:w="1728" w:type="dxa"/>
          </w:tcPr>
          <w:p w14:paraId="2F502390" w14:textId="4A6500BE" w:rsidR="00E56A1F" w:rsidRPr="00AB558B" w:rsidRDefault="00E56A1F" w:rsidP="00270825">
            <w:pPr>
              <w:ind w:left="0" w:right="-360"/>
            </w:pPr>
            <w:r w:rsidRPr="00F24484">
              <w:t>340-253-1000</w:t>
            </w:r>
          </w:p>
        </w:tc>
      </w:tr>
      <w:tr w:rsidR="00E56A1F" w14:paraId="030EE296" w14:textId="77777777" w:rsidTr="00270825">
        <w:tc>
          <w:tcPr>
            <w:tcW w:w="1728" w:type="dxa"/>
          </w:tcPr>
          <w:p w14:paraId="4FB4D475" w14:textId="01B9AE9E" w:rsidR="00E56A1F" w:rsidRPr="00F24484" w:rsidRDefault="00E56A1F" w:rsidP="00270825">
            <w:pPr>
              <w:ind w:left="0" w:right="-360"/>
            </w:pPr>
            <w:r w:rsidRPr="00F24484">
              <w:t>340-253-1005</w:t>
            </w:r>
          </w:p>
        </w:tc>
        <w:tc>
          <w:tcPr>
            <w:tcW w:w="1728" w:type="dxa"/>
          </w:tcPr>
          <w:p w14:paraId="67475E06" w14:textId="7E5E33E3" w:rsidR="00E56A1F" w:rsidRPr="00F24484" w:rsidRDefault="00E56A1F" w:rsidP="00270825">
            <w:pPr>
              <w:ind w:left="0" w:right="-360"/>
            </w:pPr>
            <w:r w:rsidRPr="00F24484">
              <w:t>340-253-1010</w:t>
            </w:r>
          </w:p>
        </w:tc>
        <w:tc>
          <w:tcPr>
            <w:tcW w:w="1728" w:type="dxa"/>
          </w:tcPr>
          <w:p w14:paraId="37EEFDFF" w14:textId="7EF9763C" w:rsidR="00E56A1F" w:rsidRPr="00F24484" w:rsidRDefault="00E56A1F" w:rsidP="00270825">
            <w:pPr>
              <w:ind w:left="0" w:right="-360"/>
            </w:pPr>
            <w:r w:rsidRPr="00F24484">
              <w:t>340-253-1020</w:t>
            </w:r>
          </w:p>
        </w:tc>
        <w:tc>
          <w:tcPr>
            <w:tcW w:w="1728" w:type="dxa"/>
          </w:tcPr>
          <w:p w14:paraId="6692F61A" w14:textId="4339D5DB" w:rsidR="00E56A1F" w:rsidRPr="00F24484" w:rsidRDefault="00E56A1F" w:rsidP="00270825">
            <w:pPr>
              <w:ind w:left="0" w:right="-360"/>
            </w:pPr>
            <w:r w:rsidRPr="00F24484">
              <w:t>340-253-1030</w:t>
            </w:r>
          </w:p>
        </w:tc>
        <w:tc>
          <w:tcPr>
            <w:tcW w:w="1728" w:type="dxa"/>
          </w:tcPr>
          <w:p w14:paraId="2EF834D0" w14:textId="7FEBFC2B" w:rsidR="00E56A1F" w:rsidRPr="00F24484" w:rsidRDefault="00E56A1F" w:rsidP="00270825">
            <w:pPr>
              <w:ind w:left="0" w:right="-360"/>
            </w:pPr>
            <w:r w:rsidRPr="00F24484">
              <w:t>340-253-1040</w:t>
            </w:r>
          </w:p>
        </w:tc>
      </w:tr>
      <w:tr w:rsidR="00270825" w14:paraId="23DEB3B4" w14:textId="77777777" w:rsidTr="00270825">
        <w:tc>
          <w:tcPr>
            <w:tcW w:w="1728" w:type="dxa"/>
          </w:tcPr>
          <w:p w14:paraId="6D1751DB" w14:textId="45E38535" w:rsidR="00270825" w:rsidRPr="00F24484" w:rsidRDefault="00270825" w:rsidP="00270825">
            <w:pPr>
              <w:ind w:left="0" w:right="-360"/>
            </w:pPr>
            <w:r w:rsidRPr="00F24484">
              <w:t>340-253-2000</w:t>
            </w:r>
          </w:p>
        </w:tc>
        <w:tc>
          <w:tcPr>
            <w:tcW w:w="1728" w:type="dxa"/>
          </w:tcPr>
          <w:p w14:paraId="32AC35B3" w14:textId="447A21F0" w:rsidR="00270825" w:rsidRPr="00F24484" w:rsidRDefault="00270825" w:rsidP="00270825">
            <w:pPr>
              <w:ind w:left="0" w:right="-360"/>
            </w:pPr>
            <w:r w:rsidRPr="00F24484">
              <w:t>340-253-2100</w:t>
            </w:r>
          </w:p>
        </w:tc>
        <w:tc>
          <w:tcPr>
            <w:tcW w:w="1728" w:type="dxa"/>
          </w:tcPr>
          <w:p w14:paraId="1394D73E" w14:textId="660B67C4" w:rsidR="00270825" w:rsidRPr="00F24484" w:rsidRDefault="00270825" w:rsidP="00270825">
            <w:pPr>
              <w:ind w:left="0" w:right="-360"/>
            </w:pPr>
            <w:r w:rsidRPr="00F24484">
              <w:t>340-253-2200</w:t>
            </w:r>
          </w:p>
        </w:tc>
        <w:tc>
          <w:tcPr>
            <w:tcW w:w="1728" w:type="dxa"/>
          </w:tcPr>
          <w:p w14:paraId="50121660" w14:textId="147AF46A" w:rsidR="00270825" w:rsidRPr="00F24484" w:rsidRDefault="00270825" w:rsidP="00270825">
            <w:pPr>
              <w:ind w:left="0" w:right="-360"/>
            </w:pPr>
            <w:r w:rsidRPr="00F24484">
              <w:t>340-253-8010</w:t>
            </w:r>
          </w:p>
        </w:tc>
        <w:tc>
          <w:tcPr>
            <w:tcW w:w="1728" w:type="dxa"/>
          </w:tcPr>
          <w:p w14:paraId="60F14B32" w14:textId="4BFF39FC" w:rsidR="00270825" w:rsidRPr="00F24484" w:rsidRDefault="00270825" w:rsidP="00270825">
            <w:pPr>
              <w:ind w:left="0" w:right="-360"/>
            </w:pPr>
            <w:r w:rsidRPr="00F24484">
              <w:t>340-253-8020</w:t>
            </w:r>
          </w:p>
        </w:tc>
      </w:tr>
      <w:tr w:rsidR="00270825" w14:paraId="59177C64" w14:textId="77777777" w:rsidTr="00270825">
        <w:tc>
          <w:tcPr>
            <w:tcW w:w="1728" w:type="dxa"/>
          </w:tcPr>
          <w:p w14:paraId="31A0C181" w14:textId="0771CC68" w:rsidR="00270825" w:rsidRPr="00F24484" w:rsidRDefault="00270825" w:rsidP="00270825">
            <w:pPr>
              <w:ind w:left="0" w:right="-360"/>
            </w:pPr>
            <w:r w:rsidRPr="00F24484">
              <w:t>340-253-8030</w:t>
            </w:r>
          </w:p>
        </w:tc>
        <w:tc>
          <w:tcPr>
            <w:tcW w:w="1728" w:type="dxa"/>
          </w:tcPr>
          <w:p w14:paraId="7F2C45C8" w14:textId="3CC9C845" w:rsidR="00270825" w:rsidRPr="00F24484" w:rsidRDefault="00270825" w:rsidP="00270825">
            <w:pPr>
              <w:ind w:left="0" w:right="-360"/>
            </w:pPr>
            <w:r w:rsidRPr="00F24484">
              <w:t>340-253-8040</w:t>
            </w:r>
          </w:p>
        </w:tc>
        <w:tc>
          <w:tcPr>
            <w:tcW w:w="1728" w:type="dxa"/>
          </w:tcPr>
          <w:p w14:paraId="607DF447" w14:textId="2414DD1A" w:rsidR="00270825" w:rsidRPr="00F24484" w:rsidRDefault="00270825" w:rsidP="00270825">
            <w:pPr>
              <w:ind w:left="0" w:right="-360"/>
            </w:pPr>
            <w:r w:rsidRPr="00F24484">
              <w:t>340-253-8050</w:t>
            </w:r>
          </w:p>
        </w:tc>
        <w:tc>
          <w:tcPr>
            <w:tcW w:w="1728" w:type="dxa"/>
          </w:tcPr>
          <w:p w14:paraId="5B1133EA" w14:textId="4F7306B6" w:rsidR="00270825" w:rsidRPr="00F24484" w:rsidRDefault="00270825" w:rsidP="00270825">
            <w:pPr>
              <w:ind w:left="0" w:right="-360"/>
            </w:pPr>
            <w:r w:rsidRPr="00F24484">
              <w:t>340-253-8060</w:t>
            </w:r>
          </w:p>
        </w:tc>
        <w:tc>
          <w:tcPr>
            <w:tcW w:w="1728" w:type="dxa"/>
          </w:tcPr>
          <w:p w14:paraId="3E0175F8" w14:textId="0AD54CE9" w:rsidR="00270825" w:rsidRPr="00F24484" w:rsidRDefault="00270825" w:rsidP="00270825">
            <w:pPr>
              <w:ind w:left="0" w:right="-360"/>
            </w:pPr>
            <w:r w:rsidRPr="00F24484">
              <w:t>340-253-8080</w:t>
            </w:r>
          </w:p>
        </w:tc>
      </w:tr>
      <w:tr w:rsidR="00270825" w14:paraId="335AF22E" w14:textId="77777777" w:rsidTr="00270825">
        <w:tc>
          <w:tcPr>
            <w:tcW w:w="1728" w:type="dxa"/>
          </w:tcPr>
          <w:p w14:paraId="750BE53C" w14:textId="15764C0D" w:rsidR="00270825" w:rsidRPr="00F24484" w:rsidRDefault="00270825" w:rsidP="00270825">
            <w:pPr>
              <w:ind w:left="0" w:right="-360"/>
            </w:pPr>
            <w:r w:rsidRPr="00F24484">
              <w:t>340-253-8090</w:t>
            </w:r>
          </w:p>
        </w:tc>
        <w:tc>
          <w:tcPr>
            <w:tcW w:w="1728" w:type="dxa"/>
          </w:tcPr>
          <w:p w14:paraId="646637FD" w14:textId="765055FA" w:rsidR="00270825" w:rsidRPr="00F24484" w:rsidRDefault="00270825" w:rsidP="00270825">
            <w:pPr>
              <w:ind w:left="0" w:right="-360"/>
            </w:pPr>
            <w:r w:rsidRPr="00F24484">
              <w:t>340-253-8100</w:t>
            </w:r>
          </w:p>
        </w:tc>
        <w:tc>
          <w:tcPr>
            <w:tcW w:w="1728" w:type="dxa"/>
          </w:tcPr>
          <w:p w14:paraId="407ED53A" w14:textId="77777777" w:rsidR="00270825" w:rsidRPr="00F24484" w:rsidRDefault="00270825" w:rsidP="00270825">
            <w:pPr>
              <w:ind w:left="0" w:right="-360"/>
            </w:pPr>
          </w:p>
        </w:tc>
        <w:tc>
          <w:tcPr>
            <w:tcW w:w="1728" w:type="dxa"/>
          </w:tcPr>
          <w:p w14:paraId="5CC6F69F" w14:textId="77777777" w:rsidR="00270825" w:rsidRPr="00F24484" w:rsidRDefault="00270825" w:rsidP="00270825">
            <w:pPr>
              <w:ind w:left="0" w:right="-360"/>
            </w:pPr>
          </w:p>
        </w:tc>
        <w:tc>
          <w:tcPr>
            <w:tcW w:w="1728" w:type="dxa"/>
          </w:tcPr>
          <w:p w14:paraId="57F028D2" w14:textId="77777777" w:rsidR="00270825" w:rsidRPr="00F24484" w:rsidRDefault="00270825" w:rsidP="00270825">
            <w:pPr>
              <w:ind w:left="0" w:right="-360"/>
            </w:pPr>
          </w:p>
        </w:tc>
      </w:tr>
    </w:tbl>
    <w:p w14:paraId="2F502392" w14:textId="77777777" w:rsidR="0055529F" w:rsidRPr="0055529F" w:rsidRDefault="0055529F" w:rsidP="002C612F">
      <w:pPr>
        <w:ind w:left="0" w:right="-360"/>
        <w:jc w:val="center"/>
        <w:rPr>
          <w:rFonts w:asciiTheme="majorHAnsi" w:hAnsiTheme="majorHAnsi" w:cstheme="majorHAnsi"/>
        </w:rPr>
      </w:pPr>
    </w:p>
    <w:p w14:paraId="2F5023DB" w14:textId="0B7EC201" w:rsidR="0027111E" w:rsidRPr="00AB558B" w:rsidRDefault="0027111E" w:rsidP="002C612F">
      <w:pPr>
        <w:pStyle w:val="Heading3"/>
        <w:ind w:right="-360"/>
        <w:rPr>
          <w:sz w:val="24"/>
        </w:rPr>
      </w:pPr>
      <w:r w:rsidRPr="00AB558B">
        <w:rPr>
          <w:sz w:val="24"/>
        </w:rPr>
        <w:t xml:space="preserve">Statutory authority </w:t>
      </w:r>
      <w:r w:rsidR="0055529F" w:rsidRPr="00AB558B">
        <w:rPr>
          <w:sz w:val="24"/>
        </w:rPr>
        <w:t>-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2337"/>
        <w:gridCol w:w="1259"/>
        <w:gridCol w:w="1798"/>
        <w:gridCol w:w="1798"/>
      </w:tblGrid>
      <w:tr w:rsidR="0055529F" w14:paraId="2F5023E1" w14:textId="77777777" w:rsidTr="00270825">
        <w:tc>
          <w:tcPr>
            <w:tcW w:w="1798" w:type="dxa"/>
          </w:tcPr>
          <w:p w14:paraId="2F5023DC" w14:textId="77777777" w:rsidR="0055529F" w:rsidRPr="0047393E" w:rsidRDefault="0055529F" w:rsidP="002C612F">
            <w:pPr>
              <w:ind w:left="0" w:right="-360"/>
              <w:rPr>
                <w:szCs w:val="22"/>
              </w:rPr>
            </w:pPr>
            <w:r w:rsidRPr="0047393E">
              <w:rPr>
                <w:szCs w:val="22"/>
              </w:rPr>
              <w:t>468.020</w:t>
            </w:r>
          </w:p>
        </w:tc>
        <w:tc>
          <w:tcPr>
            <w:tcW w:w="2337" w:type="dxa"/>
          </w:tcPr>
          <w:p w14:paraId="2F5023DD" w14:textId="7E63AB9F" w:rsidR="0055529F" w:rsidRPr="0047393E" w:rsidRDefault="00270825" w:rsidP="002C612F">
            <w:pPr>
              <w:ind w:left="0" w:right="-360"/>
              <w:rPr>
                <w:szCs w:val="22"/>
              </w:rPr>
            </w:pPr>
            <w:r>
              <w:rPr>
                <w:szCs w:val="22"/>
              </w:rPr>
              <w:t>468.2</w:t>
            </w:r>
            <w:r w:rsidR="0055529F" w:rsidRPr="0047393E">
              <w:rPr>
                <w:szCs w:val="22"/>
              </w:rPr>
              <w:t>65</w:t>
            </w:r>
            <w:r>
              <w:rPr>
                <w:szCs w:val="22"/>
              </w:rPr>
              <w:t xml:space="preserve"> through 277</w:t>
            </w:r>
          </w:p>
        </w:tc>
        <w:tc>
          <w:tcPr>
            <w:tcW w:w="1259" w:type="dxa"/>
          </w:tcPr>
          <w:p w14:paraId="2F5023DE" w14:textId="77777777" w:rsidR="0055529F" w:rsidRPr="0047393E" w:rsidRDefault="0055529F" w:rsidP="002C612F">
            <w:pPr>
              <w:ind w:left="0" w:right="-360"/>
              <w:rPr>
                <w:szCs w:val="22"/>
              </w:rPr>
            </w:pPr>
          </w:p>
        </w:tc>
        <w:tc>
          <w:tcPr>
            <w:tcW w:w="1798" w:type="dxa"/>
          </w:tcPr>
          <w:p w14:paraId="2F5023DF" w14:textId="77777777" w:rsidR="0055529F" w:rsidRPr="0047393E" w:rsidRDefault="0055529F" w:rsidP="002C612F">
            <w:pPr>
              <w:ind w:left="0" w:right="-360"/>
              <w:rPr>
                <w:szCs w:val="22"/>
              </w:rPr>
            </w:pPr>
          </w:p>
        </w:tc>
        <w:tc>
          <w:tcPr>
            <w:tcW w:w="1798" w:type="dxa"/>
          </w:tcPr>
          <w:p w14:paraId="2F5023E0" w14:textId="77777777" w:rsidR="0055529F" w:rsidRPr="0047393E" w:rsidRDefault="0055529F" w:rsidP="002C612F">
            <w:pPr>
              <w:ind w:left="0" w:right="-360"/>
              <w:rPr>
                <w:szCs w:val="22"/>
              </w:rPr>
            </w:pPr>
          </w:p>
        </w:tc>
      </w:tr>
    </w:tbl>
    <w:p w14:paraId="2F5023E8" w14:textId="77777777" w:rsidR="0055529F" w:rsidRPr="0055529F" w:rsidRDefault="0055529F" w:rsidP="002C612F">
      <w:pPr>
        <w:ind w:left="0" w:right="-360"/>
      </w:pPr>
    </w:p>
    <w:p w14:paraId="2F5023EB"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2337"/>
        <w:gridCol w:w="1259"/>
        <w:gridCol w:w="1798"/>
        <w:gridCol w:w="1798"/>
      </w:tblGrid>
      <w:tr w:rsidR="00270825" w14:paraId="2F5023F1" w14:textId="77777777" w:rsidTr="00270825">
        <w:tc>
          <w:tcPr>
            <w:tcW w:w="1798" w:type="dxa"/>
          </w:tcPr>
          <w:p w14:paraId="2F5023EC" w14:textId="2A7092E7" w:rsidR="00270825" w:rsidRPr="0047393E" w:rsidRDefault="00270825" w:rsidP="00270825">
            <w:pPr>
              <w:ind w:left="0" w:right="-360"/>
              <w:rPr>
                <w:szCs w:val="22"/>
              </w:rPr>
            </w:pPr>
            <w:r w:rsidRPr="0047393E">
              <w:rPr>
                <w:szCs w:val="22"/>
              </w:rPr>
              <w:t>468.020</w:t>
            </w:r>
          </w:p>
        </w:tc>
        <w:tc>
          <w:tcPr>
            <w:tcW w:w="2337" w:type="dxa"/>
          </w:tcPr>
          <w:p w14:paraId="2F5023ED" w14:textId="3BC0825B" w:rsidR="00270825" w:rsidRPr="0047393E" w:rsidRDefault="00270825" w:rsidP="00270825">
            <w:pPr>
              <w:ind w:left="0" w:right="-360"/>
              <w:rPr>
                <w:szCs w:val="22"/>
              </w:rPr>
            </w:pPr>
            <w:r>
              <w:rPr>
                <w:szCs w:val="22"/>
              </w:rPr>
              <w:t>468.2</w:t>
            </w:r>
            <w:r w:rsidRPr="0047393E">
              <w:rPr>
                <w:szCs w:val="22"/>
              </w:rPr>
              <w:t>65</w:t>
            </w:r>
            <w:r>
              <w:rPr>
                <w:szCs w:val="22"/>
              </w:rPr>
              <w:t xml:space="preserve"> through 277</w:t>
            </w:r>
          </w:p>
        </w:tc>
        <w:tc>
          <w:tcPr>
            <w:tcW w:w="1259" w:type="dxa"/>
          </w:tcPr>
          <w:p w14:paraId="2F5023EE" w14:textId="77777777" w:rsidR="00270825" w:rsidRPr="0047393E" w:rsidRDefault="00270825" w:rsidP="00270825">
            <w:pPr>
              <w:ind w:left="0" w:right="-360"/>
              <w:rPr>
                <w:szCs w:val="22"/>
              </w:rPr>
            </w:pPr>
          </w:p>
        </w:tc>
        <w:tc>
          <w:tcPr>
            <w:tcW w:w="1798" w:type="dxa"/>
          </w:tcPr>
          <w:p w14:paraId="2F5023EF" w14:textId="77777777" w:rsidR="00270825" w:rsidRPr="0047393E" w:rsidRDefault="00270825" w:rsidP="00270825">
            <w:pPr>
              <w:ind w:left="0" w:right="-360"/>
              <w:rPr>
                <w:szCs w:val="22"/>
              </w:rPr>
            </w:pPr>
          </w:p>
        </w:tc>
        <w:tc>
          <w:tcPr>
            <w:tcW w:w="1798" w:type="dxa"/>
          </w:tcPr>
          <w:p w14:paraId="2F5023F0" w14:textId="77777777" w:rsidR="00270825" w:rsidRPr="0047393E" w:rsidRDefault="00270825" w:rsidP="00270825">
            <w:pPr>
              <w:ind w:left="0" w:right="-360"/>
              <w:rPr>
                <w:szCs w:val="22"/>
              </w:rPr>
            </w:pPr>
          </w:p>
        </w:tc>
      </w:tr>
    </w:tbl>
    <w:p w14:paraId="2F5023F9" w14:textId="77777777" w:rsidR="0055529F" w:rsidRPr="00AB558B" w:rsidRDefault="0055529F" w:rsidP="002C612F">
      <w:pPr>
        <w:ind w:left="0" w:right="-360"/>
      </w:pPr>
    </w:p>
    <w:p w14:paraId="2F5023FA" w14:textId="77777777" w:rsidR="000D2401" w:rsidRDefault="00A1632A" w:rsidP="002C612F">
      <w:pPr>
        <w:pStyle w:val="Heading3"/>
        <w:ind w:right="-360"/>
      </w:pPr>
      <w:r w:rsidRPr="00AB558B">
        <w:rPr>
          <w:sz w:val="24"/>
        </w:rPr>
        <w:t>Legislation</w:t>
      </w:r>
      <w:r w:rsidRPr="00EA7F6B">
        <w:t xml:space="preserve"> </w:t>
      </w:r>
    </w:p>
    <w:p w14:paraId="2F5023FB" w14:textId="54F01C7D" w:rsidR="00891607" w:rsidRPr="00270825" w:rsidRDefault="00270825" w:rsidP="002C612F">
      <w:pPr>
        <w:pStyle w:val="Heading2"/>
        <w:ind w:left="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2F5023FE" w14:textId="77777777" w:rsidR="00231FB8" w:rsidRPr="00231FB8" w:rsidRDefault="00231FB8" w:rsidP="002C612F">
      <w:pPr>
        <w:ind w:left="0" w:right="-360"/>
      </w:pPr>
    </w:p>
    <w:p w14:paraId="2F5023FF" w14:textId="190F0C2C" w:rsidR="0027111E" w:rsidRPr="005656D8" w:rsidRDefault="0027111E" w:rsidP="002C612F">
      <w:pPr>
        <w:pStyle w:val="Heading3"/>
        <w:ind w:right="-360"/>
        <w:rPr>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2F502400" w14:textId="77777777" w:rsidR="006D7F78" w:rsidRDefault="006D7F78" w:rsidP="002C612F">
      <w:pPr>
        <w:ind w:left="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2F502405" w14:textId="77777777" w:rsidTr="00E60CBA">
        <w:trPr>
          <w:trHeight w:val="296"/>
          <w:jc w:val="center"/>
        </w:trPr>
        <w:tc>
          <w:tcPr>
            <w:tcW w:w="4362" w:type="dxa"/>
            <w:shd w:val="clear" w:color="auto" w:fill="C5E0B3" w:themeFill="accent6" w:themeFillTint="66"/>
          </w:tcPr>
          <w:p w14:paraId="2F502403"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2F502404"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2F50240A" w14:textId="77777777" w:rsidTr="0047393E">
        <w:trPr>
          <w:trHeight w:val="748"/>
          <w:jc w:val="center"/>
        </w:trPr>
        <w:tc>
          <w:tcPr>
            <w:tcW w:w="4362" w:type="dxa"/>
          </w:tcPr>
          <w:p w14:paraId="2F502407" w14:textId="0173123A" w:rsidR="00891607" w:rsidRPr="00F40122" w:rsidRDefault="00270825" w:rsidP="00270825">
            <w:pPr>
              <w:ind w:left="0" w:right="120"/>
              <w:rPr>
                <w:sz w:val="22"/>
                <w:szCs w:val="22"/>
              </w:rPr>
            </w:pPr>
            <w:r w:rsidRPr="00270825">
              <w:rPr>
                <w:sz w:val="22"/>
                <w:szCs w:val="22"/>
              </w:rPr>
              <w:t>CFP 2018 Rulemaking materials, February – July 2018</w:t>
            </w:r>
          </w:p>
        </w:tc>
        <w:tc>
          <w:tcPr>
            <w:tcW w:w="4442" w:type="dxa"/>
          </w:tcPr>
          <w:p w14:paraId="2F502409" w14:textId="2834B714" w:rsidR="00891607" w:rsidRPr="00F40122" w:rsidRDefault="00EC2A68" w:rsidP="002C612F">
            <w:pPr>
              <w:ind w:left="0" w:right="-360"/>
              <w:rPr>
                <w:sz w:val="22"/>
                <w:szCs w:val="22"/>
              </w:rPr>
            </w:pPr>
            <w:hyperlink r:id="rId23" w:history="1">
              <w:r w:rsidR="00270825" w:rsidRPr="009F74AC">
                <w:rPr>
                  <w:rStyle w:val="Hyperlink"/>
                  <w:sz w:val="22"/>
                  <w:szCs w:val="22"/>
                </w:rPr>
                <w:t>https://www.oregon.gov/deq/Regulations/rulemaking/Pages/rCFP2018.aspx</w:t>
              </w:r>
            </w:hyperlink>
            <w:r w:rsidR="00270825">
              <w:rPr>
                <w:color w:val="C45911" w:themeColor="accent2" w:themeShade="BF"/>
                <w:sz w:val="22"/>
                <w:szCs w:val="22"/>
              </w:rPr>
              <w:t xml:space="preserve"> </w:t>
            </w:r>
          </w:p>
        </w:tc>
      </w:tr>
    </w:tbl>
    <w:p w14:paraId="2F502414" w14:textId="77777777" w:rsidR="0027111E" w:rsidRPr="000D07CA" w:rsidRDefault="0027111E" w:rsidP="002C612F">
      <w:pPr>
        <w:ind w:left="0" w:right="-360"/>
      </w:pPr>
    </w:p>
    <w:p w14:paraId="2F502415"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2F502419" w14:textId="77777777" w:rsidTr="00A4572F">
        <w:trPr>
          <w:trHeight w:val="726"/>
          <w:jc w:val="center"/>
        </w:trPr>
        <w:tc>
          <w:tcPr>
            <w:tcW w:w="9119" w:type="dxa"/>
            <w:shd w:val="clear" w:color="000000" w:fill="D5DCE4" w:themeFill="text2" w:themeFillTint="33"/>
            <w:noWrap/>
            <w:vAlign w:val="bottom"/>
            <w:hideMark/>
          </w:tcPr>
          <w:p w14:paraId="2F502418" w14:textId="7E898FCC" w:rsidR="0038719F" w:rsidRPr="0038719F" w:rsidRDefault="006D7243" w:rsidP="00270825">
            <w:pPr>
              <w:pStyle w:val="TOC1"/>
              <w:rPr>
                <w:rFonts w:cs="Arial"/>
                <w:color w:val="C45911" w:themeColor="accent2" w:themeShade="BF"/>
                <w:sz w:val="28"/>
                <w:szCs w:val="28"/>
              </w:rPr>
            </w:pPr>
            <w:bookmarkStart w:id="6" w:name="_Toc522107424"/>
            <w:r w:rsidRPr="00B96F38">
              <w:rPr>
                <w:rStyle w:val="Heading1Char"/>
              </w:rPr>
              <w:lastRenderedPageBreak/>
              <w:t>Fee Analysis</w:t>
            </w:r>
            <w:bookmarkEnd w:id="6"/>
          </w:p>
        </w:tc>
      </w:tr>
    </w:tbl>
    <w:p w14:paraId="2F50241A" w14:textId="77777777" w:rsidR="0027111E" w:rsidRPr="00AA26D5" w:rsidRDefault="0027111E" w:rsidP="00501ABB">
      <w:pPr>
        <w:ind w:left="0"/>
      </w:pPr>
    </w:p>
    <w:p w14:paraId="2F50241D" w14:textId="77777777" w:rsidR="00393E3C" w:rsidRDefault="00393E3C" w:rsidP="002C612F">
      <w:pPr>
        <w:ind w:left="0" w:right="-432"/>
      </w:pPr>
      <w:bookmarkStart w:id="7" w:name="RANGE!A226:B243"/>
      <w:bookmarkEnd w:id="7"/>
      <w:r>
        <w:t>This rulemaking does not involve fees.</w:t>
      </w:r>
    </w:p>
    <w:p w14:paraId="2F50241E" w14:textId="77777777" w:rsidR="00393E3C" w:rsidRDefault="00393E3C" w:rsidP="002C612F">
      <w:pPr>
        <w:ind w:left="0" w:right="-432"/>
      </w:pPr>
    </w:p>
    <w:p w14:paraId="594FAA49" w14:textId="77777777" w:rsidR="00270825" w:rsidRDefault="00270825">
      <w:r>
        <w:br w:type="page"/>
      </w:r>
    </w:p>
    <w:tbl>
      <w:tblPr>
        <w:tblW w:w="9146" w:type="dxa"/>
        <w:jc w:val="center"/>
        <w:tblLook w:val="04A0" w:firstRow="1" w:lastRow="0" w:firstColumn="1" w:lastColumn="0" w:noHBand="0" w:noVBand="1"/>
      </w:tblPr>
      <w:tblGrid>
        <w:gridCol w:w="9146"/>
      </w:tblGrid>
      <w:tr w:rsidR="00AD7DB9" w:rsidRPr="00B15DF7" w14:paraId="2F5024AE"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2F5024AD" w14:textId="5A43C36E" w:rsidR="0038719F" w:rsidRPr="00476CE9" w:rsidRDefault="00AD7DB9" w:rsidP="00270825">
            <w:pPr>
              <w:pStyle w:val="TOC1"/>
              <w:rPr>
                <w:rFonts w:cs="Arial"/>
                <w:color w:val="C45911" w:themeColor="accent2" w:themeShade="BF"/>
              </w:rPr>
            </w:pPr>
            <w:bookmarkStart w:id="8" w:name="_Toc522107425"/>
            <w:r w:rsidRPr="00B96F38">
              <w:rPr>
                <w:rStyle w:val="Heading1Char"/>
              </w:rPr>
              <w:lastRenderedPageBreak/>
              <w:t>Statement of fiscal and economic impact</w:t>
            </w:r>
            <w:bookmarkEnd w:id="8"/>
          </w:p>
        </w:tc>
      </w:tr>
    </w:tbl>
    <w:p w14:paraId="2F5024AF" w14:textId="77777777" w:rsidR="00AD7DB9" w:rsidRDefault="00AD7DB9" w:rsidP="00501ABB">
      <w:pPr>
        <w:ind w:left="0"/>
      </w:pPr>
    </w:p>
    <w:p w14:paraId="410B3DF5" w14:textId="77777777" w:rsidR="00270825" w:rsidRPr="009C35D1" w:rsidRDefault="00270825" w:rsidP="00270825">
      <w:pPr>
        <w:ind w:left="0" w:right="288"/>
      </w:pPr>
      <w:r w:rsidRPr="009C35D1">
        <w:t xml:space="preserve">The Oregon Clean </w:t>
      </w:r>
      <w:r w:rsidRPr="00EE6BC6">
        <w:t>Fuels</w:t>
      </w:r>
      <w:r w:rsidRPr="009C35D1">
        <w:t xml:space="preserve"> Program is a technology-neutral, market-based regulatory approach to reduce carbon pollution from transportation fuels</w:t>
      </w:r>
      <w:r>
        <w:t xml:space="preserve"> and promote the commercialization of innovative low-carbon alternative and conventional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allows for</w:t>
      </w:r>
      <w:r w:rsidRPr="009C35D1">
        <w:t xml:space="preserve"> many strategies</w:t>
      </w:r>
      <w:r>
        <w:t xml:space="preserve"> to be employed</w:t>
      </w:r>
      <w:r w:rsidRPr="009C35D1">
        <w:t xml:space="preserve"> for meeting the clean </w:t>
      </w:r>
      <w:r w:rsidRPr="00EE6BC6">
        <w:t>fuel</w:t>
      </w:r>
      <w:r w:rsidRPr="009C35D1">
        <w:t xml:space="preserve"> standards by </w:t>
      </w:r>
      <w:r>
        <w:t>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6754B6FE" w14:textId="77777777" w:rsidR="00270825" w:rsidRPr="009C35D1" w:rsidRDefault="00270825" w:rsidP="00270825">
      <w:pPr>
        <w:ind w:left="0" w:right="288"/>
      </w:pPr>
    </w:p>
    <w:p w14:paraId="3EB3D36D" w14:textId="77777777" w:rsidR="00EC2A68" w:rsidRPr="00352DAE" w:rsidRDefault="00EC2A68" w:rsidP="00EC2A68">
      <w:pPr>
        <w:ind w:left="0"/>
      </w:pPr>
      <w:r w:rsidRPr="005337D4">
        <w:t xml:space="preserve">The scope of this fiscal and economic impact statement is limited to the impact of the proposed rule changes contained in this rulemaking, it does not 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The proposed rule revisions are based on discussions and input from DEQ’s CFP 2018 Rulemaking Advisory Committee.</w:t>
      </w:r>
    </w:p>
    <w:p w14:paraId="064337A0" w14:textId="77777777" w:rsidR="00270825" w:rsidRDefault="00270825" w:rsidP="00270825">
      <w:pPr>
        <w:ind w:left="0"/>
      </w:pPr>
    </w:p>
    <w:p w14:paraId="168CD21D" w14:textId="54CA013D" w:rsidR="00EC2A68" w:rsidRDefault="00EC2A68" w:rsidP="00EC2A68">
      <w:pPr>
        <w:pStyle w:val="ListParagraph"/>
        <w:numPr>
          <w:ilvl w:val="0"/>
          <w:numId w:val="34"/>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649E56CD" w14:textId="5ECA7865" w:rsidR="00EC2A68" w:rsidRDefault="00EC2A68" w:rsidP="00EC2A68">
      <w:pPr>
        <w:pStyle w:val="ListParagraph"/>
        <w:numPr>
          <w:ilvl w:val="1"/>
          <w:numId w:val="34"/>
        </w:numPr>
      </w:pPr>
      <w:r>
        <w:t>Update to OR-GREET</w:t>
      </w:r>
    </w:p>
    <w:p w14:paraId="1879A8EA" w14:textId="412030F7" w:rsidR="00EC2A68" w:rsidRDefault="00EC2A68" w:rsidP="00EC2A68">
      <w:pPr>
        <w:pStyle w:val="ListParagraph"/>
        <w:numPr>
          <w:ilvl w:val="1"/>
          <w:numId w:val="34"/>
        </w:numPr>
      </w:pPr>
      <w:r>
        <w:t>Update to OPGEE</w:t>
      </w:r>
    </w:p>
    <w:p w14:paraId="0B033AEA" w14:textId="563A0F8B" w:rsidR="00EC2A68" w:rsidRDefault="00EC2A68" w:rsidP="00EC2A68">
      <w:pPr>
        <w:pStyle w:val="ListParagraph"/>
        <w:numPr>
          <w:ilvl w:val="1"/>
          <w:numId w:val="34"/>
        </w:numPr>
      </w:pPr>
      <w:r>
        <w:t>New carbon intensity values</w:t>
      </w:r>
    </w:p>
    <w:p w14:paraId="0C7330EC" w14:textId="14B71F68" w:rsidR="00EC2A68" w:rsidRDefault="00EC2A68" w:rsidP="00EC2A68">
      <w:pPr>
        <w:pStyle w:val="ListParagraph"/>
        <w:numPr>
          <w:ilvl w:val="1"/>
          <w:numId w:val="34"/>
        </w:numPr>
      </w:pPr>
      <w:r>
        <w:t>New clean fuel standards</w:t>
      </w:r>
    </w:p>
    <w:p w14:paraId="68AA58AE" w14:textId="77777777" w:rsidR="00EC2A68" w:rsidRPr="00EC2A68" w:rsidRDefault="00EC2A68" w:rsidP="00EC2A68">
      <w:pPr>
        <w:pStyle w:val="ListParagraph"/>
        <w:ind w:right="0"/>
        <w:contextualSpacing w:val="0"/>
        <w:outlineLvl w:val="9"/>
      </w:pPr>
    </w:p>
    <w:p w14:paraId="69902404" w14:textId="3C9CC5F4" w:rsidR="00EC2A68" w:rsidRDefault="00EC2A68" w:rsidP="00EC2A68">
      <w:pPr>
        <w:pStyle w:val="ListParagraph"/>
        <w:numPr>
          <w:ilvl w:val="0"/>
          <w:numId w:val="34"/>
        </w:numPr>
      </w:pPr>
      <w:r>
        <w:t>N</w:t>
      </w:r>
      <w:r w:rsidRPr="00352DAE">
        <w:t>ew fuel types</w:t>
      </w:r>
      <w:r>
        <w:t xml:space="preserve"> and </w:t>
      </w:r>
      <w:r w:rsidRPr="00352DAE">
        <w:t>fuel uses</w:t>
      </w:r>
      <w:r>
        <w:t xml:space="preserve"> that could generate credits in the program</w:t>
      </w:r>
    </w:p>
    <w:p w14:paraId="6563079E" w14:textId="2895370E" w:rsidR="00EC2A68" w:rsidRDefault="00EC2A68" w:rsidP="00EC2A68">
      <w:pPr>
        <w:pStyle w:val="ListParagraph"/>
        <w:numPr>
          <w:ilvl w:val="1"/>
          <w:numId w:val="34"/>
        </w:numPr>
      </w:pPr>
      <w:r>
        <w:t>Forklifts</w:t>
      </w:r>
    </w:p>
    <w:p w14:paraId="17228AF3" w14:textId="39C9F73D" w:rsidR="00EC2A68" w:rsidRDefault="00EC2A68" w:rsidP="00EC2A68">
      <w:pPr>
        <w:pStyle w:val="ListParagraph"/>
        <w:numPr>
          <w:ilvl w:val="1"/>
          <w:numId w:val="34"/>
        </w:numPr>
      </w:pPr>
      <w:r>
        <w:t>Truck refrigeration units</w:t>
      </w:r>
    </w:p>
    <w:p w14:paraId="141EBAF3" w14:textId="7C75C56E" w:rsidR="00EC2A68" w:rsidRDefault="00EC2A68" w:rsidP="00EC2A68">
      <w:pPr>
        <w:pStyle w:val="ListParagraph"/>
        <w:numPr>
          <w:ilvl w:val="1"/>
          <w:numId w:val="34"/>
        </w:numPr>
      </w:pPr>
      <w:r>
        <w:t>Alternative jet fuel</w:t>
      </w:r>
    </w:p>
    <w:p w14:paraId="4D24042C" w14:textId="49AF6EE0" w:rsidR="00EC2A68" w:rsidRDefault="00EC2A68" w:rsidP="00EC2A68">
      <w:pPr>
        <w:pStyle w:val="ListParagraph"/>
        <w:numPr>
          <w:ilvl w:val="1"/>
          <w:numId w:val="34"/>
        </w:numPr>
      </w:pPr>
      <w:r>
        <w:t>Renewable propane</w:t>
      </w:r>
    </w:p>
    <w:p w14:paraId="023C2879" w14:textId="77777777" w:rsidR="00270825" w:rsidRPr="003D1DDB" w:rsidRDefault="00270825" w:rsidP="00270825">
      <w:pPr>
        <w:pStyle w:val="ListParagraph"/>
      </w:pPr>
    </w:p>
    <w:p w14:paraId="7B97494C" w14:textId="10930D11" w:rsidR="00270825" w:rsidRDefault="003D1DDB" w:rsidP="003D1DDB">
      <w:pPr>
        <w:pStyle w:val="ListParagraph"/>
        <w:numPr>
          <w:ilvl w:val="0"/>
          <w:numId w:val="45"/>
        </w:numPr>
        <w:rPr>
          <w:szCs w:val="22"/>
        </w:rPr>
      </w:pPr>
      <w:r w:rsidRPr="003D1DDB">
        <w:rPr>
          <w:szCs w:val="22"/>
        </w:rPr>
        <w:t>Updates to enforcement provisions</w:t>
      </w:r>
    </w:p>
    <w:p w14:paraId="7468F26E" w14:textId="77777777" w:rsidR="003D1DDB" w:rsidRPr="003D1DDB" w:rsidRDefault="003D1DDB" w:rsidP="003D1DDB">
      <w:pPr>
        <w:pStyle w:val="ListParagraph"/>
        <w:rPr>
          <w:szCs w:val="22"/>
        </w:rPr>
      </w:pPr>
    </w:p>
    <w:p w14:paraId="75E3E7D6" w14:textId="77777777" w:rsidR="00270825" w:rsidRPr="00411D93" w:rsidRDefault="00270825" w:rsidP="00270825">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27F7D21A" w14:textId="77777777" w:rsidR="003D1DDB" w:rsidRDefault="003D1DDB" w:rsidP="003D1DDB">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6943FDE5" w14:textId="77777777" w:rsidR="003D1DDB" w:rsidRPr="007F79EF" w:rsidRDefault="003D1DDB" w:rsidP="003D1DDB">
      <w:pPr>
        <w:pStyle w:val="ListParagraph"/>
        <w:widowControl w:val="0"/>
        <w:numPr>
          <w:ilvl w:val="0"/>
          <w:numId w:val="33"/>
        </w:numPr>
        <w:spacing w:after="120"/>
        <w:ind w:left="720" w:right="14"/>
        <w:rPr>
          <w:i/>
        </w:rPr>
      </w:pPr>
      <w:r w:rsidRPr="007F79EF">
        <w:rPr>
          <w:i/>
        </w:rPr>
        <w:t>Administrative Costs</w:t>
      </w:r>
    </w:p>
    <w:p w14:paraId="70701AD9" w14:textId="77777777" w:rsidR="003D1DDB" w:rsidRDefault="003D1DDB" w:rsidP="003D1DDB">
      <w:pPr>
        <w:widowControl w:val="0"/>
        <w:ind w:right="14"/>
      </w:pPr>
      <w:r>
        <w:t xml:space="preserve">There is a </w:t>
      </w:r>
      <w:r w:rsidRPr="00243412">
        <w:t>one</w:t>
      </w:r>
      <w:r>
        <w:t>-</w:t>
      </w:r>
      <w:r w:rsidRPr="00243412">
        <w:t>time cost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17C2DCD0" w14:textId="77777777" w:rsidR="003D1DDB" w:rsidRDefault="003D1DDB" w:rsidP="003D1DDB">
      <w:pPr>
        <w:widowControl w:val="0"/>
        <w:ind w:right="14"/>
      </w:pPr>
    </w:p>
    <w:p w14:paraId="299DD348" w14:textId="77777777" w:rsidR="003D1DDB" w:rsidRDefault="003D1DDB" w:rsidP="003D1DDB">
      <w:pPr>
        <w:widowControl w:val="0"/>
        <w:ind w:right="14"/>
        <w:rPr>
          <w:u w:val="single"/>
        </w:rPr>
      </w:pPr>
      <w:r>
        <w:t xml:space="preserve">The proposed rule changes would make it easier to submit a Tier 1 application and would not otherwise change the administrative costs associated with participating in the program. </w:t>
      </w:r>
    </w:p>
    <w:p w14:paraId="26BF4215" w14:textId="77777777" w:rsidR="003D1DDB" w:rsidRPr="0049020C" w:rsidRDefault="003D1DDB" w:rsidP="003D1DDB">
      <w:pPr>
        <w:widowControl w:val="0"/>
        <w:ind w:left="360"/>
        <w:rPr>
          <w:i/>
        </w:rPr>
      </w:pPr>
    </w:p>
    <w:p w14:paraId="1256D9B4" w14:textId="77777777" w:rsidR="003D1DDB" w:rsidRPr="00FF60A6" w:rsidRDefault="003D1DDB" w:rsidP="003D1DDB">
      <w:pPr>
        <w:pStyle w:val="ListParagraph"/>
        <w:widowControl w:val="0"/>
        <w:numPr>
          <w:ilvl w:val="0"/>
          <w:numId w:val="33"/>
        </w:numPr>
        <w:ind w:left="720"/>
        <w:rPr>
          <w:i/>
        </w:rPr>
      </w:pPr>
      <w:r w:rsidRPr="00FF60A6">
        <w:rPr>
          <w:i/>
        </w:rPr>
        <w:t xml:space="preserve">Costs </w:t>
      </w:r>
      <w:r>
        <w:rPr>
          <w:i/>
        </w:rPr>
        <w:t>R</w:t>
      </w:r>
      <w:r w:rsidRPr="00FF60A6">
        <w:rPr>
          <w:i/>
        </w:rPr>
        <w:t>elated to Enforcement</w:t>
      </w:r>
    </w:p>
    <w:p w14:paraId="28EA791A" w14:textId="77777777" w:rsidR="003D1DDB" w:rsidRDefault="003D1DDB" w:rsidP="003D1DDB">
      <w:pPr>
        <w:pStyle w:val="ListParagraph"/>
        <w:widowControl w:val="0"/>
        <w:rPr>
          <w:rFonts w:asciiTheme="minorHAnsi" w:hAnsiTheme="minorHAnsi" w:cstheme="minorHAnsi"/>
          <w:iCs/>
        </w:rPr>
      </w:pPr>
    </w:p>
    <w:p w14:paraId="4634A274" w14:textId="77777777" w:rsidR="003D1DDB" w:rsidRPr="00C670F4" w:rsidRDefault="003D1DDB" w:rsidP="003D1DDB">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6C4904F8" w14:textId="77777777" w:rsidR="003D1DDB" w:rsidRPr="00C670F4" w:rsidRDefault="003D1DDB" w:rsidP="003D1DDB">
      <w:pPr>
        <w:pStyle w:val="ListParagraph"/>
        <w:widowControl w:val="0"/>
        <w:rPr>
          <w:iCs/>
        </w:rPr>
      </w:pPr>
    </w:p>
    <w:p w14:paraId="48508D36" w14:textId="77777777" w:rsidR="003D1DDB" w:rsidRPr="00C670F4" w:rsidRDefault="003D1DDB" w:rsidP="003D1DDB">
      <w:pPr>
        <w:widowControl w:val="0"/>
        <w:ind w:right="14"/>
      </w:pPr>
      <w:r w:rsidRPr="00C670F4">
        <w:rPr>
          <w:iCs/>
        </w:rPr>
        <w:t>The proposed rule changes would not have an economic impact on businesses, individuals or government entities unless they violate the program rules.</w:t>
      </w:r>
    </w:p>
    <w:p w14:paraId="554638D7" w14:textId="77777777" w:rsidR="003D1DDB" w:rsidRDefault="003D1DDB" w:rsidP="003D1DDB">
      <w:pPr>
        <w:widowControl w:val="0"/>
        <w:ind w:right="14"/>
      </w:pPr>
    </w:p>
    <w:p w14:paraId="01FF8359" w14:textId="77777777" w:rsidR="003D1DDB" w:rsidRPr="007F79EF" w:rsidRDefault="003D1DDB" w:rsidP="003D1DDB">
      <w:pPr>
        <w:pStyle w:val="ListParagraph"/>
        <w:widowControl w:val="0"/>
        <w:numPr>
          <w:ilvl w:val="0"/>
          <w:numId w:val="33"/>
        </w:numPr>
        <w:spacing w:after="120"/>
        <w:ind w:left="720" w:right="14"/>
        <w:rPr>
          <w:i/>
        </w:rPr>
      </w:pPr>
      <w:r w:rsidRPr="007F79EF">
        <w:rPr>
          <w:i/>
        </w:rPr>
        <w:t>Costs to Reduce Carbon</w:t>
      </w:r>
    </w:p>
    <w:p w14:paraId="425EAEBF" w14:textId="77777777" w:rsidR="003D1DDB" w:rsidRDefault="003D1DDB" w:rsidP="003D1DDB">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fuel credits are bought and sold on the free market and prices negotiated between private businesses, DEQ cannot accurately predict the actual cost impacts related to the credit market. </w:t>
      </w:r>
    </w:p>
    <w:p w14:paraId="45629ED2" w14:textId="77777777" w:rsidR="003D1DDB" w:rsidRDefault="003D1DDB" w:rsidP="003D1DDB"/>
    <w:p w14:paraId="7373A911" w14:textId="77777777" w:rsidR="003D1DDB" w:rsidRDefault="003D1DDB" w:rsidP="003D1DDB">
      <w:r>
        <w:t>As described above, the proposed clean fuel standards for gasoline are slightly lower than the current values</w:t>
      </w:r>
      <w:r w:rsidRPr="002B7FFD">
        <w:t xml:space="preserve"> </w:t>
      </w:r>
      <w:r>
        <w:t>and the proposed clean fuel standards for diesel are slightly higher than the current values. The proposed changes to OR-GREET do not result in any significant change to the carbon intensities of gasoline or diesel substitutes. The proposed changes values to the gasoline and diesel clean fuel standards would not have a significant economic impact.</w:t>
      </w:r>
    </w:p>
    <w:p w14:paraId="3729D5A8" w14:textId="77777777" w:rsidR="003D1DDB" w:rsidRDefault="003D1DDB" w:rsidP="003D1DDB"/>
    <w:p w14:paraId="5AF657D6" w14:textId="77777777" w:rsidR="003D1DDB" w:rsidRDefault="003D1DDB" w:rsidP="003D1DDB">
      <w:r>
        <w:t>The proposed rules would add additional credit generation from alternative jet, forklifts and TRUs and may have an impact on credit prices as these applications increase in use over time. Individual businesses that provide these fuels would benefit economically by their inclusion in the program.</w:t>
      </w:r>
    </w:p>
    <w:p w14:paraId="3794835C" w14:textId="77777777" w:rsidR="003D1DDB" w:rsidRDefault="003D1DDB" w:rsidP="003D1DDB">
      <w:pPr>
        <w:pStyle w:val="Heading3"/>
      </w:pPr>
    </w:p>
    <w:p w14:paraId="5780395C" w14:textId="77777777" w:rsidR="003D1DDB" w:rsidRDefault="003D1DDB" w:rsidP="003D1DDB">
      <w:pPr>
        <w:ind w:left="0"/>
        <w:rPr>
          <w:u w:val="single"/>
        </w:rPr>
      </w:pPr>
      <w:r w:rsidRPr="009B05A2">
        <w:rPr>
          <w:u w:val="single"/>
        </w:rPr>
        <w:t>Potential Impact</w:t>
      </w:r>
      <w:r>
        <w:rPr>
          <w:u w:val="single"/>
        </w:rPr>
        <w:t xml:space="preserve"> to Fuel Consumer</w:t>
      </w:r>
      <w:r w:rsidRPr="009B05A2">
        <w:rPr>
          <w:u w:val="single"/>
        </w:rPr>
        <w:t>s</w:t>
      </w:r>
    </w:p>
    <w:p w14:paraId="6D256F90" w14:textId="77777777" w:rsidR="003D1DDB" w:rsidRDefault="003D1DDB" w:rsidP="003D1DDB">
      <w:pPr>
        <w:ind w:left="0"/>
      </w:pPr>
      <w:r>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t>ies</w:t>
      </w:r>
      <w:r w:rsidRPr="00DE2012">
        <w:t xml:space="preserve"> </w:t>
      </w:r>
      <w:r>
        <w:t xml:space="preserve">pass their savings and costs to their customers. </w:t>
      </w:r>
      <w:r w:rsidRPr="00DE2012">
        <w:t xml:space="preserve">For example, if the price of </w:t>
      </w:r>
      <w:r>
        <w:t xml:space="preserve">lower carbon fuels </w:t>
      </w:r>
      <w:r w:rsidRPr="00DE2012">
        <w:t xml:space="preserve">were 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price of </w:t>
      </w:r>
      <w:r>
        <w:t xml:space="preserve">lower carbon fuels </w:t>
      </w:r>
      <w:r w:rsidRPr="00DE2012">
        <w:t>were 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 on the overall program.</w:t>
      </w:r>
    </w:p>
    <w:p w14:paraId="174691A8" w14:textId="77777777" w:rsidR="00270825" w:rsidRPr="00190AE7" w:rsidRDefault="00270825" w:rsidP="00270825">
      <w:pPr>
        <w:pStyle w:val="ListParagraph"/>
        <w:widowControl w:val="0"/>
        <w:ind w:left="1440"/>
        <w:rPr>
          <w:u w:val="single"/>
        </w:rPr>
      </w:pPr>
    </w:p>
    <w:p w14:paraId="6C809AF2" w14:textId="77777777" w:rsidR="003D1DDB" w:rsidRDefault="003D1DDB" w:rsidP="003D1DDB">
      <w:pPr>
        <w:pStyle w:val="Heading3"/>
        <w:ind w:left="0"/>
      </w:pPr>
      <w:r>
        <w:t>DEQ and other state agencies, federal agencies, local governments</w:t>
      </w:r>
    </w:p>
    <w:p w14:paraId="1CC52A35" w14:textId="77777777" w:rsidR="003D1DDB" w:rsidRDefault="003D1DDB" w:rsidP="003D1DDB">
      <w:pPr>
        <w:ind w:left="0"/>
        <w:rPr>
          <w:u w:val="single"/>
        </w:rPr>
      </w:pPr>
    </w:p>
    <w:p w14:paraId="52F0E322" w14:textId="77777777" w:rsidR="003D1DDB" w:rsidRPr="007F79EF" w:rsidRDefault="003D1DDB" w:rsidP="003D1DDB">
      <w:pPr>
        <w:ind w:left="0"/>
        <w:rPr>
          <w:u w:val="single"/>
        </w:rPr>
      </w:pPr>
      <w:r w:rsidRPr="007F79EF">
        <w:rPr>
          <w:u w:val="single"/>
        </w:rPr>
        <w:t>Direct Impacts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7E466BCF" w14:textId="77777777" w:rsidR="003D1DDB" w:rsidRPr="007F79EF" w:rsidRDefault="003D1DDB" w:rsidP="003D1DDB">
      <w:pPr>
        <w:ind w:left="0"/>
        <w:rPr>
          <w:u w:val="single"/>
        </w:rPr>
      </w:pPr>
    </w:p>
    <w:p w14:paraId="6EA2E9F2" w14:textId="77777777" w:rsidR="003D1DDB" w:rsidRDefault="003D1DDB" w:rsidP="003D1DDB">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7AF5CB97" w14:textId="77777777" w:rsidR="003D1DDB" w:rsidRPr="0065354D" w:rsidRDefault="003D1DDB" w:rsidP="003D1DDB">
      <w:pPr>
        <w:ind w:left="1080"/>
      </w:pPr>
    </w:p>
    <w:p w14:paraId="4290689A" w14:textId="77777777" w:rsidR="003D1DDB" w:rsidRDefault="003D1DDB" w:rsidP="003D1DDB">
      <w:pPr>
        <w:pStyle w:val="Heading3"/>
        <w:ind w:left="0"/>
      </w:pPr>
      <w:r w:rsidRPr="0065354D">
        <w:t>Public</w:t>
      </w:r>
    </w:p>
    <w:p w14:paraId="3909A274" w14:textId="77777777" w:rsidR="003D1DDB" w:rsidRDefault="003D1DDB" w:rsidP="003D1DDB">
      <w:pPr>
        <w:ind w:left="0"/>
        <w:rPr>
          <w:u w:val="single"/>
        </w:rPr>
      </w:pPr>
    </w:p>
    <w:p w14:paraId="41AA130F" w14:textId="77777777" w:rsidR="003D1DDB" w:rsidRPr="007F79EF" w:rsidRDefault="003D1DDB" w:rsidP="003D1DDB">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34A9F4E6" w14:textId="77777777" w:rsidR="003D1DDB" w:rsidRPr="007F79EF" w:rsidRDefault="003D1DDB" w:rsidP="003D1DDB">
      <w:pPr>
        <w:ind w:left="0"/>
        <w:rPr>
          <w:u w:val="single"/>
        </w:rPr>
      </w:pPr>
    </w:p>
    <w:p w14:paraId="7724FC36" w14:textId="77777777" w:rsidR="003D1DDB" w:rsidRDefault="003D1DDB" w:rsidP="003D1DDB">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60EC8998" w14:textId="77777777" w:rsidR="003D1DDB" w:rsidRPr="0065354D" w:rsidRDefault="003D1DDB" w:rsidP="003D1DDB">
      <w:pPr>
        <w:ind w:left="1080"/>
      </w:pPr>
    </w:p>
    <w:p w14:paraId="6D676E4C" w14:textId="77777777" w:rsidR="003D1DDB" w:rsidRDefault="003D1DDB" w:rsidP="003D1DDB">
      <w:pPr>
        <w:pStyle w:val="Heading3"/>
        <w:ind w:left="0"/>
      </w:pPr>
      <w:r w:rsidRPr="0065354D">
        <w:rPr>
          <w:iCs/>
        </w:rPr>
        <w:t>Large businesses</w:t>
      </w:r>
      <w:r w:rsidRPr="0065354D">
        <w:t xml:space="preserve"> - businesses with more than 50 employees</w:t>
      </w:r>
    </w:p>
    <w:p w14:paraId="33FF50E5" w14:textId="77777777" w:rsidR="003D1DDB" w:rsidRPr="00774F3D" w:rsidRDefault="003D1DDB" w:rsidP="003D1DDB">
      <w:pPr>
        <w:ind w:left="0"/>
      </w:pPr>
    </w:p>
    <w:p w14:paraId="64CF419F" w14:textId="77777777" w:rsidR="003D1DDB" w:rsidRDefault="003D1DDB" w:rsidP="003D1DDB">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The proposed rule changes would add owners or operators of forklift fleets or warehousing operations to the types of businesses that could participate in the program.</w:t>
      </w:r>
    </w:p>
    <w:p w14:paraId="7E156832" w14:textId="77777777" w:rsidR="003D1DDB" w:rsidRPr="008608ED" w:rsidRDefault="003D1DDB" w:rsidP="003D1DDB">
      <w:pPr>
        <w:ind w:left="0"/>
      </w:pPr>
    </w:p>
    <w:p w14:paraId="164B3489"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5E2B34AC" w14:textId="77777777" w:rsidR="003D1DDB" w:rsidRDefault="003D1DDB" w:rsidP="003D1DDB">
      <w:pPr>
        <w:ind w:left="0"/>
        <w:rPr>
          <w:bCs/>
        </w:rPr>
      </w:pPr>
    </w:p>
    <w:p w14:paraId="3A90A092" w14:textId="77777777" w:rsidR="003D1DDB" w:rsidRDefault="003D1DDB" w:rsidP="003D1DDB">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596CE511" w14:textId="77777777" w:rsidR="003D1DDB" w:rsidRPr="0065354D" w:rsidRDefault="003D1DDB" w:rsidP="003D1DDB">
      <w:pPr>
        <w:ind w:left="0"/>
      </w:pPr>
    </w:p>
    <w:p w14:paraId="419CA9D2" w14:textId="77777777" w:rsidR="003D1DDB" w:rsidRDefault="003D1DDB" w:rsidP="003D1DDB">
      <w:pPr>
        <w:pStyle w:val="Heading3"/>
        <w:ind w:left="0"/>
      </w:pPr>
      <w:r w:rsidRPr="0065354D">
        <w:t>Small businesses – businesses with 50 or fewer employees</w:t>
      </w:r>
    </w:p>
    <w:p w14:paraId="322BC5AA" w14:textId="77777777" w:rsidR="003D1DDB" w:rsidRPr="00774F3D" w:rsidRDefault="003D1DDB" w:rsidP="003D1DDB"/>
    <w:p w14:paraId="544AE592"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5855F192" w14:textId="77777777" w:rsidR="003D1DDB" w:rsidRDefault="003D1DDB" w:rsidP="003D1DDB">
      <w:pPr>
        <w:ind w:left="0"/>
        <w:rPr>
          <w:bCs/>
        </w:rPr>
      </w:pPr>
    </w:p>
    <w:p w14:paraId="74215E94" w14:textId="77777777" w:rsidR="003D1DDB" w:rsidRDefault="003D1DDB" w:rsidP="003D1DDB">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3F364D3A" w14:textId="77777777" w:rsidR="003D1DDB" w:rsidRPr="00C839A0" w:rsidRDefault="003D1DDB" w:rsidP="003D1DDB"/>
    <w:p w14:paraId="213D6E7B" w14:textId="77777777" w:rsidR="003D1DDB" w:rsidRPr="0040031B" w:rsidRDefault="003D1DDB" w:rsidP="003D1DDB">
      <w:pPr>
        <w:pStyle w:val="Heading4"/>
      </w:pPr>
      <w:r w:rsidRPr="0040031B">
        <w:t>a. Estimated number of small businesses and types of businesses and industries with small businesses subject to proposed rule.</w:t>
      </w:r>
    </w:p>
    <w:p w14:paraId="4CC4384E" w14:textId="77777777" w:rsidR="003D1DDB" w:rsidRDefault="003D1DDB" w:rsidP="003D1DDB"/>
    <w:p w14:paraId="1EB0D717" w14:textId="77777777" w:rsidR="003D1DDB" w:rsidRDefault="003D1DDB" w:rsidP="003D1DDB">
      <w:pPr>
        <w:ind w:left="0"/>
      </w:pPr>
      <w:r>
        <w:t>Approximately 50 small businesses are registered with the program, primarily</w:t>
      </w:r>
      <w:r w:rsidRPr="00C839A0">
        <w:t xml:space="preserve"> fuel distributors and biofuel producers.</w:t>
      </w:r>
    </w:p>
    <w:p w14:paraId="01383D2A" w14:textId="77777777" w:rsidR="003D1DDB" w:rsidRPr="004A0A2A" w:rsidRDefault="003D1DDB" w:rsidP="003D1DDB"/>
    <w:p w14:paraId="658F2363" w14:textId="77777777" w:rsidR="003D1DDB" w:rsidRPr="00D76517" w:rsidRDefault="003D1DDB" w:rsidP="003D1DDB">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3F4D7079" w14:textId="77777777" w:rsidR="003D1DDB" w:rsidRDefault="003D1DDB" w:rsidP="003D1DDB">
      <w:pPr>
        <w:rPr>
          <w:b/>
        </w:rPr>
      </w:pPr>
    </w:p>
    <w:p w14:paraId="18E0994B" w14:textId="77777777" w:rsidR="003D1DDB" w:rsidRDefault="003D1DDB" w:rsidP="003D1DDB">
      <w:pPr>
        <w:ind w:left="0"/>
      </w:pPr>
      <w:r w:rsidRPr="00044742">
        <w:t>There proposed rule changes would not affect these costs</w:t>
      </w:r>
      <w:r>
        <w:t xml:space="preserve"> except in the case of a new small business registering to generate credits from the proposed additions to the program. In this case they will incur minimal administrative costs described in the discussions about the General Direct Costs above</w:t>
      </w:r>
      <w:r w:rsidRPr="00044742">
        <w:t>.</w:t>
      </w:r>
    </w:p>
    <w:p w14:paraId="7B6582B9" w14:textId="77777777" w:rsidR="003D1DDB" w:rsidRPr="004A0A2A" w:rsidRDefault="003D1DDB" w:rsidP="003D1DDB">
      <w:pPr>
        <w:rPr>
          <w:b/>
        </w:rPr>
      </w:pPr>
    </w:p>
    <w:p w14:paraId="0054E10E" w14:textId="77777777" w:rsidR="003D1DDB" w:rsidRPr="00D76517" w:rsidRDefault="003D1DDB" w:rsidP="003D1DDB">
      <w:pPr>
        <w:pStyle w:val="Heading4"/>
      </w:pPr>
      <w:r w:rsidRPr="00D76517">
        <w:rPr>
          <w:bCs/>
        </w:rPr>
        <w:t>c.</w:t>
      </w:r>
      <w:r w:rsidRPr="00D76517">
        <w:t xml:space="preserve"> Projected equipment, supplies, labor and increased administration required for small businesses to comply with the proposed rule.</w:t>
      </w:r>
    </w:p>
    <w:p w14:paraId="534A94A6" w14:textId="77777777" w:rsidR="003D1DDB" w:rsidRDefault="003D1DDB" w:rsidP="003D1DDB">
      <w:pPr>
        <w:rPr>
          <w:b/>
        </w:rPr>
      </w:pPr>
    </w:p>
    <w:p w14:paraId="6F3597D8" w14:textId="77777777" w:rsidR="003D1DDB" w:rsidRDefault="003D1DDB" w:rsidP="003D1DDB">
      <w:pPr>
        <w:ind w:left="0"/>
        <w:rPr>
          <w:b/>
        </w:rPr>
      </w:pPr>
      <w:r w:rsidRPr="00044742">
        <w:t>There proposed rule changes would not affect these costs.</w:t>
      </w:r>
    </w:p>
    <w:p w14:paraId="760F2523" w14:textId="77777777" w:rsidR="003D1DDB" w:rsidRPr="004A0A2A" w:rsidRDefault="003D1DDB" w:rsidP="003D1DDB">
      <w:pPr>
        <w:rPr>
          <w:b/>
        </w:rPr>
      </w:pPr>
    </w:p>
    <w:p w14:paraId="3E10B0AB" w14:textId="77777777" w:rsidR="003D1DDB" w:rsidRPr="00D76517" w:rsidRDefault="003D1DDB" w:rsidP="003D1DDB">
      <w:pPr>
        <w:pStyle w:val="Heading4"/>
      </w:pPr>
      <w:r w:rsidRPr="00D76517">
        <w:rPr>
          <w:bCs/>
        </w:rPr>
        <w:t>d.</w:t>
      </w:r>
      <w:r w:rsidRPr="00D76517">
        <w:t xml:space="preserve"> Describe how DEQ involved small businesses in developing this proposed rule.</w:t>
      </w:r>
    </w:p>
    <w:p w14:paraId="21565AD4" w14:textId="77777777" w:rsidR="003D1DDB" w:rsidRDefault="003D1DDB" w:rsidP="003D1DDB">
      <w:pPr>
        <w:ind w:left="0"/>
      </w:pPr>
    </w:p>
    <w:p w14:paraId="08E72E2B" w14:textId="77777777" w:rsidR="003D1DDB" w:rsidRPr="004A0A2A" w:rsidRDefault="003D1DDB" w:rsidP="003D1DDB">
      <w:pPr>
        <w:ind w:left="0"/>
      </w:pPr>
      <w:r w:rsidRPr="003E2543">
        <w:t>DEQ convened a 2</w:t>
      </w:r>
      <w:r>
        <w:t>4</w:t>
      </w:r>
      <w:r w:rsidRPr="003E2543">
        <w:t xml:space="preserve">-member advisory committee that included small businesses to discuss the </w:t>
      </w:r>
      <w:r>
        <w:t>proposed rule changes</w:t>
      </w:r>
      <w:r w:rsidRPr="003E2543">
        <w:t>.</w:t>
      </w:r>
    </w:p>
    <w:p w14:paraId="27E2CF1C" w14:textId="77777777" w:rsidR="003D1DDB" w:rsidRPr="0065354D" w:rsidRDefault="003D1DDB" w:rsidP="003D1DDB"/>
    <w:p w14:paraId="43303472" w14:textId="77777777" w:rsidR="003D1DDB" w:rsidRDefault="003D1DDB" w:rsidP="003D1DDB">
      <w:pPr>
        <w:pStyle w:val="Heading2"/>
        <w:ind w:left="0"/>
      </w:pPr>
      <w:r w:rsidRPr="0065354D">
        <w:t>Documents relied on for fiscal and economic impact</w:t>
      </w:r>
    </w:p>
    <w:p w14:paraId="2B58DA00" w14:textId="77777777" w:rsidR="003D1DDB" w:rsidRPr="00774F3D" w:rsidRDefault="003D1DDB" w:rsidP="003D1DDB"/>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D1DDB" w:rsidRPr="006726CF" w14:paraId="675B561E" w14:textId="77777777" w:rsidTr="004B66B7">
        <w:trPr>
          <w:trHeight w:val="143"/>
          <w:tblHeader/>
          <w:jc w:val="center"/>
        </w:trPr>
        <w:tc>
          <w:tcPr>
            <w:tcW w:w="4495" w:type="dxa"/>
            <w:shd w:val="clear" w:color="auto" w:fill="E2EFD9" w:themeFill="accent6" w:themeFillTint="33"/>
            <w:noWrap/>
            <w:vAlign w:val="bottom"/>
            <w:hideMark/>
          </w:tcPr>
          <w:p w14:paraId="0AAFEAA6" w14:textId="77777777" w:rsidR="003D1DDB" w:rsidRPr="00C157EB" w:rsidRDefault="003D1DDB" w:rsidP="004B66B7">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19C9A212" w14:textId="77777777" w:rsidR="003D1DDB" w:rsidRPr="00C157EB" w:rsidRDefault="003D1DDB" w:rsidP="004B66B7">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3D1DDB" w:rsidRPr="006726CF" w14:paraId="6535077E" w14:textId="77777777" w:rsidTr="004B66B7">
        <w:trPr>
          <w:trHeight w:val="19"/>
          <w:jc w:val="center"/>
        </w:trPr>
        <w:tc>
          <w:tcPr>
            <w:tcW w:w="4495" w:type="dxa"/>
            <w:shd w:val="clear" w:color="auto" w:fill="auto"/>
          </w:tcPr>
          <w:p w14:paraId="3603A4FA" w14:textId="77777777" w:rsidR="003D1DDB" w:rsidRPr="00057A0E" w:rsidRDefault="003D1DDB" w:rsidP="004B66B7">
            <w:pPr>
              <w:ind w:left="178"/>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44DCC9C3" w14:textId="77777777" w:rsidR="003D1DDB" w:rsidRPr="00057A0E" w:rsidRDefault="003D1DDB" w:rsidP="004B66B7">
            <w:pPr>
              <w:ind w:left="93"/>
              <w:rPr>
                <w:rFonts w:ascii="Arial" w:hAnsi="Arial" w:cs="Arial"/>
              </w:rPr>
            </w:pPr>
            <w:hyperlink r:id="rId24" w:history="1">
              <w:r w:rsidRPr="00285369">
                <w:rPr>
                  <w:rStyle w:val="Hyperlink"/>
                  <w:sz w:val="21"/>
                  <w:szCs w:val="21"/>
                </w:rPr>
                <w:t xml:space="preserve">http://www.arb.ca.gov/fuels/lcfs/lcfs.htm </w:t>
              </w:r>
            </w:hyperlink>
          </w:p>
        </w:tc>
      </w:tr>
      <w:tr w:rsidR="003D1DDB" w:rsidRPr="006726CF" w14:paraId="2EBCF634" w14:textId="77777777" w:rsidTr="004B66B7">
        <w:trPr>
          <w:trHeight w:val="19"/>
          <w:jc w:val="center"/>
        </w:trPr>
        <w:tc>
          <w:tcPr>
            <w:tcW w:w="4495" w:type="dxa"/>
            <w:shd w:val="clear" w:color="auto" w:fill="auto"/>
          </w:tcPr>
          <w:p w14:paraId="3E6D5BD1" w14:textId="77777777" w:rsidR="003D1DDB" w:rsidRPr="00057A0E" w:rsidRDefault="003D1DDB" w:rsidP="004B66B7">
            <w:pPr>
              <w:ind w:left="178"/>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0468421D" w14:textId="77777777" w:rsidR="003D1DDB" w:rsidRPr="00057A0E" w:rsidRDefault="003D1DDB" w:rsidP="004B66B7">
            <w:pPr>
              <w:ind w:left="93"/>
              <w:rPr>
                <w:sz w:val="22"/>
                <w:szCs w:val="22"/>
              </w:rPr>
            </w:pPr>
            <w:hyperlink r:id="rId25" w:history="1">
              <w:r w:rsidRPr="00285369">
                <w:rPr>
                  <w:rStyle w:val="Hyperlink"/>
                  <w:sz w:val="21"/>
                  <w:szCs w:val="21"/>
                </w:rPr>
                <w:t xml:space="preserve">https://greet.es.anl.gov/ </w:t>
              </w:r>
            </w:hyperlink>
          </w:p>
        </w:tc>
      </w:tr>
      <w:tr w:rsidR="003D1DDB" w:rsidRPr="006726CF" w14:paraId="4D2396E0" w14:textId="77777777" w:rsidTr="004B66B7">
        <w:trPr>
          <w:trHeight w:val="19"/>
          <w:jc w:val="center"/>
        </w:trPr>
        <w:tc>
          <w:tcPr>
            <w:tcW w:w="4495" w:type="dxa"/>
            <w:shd w:val="clear" w:color="auto" w:fill="auto"/>
          </w:tcPr>
          <w:p w14:paraId="223DEE0D" w14:textId="77777777" w:rsidR="003D1DDB" w:rsidRPr="00057A0E" w:rsidRDefault="003D1DDB" w:rsidP="004B66B7">
            <w:pPr>
              <w:ind w:left="178"/>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3CE2354D" w14:textId="77777777" w:rsidR="003D1DDB" w:rsidRPr="00057A0E" w:rsidRDefault="003D1DDB" w:rsidP="004B66B7">
            <w:pPr>
              <w:ind w:left="93"/>
              <w:rPr>
                <w:sz w:val="22"/>
                <w:szCs w:val="22"/>
              </w:rPr>
            </w:pPr>
            <w:hyperlink r:id="rId26" w:history="1">
              <w:r w:rsidRPr="00285369">
                <w:rPr>
                  <w:rStyle w:val="Hyperlink"/>
                  <w:sz w:val="21"/>
                  <w:szCs w:val="21"/>
                </w:rPr>
                <w:t xml:space="preserve">https://pangea.stanford.edu/researchgroups/eao/research/opgee-oil-production-greenhouse-gas-emissions-estimator </w:t>
              </w:r>
            </w:hyperlink>
          </w:p>
        </w:tc>
      </w:tr>
      <w:tr w:rsidR="003D1DDB" w:rsidRPr="006726CF" w14:paraId="629FADF2" w14:textId="77777777" w:rsidTr="004B66B7">
        <w:trPr>
          <w:trHeight w:val="19"/>
          <w:jc w:val="center"/>
        </w:trPr>
        <w:tc>
          <w:tcPr>
            <w:tcW w:w="4495" w:type="dxa"/>
            <w:shd w:val="clear" w:color="auto" w:fill="auto"/>
          </w:tcPr>
          <w:p w14:paraId="695FE949" w14:textId="77777777" w:rsidR="003D1DDB" w:rsidRPr="00057A0E" w:rsidRDefault="003D1DDB" w:rsidP="004B66B7">
            <w:pPr>
              <w:ind w:left="178"/>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1F859486" w14:textId="77777777" w:rsidR="003D1DDB" w:rsidRPr="00057A0E" w:rsidRDefault="003D1DDB" w:rsidP="004B66B7">
            <w:pPr>
              <w:ind w:left="93"/>
              <w:rPr>
                <w:sz w:val="22"/>
                <w:szCs w:val="22"/>
              </w:rPr>
            </w:pPr>
            <w:hyperlink r:id="rId27" w:history="1">
              <w:r w:rsidRPr="00D210DE">
                <w:rPr>
                  <w:rStyle w:val="Hyperlink"/>
                  <w:sz w:val="22"/>
                  <w:szCs w:val="22"/>
                </w:rPr>
                <w:t>https://www.oregon.gov/deq/Regulations/rulemaking/Pages/rCFP2018.aspx</w:t>
              </w:r>
            </w:hyperlink>
            <w:r>
              <w:rPr>
                <w:sz w:val="22"/>
                <w:szCs w:val="22"/>
              </w:rPr>
              <w:t xml:space="preserve"> </w:t>
            </w:r>
          </w:p>
        </w:tc>
      </w:tr>
      <w:tr w:rsidR="003D1DDB" w:rsidRPr="006726CF" w14:paraId="65E4A901" w14:textId="77777777" w:rsidTr="004B66B7">
        <w:trPr>
          <w:trHeight w:val="19"/>
          <w:jc w:val="center"/>
        </w:trPr>
        <w:tc>
          <w:tcPr>
            <w:tcW w:w="4495" w:type="dxa"/>
            <w:shd w:val="clear" w:color="auto" w:fill="auto"/>
          </w:tcPr>
          <w:p w14:paraId="22E111E1" w14:textId="77777777" w:rsidR="003D1DDB" w:rsidRPr="002D654B" w:rsidRDefault="003D1DDB" w:rsidP="004B66B7">
            <w:pPr>
              <w:keepNext/>
              <w:keepLines/>
              <w:ind w:left="171" w:right="14"/>
              <w:rPr>
                <w:sz w:val="21"/>
                <w:szCs w:val="21"/>
              </w:rPr>
            </w:pPr>
            <w:r>
              <w:rPr>
                <w:sz w:val="21"/>
                <w:szCs w:val="21"/>
              </w:rPr>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2F77ACF8" w14:textId="77777777" w:rsidR="003D1DDB" w:rsidRPr="002D654B" w:rsidRDefault="003D1DDB" w:rsidP="004B66B7">
            <w:pPr>
              <w:ind w:left="178"/>
              <w:rPr>
                <w:sz w:val="21"/>
                <w:szCs w:val="21"/>
              </w:rPr>
            </w:pPr>
          </w:p>
        </w:tc>
        <w:tc>
          <w:tcPr>
            <w:tcW w:w="4496" w:type="dxa"/>
            <w:shd w:val="clear" w:color="auto" w:fill="auto"/>
          </w:tcPr>
          <w:p w14:paraId="1D3383D5" w14:textId="77777777" w:rsidR="003D1DDB" w:rsidRPr="002D654B" w:rsidRDefault="003D1DDB" w:rsidP="004B66B7">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5C553EC5" w14:textId="77777777" w:rsidR="003D1DDB" w:rsidRPr="002D654B" w:rsidRDefault="003D1DDB" w:rsidP="004B66B7">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D55F4D7" w14:textId="77777777" w:rsidR="003D1DDB" w:rsidRDefault="003D1DDB" w:rsidP="004B66B7">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759EBDCF" w14:textId="77777777" w:rsidR="003D1DDB" w:rsidRDefault="003D1DDB" w:rsidP="004B66B7">
            <w:pPr>
              <w:ind w:left="363"/>
              <w:rPr>
                <w:sz w:val="22"/>
                <w:szCs w:val="22"/>
              </w:rPr>
            </w:pPr>
            <w:r>
              <w:rPr>
                <w:rStyle w:val="Emphasis"/>
                <w:vanish w:val="0"/>
                <w:color w:val="000000" w:themeColor="text1"/>
                <w:sz w:val="21"/>
                <w:szCs w:val="21"/>
              </w:rPr>
              <w:t>Portland, OR 97232</w:t>
            </w:r>
          </w:p>
        </w:tc>
      </w:tr>
    </w:tbl>
    <w:p w14:paraId="1034807B" w14:textId="77777777" w:rsidR="003D1DDB" w:rsidRDefault="003D1DDB" w:rsidP="003D1DDB"/>
    <w:p w14:paraId="2F5024F2" w14:textId="77777777" w:rsidR="00AD7DB9" w:rsidRPr="00476D38" w:rsidRDefault="00AD7DB9" w:rsidP="00772D8F">
      <w:pPr>
        <w:pStyle w:val="Heading2"/>
        <w:ind w:left="0" w:right="-432"/>
      </w:pPr>
      <w:r w:rsidRPr="00476D38">
        <w:t>Advisory committee</w:t>
      </w:r>
    </w:p>
    <w:p w14:paraId="16B1629D" w14:textId="77777777" w:rsidR="003D1DDB" w:rsidRPr="0065354D" w:rsidRDefault="003D1DDB" w:rsidP="003D1DDB">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 xml:space="preserve">3 requires, DEQ </w:t>
      </w:r>
      <w:r>
        <w:t xml:space="preserve">will </w:t>
      </w:r>
      <w:r w:rsidRPr="0065354D">
        <w:t>ask for the committee’s recommendations on:</w:t>
      </w:r>
    </w:p>
    <w:p w14:paraId="2E20E599" w14:textId="77777777" w:rsidR="003D1DDB" w:rsidRPr="0065354D" w:rsidRDefault="003D1DDB" w:rsidP="003D1DDB">
      <w:pPr>
        <w:numPr>
          <w:ilvl w:val="0"/>
          <w:numId w:val="1"/>
        </w:numPr>
        <w:ind w:left="720" w:right="14"/>
        <w:rPr>
          <w:bCs/>
        </w:rPr>
      </w:pPr>
      <w:r w:rsidRPr="0065354D">
        <w:t xml:space="preserve">Whether the proposed rules would have a fiscal impact, </w:t>
      </w:r>
    </w:p>
    <w:p w14:paraId="3F14D9C7" w14:textId="77777777" w:rsidR="003D1DDB" w:rsidRPr="0065354D" w:rsidRDefault="003D1DDB" w:rsidP="003D1DDB">
      <w:pPr>
        <w:numPr>
          <w:ilvl w:val="0"/>
          <w:numId w:val="1"/>
        </w:numPr>
        <w:ind w:left="720" w:right="14"/>
        <w:rPr>
          <w:bCs/>
        </w:rPr>
      </w:pPr>
      <w:r w:rsidRPr="0065354D">
        <w:t>The extent of the impact, and</w:t>
      </w:r>
    </w:p>
    <w:p w14:paraId="1DF36DCE" w14:textId="77777777" w:rsidR="003D1DDB" w:rsidRPr="0065354D" w:rsidRDefault="003D1DDB" w:rsidP="003D1DDB">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2B5E2A9C" w14:textId="77777777" w:rsidR="007330F4" w:rsidRDefault="007330F4" w:rsidP="007330F4">
      <w:pPr>
        <w:shd w:val="clear" w:color="auto" w:fill="FFFFFF" w:themeFill="background1"/>
        <w:ind w:left="0"/>
      </w:pPr>
    </w:p>
    <w:p w14:paraId="569560F0" w14:textId="77777777" w:rsidR="007330F4" w:rsidRPr="00565AEE" w:rsidRDefault="007330F4" w:rsidP="007330F4">
      <w:pPr>
        <w:shd w:val="clear" w:color="auto" w:fill="FFFFFF" w:themeFill="background1"/>
        <w:ind w:left="360"/>
        <w:rPr>
          <w:iCs/>
        </w:rPr>
      </w:pPr>
      <w:r>
        <w:t>The committee reviewed the draft fiscal and economic impact statement and i</w:t>
      </w:r>
      <w:r>
        <w:rPr>
          <w:iCs/>
        </w:rPr>
        <w:t>ts findings are stated in the meeting summary and in submitted written comments</w:t>
      </w:r>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3BB4AEDB" w14:textId="77777777" w:rsidR="007330F4" w:rsidRDefault="007330F4" w:rsidP="007330F4">
      <w:pPr>
        <w:ind w:left="360"/>
      </w:pPr>
    </w:p>
    <w:p w14:paraId="1DA4CEF8" w14:textId="77777777" w:rsidR="007330F4" w:rsidRPr="00A37BC1" w:rsidRDefault="007330F4" w:rsidP="007330F4">
      <w:pPr>
        <w:ind w:left="360"/>
        <w:rPr>
          <w:bCs/>
        </w:rPr>
      </w:pPr>
      <w:r w:rsidRPr="00A37BC1">
        <w:rPr>
          <w:bCs/>
        </w:rPr>
        <w:t>The following advisory committee work was instrumental to the design of the Oregon Clean Fuels Program.</w:t>
      </w:r>
    </w:p>
    <w:p w14:paraId="56A4B78A" w14:textId="77777777" w:rsidR="007330F4" w:rsidRPr="00A37BC1" w:rsidRDefault="007330F4" w:rsidP="007330F4">
      <w:pPr>
        <w:ind w:left="360"/>
        <w:rPr>
          <w:bCs/>
        </w:rPr>
      </w:pPr>
    </w:p>
    <w:p w14:paraId="082212DC" w14:textId="77777777" w:rsidR="007330F4" w:rsidRPr="00A37BC1" w:rsidRDefault="007330F4" w:rsidP="007330F4">
      <w:pPr>
        <w:ind w:left="360"/>
        <w:rPr>
          <w:b/>
          <w:bCs/>
        </w:rPr>
      </w:pPr>
      <w:r w:rsidRPr="00A37BC1">
        <w:rPr>
          <w:b/>
          <w:bCs/>
        </w:rPr>
        <w:t>201</w:t>
      </w:r>
      <w:r>
        <w:rPr>
          <w:b/>
          <w:bCs/>
        </w:rPr>
        <w:t>6-7</w:t>
      </w:r>
    </w:p>
    <w:p w14:paraId="1E3A40B7" w14:textId="77777777" w:rsidR="007330F4" w:rsidRPr="00A37BC1" w:rsidRDefault="007330F4" w:rsidP="007330F4">
      <w:pPr>
        <w:ind w:left="36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at: </w:t>
      </w:r>
      <w:hyperlink r:id="rId28" w:history="1">
        <w:r w:rsidRPr="00735C1F">
          <w:rPr>
            <w:rStyle w:val="Hyperlink"/>
            <w:bCs/>
          </w:rPr>
          <w:t>2017 Advisory Committee</w:t>
        </w:r>
      </w:hyperlink>
      <w:r w:rsidRPr="00A37BC1">
        <w:rPr>
          <w:bCs/>
        </w:rPr>
        <w:t xml:space="preserve">. </w:t>
      </w:r>
    </w:p>
    <w:p w14:paraId="3BD16833" w14:textId="77777777" w:rsidR="007330F4" w:rsidRDefault="007330F4" w:rsidP="007330F4">
      <w:pPr>
        <w:ind w:left="360"/>
        <w:rPr>
          <w:b/>
          <w:bCs/>
        </w:rPr>
      </w:pPr>
    </w:p>
    <w:p w14:paraId="6B973D73" w14:textId="77777777" w:rsidR="007330F4" w:rsidRPr="00A37BC1" w:rsidRDefault="007330F4" w:rsidP="007330F4">
      <w:pPr>
        <w:ind w:left="360"/>
        <w:rPr>
          <w:b/>
          <w:bCs/>
        </w:rPr>
      </w:pPr>
      <w:r w:rsidRPr="00A37BC1">
        <w:rPr>
          <w:b/>
          <w:bCs/>
        </w:rPr>
        <w:t>2015</w:t>
      </w:r>
    </w:p>
    <w:p w14:paraId="241D4536" w14:textId="77777777" w:rsidR="007330F4" w:rsidRPr="00A37BC1" w:rsidRDefault="007330F4" w:rsidP="007330F4">
      <w:pPr>
        <w:ind w:left="36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at: </w:t>
      </w:r>
      <w:hyperlink r:id="rId29" w:history="1">
        <w:r w:rsidRPr="00A37BC1">
          <w:rPr>
            <w:rStyle w:val="Hyperlink"/>
            <w:bCs/>
          </w:rPr>
          <w:t>2015 Advisory Committee</w:t>
        </w:r>
      </w:hyperlink>
      <w:r w:rsidRPr="00A37BC1">
        <w:rPr>
          <w:bCs/>
        </w:rPr>
        <w:t xml:space="preserve">. </w:t>
      </w:r>
    </w:p>
    <w:p w14:paraId="11F4F9C5" w14:textId="77777777" w:rsidR="007330F4" w:rsidRPr="00A37BC1" w:rsidRDefault="007330F4" w:rsidP="007330F4">
      <w:pPr>
        <w:ind w:left="360"/>
        <w:rPr>
          <w:bCs/>
        </w:rPr>
      </w:pPr>
    </w:p>
    <w:p w14:paraId="7E1EA32D" w14:textId="77777777" w:rsidR="007330F4" w:rsidRPr="00A37BC1" w:rsidRDefault="007330F4" w:rsidP="007330F4">
      <w:pPr>
        <w:ind w:left="360"/>
        <w:rPr>
          <w:b/>
          <w:bCs/>
        </w:rPr>
      </w:pPr>
      <w:r w:rsidRPr="00A37BC1">
        <w:rPr>
          <w:b/>
          <w:bCs/>
        </w:rPr>
        <w:t>2014</w:t>
      </w:r>
    </w:p>
    <w:p w14:paraId="7866E06B" w14:textId="77777777" w:rsidR="007330F4" w:rsidRPr="00A37BC1" w:rsidRDefault="007330F4" w:rsidP="007330F4">
      <w:pPr>
        <w:ind w:left="360"/>
      </w:pPr>
      <w:r w:rsidRPr="00A37BC1">
        <w:rPr>
          <w:bCs/>
        </w:rPr>
        <w:lastRenderedPageBreak/>
        <w:t>From June through August 2014, DEQ worked with a 21-member advisory committee that included small businesses. The committee discussed phase 2 design of the Clean Fuels Program. Membership and mee</w:t>
      </w:r>
      <w:r w:rsidRPr="00A37BC1">
        <w:t xml:space="preserve">ting summaries are at: </w:t>
      </w:r>
      <w:hyperlink r:id="rId30" w:history="1">
        <w:r w:rsidRPr="00A37BC1">
          <w:rPr>
            <w:rStyle w:val="Hyperlink"/>
          </w:rPr>
          <w:t>2014 Advisory Committee</w:t>
        </w:r>
      </w:hyperlink>
      <w:r w:rsidRPr="00A37BC1">
        <w:t>.</w:t>
      </w:r>
    </w:p>
    <w:p w14:paraId="1DBC5871" w14:textId="77777777" w:rsidR="007330F4" w:rsidRPr="00A37BC1" w:rsidRDefault="007330F4" w:rsidP="007330F4">
      <w:pPr>
        <w:ind w:left="360"/>
      </w:pPr>
    </w:p>
    <w:p w14:paraId="5D99AC5C" w14:textId="77777777" w:rsidR="007330F4" w:rsidRPr="00A37BC1" w:rsidRDefault="007330F4" w:rsidP="007330F4">
      <w:pPr>
        <w:widowControl w:val="0"/>
        <w:ind w:left="360"/>
        <w:rPr>
          <w:b/>
        </w:rPr>
      </w:pPr>
      <w:r w:rsidRPr="00A37BC1">
        <w:rPr>
          <w:b/>
        </w:rPr>
        <w:t>2013</w:t>
      </w:r>
    </w:p>
    <w:p w14:paraId="6B761FEF" w14:textId="77777777" w:rsidR="007330F4" w:rsidRPr="00A37BC1" w:rsidRDefault="007330F4" w:rsidP="007330F4">
      <w:pPr>
        <w:widowControl w:val="0"/>
        <w:ind w:left="36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2DB3FDD9" w14:textId="77777777" w:rsidR="007330F4" w:rsidRPr="00A37BC1" w:rsidRDefault="007330F4" w:rsidP="007330F4">
      <w:pPr>
        <w:ind w:left="360"/>
        <w:rPr>
          <w:b/>
        </w:rPr>
      </w:pPr>
    </w:p>
    <w:p w14:paraId="6D1E4891" w14:textId="77777777" w:rsidR="007330F4" w:rsidRPr="00A37BC1" w:rsidRDefault="007330F4" w:rsidP="007330F4">
      <w:pPr>
        <w:ind w:left="360"/>
        <w:rPr>
          <w:b/>
        </w:rPr>
      </w:pPr>
      <w:r w:rsidRPr="00A37BC1">
        <w:rPr>
          <w:b/>
        </w:rPr>
        <w:t>2012</w:t>
      </w:r>
    </w:p>
    <w:p w14:paraId="3DD2E19B" w14:textId="77777777" w:rsidR="007330F4" w:rsidRPr="00A37BC1" w:rsidRDefault="007330F4" w:rsidP="007330F4">
      <w:pPr>
        <w:ind w:left="360"/>
        <w:rPr>
          <w:rStyle w:val="Hyperlink"/>
        </w:rPr>
      </w:pPr>
      <w:r w:rsidRPr="00A37BC1">
        <w:t xml:space="preserve">In May 2012, DEQ convened an advisory committee to focus on the fiscal and economic impact of implementing phase 1. Membership and the meeting summary are at: </w:t>
      </w:r>
      <w:hyperlink r:id="rId31" w:history="1">
        <w:r w:rsidRPr="00A37BC1">
          <w:rPr>
            <w:rStyle w:val="Hyperlink"/>
          </w:rPr>
          <w:t>2012 Advisory Committee</w:t>
        </w:r>
      </w:hyperlink>
      <w:r w:rsidRPr="00A37BC1">
        <w:rPr>
          <w:rStyle w:val="Hyperlink"/>
        </w:rPr>
        <w:t>.</w:t>
      </w:r>
    </w:p>
    <w:p w14:paraId="5E25C5C2" w14:textId="77777777" w:rsidR="007330F4" w:rsidRPr="00A37BC1" w:rsidRDefault="007330F4" w:rsidP="007330F4">
      <w:pPr>
        <w:ind w:left="360"/>
        <w:rPr>
          <w:rStyle w:val="Hyperlink"/>
        </w:rPr>
      </w:pPr>
    </w:p>
    <w:p w14:paraId="6A208422" w14:textId="77777777" w:rsidR="007330F4" w:rsidRPr="00A37BC1" w:rsidRDefault="007330F4" w:rsidP="007330F4">
      <w:pPr>
        <w:ind w:left="360"/>
        <w:rPr>
          <w:b/>
        </w:rPr>
      </w:pPr>
      <w:r w:rsidRPr="00A37BC1">
        <w:rPr>
          <w:b/>
        </w:rPr>
        <w:t>2009-2010</w:t>
      </w:r>
    </w:p>
    <w:p w14:paraId="7C79F253" w14:textId="77777777" w:rsidR="007330F4" w:rsidRPr="00A37BC1" w:rsidRDefault="007330F4" w:rsidP="007330F4">
      <w:pPr>
        <w:ind w:left="360"/>
      </w:pPr>
      <w:r w:rsidRPr="00A37BC1">
        <w:t xml:space="preserve">From November 2009 through November 2010, DEQ worked with a 29-member advisory committee that included small businesses. The committee discussed the design of the Oregon Clean Fuels Program. Membership and meeting summaries are at: </w:t>
      </w:r>
      <w:hyperlink r:id="rId32" w:history="1">
        <w:r w:rsidRPr="00A37BC1">
          <w:rPr>
            <w:rStyle w:val="Hyperlink"/>
          </w:rPr>
          <w:t>2009 Advisory Committee</w:t>
        </w:r>
      </w:hyperlink>
      <w:r w:rsidRPr="00A37BC1">
        <w:t>.</w:t>
      </w:r>
    </w:p>
    <w:p w14:paraId="2F50251F" w14:textId="77777777" w:rsidR="000A5647" w:rsidRPr="00476D38" w:rsidRDefault="00AD7DB9" w:rsidP="00772D8F">
      <w:pPr>
        <w:pStyle w:val="Heading2"/>
        <w:ind w:left="0" w:right="-432"/>
      </w:pPr>
      <w:r w:rsidRPr="00476D38">
        <w:t xml:space="preserve">Housing cost  </w:t>
      </w:r>
    </w:p>
    <w:p w14:paraId="6B8BC97F" w14:textId="77777777" w:rsidR="007330F4" w:rsidRDefault="007330F4" w:rsidP="007330F4">
      <w:pPr>
        <w:ind w:left="360"/>
      </w:pPr>
      <w:r w:rsidRPr="007C7146">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6CBDF98E" w14:textId="77777777" w:rsidR="007330F4" w:rsidRDefault="007330F4" w:rsidP="007330F4">
      <w:pPr>
        <w:ind w:left="360"/>
        <w:sectPr w:rsidR="007330F4"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2F502539"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2F502538" w14:textId="7C419D23" w:rsidR="00255B02" w:rsidRPr="004867EB" w:rsidRDefault="00255B02" w:rsidP="007330F4">
            <w:pPr>
              <w:pStyle w:val="TOC1"/>
              <w:rPr>
                <w:b/>
              </w:rPr>
            </w:pPr>
            <w:bookmarkStart w:id="9" w:name="_Toc522107426"/>
            <w:r w:rsidRPr="00B96F38">
              <w:rPr>
                <w:rStyle w:val="Heading1Char"/>
              </w:rPr>
              <w:lastRenderedPageBreak/>
              <w:t>Federal relationship</w:t>
            </w:r>
            <w:bookmarkEnd w:id="9"/>
            <w:r w:rsidR="00E56A1F">
              <w:fldChar w:fldCharType="begin"/>
            </w:r>
            <w:r w:rsidR="00E56A1F">
              <w:instrText xml:space="preserve"> HYPERLINK "http://www.leg.state.or.us/ors/468a.html" </w:instrText>
            </w:r>
            <w:r w:rsidR="00E56A1F">
              <w:fldChar w:fldCharType="end"/>
            </w:r>
          </w:p>
        </w:tc>
      </w:tr>
    </w:tbl>
    <w:p w14:paraId="2F50253A" w14:textId="77777777" w:rsidR="00255B02" w:rsidRPr="00362542" w:rsidRDefault="00255B02" w:rsidP="00501ABB">
      <w:pPr>
        <w:ind w:left="0"/>
      </w:pPr>
    </w:p>
    <w:p w14:paraId="2F50253B" w14:textId="77777777" w:rsidR="00255B02" w:rsidRPr="00476D38" w:rsidRDefault="00255B02" w:rsidP="00772D8F">
      <w:pPr>
        <w:pStyle w:val="Heading3"/>
        <w:ind w:left="0" w:right="-432"/>
      </w:pPr>
      <w:r w:rsidRPr="00476D38">
        <w:t xml:space="preserve">Relationship to federal requirements </w:t>
      </w:r>
    </w:p>
    <w:p w14:paraId="16F6C122" w14:textId="77777777" w:rsidR="007330F4" w:rsidRPr="0020404D" w:rsidRDefault="007330F4" w:rsidP="007330F4">
      <w:pPr>
        <w:ind w:left="36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135BE1B6" w14:textId="77777777" w:rsidR="007330F4" w:rsidRPr="0020404D" w:rsidRDefault="007330F4" w:rsidP="007330F4">
      <w:pPr>
        <w:ind w:left="360"/>
        <w:rPr>
          <w:color w:val="000000"/>
        </w:rPr>
      </w:pPr>
    </w:p>
    <w:p w14:paraId="46EECAF9" w14:textId="77777777" w:rsidR="007330F4" w:rsidRPr="0020404D" w:rsidRDefault="007330F4" w:rsidP="007330F4">
      <w:pPr>
        <w:ind w:left="36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2F502558" w14:textId="77777777" w:rsidR="00D40C0F" w:rsidRPr="00F05E86" w:rsidRDefault="00D40C0F" w:rsidP="00772D8F">
      <w:pPr>
        <w:ind w:left="0" w:right="-432"/>
        <w:rPr>
          <w:rFonts w:ascii="Arial" w:hAnsi="Arial"/>
          <w:bCs/>
          <w:color w:val="C45911" w:themeColor="accent2" w:themeShade="BF"/>
        </w:rPr>
      </w:pPr>
      <w:bookmarkStart w:id="10" w:name="AlternativesConsidered"/>
      <w:bookmarkStart w:id="11" w:name="RANGE!C35"/>
    </w:p>
    <w:p w14:paraId="2F502559" w14:textId="77777777" w:rsidR="00255B02" w:rsidRPr="007330F4" w:rsidRDefault="00255B02" w:rsidP="00772D8F">
      <w:pPr>
        <w:ind w:left="0" w:right="-432"/>
        <w:rPr>
          <w:rFonts w:ascii="Arial" w:hAnsi="Arial" w:cs="Arial"/>
          <w:b/>
          <w:sz w:val="28"/>
          <w:szCs w:val="28"/>
        </w:rPr>
      </w:pPr>
      <w:r w:rsidRPr="007330F4">
        <w:rPr>
          <w:rFonts w:ascii="Arial" w:hAnsi="Arial" w:cs="Arial"/>
          <w:b/>
          <w:sz w:val="28"/>
          <w:szCs w:val="28"/>
        </w:rPr>
        <w:t>What alternatives did DEQ consider</w:t>
      </w:r>
      <w:bookmarkEnd w:id="10"/>
      <w:r w:rsidRPr="007330F4">
        <w:rPr>
          <w:rFonts w:ascii="Arial" w:hAnsi="Arial" w:cs="Arial"/>
          <w:b/>
          <w:sz w:val="28"/>
          <w:szCs w:val="28"/>
        </w:rPr>
        <w:t xml:space="preserve"> if any?</w:t>
      </w:r>
      <w:bookmarkEnd w:id="11"/>
      <w:r w:rsidRPr="007330F4">
        <w:rPr>
          <w:rFonts w:ascii="Arial" w:hAnsi="Arial" w:cs="Arial"/>
          <w:b/>
          <w:sz w:val="28"/>
          <w:szCs w:val="28"/>
        </w:rPr>
        <w:t xml:space="preserve"> </w:t>
      </w:r>
    </w:p>
    <w:p w14:paraId="6B6D5437" w14:textId="50DBC25C" w:rsidR="007330F4" w:rsidRPr="00A5272E" w:rsidRDefault="007330F4" w:rsidP="007330F4">
      <w:pPr>
        <w:ind w:left="360"/>
      </w:pPr>
      <w:r>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2015, 2016</w:t>
      </w:r>
      <w:r w:rsidR="003D1DDB">
        <w:t xml:space="preserve">, </w:t>
      </w:r>
      <w:r>
        <w:t>2017</w:t>
      </w:r>
      <w:r w:rsidR="003D1DDB">
        <w:t>, and 2018</w:t>
      </w:r>
      <w:r>
        <w:t xml:space="preserve">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2F50255F" w14:textId="77777777" w:rsidR="00255B02" w:rsidRDefault="00255B02" w:rsidP="00501ABB">
      <w:pPr>
        <w:ind w:left="0"/>
      </w:pPr>
    </w:p>
    <w:p w14:paraId="2F502560"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2F502564" w14:textId="77777777" w:rsidTr="003861C1">
        <w:trPr>
          <w:trHeight w:val="715"/>
          <w:jc w:val="center"/>
        </w:trPr>
        <w:tc>
          <w:tcPr>
            <w:tcW w:w="8937" w:type="dxa"/>
            <w:shd w:val="clear" w:color="000000" w:fill="D5DCE4" w:themeFill="text2" w:themeFillTint="33"/>
            <w:noWrap/>
            <w:vAlign w:val="bottom"/>
            <w:hideMark/>
          </w:tcPr>
          <w:p w14:paraId="2F502561" w14:textId="77777777" w:rsidR="00823C9D" w:rsidRPr="00823C9D" w:rsidRDefault="00823C9D" w:rsidP="00501ABB">
            <w:pPr>
              <w:ind w:left="0"/>
            </w:pPr>
          </w:p>
          <w:p w14:paraId="2F502563" w14:textId="7CA9141A" w:rsidR="00823C9D" w:rsidRPr="00E6528C" w:rsidRDefault="00823C9D" w:rsidP="007330F4">
            <w:pPr>
              <w:pStyle w:val="TOC1"/>
              <w:rPr>
                <w:rFonts w:cs="Arial"/>
                <w:color w:val="C45911" w:themeColor="accent2" w:themeShade="BF"/>
              </w:rPr>
            </w:pPr>
            <w:bookmarkStart w:id="12" w:name="_Toc522107427"/>
            <w:r w:rsidRPr="00B96F38">
              <w:rPr>
                <w:rStyle w:val="Heading1Char"/>
              </w:rPr>
              <w:t>Land use</w:t>
            </w:r>
            <w:bookmarkEnd w:id="12"/>
          </w:p>
        </w:tc>
      </w:tr>
    </w:tbl>
    <w:p w14:paraId="2F502565" w14:textId="77777777" w:rsidR="00BB582F" w:rsidRDefault="00BB582F" w:rsidP="00501ABB">
      <w:pPr>
        <w:ind w:left="0"/>
      </w:pPr>
    </w:p>
    <w:p w14:paraId="2F5025CA" w14:textId="77777777" w:rsidR="00516FBC" w:rsidRDefault="000B685A" w:rsidP="003D1DDB">
      <w:pPr>
        <w:pStyle w:val="Heading3"/>
        <w:ind w:left="0" w:right="-432"/>
        <w:jc w:val="both"/>
      </w:pPr>
      <w:r w:rsidRPr="00476D38">
        <w:t>Land</w:t>
      </w:r>
      <w:r w:rsidR="006754AA" w:rsidRPr="00476D38">
        <w:t>-</w:t>
      </w:r>
      <w:r w:rsidRPr="00476D38">
        <w:t>use considerations</w:t>
      </w:r>
    </w:p>
    <w:p w14:paraId="2F5025CB" w14:textId="77777777" w:rsidR="00E026AC" w:rsidRPr="00E026AC" w:rsidRDefault="00E026AC" w:rsidP="00772D8F">
      <w:pPr>
        <w:ind w:right="-432"/>
      </w:pPr>
    </w:p>
    <w:p w14:paraId="339A5E7F" w14:textId="77777777" w:rsidR="007330F4" w:rsidRDefault="007330F4" w:rsidP="003D1DDB">
      <w:pPr>
        <w:ind w:left="0"/>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442807E7" w14:textId="77777777" w:rsidR="007330F4" w:rsidRDefault="007330F4" w:rsidP="007330F4">
      <w:pPr>
        <w:ind w:left="360"/>
      </w:pPr>
    </w:p>
    <w:p w14:paraId="4EC3F39F" w14:textId="77777777" w:rsidR="007330F4" w:rsidRDefault="007330F4" w:rsidP="003D1DDB">
      <w:pPr>
        <w:ind w:left="0"/>
      </w:pPr>
      <w:r>
        <w:t>Under OAR 660-030-0005 and OAR 340 Division 18, DEQ considers that rules affect land use if:</w:t>
      </w:r>
    </w:p>
    <w:p w14:paraId="4E65F846" w14:textId="77777777" w:rsidR="007330F4" w:rsidRPr="009A7070" w:rsidRDefault="007330F4" w:rsidP="003D1DDB">
      <w:pPr>
        <w:numPr>
          <w:ilvl w:val="0"/>
          <w:numId w:val="14"/>
        </w:numPr>
        <w:ind w:left="720"/>
      </w:pPr>
      <w:r w:rsidRPr="009A7070">
        <w:t>The statewide land use planning goals specifically refer to the rule or program, or</w:t>
      </w:r>
    </w:p>
    <w:p w14:paraId="38F26348" w14:textId="77777777" w:rsidR="007330F4" w:rsidRPr="009A7070" w:rsidRDefault="007330F4" w:rsidP="003D1DDB">
      <w:pPr>
        <w:numPr>
          <w:ilvl w:val="0"/>
          <w:numId w:val="14"/>
        </w:numPr>
        <w:ind w:left="720"/>
      </w:pPr>
      <w:r w:rsidRPr="009A7070">
        <w:t>The rule or program is reasonably expected to have significant effects on:</w:t>
      </w:r>
    </w:p>
    <w:p w14:paraId="45D7906E" w14:textId="77777777" w:rsidR="007330F4" w:rsidRPr="009A7070" w:rsidRDefault="007330F4" w:rsidP="003D1DDB">
      <w:pPr>
        <w:numPr>
          <w:ilvl w:val="1"/>
          <w:numId w:val="14"/>
        </w:numPr>
        <w:ind w:left="1080"/>
      </w:pPr>
      <w:r w:rsidRPr="009A7070">
        <w:t>Resources, objectives or areas identified in the statewide planning goals, or</w:t>
      </w:r>
    </w:p>
    <w:p w14:paraId="79CCAC8A" w14:textId="77777777" w:rsidR="007330F4" w:rsidRPr="009A7070" w:rsidRDefault="007330F4" w:rsidP="003D1DDB">
      <w:pPr>
        <w:numPr>
          <w:ilvl w:val="1"/>
          <w:numId w:val="14"/>
        </w:numPr>
        <w:ind w:left="1080"/>
      </w:pPr>
      <w:r w:rsidRPr="009A7070">
        <w:t>Present or future land uses identified in acknowledged comprehensive plans</w:t>
      </w:r>
    </w:p>
    <w:p w14:paraId="3C042F81" w14:textId="77777777" w:rsidR="007330F4" w:rsidRDefault="007330F4" w:rsidP="007330F4"/>
    <w:p w14:paraId="079F4DFF" w14:textId="77777777" w:rsidR="007330F4" w:rsidRDefault="007330F4" w:rsidP="003D1DDB">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057FD2DB" w14:textId="77777777" w:rsidR="007330F4" w:rsidRPr="00B82764" w:rsidRDefault="007330F4" w:rsidP="007330F4">
      <w:pPr>
        <w:ind w:left="360"/>
      </w:pPr>
    </w:p>
    <w:p w14:paraId="13C8DD46" w14:textId="77777777" w:rsidR="007330F4" w:rsidRPr="00BB582F" w:rsidRDefault="007330F4" w:rsidP="007330F4">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1BDD855F" w14:textId="77777777" w:rsidR="007330F4" w:rsidRDefault="007330F4" w:rsidP="007330F4">
      <w:pPr>
        <w:tabs>
          <w:tab w:val="right" w:pos="1440"/>
          <w:tab w:val="left" w:pos="1980"/>
        </w:tabs>
        <w:ind w:left="1170"/>
      </w:pPr>
      <w:r>
        <w:tab/>
      </w:r>
      <w:r w:rsidRPr="00680EF2">
        <w:t xml:space="preserve">5 </w:t>
      </w:r>
      <w:r w:rsidRPr="00680EF2">
        <w:tab/>
        <w:t>Open Spaces, Scenic and Historic Areas, and Natural Resources</w:t>
      </w:r>
    </w:p>
    <w:p w14:paraId="1C52572B" w14:textId="77777777" w:rsidR="007330F4" w:rsidRPr="00680EF2" w:rsidRDefault="007330F4" w:rsidP="007330F4">
      <w:pPr>
        <w:tabs>
          <w:tab w:val="right" w:pos="1440"/>
          <w:tab w:val="left" w:pos="1980"/>
        </w:tabs>
        <w:ind w:left="1170"/>
      </w:pPr>
      <w:r>
        <w:tab/>
      </w:r>
      <w:r w:rsidRPr="00680EF2">
        <w:t xml:space="preserve">6 </w:t>
      </w:r>
      <w:r w:rsidRPr="00680EF2">
        <w:tab/>
        <w:t>Air, Water and Land Resources Quality</w:t>
      </w:r>
    </w:p>
    <w:p w14:paraId="1DE6D54E" w14:textId="77777777" w:rsidR="007330F4" w:rsidRPr="00680EF2" w:rsidRDefault="007330F4" w:rsidP="007330F4">
      <w:pPr>
        <w:tabs>
          <w:tab w:val="right" w:pos="1440"/>
          <w:tab w:val="left" w:pos="1980"/>
        </w:tabs>
        <w:ind w:left="1170"/>
      </w:pPr>
      <w:r>
        <w:tab/>
      </w:r>
      <w:r w:rsidRPr="00680EF2">
        <w:t>9</w:t>
      </w:r>
      <w:r w:rsidRPr="00680EF2">
        <w:tab/>
        <w:t>Ocean Resources</w:t>
      </w:r>
    </w:p>
    <w:p w14:paraId="3B91CC28" w14:textId="77777777" w:rsidR="007330F4" w:rsidRPr="00680EF2" w:rsidRDefault="007330F4" w:rsidP="007330F4">
      <w:pPr>
        <w:tabs>
          <w:tab w:val="right" w:pos="1440"/>
          <w:tab w:val="left" w:pos="1980"/>
        </w:tabs>
        <w:ind w:left="1170"/>
      </w:pPr>
      <w:r w:rsidRPr="00680EF2">
        <w:t xml:space="preserve">11 </w:t>
      </w:r>
      <w:r w:rsidRPr="00680EF2">
        <w:tab/>
        <w:t>Public Facilities and Services</w:t>
      </w:r>
    </w:p>
    <w:p w14:paraId="6351E48F" w14:textId="77777777" w:rsidR="007330F4" w:rsidRPr="00680EF2" w:rsidRDefault="007330F4" w:rsidP="007330F4">
      <w:pPr>
        <w:tabs>
          <w:tab w:val="right" w:pos="1440"/>
          <w:tab w:val="left" w:pos="1980"/>
        </w:tabs>
        <w:ind w:left="1170"/>
      </w:pPr>
      <w:r>
        <w:tab/>
      </w:r>
      <w:r w:rsidRPr="00680EF2">
        <w:t>16</w:t>
      </w:r>
      <w:r w:rsidRPr="00680EF2">
        <w:tab/>
        <w:t>Estuarial</w:t>
      </w:r>
      <w:r>
        <w:t xml:space="preserve"> R</w:t>
      </w:r>
      <w:r w:rsidRPr="00680EF2">
        <w:t>esources</w:t>
      </w:r>
      <w:r>
        <w:tab/>
      </w:r>
    </w:p>
    <w:p w14:paraId="57BA2D78" w14:textId="77777777" w:rsidR="007330F4" w:rsidRPr="00B82764" w:rsidRDefault="007330F4" w:rsidP="007330F4"/>
    <w:p w14:paraId="1C6F4789" w14:textId="77777777" w:rsidR="007330F4" w:rsidRDefault="007330F4" w:rsidP="003D1DDB">
      <w:pPr>
        <w:pStyle w:val="ListParagraph"/>
        <w:ind w:left="0"/>
      </w:pPr>
      <w:r>
        <w:t>Statewide goals also specifically reference the following DEQ programs:</w:t>
      </w:r>
    </w:p>
    <w:p w14:paraId="74181EAB" w14:textId="77777777" w:rsidR="007330F4" w:rsidRPr="0006277C" w:rsidRDefault="007330F4" w:rsidP="003D1DDB">
      <w:pPr>
        <w:pStyle w:val="ListParagraph"/>
        <w:numPr>
          <w:ilvl w:val="0"/>
          <w:numId w:val="16"/>
        </w:numPr>
        <w:ind w:left="720"/>
      </w:pPr>
      <w:r w:rsidRPr="0006277C">
        <w:t>Nonpoint source discharge water quality program – Goal 16</w:t>
      </w:r>
    </w:p>
    <w:p w14:paraId="5C5D8666" w14:textId="77777777" w:rsidR="007330F4" w:rsidRPr="0006277C" w:rsidRDefault="007330F4" w:rsidP="003D1DDB">
      <w:pPr>
        <w:pStyle w:val="ListParagraph"/>
        <w:numPr>
          <w:ilvl w:val="0"/>
          <w:numId w:val="16"/>
        </w:numPr>
        <w:ind w:left="720"/>
      </w:pPr>
      <w:r w:rsidRPr="0006277C">
        <w:t>Water quality and sewage disposal systems – Goal 16</w:t>
      </w:r>
    </w:p>
    <w:p w14:paraId="0AF9CFB3" w14:textId="77777777" w:rsidR="007330F4" w:rsidRPr="0006277C" w:rsidRDefault="007330F4" w:rsidP="003D1DDB">
      <w:pPr>
        <w:pStyle w:val="ListParagraph"/>
        <w:numPr>
          <w:ilvl w:val="0"/>
          <w:numId w:val="16"/>
        </w:numPr>
        <w:ind w:left="720"/>
      </w:pPr>
      <w:r w:rsidRPr="0006277C">
        <w:t>Water quality permits and oil spill regulations – Goal 19</w:t>
      </w:r>
    </w:p>
    <w:p w14:paraId="2F5025EF" w14:textId="77777777" w:rsidR="0006277C" w:rsidRDefault="0006277C" w:rsidP="00772D8F">
      <w:pPr>
        <w:pStyle w:val="ListParagraph"/>
        <w:ind w:left="0" w:right="-432"/>
      </w:pPr>
    </w:p>
    <w:p w14:paraId="2F5025F0" w14:textId="77777777" w:rsidR="002E4AA0" w:rsidRPr="00476D38" w:rsidRDefault="006416C7" w:rsidP="003D1DDB">
      <w:pPr>
        <w:pStyle w:val="Heading3"/>
        <w:ind w:left="0" w:right="-432"/>
      </w:pPr>
      <w:r w:rsidRPr="00476D38">
        <w:t>Determination</w:t>
      </w:r>
    </w:p>
    <w:p w14:paraId="2F5025F3" w14:textId="77777777"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B041EC" w:rsidRPr="00D01042">
        <w:t>affect</w:t>
      </w:r>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p>
    <w:p w14:paraId="2F5025F4" w14:textId="77777777" w:rsidR="00BB582F" w:rsidRPr="00F05E86" w:rsidRDefault="00BB582F" w:rsidP="00772D8F">
      <w:pPr>
        <w:ind w:left="0" w:right="-432"/>
        <w:rPr>
          <w:rStyle w:val="Emphasis"/>
          <w:rFonts w:ascii="Arial" w:hAnsi="Arial"/>
          <w:vanish w:val="0"/>
          <w:color w:val="C45911" w:themeColor="accent2" w:themeShade="BF"/>
          <w:sz w:val="24"/>
        </w:rPr>
      </w:pPr>
    </w:p>
    <w:p w14:paraId="2F50260B" w14:textId="77777777" w:rsidR="0065239D" w:rsidRPr="00D936A0" w:rsidRDefault="0065239D" w:rsidP="00501ABB">
      <w:pPr>
        <w:ind w:left="0"/>
      </w:pPr>
    </w:p>
    <w:p w14:paraId="2F50260C" w14:textId="77777777" w:rsidR="00F810EA" w:rsidRDefault="00F810EA" w:rsidP="00501ABB">
      <w:pPr>
        <w:ind w:left="0"/>
      </w:pPr>
    </w:p>
    <w:p w14:paraId="2F50260D"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2F502611" w14:textId="77777777" w:rsidTr="0093757E">
        <w:trPr>
          <w:trHeight w:val="707"/>
          <w:jc w:val="center"/>
        </w:trPr>
        <w:tc>
          <w:tcPr>
            <w:tcW w:w="9080" w:type="dxa"/>
            <w:shd w:val="clear" w:color="000000" w:fill="D5DCE4" w:themeFill="text2" w:themeFillTint="33"/>
            <w:noWrap/>
            <w:vAlign w:val="bottom"/>
            <w:hideMark/>
          </w:tcPr>
          <w:p w14:paraId="2F50260E" w14:textId="77777777" w:rsidR="00C9239E" w:rsidRPr="00823C9D" w:rsidRDefault="00C9239E" w:rsidP="00501ABB">
            <w:pPr>
              <w:ind w:left="0"/>
              <w:rPr>
                <w:color w:val="32525C"/>
                <w:sz w:val="28"/>
                <w:szCs w:val="28"/>
              </w:rPr>
            </w:pPr>
            <w:r w:rsidRPr="00B15DF7">
              <w:lastRenderedPageBreak/>
              <w:t> </w:t>
            </w:r>
          </w:p>
          <w:p w14:paraId="2F502610" w14:textId="473E417C" w:rsidR="00C9239E" w:rsidRPr="004300F3" w:rsidRDefault="00C9239E" w:rsidP="00A31C75">
            <w:pPr>
              <w:pStyle w:val="Heading1"/>
              <w:rPr>
                <w:b w:val="0"/>
                <w:color w:val="C45911" w:themeColor="accent2" w:themeShade="BF"/>
              </w:rPr>
            </w:pPr>
            <w:bookmarkStart w:id="13" w:name="_Toc522107428"/>
            <w:r>
              <w:t xml:space="preserve">Stakeholder </w:t>
            </w:r>
            <w:r w:rsidR="00B35715">
              <w:t xml:space="preserve">and public </w:t>
            </w:r>
            <w:r>
              <w:t>involvement</w:t>
            </w:r>
            <w:bookmarkEnd w:id="13"/>
            <w:r w:rsidR="009C0A9E" w:rsidRPr="004300F3">
              <w:rPr>
                <w:b w:val="0"/>
                <w:color w:val="806000" w:themeColor="accent4" w:themeShade="80"/>
              </w:rPr>
              <w:t xml:space="preserve"> </w:t>
            </w:r>
          </w:p>
        </w:tc>
      </w:tr>
    </w:tbl>
    <w:p w14:paraId="2F502612" w14:textId="77777777" w:rsidR="00C9239E" w:rsidRPr="00B15DF7" w:rsidRDefault="00C9239E" w:rsidP="00501ABB">
      <w:pPr>
        <w:ind w:left="0"/>
      </w:pPr>
      <w:r w:rsidRPr="00B15DF7">
        <w:t>  </w:t>
      </w:r>
    </w:p>
    <w:p w14:paraId="2F502613" w14:textId="77777777" w:rsidR="00C9239E" w:rsidRPr="00476D38" w:rsidRDefault="00C9239E" w:rsidP="00772D8F">
      <w:pPr>
        <w:pStyle w:val="Heading3"/>
        <w:ind w:left="0" w:right="-432"/>
      </w:pPr>
      <w:bookmarkStart w:id="14" w:name="AdvisoryCommittee"/>
      <w:r w:rsidRPr="00476D38">
        <w:t>Advisory committee</w:t>
      </w:r>
      <w:bookmarkEnd w:id="14"/>
    </w:p>
    <w:p w14:paraId="2F50261B" w14:textId="248F0162" w:rsidR="00A76D00" w:rsidRDefault="00A31C75" w:rsidP="003D1DDB">
      <w:pPr>
        <w:ind w:left="0"/>
        <w:rPr>
          <w:rStyle w:val="Hyperlink"/>
          <w:color w:val="000000" w:themeColor="text1"/>
        </w:rPr>
      </w:pPr>
      <w:r w:rsidRPr="0020404D">
        <w:t>DEQ convened the CFP 201</w:t>
      </w:r>
      <w:r w:rsidR="003D1DDB">
        <w:t>8</w:t>
      </w:r>
      <w:r w:rsidRPr="0020404D">
        <w:t xml:space="preserve"> Rulemaking advisory committee. The committee included i</w:t>
      </w:r>
      <w:r w:rsidRPr="0020404D">
        <w:rPr>
          <w:rFonts w:eastAsiaTheme="minorHAnsi"/>
        </w:rPr>
        <w:t>mporters of various transportation fuels; large and small businesses that may be regulated parties</w:t>
      </w:r>
      <w:bookmarkStart w:id="15" w:name="_GoBack"/>
      <w:r w:rsidRPr="0020404D">
        <w:rPr>
          <w:rFonts w:eastAsiaTheme="minorHAnsi"/>
        </w:rPr>
        <w:t>;</w:t>
      </w:r>
      <w:bookmarkEnd w:id="15"/>
      <w:r w:rsidRPr="0020404D">
        <w:rPr>
          <w:rFonts w:eastAsiaTheme="minorHAnsi"/>
        </w:rPr>
        <w:t xml:space="preserve"> the general public; and conservation organizations with members that may be impacted by the program and met </w:t>
      </w:r>
      <w:r w:rsidR="003D1DDB">
        <w:rPr>
          <w:rFonts w:eastAsiaTheme="minorHAnsi"/>
        </w:rPr>
        <w:t>3</w:t>
      </w:r>
      <w:r w:rsidRPr="0020404D">
        <w:rPr>
          <w:rFonts w:eastAsiaTheme="minorHAnsi"/>
        </w:rPr>
        <w:t xml:space="preserve"> times</w:t>
      </w:r>
      <w:r w:rsidRPr="0020404D">
        <w:t xml:space="preserve">. The committee’s web page is located at: </w:t>
      </w:r>
      <w:hyperlink r:id="rId33" w:history="1">
        <w:r w:rsidR="003D1DDB" w:rsidRPr="00AB116A">
          <w:rPr>
            <w:rStyle w:val="Hyperlink"/>
          </w:rPr>
          <w:t>https://www.oregon.gov/deq/Regulations/rulemaking/Pages/rCFP2018.aspx</w:t>
        </w:r>
      </w:hyperlink>
      <w:r w:rsidR="003D1DDB">
        <w:rPr>
          <w:rStyle w:val="Hyperlink"/>
          <w:color w:val="000000" w:themeColor="text1"/>
        </w:rPr>
        <w:t xml:space="preserve">. </w:t>
      </w:r>
    </w:p>
    <w:p w14:paraId="1D34D13A" w14:textId="77777777" w:rsidR="003D1DDB" w:rsidRDefault="003D1DDB" w:rsidP="003D1DDB">
      <w:pPr>
        <w:ind w:left="0"/>
        <w:rPr>
          <w:color w:val="C45911" w:themeColor="accent2" w:themeShade="BF"/>
        </w:rPr>
      </w:pPr>
    </w:p>
    <w:p w14:paraId="2F50261C" w14:textId="77777777" w:rsidR="00A76D00" w:rsidRDefault="00A76D00" w:rsidP="00772D8F">
      <w:pPr>
        <w:ind w:left="0" w:right="-432"/>
      </w:pPr>
      <w:r>
        <w:t>The committee members were:</w:t>
      </w:r>
    </w:p>
    <w:p w14:paraId="2F50261D" w14:textId="473EB50E" w:rsidR="00B86088" w:rsidRDefault="00B86088" w:rsidP="00772D8F">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6773"/>
      </w:tblGrid>
      <w:tr w:rsidR="00A31C75" w:rsidRPr="00C3722A" w14:paraId="23EE2545" w14:textId="77777777" w:rsidTr="00A31C75">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0E71198E" w14:textId="77777777" w:rsidR="00A31C75" w:rsidRPr="00C3722A" w:rsidRDefault="00A31C75" w:rsidP="005A5751">
            <w:pPr>
              <w:pStyle w:val="Tableheading"/>
            </w:pPr>
            <w:r>
              <w:rPr>
                <w:sz w:val="32"/>
                <w:szCs w:val="32"/>
              </w:rPr>
              <w:t>CFP2017 Rulemaking Advisory Committee</w:t>
            </w:r>
          </w:p>
        </w:tc>
      </w:tr>
      <w:tr w:rsidR="00A31C75" w:rsidRPr="005B626A" w14:paraId="28ECB54D" w14:textId="77777777" w:rsidTr="00A31C75">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021882E4" w14:textId="77777777" w:rsidR="00A31C75" w:rsidRPr="005B626A" w:rsidRDefault="00A31C75" w:rsidP="005A5751">
            <w:pPr>
              <w:ind w:left="175"/>
              <w:jc w:val="center"/>
              <w:rPr>
                <w:rFonts w:ascii="Arial" w:hAnsi="Arial" w:cs="Arial"/>
                <w:b/>
                <w:sz w:val="28"/>
                <w:szCs w:val="28"/>
              </w:rPr>
            </w:pPr>
            <w:r>
              <w:rPr>
                <w:rFonts w:ascii="Arial" w:hAnsi="Arial" w:cs="Arial"/>
                <w:b/>
                <w:sz w:val="28"/>
                <w:szCs w:val="28"/>
              </w:rPr>
              <w:t>Name</w:t>
            </w:r>
          </w:p>
        </w:tc>
        <w:tc>
          <w:tcPr>
            <w:tcW w:w="677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01620880" w14:textId="77777777" w:rsidR="00A31C75" w:rsidRPr="005B626A" w:rsidRDefault="00A31C75" w:rsidP="005A5751">
            <w:pPr>
              <w:ind w:left="90"/>
              <w:jc w:val="center"/>
              <w:rPr>
                <w:rFonts w:ascii="Arial" w:hAnsi="Arial" w:cs="Arial"/>
                <w:b/>
                <w:sz w:val="28"/>
                <w:szCs w:val="28"/>
              </w:rPr>
            </w:pPr>
            <w:r>
              <w:rPr>
                <w:rFonts w:ascii="Arial" w:hAnsi="Arial" w:cs="Arial"/>
                <w:b/>
                <w:sz w:val="28"/>
                <w:szCs w:val="28"/>
              </w:rPr>
              <w:t>Representing</w:t>
            </w:r>
          </w:p>
        </w:tc>
      </w:tr>
      <w:tr w:rsidR="00A31C75" w:rsidRPr="005B626A" w14:paraId="7932D535"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BF40830" w14:textId="77777777" w:rsidR="00A31C75" w:rsidRPr="00F80FBB" w:rsidRDefault="00A31C75" w:rsidP="005A5751">
            <w:pPr>
              <w:ind w:left="175"/>
            </w:pPr>
            <w:r w:rsidRPr="004804F3">
              <w:rPr>
                <w:color w:val="000000"/>
              </w:rPr>
              <w:t>Craig</w:t>
            </w:r>
            <w:r>
              <w:rPr>
                <w:color w:val="000000"/>
              </w:rPr>
              <w:t xml:space="preserve"> Campbell</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7BEAC920" w14:textId="77777777" w:rsidR="00A31C75" w:rsidRPr="00F80FBB" w:rsidRDefault="00A31C75" w:rsidP="005A5751">
            <w:pPr>
              <w:ind w:left="90"/>
            </w:pPr>
            <w:r w:rsidRPr="004804F3">
              <w:rPr>
                <w:color w:val="000000"/>
              </w:rPr>
              <w:t>AAA</w:t>
            </w:r>
          </w:p>
        </w:tc>
      </w:tr>
      <w:tr w:rsidR="00A31C75" w:rsidRPr="005B626A" w14:paraId="2E23586C"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2E2A4F29" w14:textId="77777777" w:rsidR="00A31C75" w:rsidRPr="00F80FBB" w:rsidRDefault="00A31C75" w:rsidP="005A5751">
            <w:pPr>
              <w:ind w:left="175"/>
            </w:pPr>
            <w:r w:rsidRPr="004804F3">
              <w:rPr>
                <w:color w:val="000000"/>
              </w:rPr>
              <w:t>Mike</w:t>
            </w:r>
            <w:r>
              <w:rPr>
                <w:color w:val="000000"/>
              </w:rPr>
              <w:t xml:space="preserve"> Friese</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282BA9F1" w14:textId="77777777" w:rsidR="00A31C75" w:rsidRPr="00F80FBB" w:rsidRDefault="00A31C75" w:rsidP="005A5751">
            <w:pPr>
              <w:ind w:left="90"/>
            </w:pPr>
            <w:r w:rsidRPr="004804F3">
              <w:rPr>
                <w:color w:val="000000"/>
              </w:rPr>
              <w:t>Associated Oregon Industries</w:t>
            </w:r>
          </w:p>
        </w:tc>
      </w:tr>
      <w:tr w:rsidR="00A31C75" w:rsidRPr="005B626A" w14:paraId="04AB8ED0"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D03E0DB" w14:textId="77777777" w:rsidR="00A31C75" w:rsidRPr="00F80FBB" w:rsidRDefault="00A31C75" w:rsidP="005A5751">
            <w:pPr>
              <w:ind w:left="175"/>
            </w:pPr>
            <w:r>
              <w:rPr>
                <w:color w:val="000000"/>
              </w:rPr>
              <w:t>Jeff Rouse</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38D5FF2F" w14:textId="77777777" w:rsidR="00A31C75" w:rsidRPr="00F80FBB" w:rsidRDefault="00A31C75" w:rsidP="005A5751">
            <w:pPr>
              <w:ind w:left="90"/>
            </w:pPr>
            <w:r>
              <w:rPr>
                <w:color w:val="000000"/>
              </w:rPr>
              <w:t>Carson Oil</w:t>
            </w:r>
          </w:p>
        </w:tc>
      </w:tr>
      <w:tr w:rsidR="00A31C75" w:rsidRPr="005B626A" w14:paraId="1D0085D4"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49261C8" w14:textId="77777777" w:rsidR="00A31C75" w:rsidRPr="00F80FBB" w:rsidRDefault="00A31C75" w:rsidP="005A5751">
            <w:pPr>
              <w:ind w:left="175"/>
            </w:pPr>
            <w:r w:rsidRPr="004804F3">
              <w:rPr>
                <w:color w:val="000000"/>
              </w:rPr>
              <w:t>Anne</w:t>
            </w:r>
            <w:r>
              <w:rPr>
                <w:color w:val="000000"/>
              </w:rPr>
              <w:t xml:space="preserve"> Smart</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3EBE138B" w14:textId="77777777" w:rsidR="00A31C75" w:rsidRPr="00F80FBB" w:rsidRDefault="00A31C75" w:rsidP="005A5751">
            <w:pPr>
              <w:ind w:left="90"/>
            </w:pPr>
            <w:r w:rsidRPr="004804F3">
              <w:rPr>
                <w:color w:val="000000"/>
              </w:rPr>
              <w:t>ChargePoint</w:t>
            </w:r>
          </w:p>
        </w:tc>
      </w:tr>
      <w:tr w:rsidR="00A31C75" w:rsidRPr="005B626A" w14:paraId="4F087C4E"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81AD0AF" w14:textId="77777777" w:rsidR="00A31C75" w:rsidRPr="00F80FBB" w:rsidRDefault="00A31C75" w:rsidP="005A5751">
            <w:pPr>
              <w:ind w:left="175"/>
            </w:pPr>
            <w:r w:rsidRPr="004804F3">
              <w:rPr>
                <w:color w:val="000000"/>
              </w:rPr>
              <w:t>Micah</w:t>
            </w:r>
            <w:r>
              <w:rPr>
                <w:color w:val="000000"/>
              </w:rPr>
              <w:t xml:space="preserve"> Berry</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77C4AC07" w14:textId="77777777" w:rsidR="00A31C75" w:rsidRPr="00F80FBB" w:rsidRDefault="00A31C75" w:rsidP="005A5751">
            <w:pPr>
              <w:ind w:left="90"/>
            </w:pPr>
            <w:r w:rsidRPr="004804F3">
              <w:rPr>
                <w:color w:val="000000"/>
              </w:rPr>
              <w:t>Chevron USA Inc</w:t>
            </w:r>
          </w:p>
        </w:tc>
      </w:tr>
      <w:tr w:rsidR="00A31C75" w:rsidRPr="005B626A" w14:paraId="00648791"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395AE9B" w14:textId="77777777" w:rsidR="00A31C75" w:rsidRPr="00F80FBB" w:rsidRDefault="00A31C75" w:rsidP="005A5751">
            <w:pPr>
              <w:ind w:left="175"/>
            </w:pPr>
            <w:r w:rsidRPr="004804F3">
              <w:rPr>
                <w:color w:val="000000"/>
              </w:rPr>
              <w:t>Bob</w:t>
            </w:r>
            <w:r>
              <w:rPr>
                <w:color w:val="000000"/>
              </w:rPr>
              <w:t xml:space="preserve"> Jenks</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705823DB" w14:textId="77777777" w:rsidR="00A31C75" w:rsidRPr="00F80FBB" w:rsidRDefault="00A31C75" w:rsidP="005A5751">
            <w:pPr>
              <w:ind w:left="90"/>
            </w:pPr>
            <w:r w:rsidRPr="004804F3">
              <w:rPr>
                <w:color w:val="000000"/>
              </w:rPr>
              <w:t>Citizens Utility Board</w:t>
            </w:r>
          </w:p>
        </w:tc>
      </w:tr>
      <w:tr w:rsidR="00A31C75" w:rsidRPr="005B626A" w14:paraId="7936B470"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2BB174A8" w14:textId="77777777" w:rsidR="00A31C75" w:rsidRPr="00F80FBB" w:rsidRDefault="00A31C75" w:rsidP="005A5751">
            <w:pPr>
              <w:ind w:left="175"/>
            </w:pPr>
            <w:r w:rsidRPr="004804F3">
              <w:rPr>
                <w:color w:val="000000"/>
              </w:rPr>
              <w:t>Brandon</w:t>
            </w:r>
            <w:r>
              <w:rPr>
                <w:color w:val="000000"/>
              </w:rPr>
              <w:t xml:space="preserve"> Price</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51D5269A" w14:textId="77777777" w:rsidR="00A31C75" w:rsidRPr="00F80FBB" w:rsidRDefault="00A31C75" w:rsidP="005A5751">
            <w:pPr>
              <w:ind w:left="90"/>
            </w:pPr>
            <w:r w:rsidRPr="004804F3">
              <w:rPr>
                <w:color w:val="000000"/>
              </w:rPr>
              <w:t>Clean Energy Fuels</w:t>
            </w:r>
          </w:p>
        </w:tc>
      </w:tr>
      <w:tr w:rsidR="00A31C75" w:rsidRPr="005B626A" w14:paraId="66683AA7"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52C5E" w14:textId="77777777" w:rsidR="00A31C75" w:rsidRPr="00F80FBB" w:rsidRDefault="00A31C75" w:rsidP="005A5751">
            <w:pPr>
              <w:ind w:left="175"/>
            </w:pPr>
            <w:r w:rsidRPr="004804F3">
              <w:rPr>
                <w:color w:val="000000"/>
              </w:rPr>
              <w:t>Meredith</w:t>
            </w:r>
            <w:r>
              <w:rPr>
                <w:color w:val="000000"/>
              </w:rPr>
              <w:t xml:space="preserve"> Connolly</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3B73D968" w14:textId="77777777" w:rsidR="00A31C75" w:rsidRPr="00F80FBB" w:rsidRDefault="00A31C75" w:rsidP="005A5751">
            <w:pPr>
              <w:ind w:left="90"/>
            </w:pPr>
            <w:r w:rsidRPr="004804F3">
              <w:rPr>
                <w:color w:val="000000"/>
              </w:rPr>
              <w:t>Climate Solutions</w:t>
            </w:r>
          </w:p>
        </w:tc>
      </w:tr>
      <w:tr w:rsidR="00A31C75" w:rsidRPr="005B626A" w14:paraId="183A1FBE"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9F0AA2" w14:textId="77777777" w:rsidR="00A31C75" w:rsidRPr="00F80FBB" w:rsidRDefault="00A31C75" w:rsidP="005A5751">
            <w:pPr>
              <w:ind w:left="175"/>
            </w:pPr>
            <w:r w:rsidRPr="004804F3">
              <w:rPr>
                <w:color w:val="000000"/>
              </w:rPr>
              <w:t>Annie</w:t>
            </w:r>
            <w:r>
              <w:rPr>
                <w:color w:val="000000"/>
              </w:rPr>
              <w:t xml:space="preserve"> Stuart</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3B67CD42" w14:textId="77777777" w:rsidR="00A31C75" w:rsidRPr="00F80FBB" w:rsidRDefault="00A31C75" w:rsidP="005A5751">
            <w:pPr>
              <w:ind w:left="90"/>
            </w:pPr>
            <w:r w:rsidRPr="004804F3">
              <w:rPr>
                <w:color w:val="000000"/>
              </w:rPr>
              <w:t>Coleman Oil Company</w:t>
            </w:r>
          </w:p>
        </w:tc>
      </w:tr>
      <w:tr w:rsidR="00A31C75" w:rsidRPr="005B626A" w14:paraId="4C96173B"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8E0696F" w14:textId="77777777" w:rsidR="00A31C75" w:rsidRPr="00F80FBB" w:rsidRDefault="00A31C75" w:rsidP="005A5751">
            <w:pPr>
              <w:ind w:left="175"/>
            </w:pPr>
            <w:r w:rsidRPr="004804F3">
              <w:rPr>
                <w:color w:val="000000"/>
              </w:rPr>
              <w:t>Jeff</w:t>
            </w:r>
            <w:r>
              <w:rPr>
                <w:color w:val="000000"/>
              </w:rPr>
              <w:t xml:space="preserve"> Allen</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24397DA6" w14:textId="77777777" w:rsidR="00A31C75" w:rsidRPr="00F80FBB" w:rsidRDefault="00A31C75" w:rsidP="005A5751">
            <w:pPr>
              <w:ind w:left="90"/>
            </w:pPr>
            <w:r w:rsidRPr="004804F3">
              <w:rPr>
                <w:color w:val="000000"/>
              </w:rPr>
              <w:t>Drive Oregon</w:t>
            </w:r>
          </w:p>
        </w:tc>
      </w:tr>
      <w:tr w:rsidR="00A31C75" w:rsidRPr="005B626A" w14:paraId="47AA0315"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50608AD" w14:textId="77777777" w:rsidR="00A31C75" w:rsidRPr="00F80FBB" w:rsidRDefault="00A31C75" w:rsidP="005A5751">
            <w:pPr>
              <w:ind w:left="175"/>
            </w:pPr>
            <w:r w:rsidRPr="004804F3">
              <w:rPr>
                <w:color w:val="000000"/>
              </w:rPr>
              <w:t>Graham</w:t>
            </w:r>
            <w:r>
              <w:rPr>
                <w:color w:val="000000"/>
              </w:rPr>
              <w:t xml:space="preserve"> Noyes</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387B14F" w14:textId="77777777" w:rsidR="00A31C75" w:rsidRPr="00F80FBB" w:rsidRDefault="00A31C75" w:rsidP="005A5751">
            <w:pPr>
              <w:ind w:left="90"/>
            </w:pPr>
            <w:r w:rsidRPr="004804F3">
              <w:rPr>
                <w:color w:val="000000"/>
              </w:rPr>
              <w:t>Low Carbon Fuels Coalition</w:t>
            </w:r>
          </w:p>
        </w:tc>
      </w:tr>
      <w:tr w:rsidR="00A31C75" w:rsidRPr="005B626A" w14:paraId="6F602E4C"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0451F3C" w14:textId="77777777" w:rsidR="00A31C75" w:rsidRPr="00F80FBB" w:rsidRDefault="00A31C75" w:rsidP="005A5751">
            <w:pPr>
              <w:ind w:left="175"/>
            </w:pPr>
            <w:r w:rsidRPr="004804F3">
              <w:rPr>
                <w:color w:val="000000"/>
              </w:rPr>
              <w:t>Jana</w:t>
            </w:r>
            <w:r>
              <w:rPr>
                <w:color w:val="000000"/>
              </w:rPr>
              <w:t xml:space="preserve"> Gastellum</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56CC1C22" w14:textId="77777777" w:rsidR="00A31C75" w:rsidRPr="00F80FBB" w:rsidRDefault="00A31C75" w:rsidP="005A5751">
            <w:pPr>
              <w:ind w:left="90"/>
            </w:pPr>
            <w:r w:rsidRPr="004804F3">
              <w:rPr>
                <w:color w:val="000000"/>
              </w:rPr>
              <w:t>Oregon Environmental Council</w:t>
            </w:r>
          </w:p>
        </w:tc>
      </w:tr>
      <w:tr w:rsidR="00A31C75" w:rsidRPr="005B626A" w14:paraId="0E215607"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57DD13AB" w14:textId="77777777" w:rsidR="00A31C75" w:rsidRPr="00F80FBB" w:rsidRDefault="00A31C75" w:rsidP="005A5751">
            <w:pPr>
              <w:ind w:left="175"/>
            </w:pPr>
            <w:r w:rsidRPr="004804F3">
              <w:rPr>
                <w:color w:val="000000"/>
              </w:rPr>
              <w:t>Danelle</w:t>
            </w:r>
            <w:r>
              <w:rPr>
                <w:color w:val="000000"/>
              </w:rPr>
              <w:t xml:space="preserve"> Romain</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57485CEA" w14:textId="77777777" w:rsidR="00A31C75" w:rsidRPr="00F80FBB" w:rsidRDefault="00A31C75" w:rsidP="005A5751">
            <w:pPr>
              <w:ind w:left="90"/>
            </w:pPr>
            <w:r>
              <w:rPr>
                <w:color w:val="000000"/>
              </w:rPr>
              <w:t>Oregon Fuels Association &amp; Oregon Public Utility Districts Association</w:t>
            </w:r>
          </w:p>
        </w:tc>
      </w:tr>
      <w:tr w:rsidR="00A31C75" w:rsidRPr="005B626A" w14:paraId="4541039C"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2FEDF5EE" w14:textId="77777777" w:rsidR="00A31C75" w:rsidRPr="00F80FBB" w:rsidRDefault="00A31C75" w:rsidP="005A5751">
            <w:pPr>
              <w:ind w:left="175"/>
            </w:pPr>
            <w:r w:rsidRPr="004804F3">
              <w:rPr>
                <w:color w:val="000000"/>
              </w:rPr>
              <w:t>Beth</w:t>
            </w:r>
            <w:r>
              <w:rPr>
                <w:color w:val="000000"/>
              </w:rPr>
              <w:t xml:space="preserve"> Vargas Duncan</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57006574" w14:textId="77777777" w:rsidR="00A31C75" w:rsidRPr="00F80FBB" w:rsidRDefault="00A31C75" w:rsidP="005A5751">
            <w:pPr>
              <w:ind w:left="90"/>
            </w:pPr>
            <w:r w:rsidRPr="004804F3">
              <w:rPr>
                <w:color w:val="000000"/>
              </w:rPr>
              <w:t xml:space="preserve">Oregon </w:t>
            </w:r>
            <w:r>
              <w:rPr>
                <w:color w:val="000000"/>
              </w:rPr>
              <w:t>Refuse &amp; Recycling</w:t>
            </w:r>
            <w:r w:rsidRPr="004804F3">
              <w:rPr>
                <w:color w:val="000000"/>
              </w:rPr>
              <w:t xml:space="preserve"> Association</w:t>
            </w:r>
          </w:p>
        </w:tc>
      </w:tr>
      <w:tr w:rsidR="00A31C75" w:rsidRPr="005B626A" w14:paraId="647D91BC"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A3443CC" w14:textId="77777777" w:rsidR="00A31C75" w:rsidRPr="00F80FBB" w:rsidRDefault="00A31C75" w:rsidP="005A5751">
            <w:pPr>
              <w:ind w:left="175"/>
            </w:pPr>
            <w:r w:rsidRPr="004804F3">
              <w:rPr>
                <w:color w:val="000000"/>
              </w:rPr>
              <w:t>Bob</w:t>
            </w:r>
            <w:r>
              <w:rPr>
                <w:color w:val="000000"/>
              </w:rPr>
              <w:t xml:space="preserve"> Russell</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7219D7ED" w14:textId="77777777" w:rsidR="00A31C75" w:rsidRPr="00F80FBB" w:rsidRDefault="00A31C75" w:rsidP="005A5751">
            <w:pPr>
              <w:ind w:left="90"/>
            </w:pPr>
            <w:r w:rsidRPr="004804F3">
              <w:rPr>
                <w:color w:val="000000"/>
              </w:rPr>
              <w:t>Oregon Trucking Association</w:t>
            </w:r>
          </w:p>
        </w:tc>
      </w:tr>
      <w:tr w:rsidR="00A31C75" w:rsidRPr="005B626A" w14:paraId="61249F2F"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04CD634" w14:textId="77777777" w:rsidR="00A31C75" w:rsidRPr="00F80FBB" w:rsidRDefault="00A31C75" w:rsidP="005A5751">
            <w:pPr>
              <w:ind w:left="175"/>
            </w:pPr>
            <w:r w:rsidRPr="004804F3">
              <w:rPr>
                <w:color w:val="000000"/>
              </w:rPr>
              <w:t>Tom</w:t>
            </w:r>
            <w:r>
              <w:rPr>
                <w:color w:val="000000"/>
              </w:rPr>
              <w:t xml:space="preserve"> Koehler</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5EC25ADC" w14:textId="77777777" w:rsidR="00A31C75" w:rsidRPr="00F80FBB" w:rsidRDefault="00A31C75" w:rsidP="005A5751">
            <w:pPr>
              <w:ind w:left="90"/>
            </w:pPr>
            <w:r w:rsidRPr="004804F3">
              <w:rPr>
                <w:color w:val="000000"/>
              </w:rPr>
              <w:t>Pacific Ethanol</w:t>
            </w:r>
          </w:p>
        </w:tc>
      </w:tr>
      <w:tr w:rsidR="00A31C75" w:rsidRPr="005B626A" w14:paraId="37A7D09F"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54FBB22D" w14:textId="77777777" w:rsidR="00A31C75" w:rsidRPr="00F80FBB" w:rsidRDefault="00A31C75" w:rsidP="005A5751">
            <w:pPr>
              <w:ind w:left="175"/>
            </w:pPr>
            <w:r w:rsidRPr="004804F3">
              <w:rPr>
                <w:color w:val="000000"/>
              </w:rPr>
              <w:t>Mary</w:t>
            </w:r>
            <w:r>
              <w:rPr>
                <w:color w:val="000000"/>
              </w:rPr>
              <w:t xml:space="preserve"> Wiencke</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56EF5BF6" w14:textId="77777777" w:rsidR="00A31C75" w:rsidRPr="00F80FBB" w:rsidRDefault="00A31C75" w:rsidP="005A5751">
            <w:pPr>
              <w:ind w:left="90"/>
            </w:pPr>
            <w:r w:rsidRPr="004804F3">
              <w:rPr>
                <w:color w:val="000000"/>
              </w:rPr>
              <w:t>PacifiCorp</w:t>
            </w:r>
          </w:p>
        </w:tc>
      </w:tr>
      <w:tr w:rsidR="00A31C75" w:rsidRPr="005B626A" w14:paraId="236C0ED2"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BFB3EF3" w14:textId="77777777" w:rsidR="00A31C75" w:rsidRPr="00F80FBB" w:rsidRDefault="00A31C75" w:rsidP="005A5751">
            <w:pPr>
              <w:ind w:left="175"/>
            </w:pPr>
            <w:r w:rsidRPr="004804F3">
              <w:rPr>
                <w:color w:val="000000"/>
              </w:rPr>
              <w:t>Brendan</w:t>
            </w:r>
            <w:r>
              <w:rPr>
                <w:color w:val="000000"/>
              </w:rPr>
              <w:t xml:space="preserve"> McCarthy</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30AACC4A" w14:textId="77777777" w:rsidR="00A31C75" w:rsidRPr="00F80FBB" w:rsidRDefault="00A31C75" w:rsidP="005A5751">
            <w:pPr>
              <w:ind w:left="90"/>
            </w:pPr>
            <w:r w:rsidRPr="004804F3">
              <w:rPr>
                <w:color w:val="000000"/>
              </w:rPr>
              <w:t>Portland General Electric</w:t>
            </w:r>
          </w:p>
        </w:tc>
      </w:tr>
      <w:tr w:rsidR="00A31C75" w:rsidRPr="005B626A" w14:paraId="760DC8E3"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3816343" w14:textId="77777777" w:rsidR="00A31C75" w:rsidRPr="00F80FBB" w:rsidRDefault="00A31C75" w:rsidP="005A5751">
            <w:pPr>
              <w:ind w:left="175"/>
            </w:pPr>
            <w:r w:rsidRPr="004804F3">
              <w:rPr>
                <w:color w:val="000000"/>
              </w:rPr>
              <w:t>Lindsay</w:t>
            </w:r>
            <w:r>
              <w:rPr>
                <w:color w:val="000000"/>
              </w:rPr>
              <w:t xml:space="preserve"> Fitzgerald</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15C9B412" w14:textId="77777777" w:rsidR="00A31C75" w:rsidRPr="00F80FBB" w:rsidRDefault="00A31C75" w:rsidP="005A5751">
            <w:pPr>
              <w:ind w:left="90"/>
            </w:pPr>
            <w:r w:rsidRPr="004804F3">
              <w:rPr>
                <w:color w:val="000000"/>
              </w:rPr>
              <w:t>Renewable Energy Group</w:t>
            </w:r>
          </w:p>
        </w:tc>
      </w:tr>
      <w:tr w:rsidR="00A31C75" w:rsidRPr="005B626A" w14:paraId="6A1B7A81"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9E0AF12" w14:textId="77777777" w:rsidR="00A31C75" w:rsidRPr="00F80FBB" w:rsidRDefault="00A31C75" w:rsidP="005A5751">
            <w:pPr>
              <w:ind w:left="175"/>
            </w:pPr>
            <w:r w:rsidRPr="004804F3">
              <w:rPr>
                <w:color w:val="000000"/>
              </w:rPr>
              <w:t>Jessica</w:t>
            </w:r>
            <w:r>
              <w:rPr>
                <w:color w:val="000000"/>
              </w:rPr>
              <w:t xml:space="preserve"> Hoffmann</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0BA8E9BC" w14:textId="77777777" w:rsidR="00A31C75" w:rsidRPr="00F80FBB" w:rsidRDefault="00A31C75" w:rsidP="005A5751">
            <w:pPr>
              <w:ind w:left="90"/>
            </w:pPr>
            <w:r w:rsidRPr="004804F3">
              <w:rPr>
                <w:color w:val="000000"/>
              </w:rPr>
              <w:t>RPMG</w:t>
            </w:r>
          </w:p>
        </w:tc>
      </w:tr>
      <w:tr w:rsidR="00A31C75" w:rsidRPr="005B626A" w14:paraId="5BCC97B0"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B37A352" w14:textId="77777777" w:rsidR="00A31C75" w:rsidRPr="00F80FBB" w:rsidRDefault="00A31C75" w:rsidP="005A5751">
            <w:pPr>
              <w:ind w:left="175"/>
            </w:pPr>
            <w:r w:rsidRPr="004804F3">
              <w:rPr>
                <w:color w:val="000000"/>
              </w:rPr>
              <w:t>Ian</w:t>
            </w:r>
            <w:r>
              <w:rPr>
                <w:color w:val="000000"/>
              </w:rPr>
              <w:t xml:space="preserve"> Hill</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60814F50" w14:textId="77777777" w:rsidR="00A31C75" w:rsidRPr="00F80FBB" w:rsidRDefault="00A31C75" w:rsidP="005A5751">
            <w:pPr>
              <w:ind w:left="90"/>
            </w:pPr>
            <w:r w:rsidRPr="004804F3">
              <w:rPr>
                <w:color w:val="000000"/>
              </w:rPr>
              <w:t>SeQuential Biofuels</w:t>
            </w:r>
          </w:p>
        </w:tc>
      </w:tr>
      <w:tr w:rsidR="00A31C75" w:rsidRPr="005B626A" w14:paraId="49270A6C"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52E41CCB" w14:textId="77777777" w:rsidR="00A31C75" w:rsidRPr="00F80FBB" w:rsidRDefault="00A31C75" w:rsidP="005A5751">
            <w:pPr>
              <w:ind w:left="175"/>
            </w:pPr>
            <w:r w:rsidRPr="004804F3">
              <w:rPr>
                <w:color w:val="000000"/>
              </w:rPr>
              <w:t>Connor</w:t>
            </w:r>
            <w:r>
              <w:rPr>
                <w:color w:val="000000"/>
              </w:rPr>
              <w:t xml:space="preserve"> Nix</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14317A21" w14:textId="77777777" w:rsidR="00A31C75" w:rsidRPr="00F80FBB" w:rsidRDefault="00A31C75" w:rsidP="005A5751">
            <w:pPr>
              <w:ind w:left="90"/>
            </w:pPr>
            <w:r w:rsidRPr="004804F3">
              <w:rPr>
                <w:color w:val="000000"/>
              </w:rPr>
              <w:t>Shell Oil Products US</w:t>
            </w:r>
          </w:p>
        </w:tc>
      </w:tr>
      <w:tr w:rsidR="00A31C75" w:rsidRPr="005B626A" w14:paraId="02C54C61"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9C7A12E" w14:textId="77777777" w:rsidR="00A31C75" w:rsidRPr="00F80FBB" w:rsidRDefault="00A31C75" w:rsidP="005A5751">
            <w:pPr>
              <w:ind w:left="175"/>
            </w:pPr>
            <w:r w:rsidRPr="004804F3">
              <w:rPr>
                <w:color w:val="000000"/>
              </w:rPr>
              <w:t>Miles</w:t>
            </w:r>
            <w:r>
              <w:rPr>
                <w:color w:val="000000"/>
              </w:rPr>
              <w:t xml:space="preserve"> Tesoro</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7A7F5AA4" w14:textId="77777777" w:rsidR="00A31C75" w:rsidRPr="00F80FBB" w:rsidRDefault="00A31C75" w:rsidP="005A5751">
            <w:pPr>
              <w:ind w:left="90"/>
            </w:pPr>
            <w:r w:rsidRPr="004804F3">
              <w:rPr>
                <w:color w:val="000000"/>
              </w:rPr>
              <w:t xml:space="preserve">Tesoro </w:t>
            </w:r>
          </w:p>
        </w:tc>
      </w:tr>
      <w:tr w:rsidR="00A31C75" w:rsidRPr="005B626A" w14:paraId="76E5EB3E"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60FD005" w14:textId="77777777" w:rsidR="00A31C75" w:rsidRPr="00F80FBB" w:rsidRDefault="00A31C75" w:rsidP="005A5751">
            <w:pPr>
              <w:ind w:left="175"/>
            </w:pPr>
            <w:r w:rsidRPr="004804F3">
              <w:rPr>
                <w:color w:val="000000"/>
              </w:rPr>
              <w:t>Peter</w:t>
            </w:r>
            <w:r>
              <w:rPr>
                <w:color w:val="000000"/>
              </w:rPr>
              <w:t xml:space="preserve"> Weisberg</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07AC4529" w14:textId="77777777" w:rsidR="00A31C75" w:rsidRPr="00F80FBB" w:rsidRDefault="00A31C75" w:rsidP="005A5751">
            <w:pPr>
              <w:ind w:left="90"/>
            </w:pPr>
            <w:r w:rsidRPr="004804F3">
              <w:rPr>
                <w:color w:val="000000"/>
              </w:rPr>
              <w:t>The Climate Trust</w:t>
            </w:r>
          </w:p>
        </w:tc>
      </w:tr>
      <w:tr w:rsidR="00A31C75" w:rsidRPr="005B626A" w14:paraId="66C0B778"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D7E8FF3" w14:textId="77777777" w:rsidR="00A31C75" w:rsidRPr="00F80FBB" w:rsidRDefault="00A31C75" w:rsidP="005A5751">
            <w:pPr>
              <w:ind w:left="175"/>
            </w:pPr>
            <w:r w:rsidRPr="004804F3">
              <w:rPr>
                <w:color w:val="000000"/>
              </w:rPr>
              <w:lastRenderedPageBreak/>
              <w:t>Lester</w:t>
            </w:r>
            <w:r>
              <w:rPr>
                <w:color w:val="000000"/>
              </w:rPr>
              <w:t xml:space="preserve"> Spitler</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2B6542CF" w14:textId="77777777" w:rsidR="00A31C75" w:rsidRPr="00F80FBB" w:rsidRDefault="00A31C75" w:rsidP="005A5751">
            <w:pPr>
              <w:ind w:left="90"/>
            </w:pPr>
            <w:r w:rsidRPr="004804F3">
              <w:rPr>
                <w:color w:val="000000"/>
              </w:rPr>
              <w:t>TriMet</w:t>
            </w:r>
          </w:p>
        </w:tc>
      </w:tr>
      <w:tr w:rsidR="00A31C75" w:rsidRPr="005B626A" w14:paraId="1732EDF5"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A4B603F" w14:textId="77777777" w:rsidR="00A31C75" w:rsidRPr="00F80FBB" w:rsidRDefault="00A31C75" w:rsidP="005A5751">
            <w:pPr>
              <w:ind w:left="175"/>
            </w:pPr>
            <w:r w:rsidRPr="004804F3">
              <w:rPr>
                <w:color w:val="000000"/>
              </w:rPr>
              <w:t>Jeremy</w:t>
            </w:r>
            <w:r>
              <w:rPr>
                <w:color w:val="000000"/>
              </w:rPr>
              <w:t xml:space="preserve"> Martin</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08B808B6" w14:textId="77777777" w:rsidR="00A31C75" w:rsidRPr="00F80FBB" w:rsidRDefault="00A31C75" w:rsidP="005A5751">
            <w:pPr>
              <w:ind w:left="90"/>
            </w:pPr>
            <w:r w:rsidRPr="004804F3">
              <w:rPr>
                <w:color w:val="000000"/>
              </w:rPr>
              <w:t>Union of Concerned Scientists</w:t>
            </w:r>
          </w:p>
        </w:tc>
      </w:tr>
      <w:tr w:rsidR="00A31C75" w:rsidRPr="005B626A" w14:paraId="3AE21507"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7DFA08E" w14:textId="77777777" w:rsidR="00A31C75" w:rsidRPr="00F80FBB" w:rsidRDefault="00A31C75" w:rsidP="005A5751">
            <w:pPr>
              <w:ind w:left="175"/>
            </w:pPr>
            <w:r w:rsidRPr="004804F3">
              <w:rPr>
                <w:color w:val="000000"/>
              </w:rPr>
              <w:t>Joshua</w:t>
            </w:r>
            <w:r>
              <w:rPr>
                <w:color w:val="000000"/>
              </w:rPr>
              <w:t xml:space="preserve"> Skov</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791F252D" w14:textId="77777777" w:rsidR="00A31C75" w:rsidRPr="00F80FBB" w:rsidRDefault="00A31C75" w:rsidP="005A5751">
            <w:pPr>
              <w:ind w:left="90"/>
            </w:pPr>
            <w:r w:rsidRPr="004804F3">
              <w:rPr>
                <w:color w:val="000000"/>
              </w:rPr>
              <w:t>University of Oregon</w:t>
            </w:r>
          </w:p>
        </w:tc>
      </w:tr>
      <w:tr w:rsidR="00A31C75" w:rsidRPr="005B626A" w14:paraId="5DB4D377"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E4D73C1" w14:textId="77777777" w:rsidR="00A31C75" w:rsidRPr="00F80FBB" w:rsidRDefault="00A31C75" w:rsidP="005A5751">
            <w:pPr>
              <w:ind w:left="175"/>
            </w:pPr>
            <w:r w:rsidRPr="004804F3">
              <w:rPr>
                <w:color w:val="000000"/>
              </w:rPr>
              <w:t>Kim</w:t>
            </w:r>
            <w:r>
              <w:rPr>
                <w:color w:val="000000"/>
              </w:rPr>
              <w:t xml:space="preserve"> Kaminski</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C5E6E28" w14:textId="77777777" w:rsidR="00A31C75" w:rsidRPr="00F80FBB" w:rsidRDefault="00A31C75" w:rsidP="005A5751">
            <w:pPr>
              <w:ind w:left="90"/>
            </w:pPr>
            <w:r w:rsidRPr="004804F3">
              <w:rPr>
                <w:color w:val="000000"/>
              </w:rPr>
              <w:t>Waste Management</w:t>
            </w:r>
          </w:p>
        </w:tc>
      </w:tr>
      <w:tr w:rsidR="00A31C75" w:rsidRPr="005B626A" w14:paraId="5881C951"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D215B63" w14:textId="77777777" w:rsidR="00A31C75" w:rsidRPr="00F80FBB" w:rsidRDefault="00A31C75" w:rsidP="005A5751">
            <w:pPr>
              <w:ind w:left="175"/>
            </w:pPr>
            <w:r w:rsidRPr="004804F3">
              <w:rPr>
                <w:color w:val="000000"/>
              </w:rPr>
              <w:t>Jessica</w:t>
            </w:r>
            <w:r>
              <w:rPr>
                <w:color w:val="000000"/>
              </w:rPr>
              <w:t xml:space="preserve"> Spiegel</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03BBD908" w14:textId="77777777" w:rsidR="00A31C75" w:rsidRPr="00F80FBB" w:rsidRDefault="00A31C75" w:rsidP="005A5751">
            <w:pPr>
              <w:ind w:left="90"/>
            </w:pPr>
            <w:r w:rsidRPr="004804F3">
              <w:rPr>
                <w:color w:val="000000"/>
              </w:rPr>
              <w:t>Western States Petroleum Association</w:t>
            </w:r>
          </w:p>
        </w:tc>
      </w:tr>
    </w:tbl>
    <w:p w14:paraId="2F502632" w14:textId="77777777" w:rsidR="00E82718" w:rsidRDefault="00E82718" w:rsidP="00772D8F">
      <w:pPr>
        <w:ind w:left="0" w:right="-432"/>
      </w:pPr>
    </w:p>
    <w:p w14:paraId="2F502633" w14:textId="77777777" w:rsidR="002048F4" w:rsidRDefault="002048F4" w:rsidP="00772D8F">
      <w:pPr>
        <w:pStyle w:val="Heading3"/>
        <w:ind w:left="0" w:right="-432"/>
      </w:pPr>
      <w:r>
        <w:t>Meeting notifications</w:t>
      </w:r>
    </w:p>
    <w:p w14:paraId="2F502634" w14:textId="77777777" w:rsidR="002048F4" w:rsidRDefault="002048F4" w:rsidP="00772D8F">
      <w:pPr>
        <w:ind w:left="0" w:right="-432"/>
      </w:pPr>
    </w:p>
    <w:p w14:paraId="2C57747D" w14:textId="77777777" w:rsidR="00A31C75" w:rsidRDefault="00A31C75" w:rsidP="00A31C75">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7002C98F" w14:textId="77777777" w:rsidR="00A31C75" w:rsidRDefault="00A31C75" w:rsidP="00772D8F">
      <w:pPr>
        <w:pStyle w:val="Heading3"/>
        <w:ind w:left="0" w:right="-432"/>
      </w:pPr>
    </w:p>
    <w:p w14:paraId="2F50263E" w14:textId="51B38BB0" w:rsidR="00A76D00" w:rsidRDefault="00A76D00" w:rsidP="00772D8F">
      <w:pPr>
        <w:pStyle w:val="Heading3"/>
        <w:ind w:left="0" w:right="-432"/>
      </w:pPr>
      <w:r>
        <w:t>Committee discussions</w:t>
      </w:r>
    </w:p>
    <w:p w14:paraId="2F50263F" w14:textId="77777777" w:rsidR="00E026AC" w:rsidRPr="00E026AC" w:rsidRDefault="00E026AC" w:rsidP="00772D8F">
      <w:pPr>
        <w:ind w:left="0" w:right="-432"/>
      </w:pPr>
    </w:p>
    <w:p w14:paraId="719419F3" w14:textId="77777777" w:rsidR="00A31C75" w:rsidRPr="00723CE6" w:rsidRDefault="00A31C75" w:rsidP="00A31C75">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he committee w</w:t>
      </w:r>
      <w:r>
        <w:rPr>
          <w:rFonts w:ascii="Times New Roman" w:hAnsi="Times New Roman" w:cs="Times New Roman"/>
          <w:b w:val="0"/>
          <w:sz w:val="24"/>
          <w:szCs w:val="24"/>
        </w:rPr>
        <w:t>as asked to</w:t>
      </w:r>
      <w:r w:rsidRPr="00723CE6">
        <w:rPr>
          <w:rFonts w:ascii="Times New Roman" w:hAnsi="Times New Roman" w:cs="Times New Roman"/>
          <w:b w:val="0"/>
          <w:sz w:val="24"/>
          <w:szCs w:val="24"/>
        </w:rPr>
        <w:t xml:space="preserve"> discuss and provide input on the following topics:</w:t>
      </w:r>
    </w:p>
    <w:p w14:paraId="59B47031" w14:textId="77777777" w:rsidR="00A31C75" w:rsidRPr="00723CE6" w:rsidRDefault="00A31C75" w:rsidP="00A31C75">
      <w:pPr>
        <w:pStyle w:val="NoSpacing"/>
        <w:numPr>
          <w:ilvl w:val="0"/>
          <w:numId w:val="42"/>
        </w:numPr>
        <w:ind w:left="720"/>
        <w:rPr>
          <w:rFonts w:ascii="Times New Roman" w:hAnsi="Times New Roman" w:cs="Times New Roman"/>
        </w:rPr>
      </w:pPr>
      <w:r w:rsidRPr="00723CE6">
        <w:rPr>
          <w:rFonts w:ascii="Times New Roman" w:hAnsi="Times New Roman" w:cs="Times New Roman"/>
        </w:rPr>
        <w:t>A methodology to implement the Forecasted Fuel Supply Deferral mechanism</w:t>
      </w:r>
    </w:p>
    <w:p w14:paraId="7A40FDCF" w14:textId="77777777" w:rsidR="00A31C75" w:rsidRPr="00723CE6" w:rsidRDefault="00A31C75" w:rsidP="00A31C75">
      <w:pPr>
        <w:pStyle w:val="NoSpacing"/>
        <w:numPr>
          <w:ilvl w:val="0"/>
          <w:numId w:val="42"/>
        </w:numPr>
        <w:ind w:left="720"/>
        <w:rPr>
          <w:rFonts w:ascii="Times New Roman" w:hAnsi="Times New Roman" w:cs="Times New Roman"/>
        </w:rPr>
      </w:pPr>
      <w:r w:rsidRPr="00723CE6">
        <w:rPr>
          <w:rFonts w:ascii="Times New Roman" w:hAnsi="Times New Roman" w:cs="Times New Roman"/>
        </w:rPr>
        <w:t>Updates to the illustrative compliance scenarios from the 2014 study</w:t>
      </w:r>
    </w:p>
    <w:p w14:paraId="2A55F1A0" w14:textId="77777777" w:rsidR="00A31C75" w:rsidRPr="00723CE6" w:rsidRDefault="00A31C75" w:rsidP="00A31C75">
      <w:pPr>
        <w:pStyle w:val="NoSpacing"/>
        <w:numPr>
          <w:ilvl w:val="0"/>
          <w:numId w:val="42"/>
        </w:numPr>
        <w:ind w:left="720"/>
        <w:rPr>
          <w:rFonts w:ascii="Times New Roman" w:hAnsi="Times New Roman" w:cs="Times New Roman"/>
        </w:rPr>
      </w:pPr>
      <w:r w:rsidRPr="00723CE6">
        <w:rPr>
          <w:rFonts w:ascii="Times New Roman" w:hAnsi="Times New Roman" w:cs="Times New Roman"/>
        </w:rPr>
        <w:t xml:space="preserve">Development of new illustrative compliance scenarios for the program </w:t>
      </w:r>
    </w:p>
    <w:p w14:paraId="3E2351AE" w14:textId="77777777" w:rsidR="00A31C75" w:rsidRPr="00723CE6" w:rsidRDefault="00A31C75" w:rsidP="00A31C75">
      <w:pPr>
        <w:pStyle w:val="Heading2"/>
        <w:keepLines w:val="0"/>
        <w:numPr>
          <w:ilvl w:val="0"/>
          <w:numId w:val="41"/>
        </w:numPr>
        <w:tabs>
          <w:tab w:val="left" w:pos="-1440"/>
          <w:tab w:val="left" w:pos="-720"/>
        </w:tabs>
        <w:suppressAutoHyphens/>
        <w:spacing w:before="0" w:after="0"/>
        <w:ind w:left="720"/>
        <w:jc w:val="both"/>
        <w:rPr>
          <w:rFonts w:ascii="Times New Roman" w:hAnsi="Times New Roman" w:cs="Times New Roman"/>
          <w:b w:val="0"/>
          <w:sz w:val="24"/>
          <w:szCs w:val="24"/>
        </w:rPr>
      </w:pPr>
      <w:r w:rsidRPr="00723CE6">
        <w:rPr>
          <w:rFonts w:ascii="Times New Roman" w:hAnsi="Times New Roman" w:cs="Times New Roman"/>
          <w:b w:val="0"/>
          <w:sz w:val="24"/>
          <w:szCs w:val="24"/>
        </w:rPr>
        <w:t>The need for additional cost containment measures in the program and the design of those measures if they are needed</w:t>
      </w:r>
    </w:p>
    <w:p w14:paraId="6C014FC8" w14:textId="77777777" w:rsidR="00A31C75" w:rsidRPr="00723CE6" w:rsidRDefault="00A31C75" w:rsidP="00A31C75">
      <w:pPr>
        <w:pStyle w:val="ListParagraph"/>
        <w:numPr>
          <w:ilvl w:val="0"/>
          <w:numId w:val="32"/>
        </w:numPr>
        <w:ind w:left="720" w:right="0"/>
        <w:outlineLvl w:val="9"/>
        <w:rPr>
          <w:u w:val="single"/>
        </w:rPr>
      </w:pPr>
      <w:r w:rsidRPr="00723CE6">
        <w:t>Other topics, as identified by DEQ staff</w:t>
      </w:r>
    </w:p>
    <w:p w14:paraId="2F502641" w14:textId="77777777" w:rsidR="00E026AC" w:rsidRDefault="00E026AC" w:rsidP="00772D8F">
      <w:pPr>
        <w:ind w:left="0" w:right="-432"/>
      </w:pPr>
    </w:p>
    <w:p w14:paraId="2F502642"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2F502643" w14:textId="77777777" w:rsidR="00B849C7" w:rsidRDefault="00B849C7" w:rsidP="00772D8F">
      <w:pPr>
        <w:ind w:left="0" w:right="-432"/>
      </w:pPr>
    </w:p>
    <w:p w14:paraId="2F502645" w14:textId="52CD2DF7" w:rsidR="00B849C7" w:rsidRDefault="00A31C75" w:rsidP="00A31C75">
      <w:pPr>
        <w:ind w:left="0"/>
      </w:pPr>
      <w:r w:rsidRPr="0094060F">
        <w:t xml:space="preserve">DEQ shares general rulemaking information with EQC through the monthly Director’s Report. </w:t>
      </w:r>
      <w:r w:rsidR="00356F31" w:rsidRPr="00A872BA">
        <w:t xml:space="preserve">DEQ did not present additional information specific to this proposed rule revision. </w:t>
      </w:r>
    </w:p>
    <w:p w14:paraId="2F502646" w14:textId="77777777" w:rsidR="00B849C7" w:rsidRDefault="00B849C7" w:rsidP="00A31C75">
      <w:pPr>
        <w:ind w:left="0" w:right="-432"/>
      </w:pPr>
    </w:p>
    <w:p w14:paraId="2F50264D" w14:textId="7E2FE8AD" w:rsidR="000C1364" w:rsidRPr="00E048AF" w:rsidRDefault="000C1364" w:rsidP="00A31C75">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2F502651" w14:textId="77777777" w:rsidTr="003861C1">
        <w:trPr>
          <w:trHeight w:val="749"/>
          <w:jc w:val="center"/>
        </w:trPr>
        <w:tc>
          <w:tcPr>
            <w:tcW w:w="9057" w:type="dxa"/>
            <w:shd w:val="clear" w:color="000000" w:fill="D5DCE4" w:themeFill="text2" w:themeFillTint="33"/>
            <w:noWrap/>
            <w:vAlign w:val="bottom"/>
            <w:hideMark/>
          </w:tcPr>
          <w:p w14:paraId="2F50264E" w14:textId="77777777" w:rsidR="000C1364" w:rsidRPr="00823C9D" w:rsidRDefault="000C1364" w:rsidP="00501ABB">
            <w:pPr>
              <w:ind w:left="0"/>
              <w:rPr>
                <w:color w:val="32525C"/>
                <w:sz w:val="28"/>
                <w:szCs w:val="28"/>
              </w:rPr>
            </w:pPr>
            <w:r w:rsidRPr="00B15DF7">
              <w:lastRenderedPageBreak/>
              <w:t> </w:t>
            </w:r>
          </w:p>
          <w:p w14:paraId="2F50264F" w14:textId="77777777" w:rsidR="00CD56A3" w:rsidRDefault="000C1364" w:rsidP="00596822">
            <w:pPr>
              <w:pStyle w:val="Heading1"/>
            </w:pPr>
            <w:bookmarkStart w:id="16" w:name="_Toc522107429"/>
            <w:r>
              <w:t>Public notice</w:t>
            </w:r>
            <w:r w:rsidR="00B849C7">
              <w:t xml:space="preserve"> and hearings</w:t>
            </w:r>
            <w:bookmarkEnd w:id="16"/>
          </w:p>
          <w:p w14:paraId="2F502650" w14:textId="77777777" w:rsidR="000C1364" w:rsidRPr="00D1364A" w:rsidRDefault="00D1364A" w:rsidP="00CD56A3">
            <w:pPr>
              <w:ind w:left="0"/>
              <w:rPr>
                <w:color w:val="C45911" w:themeColor="accent2" w:themeShade="BF"/>
              </w:rPr>
            </w:pPr>
            <w:r>
              <w:t xml:space="preserve"> </w:t>
            </w:r>
            <w:r w:rsidRPr="00B96F38">
              <w:rPr>
                <w:color w:val="C45911" w:themeColor="accent2" w:themeShade="BF"/>
              </w:rPr>
              <w:t>ORS 183.335(1); 468.020(2)</w:t>
            </w:r>
            <w:r w:rsidR="009C0A9E" w:rsidRPr="00B96F38">
              <w:rPr>
                <w:color w:val="C45911" w:themeColor="accent2" w:themeShade="BF"/>
              </w:rPr>
              <w:t xml:space="preserve"> </w:t>
            </w:r>
            <w:hyperlink r:id="rId34" w:history="1">
              <w:r w:rsidR="009C0A9E" w:rsidRPr="00B96F38">
                <w:rPr>
                  <w:rStyle w:val="Hyperlink"/>
                  <w:color w:val="034990" w:themeColor="hyperlink" w:themeShade="BF"/>
                </w:rPr>
                <w:t>Public Hearings</w:t>
              </w:r>
            </w:hyperlink>
          </w:p>
        </w:tc>
      </w:tr>
    </w:tbl>
    <w:p w14:paraId="2F502652" w14:textId="77777777" w:rsidR="000C1364" w:rsidRPr="00B15DF7" w:rsidRDefault="000C1364" w:rsidP="00501ABB">
      <w:pPr>
        <w:ind w:left="0"/>
      </w:pPr>
      <w:r w:rsidRPr="00B15DF7">
        <w:t>  </w:t>
      </w:r>
    </w:p>
    <w:p w14:paraId="2F502653" w14:textId="77777777" w:rsidR="00A74227" w:rsidRDefault="00A74227" w:rsidP="00501ABB">
      <w:pPr>
        <w:ind w:left="0"/>
      </w:pPr>
    </w:p>
    <w:p w14:paraId="2F502654" w14:textId="77777777" w:rsidR="00A74227" w:rsidRDefault="00A74227" w:rsidP="005656D8">
      <w:pPr>
        <w:pStyle w:val="Heading3"/>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2F502655" w14:textId="77777777" w:rsidR="00E026AC" w:rsidRPr="00E026AC" w:rsidRDefault="00E026AC" w:rsidP="00E026AC">
      <w:pPr>
        <w:rPr>
          <w:rFonts w:eastAsiaTheme="majorEastAsia"/>
        </w:rPr>
      </w:pPr>
    </w:p>
    <w:p w14:paraId="2F502656" w14:textId="0E59C289" w:rsidR="00A74227" w:rsidRPr="00A31C75" w:rsidRDefault="00233537" w:rsidP="00772D8F">
      <w:pPr>
        <w:ind w:left="0" w:right="-432"/>
      </w:pPr>
      <w:r w:rsidRPr="00A31C75">
        <w:t xml:space="preserve">DEQ provided notice </w:t>
      </w:r>
      <w:r w:rsidR="000D707E" w:rsidRPr="00A31C75">
        <w:t xml:space="preserve">of the proposed rulemaking and rulemaking </w:t>
      </w:r>
      <w:r w:rsidR="00BD4585" w:rsidRPr="00A31C75">
        <w:t xml:space="preserve">hearing </w:t>
      </w:r>
      <w:r w:rsidR="000D707E" w:rsidRPr="00A31C75">
        <w:t xml:space="preserve">on </w:t>
      </w:r>
      <w:r w:rsidR="00A31C75" w:rsidRPr="00A31C75">
        <w:t>September 1, 2018</w:t>
      </w:r>
      <w:r w:rsidR="000D707E" w:rsidRPr="00A31C75">
        <w:t xml:space="preserve"> by</w:t>
      </w:r>
      <w:r w:rsidRPr="00A31C75">
        <w:t>:</w:t>
      </w:r>
      <w:r w:rsidR="006F1FBD" w:rsidRPr="00A31C75">
        <w:t xml:space="preserve"> </w:t>
      </w:r>
    </w:p>
    <w:p w14:paraId="2F502657" w14:textId="77777777" w:rsidR="0005132C" w:rsidRPr="00A31C75" w:rsidRDefault="0005132C" w:rsidP="00772D8F">
      <w:pPr>
        <w:pStyle w:val="ListParagraph"/>
        <w:ind w:left="0" w:right="-432"/>
      </w:pPr>
    </w:p>
    <w:p w14:paraId="2F502658" w14:textId="0B1B62C4" w:rsidR="00D01042" w:rsidRPr="00A31C75" w:rsidRDefault="00D01042" w:rsidP="00A31C75">
      <w:pPr>
        <w:pStyle w:val="ListParagraph"/>
        <w:numPr>
          <w:ilvl w:val="0"/>
          <w:numId w:val="5"/>
        </w:numPr>
        <w:ind w:left="0" w:right="-432" w:firstLine="0"/>
      </w:pPr>
      <w:r w:rsidRPr="00A31C75">
        <w:t xml:space="preserve">On </w:t>
      </w:r>
      <w:r w:rsidR="00A31C75" w:rsidRPr="00A31C75">
        <w:t>September 1, 2018,</w:t>
      </w:r>
      <w:r w:rsidRPr="00A31C75">
        <w:t xml:space="preserve"> </w:t>
      </w:r>
      <w:r w:rsidR="00A31C75" w:rsidRPr="00A31C75">
        <w:t>f</w:t>
      </w:r>
      <w:r w:rsidRPr="00A31C75">
        <w:t xml:space="preserve">iling notice with the Oregon Secretary of State for publication in the </w:t>
      </w:r>
      <w:r w:rsidR="00A31C75" w:rsidRPr="00A31C75">
        <w:t>September 1, 2018</w:t>
      </w:r>
      <w:r w:rsidRPr="00A31C75">
        <w:t xml:space="preserve"> Oregon Bulletin;</w:t>
      </w:r>
    </w:p>
    <w:p w14:paraId="2F50265A" w14:textId="77777777" w:rsidR="00D01042" w:rsidRDefault="00D01042" w:rsidP="00772D8F">
      <w:pPr>
        <w:pStyle w:val="ListParagraph"/>
        <w:numPr>
          <w:ilvl w:val="0"/>
          <w:numId w:val="5"/>
        </w:numPr>
        <w:ind w:left="0" w:right="-432" w:firstLine="0"/>
      </w:pPr>
      <w:r>
        <w:t xml:space="preserve">Posting the Notice, Invitation to Comment and Draft Rules on the web page for this rulemaking, located at: </w:t>
      </w:r>
      <w:r w:rsidRPr="00D01042">
        <w:rPr>
          <w:color w:val="C45911" w:themeColor="accent2" w:themeShade="BF"/>
        </w:rPr>
        <w:t>RULEMAKING WEB PAGE LINK</w:t>
      </w:r>
      <w:r>
        <w:rPr>
          <w:color w:val="C45911" w:themeColor="accent2" w:themeShade="BF"/>
        </w:rPr>
        <w:t>;</w:t>
      </w:r>
    </w:p>
    <w:p w14:paraId="2F50265B" w14:textId="77777777" w:rsidR="00233537" w:rsidRDefault="000D707E" w:rsidP="00772D8F">
      <w:pPr>
        <w:pStyle w:val="ListParagraph"/>
        <w:numPr>
          <w:ilvl w:val="0"/>
          <w:numId w:val="5"/>
        </w:numPr>
        <w:ind w:left="0" w:right="-432" w:firstLine="0"/>
      </w:pPr>
      <w:r>
        <w:t xml:space="preserve">Emailing </w:t>
      </w:r>
      <w:r>
        <w:rPr>
          <w:color w:val="C45911" w:themeColor="accent2" w:themeShade="BF"/>
        </w:rPr>
        <w:t xml:space="preserve">NUMBER OF PARTIES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2F50265C" w14:textId="77777777" w:rsidR="002C4F3A" w:rsidRPr="002C4F3A" w:rsidRDefault="00EE0814" w:rsidP="00772D8F">
      <w:pPr>
        <w:pStyle w:val="ListParagraph"/>
        <w:numPr>
          <w:ilvl w:val="0"/>
          <w:numId w:val="5"/>
        </w:numPr>
        <w:ind w:right="-432"/>
      </w:pPr>
      <w:r>
        <w:t>Rulemaking</w:t>
      </w:r>
    </w:p>
    <w:p w14:paraId="2F50265E" w14:textId="57F2F274" w:rsidR="0005132C" w:rsidRPr="00A31C75" w:rsidRDefault="00A31C75" w:rsidP="00772D8F">
      <w:pPr>
        <w:pStyle w:val="ListParagraph"/>
        <w:numPr>
          <w:ilvl w:val="0"/>
          <w:numId w:val="5"/>
        </w:numPr>
        <w:ind w:right="-432"/>
        <w:rPr>
          <w:bCs/>
        </w:rPr>
      </w:pPr>
      <w:r w:rsidRPr="00A31C75">
        <w:t>Oregon Clean Fuels</w:t>
      </w:r>
    </w:p>
    <w:p w14:paraId="2F502660" w14:textId="77777777" w:rsidR="001F2D3C" w:rsidRDefault="002C4F3A" w:rsidP="00772D8F">
      <w:pPr>
        <w:pStyle w:val="ListParagraph"/>
        <w:numPr>
          <w:ilvl w:val="0"/>
          <w:numId w:val="5"/>
        </w:numPr>
        <w:ind w:left="0" w:right="-432" w:firstLine="0"/>
      </w:pPr>
      <w:r>
        <w:t>Emailing t</w:t>
      </w:r>
      <w:r w:rsidR="00016F5E" w:rsidRPr="006F1FBD">
        <w:t xml:space="preserve">he following </w:t>
      </w:r>
      <w:r w:rsidR="00C22E0C" w:rsidRPr="006F1FBD">
        <w:t xml:space="preserve">key legislators required under </w:t>
      </w:r>
      <w:hyperlink r:id="rId35" w:history="1">
        <w:r w:rsidR="00C22E0C" w:rsidRPr="006F1FBD">
          <w:rPr>
            <w:u w:val="single"/>
          </w:rPr>
          <w:t>ORS 183.335</w:t>
        </w:r>
      </w:hyperlink>
      <w:r w:rsidR="00016F5E">
        <w:t>:</w:t>
      </w:r>
    </w:p>
    <w:p w14:paraId="64F04DDE" w14:textId="77777777" w:rsidR="00A31C75" w:rsidRPr="00121D8F" w:rsidRDefault="00A31C75" w:rsidP="00A31C75">
      <w:pPr>
        <w:pStyle w:val="ListParagraph"/>
        <w:numPr>
          <w:ilvl w:val="0"/>
          <w:numId w:val="5"/>
        </w:numPr>
        <w:rPr>
          <w:rStyle w:val="Emphasis"/>
          <w:vanish w:val="0"/>
          <w:color w:val="000000" w:themeColor="text1"/>
          <w:sz w:val="24"/>
        </w:rPr>
      </w:pPr>
      <w:r w:rsidRPr="00121D8F">
        <w:rPr>
          <w:rStyle w:val="Emphasis"/>
          <w:vanish w:val="0"/>
          <w:color w:val="000000" w:themeColor="text1"/>
          <w:sz w:val="24"/>
        </w:rPr>
        <w:t>Senator Michael Dembrow, Chair, Senate Environment and Natural Resources Committee</w:t>
      </w:r>
    </w:p>
    <w:p w14:paraId="71E8323C" w14:textId="77777777" w:rsidR="00A31C75" w:rsidRPr="00121D8F" w:rsidRDefault="00A31C75" w:rsidP="00A31C75">
      <w:pPr>
        <w:pStyle w:val="ListParagraph"/>
        <w:numPr>
          <w:ilvl w:val="0"/>
          <w:numId w:val="5"/>
        </w:numPr>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73DC19E9" w14:textId="77777777" w:rsidR="00A31C75" w:rsidRPr="00FC3464" w:rsidRDefault="00A31C75" w:rsidP="00A31C75">
      <w:pPr>
        <w:pStyle w:val="ListParagraph"/>
        <w:numPr>
          <w:ilvl w:val="0"/>
          <w:numId w:val="5"/>
        </w:numPr>
        <w:rPr>
          <w:rStyle w:val="Emphasis"/>
          <w:vanish w:val="0"/>
          <w:color w:val="000000" w:themeColor="text1"/>
        </w:rPr>
      </w:pPr>
      <w:r w:rsidRPr="00121D8F">
        <w:rPr>
          <w:rStyle w:val="Emphasis"/>
          <w:vanish w:val="0"/>
          <w:color w:val="000000" w:themeColor="text1"/>
          <w:sz w:val="24"/>
        </w:rPr>
        <w:t>Senator Lee Beyer</w:t>
      </w:r>
    </w:p>
    <w:p w14:paraId="5DDAF20F" w14:textId="5EBCBB2B" w:rsidR="00A31C75" w:rsidRPr="00121D8F" w:rsidRDefault="00A31C75" w:rsidP="00A31C75">
      <w:pPr>
        <w:pStyle w:val="ListParagraph"/>
        <w:numPr>
          <w:ilvl w:val="0"/>
          <w:numId w:val="5"/>
        </w:numPr>
        <w:rPr>
          <w:rStyle w:val="Emphasis"/>
          <w:vanish w:val="0"/>
          <w:color w:val="000000" w:themeColor="text1"/>
        </w:rPr>
      </w:pPr>
      <w:r>
        <w:rPr>
          <w:rStyle w:val="Emphasis"/>
          <w:vanish w:val="0"/>
          <w:color w:val="000000" w:themeColor="text1"/>
          <w:sz w:val="24"/>
        </w:rPr>
        <w:t>Senator Cliff Bentz</w:t>
      </w:r>
      <w:r w:rsidRPr="00121D8F">
        <w:rPr>
          <w:rStyle w:val="Emphasis"/>
          <w:vanish w:val="0"/>
          <w:color w:val="000000" w:themeColor="text1"/>
          <w:sz w:val="24"/>
        </w:rPr>
        <w:t xml:space="preserve"> </w:t>
      </w:r>
    </w:p>
    <w:p w14:paraId="2F502668" w14:textId="77777777" w:rsidR="0052167E" w:rsidRPr="00EE0814" w:rsidRDefault="0052167E" w:rsidP="00772D8F">
      <w:pPr>
        <w:pStyle w:val="ListParagraph"/>
        <w:numPr>
          <w:ilvl w:val="0"/>
          <w:numId w:val="6"/>
        </w:numPr>
        <w:ind w:left="0" w:right="-432" w:firstLine="0"/>
        <w:contextualSpacing w:val="0"/>
      </w:pPr>
      <w:r w:rsidRPr="00EE0814">
        <w:t xml:space="preserve">Posting on the DEQ event calendar: </w:t>
      </w:r>
      <w:hyperlink r:id="rId36" w:history="1">
        <w:r w:rsidRPr="00EE0814">
          <w:rPr>
            <w:rStyle w:val="Hyperlink"/>
          </w:rPr>
          <w:t>DEQ Calendar</w:t>
        </w:r>
      </w:hyperlink>
    </w:p>
    <w:p w14:paraId="2F502674" w14:textId="77777777" w:rsidR="0068788A" w:rsidRDefault="0068788A" w:rsidP="00772D8F">
      <w:pPr>
        <w:ind w:left="0" w:right="-432"/>
      </w:pPr>
    </w:p>
    <w:p w14:paraId="2F502675" w14:textId="77777777" w:rsidR="00866F57" w:rsidRDefault="00866F57" w:rsidP="00772D8F">
      <w:pPr>
        <w:pStyle w:val="Heading3"/>
        <w:ind w:right="-432"/>
      </w:pPr>
      <w:r w:rsidRPr="006807BF">
        <w:t>Public hearings</w:t>
      </w:r>
    </w:p>
    <w:p w14:paraId="2F502676" w14:textId="77777777" w:rsidR="00E026AC" w:rsidRPr="00E026AC" w:rsidRDefault="00E026AC" w:rsidP="00772D8F">
      <w:pPr>
        <w:ind w:right="-432"/>
      </w:pPr>
    </w:p>
    <w:p w14:paraId="2F502677" w14:textId="3D13F353" w:rsidR="006911BB" w:rsidRDefault="006911BB" w:rsidP="00772D8F">
      <w:pPr>
        <w:ind w:left="0" w:right="-432"/>
      </w:pPr>
      <w:r w:rsidRPr="00A31C75">
        <w:t xml:space="preserve">DEQ plans to hold </w:t>
      </w:r>
      <w:r w:rsidR="00A31C75" w:rsidRPr="00A31C75">
        <w:t>one</w:t>
      </w:r>
      <w:r w:rsidRPr="00A31C75">
        <w:t xml:space="preserve"> </w:t>
      </w:r>
      <w:r w:rsidR="00A77657" w:rsidRPr="00A31C75">
        <w:t>public hearing</w:t>
      </w:r>
      <w:r w:rsidR="00D74378" w:rsidRPr="00A31C75">
        <w:t xml:space="preserve">. The </w:t>
      </w:r>
      <w:r w:rsidR="006D5B6E" w:rsidRPr="00A31C75">
        <w:t>details</w:t>
      </w:r>
      <w:r w:rsidR="0047393E" w:rsidRPr="00A31C75">
        <w:t xml:space="preserve"> are </w:t>
      </w:r>
      <w:r w:rsidR="00E048AF" w:rsidRPr="00A31C75">
        <w:t xml:space="preserve">described in the Introduction section of </w:t>
      </w:r>
      <w:r w:rsidR="00E048AF">
        <w:t xml:space="preserve">this document. </w:t>
      </w:r>
      <w:r w:rsidR="00211B6B">
        <w:t>Anyone can attend a hearing in person, or by webinar or teleconference.</w:t>
      </w:r>
    </w:p>
    <w:p w14:paraId="2F502678" w14:textId="77777777" w:rsidR="00D74378" w:rsidRDefault="00D74378" w:rsidP="00772D8F">
      <w:pPr>
        <w:ind w:left="0" w:right="-432"/>
      </w:pPr>
    </w:p>
    <w:p w14:paraId="2F502679" w14:textId="77777777"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2F50267A" w14:textId="77777777" w:rsidR="0047393E" w:rsidRDefault="0047393E" w:rsidP="00772D8F">
      <w:pPr>
        <w:ind w:left="0" w:right="-432"/>
      </w:pPr>
    </w:p>
    <w:p w14:paraId="2F50267B" w14:textId="77777777" w:rsidR="00C32274" w:rsidRPr="00E048AF" w:rsidRDefault="00E048AF" w:rsidP="00772D8F">
      <w:pPr>
        <w:ind w:left="0" w:right="-432"/>
      </w:pPr>
      <w:r>
        <w:t>Any person can submit comments on the proposed rules as described in the Introduction section of this document.</w:t>
      </w:r>
    </w:p>
    <w:p w14:paraId="2F50267C" w14:textId="77777777" w:rsidR="009B4ACA" w:rsidRPr="008510E6" w:rsidRDefault="009B4ACA" w:rsidP="00772D8F">
      <w:pPr>
        <w:pStyle w:val="Heading2"/>
        <w:ind w:left="0" w:right="-432"/>
      </w:pPr>
      <w:r w:rsidRPr="006807BF">
        <w:t>Close of public comment period</w:t>
      </w:r>
    </w:p>
    <w:p w14:paraId="2F50267D" w14:textId="77777777" w:rsidR="0068788A" w:rsidRDefault="0068788A" w:rsidP="00772D8F">
      <w:pPr>
        <w:ind w:left="0" w:right="-432"/>
      </w:pPr>
    </w:p>
    <w:p w14:paraId="2F50267E" w14:textId="3D809258" w:rsidR="009A15E3" w:rsidRPr="00A31C75" w:rsidRDefault="009B4ACA" w:rsidP="00772D8F">
      <w:pPr>
        <w:ind w:left="0" w:right="-432"/>
        <w:rPr>
          <w:sz w:val="20"/>
          <w:szCs w:val="20"/>
        </w:rPr>
      </w:pPr>
      <w:r w:rsidRPr="00A31C75">
        <w:t xml:space="preserve">The comment period </w:t>
      </w:r>
      <w:r w:rsidR="007D74B2" w:rsidRPr="00A31C75">
        <w:t xml:space="preserve">will </w:t>
      </w:r>
      <w:r w:rsidRPr="00A31C75">
        <w:t xml:space="preserve">close </w:t>
      </w:r>
      <w:r w:rsidR="008510E6" w:rsidRPr="00A31C75">
        <w:t xml:space="preserve">4 p.m. on </w:t>
      </w:r>
      <w:r w:rsidR="00A31C75" w:rsidRPr="00A31C75">
        <w:t>September 21, 2018.</w:t>
      </w:r>
    </w:p>
    <w:p w14:paraId="2F50267F" w14:textId="77777777" w:rsidR="004B6A20" w:rsidRDefault="004B6A20" w:rsidP="00772D8F">
      <w:pPr>
        <w:ind w:left="0" w:right="-432"/>
        <w:rPr>
          <w:sz w:val="20"/>
          <w:szCs w:val="20"/>
        </w:rPr>
      </w:pPr>
    </w:p>
    <w:p w14:paraId="2F502680" w14:textId="77777777" w:rsidR="004B6A20" w:rsidRPr="004B6A20" w:rsidRDefault="004B6A20" w:rsidP="00772D8F">
      <w:pPr>
        <w:pStyle w:val="Heading2"/>
        <w:ind w:left="0" w:right="-432"/>
        <w:rPr>
          <w:rFonts w:asciiTheme="minorHAnsi" w:hAnsiTheme="minorHAnsi" w:cstheme="minorHAnsi"/>
        </w:rPr>
      </w:pPr>
      <w:r>
        <w:lastRenderedPageBreak/>
        <w:t>Accessibility Information</w:t>
      </w:r>
    </w:p>
    <w:p w14:paraId="2F502681" w14:textId="77777777" w:rsidR="004B6A20" w:rsidRDefault="004B6A20" w:rsidP="00772D8F">
      <w:pPr>
        <w:ind w:left="0" w:right="-432"/>
      </w:pPr>
      <w:r w:rsidRPr="002175B6">
        <w:t>You may review copies of all documents referenced in this announcement at:</w:t>
      </w:r>
    </w:p>
    <w:p w14:paraId="2F502682" w14:textId="77777777" w:rsidR="004B6A20" w:rsidRPr="002175B6" w:rsidRDefault="004B6A20" w:rsidP="00772D8F">
      <w:pPr>
        <w:ind w:left="0" w:right="-432"/>
      </w:pPr>
      <w:r w:rsidRPr="002175B6">
        <w:t>Oregon Department of Environmental Quality</w:t>
      </w:r>
    </w:p>
    <w:p w14:paraId="2F502683" w14:textId="77777777" w:rsidR="004B6A20" w:rsidRPr="002175B6" w:rsidRDefault="00B942D5" w:rsidP="00772D8F">
      <w:pPr>
        <w:ind w:left="0" w:right="-432"/>
      </w:pPr>
      <w:r>
        <w:t>700 NE Multnomah St., Ste. 600</w:t>
      </w:r>
    </w:p>
    <w:p w14:paraId="2F502684" w14:textId="77777777" w:rsidR="004B6A20" w:rsidRPr="002175B6" w:rsidRDefault="00B942D5" w:rsidP="00772D8F">
      <w:pPr>
        <w:ind w:left="0" w:right="-432"/>
      </w:pPr>
      <w:r>
        <w:t>Portland, OR, 97232</w:t>
      </w:r>
    </w:p>
    <w:p w14:paraId="2F502685" w14:textId="77777777" w:rsidR="004B6A20" w:rsidRPr="002175B6" w:rsidRDefault="004B6A20" w:rsidP="00772D8F">
      <w:pPr>
        <w:ind w:left="0" w:right="-432"/>
      </w:pPr>
    </w:p>
    <w:p w14:paraId="2F502686" w14:textId="54DBFBCC" w:rsidR="004B6A20" w:rsidRPr="005A5751" w:rsidRDefault="004B6A20" w:rsidP="00772D8F">
      <w:pPr>
        <w:ind w:left="0" w:right="-432"/>
      </w:pPr>
      <w:r w:rsidRPr="005A5751">
        <w:t xml:space="preserve">To schedule a review of all websites and documents referenced in this announcement, call </w:t>
      </w:r>
      <w:r w:rsidR="00A31C75" w:rsidRPr="005A5751">
        <w:t>Cory-Ann Wind</w:t>
      </w:r>
      <w:r w:rsidR="005A5751" w:rsidRPr="005A5751">
        <w:t xml:space="preserve"> at</w:t>
      </w:r>
      <w:r w:rsidRPr="005A5751">
        <w:t xml:space="preserve"> </w:t>
      </w:r>
      <w:r w:rsidR="00A31C75" w:rsidRPr="005A5751">
        <w:t>503-229-5388</w:t>
      </w:r>
      <w:r w:rsidRPr="005A5751">
        <w:rPr>
          <w:b/>
        </w:rPr>
        <w:t xml:space="preserve"> </w:t>
      </w:r>
      <w:r w:rsidRPr="005A5751">
        <w:t>(800-452-4011, ext. 5622 toll-free in Oregon).</w:t>
      </w:r>
    </w:p>
    <w:p w14:paraId="2F502687" w14:textId="77777777" w:rsidR="004B6A20" w:rsidRPr="002175B6" w:rsidRDefault="004B6A20" w:rsidP="00772D8F">
      <w:pPr>
        <w:ind w:left="0" w:right="-432"/>
      </w:pPr>
    </w:p>
    <w:p w14:paraId="2F502688" w14:textId="77777777" w:rsidR="00A31CE7" w:rsidRDefault="004B6A20" w:rsidP="00772D8F">
      <w:pPr>
        <w:ind w:left="0" w:right="-432"/>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A31CE7">
        <w:br w:type="page"/>
      </w:r>
    </w:p>
    <w:p w14:paraId="2F502689"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2F50268C"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2F50268A" w14:textId="77777777" w:rsidR="00A31CE7" w:rsidRPr="00E131C7" w:rsidRDefault="00A31CE7" w:rsidP="00596822">
            <w:pPr>
              <w:pStyle w:val="Heading1"/>
            </w:pPr>
            <w:bookmarkStart w:id="17" w:name="_Toc522107430"/>
            <w:r>
              <w:lastRenderedPageBreak/>
              <w:t>Draft Rules  - With Edits Highlighted</w:t>
            </w:r>
            <w:bookmarkEnd w:id="17"/>
          </w:p>
          <w:p w14:paraId="2F50268B" w14:textId="77777777" w:rsidR="00A31CE7" w:rsidRPr="0085122C" w:rsidRDefault="00A31CE7" w:rsidP="001B303C">
            <w:pPr>
              <w:ind w:left="0"/>
            </w:pPr>
          </w:p>
        </w:tc>
      </w:tr>
    </w:tbl>
    <w:p w14:paraId="2F50268D" w14:textId="77777777" w:rsidR="00DB0862" w:rsidRPr="00055C22" w:rsidRDefault="00DB0862" w:rsidP="00501ABB">
      <w:pPr>
        <w:ind w:left="0"/>
      </w:pPr>
    </w:p>
    <w:p w14:paraId="2F50268E" w14:textId="77777777" w:rsidR="002F5550" w:rsidRDefault="002F5550" w:rsidP="00501ABB">
      <w:pPr>
        <w:spacing w:after="120"/>
        <w:ind w:left="0"/>
        <w:rPr>
          <w:color w:val="000000"/>
        </w:rPr>
      </w:pPr>
    </w:p>
    <w:p w14:paraId="2F50268F" w14:textId="77777777" w:rsidR="00A31CE7" w:rsidRDefault="00A31CE7" w:rsidP="00501ABB">
      <w:pPr>
        <w:spacing w:after="120"/>
        <w:ind w:left="0"/>
        <w:rPr>
          <w:color w:val="000000"/>
        </w:rPr>
      </w:pPr>
    </w:p>
    <w:p w14:paraId="2F502690" w14:textId="77777777"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2F502693"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2F502691" w14:textId="77777777" w:rsidR="00A31CE7" w:rsidRPr="00E131C7" w:rsidRDefault="00A31CE7" w:rsidP="00596822">
            <w:pPr>
              <w:pStyle w:val="Heading1"/>
            </w:pPr>
            <w:bookmarkStart w:id="18" w:name="_Toc522107431"/>
            <w:r>
              <w:lastRenderedPageBreak/>
              <w:t>Draft Rules – With Edits Incorporated</w:t>
            </w:r>
            <w:bookmarkEnd w:id="18"/>
          </w:p>
          <w:p w14:paraId="2F502692" w14:textId="77777777" w:rsidR="00A31CE7" w:rsidRPr="0085122C" w:rsidRDefault="00A31CE7" w:rsidP="001B303C">
            <w:pPr>
              <w:ind w:left="0"/>
            </w:pPr>
          </w:p>
        </w:tc>
      </w:tr>
    </w:tbl>
    <w:p w14:paraId="2F502694" w14:textId="77777777" w:rsidR="00A31CE7" w:rsidRDefault="00A31CE7" w:rsidP="00501ABB">
      <w:pPr>
        <w:spacing w:after="120"/>
        <w:ind w:left="0"/>
        <w:rPr>
          <w:color w:val="000000"/>
        </w:rPr>
      </w:pPr>
    </w:p>
    <w:p w14:paraId="2F502695" w14:textId="77777777" w:rsidR="00A31CE7" w:rsidRDefault="00A31CE7" w:rsidP="00501ABB">
      <w:pPr>
        <w:spacing w:after="120"/>
        <w:ind w:left="0"/>
        <w:rPr>
          <w:color w:val="000000"/>
        </w:rPr>
      </w:pPr>
    </w:p>
    <w:p w14:paraId="2F502696"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2F502699"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2F502697" w14:textId="77777777" w:rsidR="00A31CE7" w:rsidRPr="00E131C7" w:rsidRDefault="00A31CE7" w:rsidP="00596822">
            <w:pPr>
              <w:pStyle w:val="Heading1"/>
            </w:pPr>
            <w:bookmarkStart w:id="19" w:name="_Toc522107432"/>
            <w:r>
              <w:lastRenderedPageBreak/>
              <w:t>Supporting documents</w:t>
            </w:r>
            <w:bookmarkEnd w:id="19"/>
          </w:p>
          <w:p w14:paraId="2F502698" w14:textId="77777777" w:rsidR="00A31CE7" w:rsidRPr="0085122C" w:rsidRDefault="00A31CE7" w:rsidP="001B303C">
            <w:pPr>
              <w:ind w:left="0"/>
            </w:pPr>
          </w:p>
        </w:tc>
      </w:tr>
    </w:tbl>
    <w:p w14:paraId="2F50269A"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026A3" w14:textId="77777777" w:rsidR="00EC2A68" w:rsidRDefault="00EC2A68" w:rsidP="002D6C99">
      <w:r>
        <w:separator/>
      </w:r>
    </w:p>
  </w:endnote>
  <w:endnote w:type="continuationSeparator" w:id="0">
    <w:p w14:paraId="2F5026A4" w14:textId="77777777" w:rsidR="00EC2A68" w:rsidRDefault="00EC2A68"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2F5026A5" w14:textId="7FC252C6" w:rsidR="00EC2A68" w:rsidRDefault="00EC2A68">
        <w:pPr>
          <w:pStyle w:val="Footer"/>
          <w:jc w:val="right"/>
        </w:pPr>
        <w:r>
          <w:fldChar w:fldCharType="begin"/>
        </w:r>
        <w:r>
          <w:instrText xml:space="preserve"> PAGE   \* MERGEFORMAT </w:instrText>
        </w:r>
        <w:r>
          <w:fldChar w:fldCharType="separate"/>
        </w:r>
        <w:r w:rsidR="003D1DDB">
          <w:rPr>
            <w:noProof/>
          </w:rPr>
          <w:t>1</w:t>
        </w:r>
        <w:r>
          <w:rPr>
            <w:noProof/>
          </w:rPr>
          <w:fldChar w:fldCharType="end"/>
        </w:r>
      </w:p>
    </w:sdtContent>
  </w:sdt>
  <w:p w14:paraId="2F5026A6" w14:textId="77777777" w:rsidR="00EC2A68" w:rsidRPr="002B4E71" w:rsidRDefault="00EC2A68"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2F5026A8" w14:textId="09157792" w:rsidR="00EC2A68" w:rsidRDefault="00EC2A68">
        <w:pPr>
          <w:pStyle w:val="Footer"/>
          <w:jc w:val="right"/>
        </w:pPr>
        <w:r>
          <w:fldChar w:fldCharType="begin"/>
        </w:r>
        <w:r>
          <w:instrText xml:space="preserve"> PAGE   \* MERGEFORMAT </w:instrText>
        </w:r>
        <w:r>
          <w:fldChar w:fldCharType="separate"/>
        </w:r>
        <w:r w:rsidR="003D1DDB">
          <w:rPr>
            <w:noProof/>
          </w:rPr>
          <w:t>18</w:t>
        </w:r>
        <w:r>
          <w:rPr>
            <w:noProof/>
          </w:rPr>
          <w:fldChar w:fldCharType="end"/>
        </w:r>
      </w:p>
    </w:sdtContent>
  </w:sdt>
  <w:p w14:paraId="2F5026A9" w14:textId="77777777" w:rsidR="00EC2A68" w:rsidRDefault="00EC2A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2F5026AB" w14:textId="5A8DA23C" w:rsidR="00EC2A68" w:rsidRDefault="00EC2A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5026AC" w14:textId="77777777" w:rsidR="00EC2A68" w:rsidRDefault="00EC2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026A1" w14:textId="77777777" w:rsidR="00EC2A68" w:rsidRDefault="00EC2A68" w:rsidP="002D6C99">
      <w:r>
        <w:separator/>
      </w:r>
    </w:p>
  </w:footnote>
  <w:footnote w:type="continuationSeparator" w:id="0">
    <w:p w14:paraId="2F5026A2" w14:textId="77777777" w:rsidR="00EC2A68" w:rsidRDefault="00EC2A68"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26A7" w14:textId="77777777" w:rsidR="00EC2A68" w:rsidRPr="00F72D05" w:rsidRDefault="00EC2A68"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26AA" w14:textId="77777777" w:rsidR="00EC2A68" w:rsidRDefault="00EC2A68"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2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7"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2"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0"/>
  </w:num>
  <w:num w:numId="2">
    <w:abstractNumId w:val="42"/>
  </w:num>
  <w:num w:numId="3">
    <w:abstractNumId w:val="38"/>
  </w:num>
  <w:num w:numId="4">
    <w:abstractNumId w:val="31"/>
  </w:num>
  <w:num w:numId="5">
    <w:abstractNumId w:val="30"/>
  </w:num>
  <w:num w:numId="6">
    <w:abstractNumId w:val="35"/>
  </w:num>
  <w:num w:numId="7">
    <w:abstractNumId w:val="37"/>
  </w:num>
  <w:num w:numId="8">
    <w:abstractNumId w:val="18"/>
  </w:num>
  <w:num w:numId="9">
    <w:abstractNumId w:val="22"/>
  </w:num>
  <w:num w:numId="10">
    <w:abstractNumId w:val="14"/>
  </w:num>
  <w:num w:numId="11">
    <w:abstractNumId w:val="16"/>
  </w:num>
  <w:num w:numId="12">
    <w:abstractNumId w:val="36"/>
  </w:num>
  <w:num w:numId="13">
    <w:abstractNumId w:val="32"/>
  </w:num>
  <w:num w:numId="14">
    <w:abstractNumId w:val="10"/>
  </w:num>
  <w:num w:numId="15">
    <w:abstractNumId w:val="44"/>
  </w:num>
  <w:num w:numId="16">
    <w:abstractNumId w:val="2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7"/>
  </w:num>
  <w:num w:numId="28">
    <w:abstractNumId w:val="34"/>
  </w:num>
  <w:num w:numId="29">
    <w:abstractNumId w:val="28"/>
  </w:num>
  <w:num w:numId="30">
    <w:abstractNumId w:val="24"/>
  </w:num>
  <w:num w:numId="31">
    <w:abstractNumId w:val="33"/>
  </w:num>
  <w:num w:numId="32">
    <w:abstractNumId w:val="39"/>
  </w:num>
  <w:num w:numId="33">
    <w:abstractNumId w:val="21"/>
  </w:num>
  <w:num w:numId="34">
    <w:abstractNumId w:val="43"/>
  </w:num>
  <w:num w:numId="35">
    <w:abstractNumId w:val="29"/>
  </w:num>
  <w:num w:numId="36">
    <w:abstractNumId w:val="17"/>
  </w:num>
  <w:num w:numId="37">
    <w:abstractNumId w:val="11"/>
  </w:num>
  <w:num w:numId="38">
    <w:abstractNumId w:val="41"/>
  </w:num>
  <w:num w:numId="39">
    <w:abstractNumId w:val="20"/>
  </w:num>
  <w:num w:numId="40">
    <w:abstractNumId w:val="13"/>
  </w:num>
  <w:num w:numId="41">
    <w:abstractNumId w:val="12"/>
  </w:num>
  <w:num w:numId="42">
    <w:abstractNumId w:val="25"/>
  </w:num>
  <w:num w:numId="43">
    <w:abstractNumId w:val="23"/>
  </w:num>
  <w:num w:numId="44">
    <w:abstractNumId w:val="15"/>
  </w:num>
  <w:num w:numId="4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3276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2838"/>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905F1"/>
    <w:rsid w:val="00493337"/>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405A"/>
    <w:rsid w:val="00516FBC"/>
    <w:rsid w:val="0052145B"/>
    <w:rsid w:val="0052167E"/>
    <w:rsid w:val="0052233E"/>
    <w:rsid w:val="00523309"/>
    <w:rsid w:val="00524C0F"/>
    <w:rsid w:val="00526006"/>
    <w:rsid w:val="00526E3C"/>
    <w:rsid w:val="005311A9"/>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A5751"/>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C0AFF"/>
    <w:rsid w:val="006C0B82"/>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0F4"/>
    <w:rsid w:val="00733A49"/>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1E4B"/>
    <w:rsid w:val="009322D3"/>
    <w:rsid w:val="00932F74"/>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558B"/>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56A1F"/>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fillcolor="#ff9" strokecolor="none [2409]">
      <v:fill color="#ff9" opacity="60948f"/>
      <v:stroke color="none [2409]"/>
      <v:textbox inset="10.8pt,,10.8pt"/>
    </o:shapedefaults>
    <o:shapelayout v:ext="edit">
      <o:idmap v:ext="edit" data="1"/>
    </o:shapelayout>
  </w:shapeDefaults>
  <w:decimalSymbol w:val="."/>
  <w:listSeparator w:val=","/>
  <w14:docId w14:val="2F50223A"/>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CFP2018.aspx" TargetMode="External"/><Relationship Id="rId18" Type="http://schemas.openxmlformats.org/officeDocument/2006/relationships/hyperlink" Target="https://public.govdelivery.com/accounts/ORDEQ/subscriber/new?pop=t&amp;topic_id=ORDEQ_548" TargetMode="External"/><Relationship Id="rId26" Type="http://schemas.openxmlformats.org/officeDocument/2006/relationships/hyperlink" Target="https://pangea.stanford.edu/researchgroups/eao/research/opgee-oil-production-greenhouse-gas-emissions-estimator"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deqsps/programs/rulemaking/SitePages/Hearings.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regon.gov/deq/Regulations/rulemaking/Pages/rCFP2018.aspx" TargetMode="External"/><Relationship Id="rId25" Type="http://schemas.openxmlformats.org/officeDocument/2006/relationships/hyperlink" Target="https://greet.es.anl.gov/" TargetMode="External"/><Relationship Id="rId33" Type="http://schemas.openxmlformats.org/officeDocument/2006/relationships/hyperlink" Target="https://www.oregon.gov/deq/Regulations/rulemaking/Pages/rCFP2018.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ublic.govdelivery.com/accounts/ORDEQ/subscriber/new?topic_id=ORDEQ_509" TargetMode="External"/><Relationship Id="rId20" Type="http://schemas.openxmlformats.org/officeDocument/2006/relationships/footer" Target="footer2.xml"/><Relationship Id="rId29" Type="http://schemas.openxmlformats.org/officeDocument/2006/relationships/hyperlink" Target="http://www.oregon.gov/deq/RulesandRegulations/Pages/Advisory/acleanfuelsupdat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rb.ca.gov/fuels/lcfs/lcfs.htm" TargetMode="External"/><Relationship Id="rId32" Type="http://schemas.openxmlformats.org/officeDocument/2006/relationships/hyperlink" Target="http://www.deq.state.or.us/aq/committees/advcomLowCarbonFuel.ht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q.state.or.us/regulations/docs/participantlinklog.pdf" TargetMode="External"/><Relationship Id="rId23" Type="http://schemas.openxmlformats.org/officeDocument/2006/relationships/hyperlink" Target="https://www.oregon.gov/deq/Regulations/rulemaking/Pages/rCFP2018.aspx" TargetMode="External"/><Relationship Id="rId28" Type="http://schemas.openxmlformats.org/officeDocument/2006/relationships/hyperlink" Target="http://www.oregon.gov/deq/Regulations/rulemaking/Pages/cfp2017.aspx" TargetMode="External"/><Relationship Id="rId36" Type="http://schemas.openxmlformats.org/officeDocument/2006/relationships/hyperlink" Target="http://www.oregon.gov/deq/Get-Involved/Pages/Calendar.aspx"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www.deq.state.or.us/aq/cleanFuel/meeting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egulations/rulemaking/Pages/cCFP2018.aspx" TargetMode="External"/><Relationship Id="rId22" Type="http://schemas.openxmlformats.org/officeDocument/2006/relationships/footer" Target="footer3.xml"/><Relationship Id="rId27" Type="http://schemas.openxmlformats.org/officeDocument/2006/relationships/hyperlink" Target="https://www.oregon.gov/deq/Regulations/rulemaking/Pages/rCFP2018.aspx" TargetMode="External"/><Relationship Id="rId30" Type="http://schemas.openxmlformats.org/officeDocument/2006/relationships/hyperlink" Target="http://www.oregon.gov/deq/RulesandRegulations/Pages/Advisory/A2CFPPh2.aspx" TargetMode="External"/><Relationship Id="rId35" Type="http://schemas.openxmlformats.org/officeDocument/2006/relationships/hyperlink" Target="http://www.leg.state.or.us/ors/18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CBCCF2-DB33-4571-AF2A-F1BDD7887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24</Pages>
  <Words>4950</Words>
  <Characters>28217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GIBSON Lynda</cp:lastModifiedBy>
  <cp:revision>6</cp:revision>
  <cp:lastPrinted>2013-02-28T21:12:00Z</cp:lastPrinted>
  <dcterms:created xsi:type="dcterms:W3CDTF">2018-08-14T17:02:00Z</dcterms:created>
  <dcterms:modified xsi:type="dcterms:W3CDTF">2018-08-16T21:56:00Z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