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C7F81" w14:textId="77777777" w:rsidR="00083818" w:rsidRDefault="00FC36AC">
      <w:pPr>
        <w:ind w:left="1800" w:firstLine="360"/>
        <w:rPr>
          <w:rFonts w:ascii="Arial" w:eastAsia="Arial" w:hAnsi="Arial" w:cs="Arial"/>
        </w:rPr>
      </w:pPr>
      <w:bookmarkStart w:id="0" w:name="_GoBack"/>
      <w:bookmarkEnd w:id="0"/>
      <w:r>
        <w:rPr>
          <w:rFonts w:ascii="Arial" w:eastAsia="Arial" w:hAnsi="Arial" w:cs="Arial"/>
        </w:rPr>
        <w:t>Oregon Department of Environmental Quality</w:t>
      </w:r>
      <w:r>
        <w:rPr>
          <w:noProof/>
        </w:rPr>
        <w:drawing>
          <wp:anchor distT="0" distB="0" distL="114300" distR="114300" simplePos="0" relativeHeight="251658240" behindDoc="0" locked="0" layoutInCell="1" hidden="0" allowOverlap="1" wp14:anchorId="679869DA" wp14:editId="5D21ABC2">
            <wp:simplePos x="0" y="0"/>
            <wp:positionH relativeFrom="margin">
              <wp:posOffset>-188594</wp:posOffset>
            </wp:positionH>
            <wp:positionV relativeFrom="paragraph">
              <wp:posOffset>-447674</wp:posOffset>
            </wp:positionV>
            <wp:extent cx="584200" cy="1362075"/>
            <wp:effectExtent l="0" t="0" r="0" b="0"/>
            <wp:wrapNone/>
            <wp:docPr id="1" name="image2.png" descr="panrg.tif"/>
            <wp:cNvGraphicFramePr/>
            <a:graphic xmlns:a="http://schemas.openxmlformats.org/drawingml/2006/main">
              <a:graphicData uri="http://schemas.openxmlformats.org/drawingml/2006/picture">
                <pic:pic xmlns:pic="http://schemas.openxmlformats.org/drawingml/2006/picture">
                  <pic:nvPicPr>
                    <pic:cNvPr id="0" name="image2.png" descr="panrg.tif"/>
                    <pic:cNvPicPr preferRelativeResize="0"/>
                  </pic:nvPicPr>
                  <pic:blipFill>
                    <a:blip r:embed="rId11"/>
                    <a:srcRect/>
                    <a:stretch>
                      <a:fillRect/>
                    </a:stretch>
                  </pic:blipFill>
                  <pic:spPr>
                    <a:xfrm>
                      <a:off x="0" y="0"/>
                      <a:ext cx="584200" cy="1362075"/>
                    </a:xfrm>
                    <a:prstGeom prst="rect">
                      <a:avLst/>
                    </a:prstGeom>
                    <a:ln/>
                  </pic:spPr>
                </pic:pic>
              </a:graphicData>
            </a:graphic>
          </wp:anchor>
        </w:drawing>
      </w:r>
    </w:p>
    <w:p w14:paraId="23242605" w14:textId="30DF5E8F" w:rsidR="00083818" w:rsidRPr="00E47B63" w:rsidRDefault="003912A6">
      <w:pPr>
        <w:tabs>
          <w:tab w:val="center" w:pos="5580"/>
        </w:tabs>
        <w:ind w:left="0"/>
        <w:jc w:val="center"/>
        <w:rPr>
          <w:rFonts w:ascii="Arial" w:eastAsia="Arial" w:hAnsi="Arial" w:cs="Arial"/>
          <w:b/>
          <w:color w:val="auto"/>
          <w:sz w:val="32"/>
          <w:szCs w:val="32"/>
        </w:rPr>
      </w:pPr>
      <w:r>
        <w:rPr>
          <w:rFonts w:ascii="Arial" w:eastAsia="Arial" w:hAnsi="Arial" w:cs="Arial"/>
          <w:color w:val="auto"/>
        </w:rPr>
        <w:t>October 20</w:t>
      </w:r>
      <w:r w:rsidR="00FC36AC" w:rsidRPr="00E47B63">
        <w:rPr>
          <w:rFonts w:ascii="Arial" w:eastAsia="Arial" w:hAnsi="Arial" w:cs="Arial"/>
          <w:color w:val="auto"/>
        </w:rPr>
        <w:t>, 2017</w:t>
      </w:r>
    </w:p>
    <w:p w14:paraId="3CD36376" w14:textId="77777777" w:rsidR="00083818" w:rsidRDefault="00083818">
      <w:pPr>
        <w:tabs>
          <w:tab w:val="center" w:pos="5580"/>
        </w:tabs>
        <w:ind w:left="0"/>
        <w:jc w:val="center"/>
        <w:rPr>
          <w:rFonts w:ascii="Arial" w:eastAsia="Arial" w:hAnsi="Arial" w:cs="Arial"/>
          <w:b/>
          <w:sz w:val="32"/>
          <w:szCs w:val="32"/>
        </w:rPr>
      </w:pPr>
    </w:p>
    <w:p w14:paraId="149B7C73" w14:textId="77777777" w:rsidR="00083818" w:rsidRDefault="00FC36AC">
      <w:pPr>
        <w:pStyle w:val="Heading2"/>
        <w:jc w:val="center"/>
      </w:pPr>
      <w:r>
        <w:t>Notice of Proposed Rulemaking</w:t>
      </w:r>
    </w:p>
    <w:p w14:paraId="2C020A04" w14:textId="77777777" w:rsidR="00083818" w:rsidRPr="00E47B63" w:rsidRDefault="00FC36AC">
      <w:pPr>
        <w:ind w:left="0"/>
        <w:jc w:val="center"/>
        <w:rPr>
          <w:rFonts w:ascii="Arial" w:eastAsia="Arial" w:hAnsi="Arial" w:cs="Arial"/>
          <w:color w:val="auto"/>
          <w:sz w:val="26"/>
          <w:szCs w:val="26"/>
        </w:rPr>
      </w:pPr>
      <w:r w:rsidRPr="00E47B63">
        <w:rPr>
          <w:rFonts w:ascii="Arial" w:eastAsia="Arial" w:hAnsi="Arial" w:cs="Arial"/>
          <w:color w:val="auto"/>
          <w:sz w:val="26"/>
          <w:szCs w:val="26"/>
        </w:rPr>
        <w:t>Cleaner Air Oregon</w:t>
      </w:r>
    </w:p>
    <w:p w14:paraId="654704CE" w14:textId="77777777" w:rsidR="00083818" w:rsidRDefault="00083818">
      <w:pPr>
        <w:ind w:left="0"/>
        <w:jc w:val="center"/>
        <w:rPr>
          <w:rFonts w:ascii="Arial" w:eastAsia="Arial" w:hAnsi="Arial" w:cs="Arial"/>
          <w:sz w:val="26"/>
          <w:szCs w:val="26"/>
        </w:rPr>
      </w:pPr>
    </w:p>
    <w:p w14:paraId="70904C5E" w14:textId="77777777" w:rsidR="00083818" w:rsidRDefault="00FC36AC">
      <w:pPr>
        <w:tabs>
          <w:tab w:val="center" w:pos="5040"/>
        </w:tabs>
        <w:ind w:left="0"/>
        <w:jc w:val="center"/>
        <w:rPr>
          <w:rFonts w:ascii="Arial" w:eastAsia="Arial" w:hAnsi="Arial" w:cs="Arial"/>
          <w:color w:val="C55911"/>
          <w:sz w:val="28"/>
          <w:szCs w:val="28"/>
        </w:rPr>
      </w:pPr>
      <w:r>
        <w:rPr>
          <w:rFonts w:ascii="Arial" w:eastAsia="Arial" w:hAnsi="Arial" w:cs="Arial"/>
          <w:color w:val="C55911"/>
          <w:sz w:val="28"/>
          <w:szCs w:val="28"/>
        </w:rPr>
        <w:t xml:space="preserve"> </w:t>
      </w:r>
    </w:p>
    <w:p w14:paraId="6ACEA3D0" w14:textId="1C09E885" w:rsidR="00083818" w:rsidRPr="00E47B63" w:rsidRDefault="00453B53">
      <w:pPr>
        <w:tabs>
          <w:tab w:val="center" w:pos="5040"/>
        </w:tabs>
        <w:ind w:left="0"/>
        <w:jc w:val="center"/>
        <w:rPr>
          <w:rFonts w:ascii="Arial" w:eastAsia="Arial" w:hAnsi="Arial" w:cs="Arial"/>
          <w:color w:val="auto"/>
          <w:sz w:val="28"/>
          <w:szCs w:val="28"/>
        </w:rPr>
      </w:pPr>
      <w:r>
        <w:rPr>
          <w:rFonts w:ascii="Arial" w:eastAsia="Arial" w:hAnsi="Arial" w:cs="Arial"/>
          <w:color w:val="auto"/>
          <w:sz w:val="28"/>
          <w:szCs w:val="28"/>
        </w:rPr>
        <w:t>Propose</w:t>
      </w:r>
      <w:r w:rsidR="00FC36AC" w:rsidRPr="00E47B63">
        <w:rPr>
          <w:rFonts w:ascii="Arial" w:eastAsia="Arial" w:hAnsi="Arial" w:cs="Arial"/>
          <w:color w:val="auto"/>
          <w:sz w:val="28"/>
          <w:szCs w:val="28"/>
        </w:rPr>
        <w:t xml:space="preserve">s </w:t>
      </w:r>
      <w:r w:rsidR="00771AC5">
        <w:rPr>
          <w:rFonts w:ascii="Arial" w:eastAsia="Arial" w:hAnsi="Arial" w:cs="Arial"/>
          <w:color w:val="auto"/>
          <w:sz w:val="28"/>
          <w:szCs w:val="28"/>
        </w:rPr>
        <w:t xml:space="preserve">adoption of </w:t>
      </w:r>
      <w:r w:rsidR="00FC36AC" w:rsidRPr="00E47B63">
        <w:rPr>
          <w:rFonts w:ascii="Arial" w:eastAsia="Arial" w:hAnsi="Arial" w:cs="Arial"/>
          <w:color w:val="auto"/>
          <w:sz w:val="28"/>
          <w:szCs w:val="28"/>
        </w:rPr>
        <w:t>Cleaner Air Oregon permitting program to limit health risks from air toxics emissions.</w:t>
      </w:r>
    </w:p>
    <w:p w14:paraId="146F5189" w14:textId="77777777" w:rsidR="00083818" w:rsidRDefault="00083818">
      <w:pPr>
        <w:tabs>
          <w:tab w:val="center" w:pos="5040"/>
        </w:tabs>
        <w:ind w:left="0"/>
        <w:jc w:val="center"/>
        <w:rPr>
          <w:rFonts w:ascii="Arial" w:eastAsia="Arial" w:hAnsi="Arial" w:cs="Arial"/>
          <w:color w:val="C55911"/>
          <w:sz w:val="28"/>
          <w:szCs w:val="28"/>
        </w:rPr>
      </w:pPr>
    </w:p>
    <w:p w14:paraId="0D97A8B3" w14:textId="77777777" w:rsidR="00083818" w:rsidRDefault="00083818">
      <w:pPr>
        <w:tabs>
          <w:tab w:val="center" w:pos="5040"/>
        </w:tabs>
        <w:ind w:left="0"/>
        <w:jc w:val="center"/>
        <w:rPr>
          <w:rFonts w:ascii="Arial" w:eastAsia="Arial" w:hAnsi="Arial" w:cs="Arial"/>
          <w:color w:val="C55911"/>
          <w:sz w:val="28"/>
          <w:szCs w:val="28"/>
        </w:rPr>
      </w:pPr>
    </w:p>
    <w:p w14:paraId="5E888CC4" w14:textId="77777777" w:rsidR="00083818" w:rsidRDefault="00083818"/>
    <w:p w14:paraId="3D2A791D" w14:textId="77777777" w:rsidR="00083818" w:rsidRDefault="00FC36AC">
      <w:pPr>
        <w:pStyle w:val="Title"/>
        <w:jc w:val="center"/>
        <w:rPr>
          <w:rFonts w:ascii="Arial" w:eastAsia="Arial" w:hAnsi="Arial" w:cs="Arial"/>
          <w:color w:val="000000"/>
        </w:rPr>
      </w:pPr>
      <w:r>
        <w:rPr>
          <w:rFonts w:ascii="Arial" w:eastAsia="Arial" w:hAnsi="Arial" w:cs="Arial"/>
          <w:color w:val="000000"/>
        </w:rPr>
        <w:t>Table of Contents</w:t>
      </w:r>
    </w:p>
    <w:sdt>
      <w:sdtPr>
        <w:id w:val="98768639"/>
        <w:docPartObj>
          <w:docPartGallery w:val="Table of Contents"/>
          <w:docPartUnique/>
        </w:docPartObj>
      </w:sdtPr>
      <w:sdtEndPr/>
      <w:sdtContent>
        <w:p w14:paraId="2CFABE93" w14:textId="77777777" w:rsidR="009D200C" w:rsidRDefault="009D200C">
          <w:pPr>
            <w:pStyle w:val="TOC1"/>
            <w:tabs>
              <w:tab w:val="right" w:leader="dot" w:pos="9350"/>
            </w:tabs>
            <w:rPr>
              <w:rFonts w:asciiTheme="minorHAnsi" w:eastAsiaTheme="minorEastAsia" w:hAnsiTheme="minorHAnsi" w:cstheme="minorBidi"/>
              <w:noProof/>
              <w:color w:val="auto"/>
              <w:sz w:val="22"/>
              <w:szCs w:val="22"/>
            </w:rPr>
          </w:pPr>
          <w:r>
            <w:fldChar w:fldCharType="begin"/>
          </w:r>
          <w:r>
            <w:instrText xml:space="preserve"> TOC \o "1-1" \h \z \u </w:instrText>
          </w:r>
          <w:r>
            <w:fldChar w:fldCharType="separate"/>
          </w:r>
          <w:hyperlink w:anchor="_Toc496011822" w:history="1">
            <w:r w:rsidRPr="00082175">
              <w:rPr>
                <w:rStyle w:val="Hyperlink"/>
                <w:noProof/>
              </w:rPr>
              <w:t>Introduction</w:t>
            </w:r>
            <w:r>
              <w:rPr>
                <w:noProof/>
                <w:webHidden/>
              </w:rPr>
              <w:tab/>
            </w:r>
            <w:r>
              <w:rPr>
                <w:noProof/>
                <w:webHidden/>
              </w:rPr>
              <w:fldChar w:fldCharType="begin"/>
            </w:r>
            <w:r>
              <w:rPr>
                <w:noProof/>
                <w:webHidden/>
              </w:rPr>
              <w:instrText xml:space="preserve"> PAGEREF _Toc496011822 \h </w:instrText>
            </w:r>
            <w:r>
              <w:rPr>
                <w:noProof/>
                <w:webHidden/>
              </w:rPr>
            </w:r>
            <w:r>
              <w:rPr>
                <w:noProof/>
                <w:webHidden/>
              </w:rPr>
              <w:fldChar w:fldCharType="separate"/>
            </w:r>
            <w:r w:rsidR="003C2B86">
              <w:rPr>
                <w:noProof/>
                <w:webHidden/>
              </w:rPr>
              <w:t>2</w:t>
            </w:r>
            <w:r>
              <w:rPr>
                <w:noProof/>
                <w:webHidden/>
              </w:rPr>
              <w:fldChar w:fldCharType="end"/>
            </w:r>
          </w:hyperlink>
        </w:p>
        <w:p w14:paraId="2A6DCF91" w14:textId="77777777" w:rsidR="009D200C" w:rsidRDefault="006F6FDA">
          <w:pPr>
            <w:pStyle w:val="TOC1"/>
            <w:tabs>
              <w:tab w:val="right" w:leader="dot" w:pos="9350"/>
            </w:tabs>
            <w:rPr>
              <w:rFonts w:asciiTheme="minorHAnsi" w:eastAsiaTheme="minorEastAsia" w:hAnsiTheme="minorHAnsi" w:cstheme="minorBidi"/>
              <w:noProof/>
              <w:color w:val="auto"/>
              <w:sz w:val="22"/>
              <w:szCs w:val="22"/>
            </w:rPr>
          </w:pPr>
          <w:hyperlink w:anchor="_Toc496011823" w:history="1">
            <w:r w:rsidR="009D200C" w:rsidRPr="00082175">
              <w:rPr>
                <w:rStyle w:val="Hyperlink"/>
                <w:noProof/>
              </w:rPr>
              <w:t>Overview</w:t>
            </w:r>
            <w:r w:rsidR="009D200C">
              <w:rPr>
                <w:noProof/>
                <w:webHidden/>
              </w:rPr>
              <w:tab/>
            </w:r>
            <w:r w:rsidR="009D200C">
              <w:rPr>
                <w:noProof/>
                <w:webHidden/>
              </w:rPr>
              <w:fldChar w:fldCharType="begin"/>
            </w:r>
            <w:r w:rsidR="009D200C">
              <w:rPr>
                <w:noProof/>
                <w:webHidden/>
              </w:rPr>
              <w:instrText xml:space="preserve"> PAGEREF _Toc496011823 \h </w:instrText>
            </w:r>
            <w:r w:rsidR="009D200C">
              <w:rPr>
                <w:noProof/>
                <w:webHidden/>
              </w:rPr>
            </w:r>
            <w:r w:rsidR="009D200C">
              <w:rPr>
                <w:noProof/>
                <w:webHidden/>
              </w:rPr>
              <w:fldChar w:fldCharType="separate"/>
            </w:r>
            <w:r w:rsidR="003C2B86">
              <w:rPr>
                <w:noProof/>
                <w:webHidden/>
              </w:rPr>
              <w:t>4</w:t>
            </w:r>
            <w:r w:rsidR="009D200C">
              <w:rPr>
                <w:noProof/>
                <w:webHidden/>
              </w:rPr>
              <w:fldChar w:fldCharType="end"/>
            </w:r>
          </w:hyperlink>
        </w:p>
        <w:p w14:paraId="51C0B010" w14:textId="77777777" w:rsidR="009D200C" w:rsidRDefault="006F6FDA">
          <w:pPr>
            <w:pStyle w:val="TOC1"/>
            <w:tabs>
              <w:tab w:val="right" w:leader="dot" w:pos="9350"/>
            </w:tabs>
            <w:rPr>
              <w:rFonts w:asciiTheme="minorHAnsi" w:eastAsiaTheme="minorEastAsia" w:hAnsiTheme="minorHAnsi" w:cstheme="minorBidi"/>
              <w:noProof/>
              <w:color w:val="auto"/>
              <w:sz w:val="22"/>
              <w:szCs w:val="22"/>
            </w:rPr>
          </w:pPr>
          <w:hyperlink w:anchor="_Toc496011824" w:history="1">
            <w:r w:rsidR="009D200C" w:rsidRPr="00082175">
              <w:rPr>
                <w:rStyle w:val="Hyperlink"/>
                <w:noProof/>
              </w:rPr>
              <w:t>Statement of Need</w:t>
            </w:r>
            <w:r w:rsidR="009D200C">
              <w:rPr>
                <w:noProof/>
                <w:webHidden/>
              </w:rPr>
              <w:tab/>
            </w:r>
            <w:r w:rsidR="009D200C">
              <w:rPr>
                <w:noProof/>
                <w:webHidden/>
              </w:rPr>
              <w:fldChar w:fldCharType="begin"/>
            </w:r>
            <w:r w:rsidR="009D200C">
              <w:rPr>
                <w:noProof/>
                <w:webHidden/>
              </w:rPr>
              <w:instrText xml:space="preserve"> PAGEREF _Toc496011824 \h </w:instrText>
            </w:r>
            <w:r w:rsidR="009D200C">
              <w:rPr>
                <w:noProof/>
                <w:webHidden/>
              </w:rPr>
            </w:r>
            <w:r w:rsidR="009D200C">
              <w:rPr>
                <w:noProof/>
                <w:webHidden/>
              </w:rPr>
              <w:fldChar w:fldCharType="separate"/>
            </w:r>
            <w:r w:rsidR="003C2B86">
              <w:rPr>
                <w:noProof/>
                <w:webHidden/>
              </w:rPr>
              <w:t>7</w:t>
            </w:r>
            <w:r w:rsidR="009D200C">
              <w:rPr>
                <w:noProof/>
                <w:webHidden/>
              </w:rPr>
              <w:fldChar w:fldCharType="end"/>
            </w:r>
          </w:hyperlink>
        </w:p>
        <w:p w14:paraId="682F2D1A" w14:textId="77777777" w:rsidR="009D200C" w:rsidRDefault="006F6FDA">
          <w:pPr>
            <w:pStyle w:val="TOC1"/>
            <w:tabs>
              <w:tab w:val="right" w:leader="dot" w:pos="9350"/>
            </w:tabs>
            <w:rPr>
              <w:rFonts w:asciiTheme="minorHAnsi" w:eastAsiaTheme="minorEastAsia" w:hAnsiTheme="minorHAnsi" w:cstheme="minorBidi"/>
              <w:noProof/>
              <w:color w:val="auto"/>
              <w:sz w:val="22"/>
              <w:szCs w:val="22"/>
            </w:rPr>
          </w:pPr>
          <w:hyperlink w:anchor="_Toc496011825" w:history="1">
            <w:r w:rsidR="009D200C" w:rsidRPr="00082175">
              <w:rPr>
                <w:rStyle w:val="Hyperlink"/>
                <w:noProof/>
              </w:rPr>
              <w:t>Rules affected, authorities, supporting documents</w:t>
            </w:r>
            <w:r w:rsidR="009D200C">
              <w:rPr>
                <w:noProof/>
                <w:webHidden/>
              </w:rPr>
              <w:tab/>
            </w:r>
            <w:r w:rsidR="009D200C">
              <w:rPr>
                <w:noProof/>
                <w:webHidden/>
              </w:rPr>
              <w:fldChar w:fldCharType="begin"/>
            </w:r>
            <w:r w:rsidR="009D200C">
              <w:rPr>
                <w:noProof/>
                <w:webHidden/>
              </w:rPr>
              <w:instrText xml:space="preserve"> PAGEREF _Toc496011825 \h </w:instrText>
            </w:r>
            <w:r w:rsidR="009D200C">
              <w:rPr>
                <w:noProof/>
                <w:webHidden/>
              </w:rPr>
            </w:r>
            <w:r w:rsidR="009D200C">
              <w:rPr>
                <w:noProof/>
                <w:webHidden/>
              </w:rPr>
              <w:fldChar w:fldCharType="separate"/>
            </w:r>
            <w:r w:rsidR="003C2B86">
              <w:rPr>
                <w:noProof/>
                <w:webHidden/>
              </w:rPr>
              <w:t>11</w:t>
            </w:r>
            <w:r w:rsidR="009D200C">
              <w:rPr>
                <w:noProof/>
                <w:webHidden/>
              </w:rPr>
              <w:fldChar w:fldCharType="end"/>
            </w:r>
          </w:hyperlink>
        </w:p>
        <w:p w14:paraId="74E22FBC" w14:textId="77777777" w:rsidR="009D200C" w:rsidRDefault="006F6FDA">
          <w:pPr>
            <w:pStyle w:val="TOC1"/>
            <w:tabs>
              <w:tab w:val="right" w:leader="dot" w:pos="9350"/>
            </w:tabs>
            <w:rPr>
              <w:rFonts w:asciiTheme="minorHAnsi" w:eastAsiaTheme="minorEastAsia" w:hAnsiTheme="minorHAnsi" w:cstheme="minorBidi"/>
              <w:noProof/>
              <w:color w:val="auto"/>
              <w:sz w:val="22"/>
              <w:szCs w:val="22"/>
            </w:rPr>
          </w:pPr>
          <w:hyperlink w:anchor="_Toc496011826" w:history="1">
            <w:r w:rsidR="009D200C" w:rsidRPr="00082175">
              <w:rPr>
                <w:rStyle w:val="Hyperlink"/>
                <w:noProof/>
              </w:rPr>
              <w:t>Fee Analysis</w:t>
            </w:r>
            <w:r w:rsidR="009D200C">
              <w:rPr>
                <w:noProof/>
                <w:webHidden/>
              </w:rPr>
              <w:tab/>
            </w:r>
            <w:r w:rsidR="009D200C">
              <w:rPr>
                <w:noProof/>
                <w:webHidden/>
              </w:rPr>
              <w:fldChar w:fldCharType="begin"/>
            </w:r>
            <w:r w:rsidR="009D200C">
              <w:rPr>
                <w:noProof/>
                <w:webHidden/>
              </w:rPr>
              <w:instrText xml:space="preserve"> PAGEREF _Toc496011826 \h </w:instrText>
            </w:r>
            <w:r w:rsidR="009D200C">
              <w:rPr>
                <w:noProof/>
                <w:webHidden/>
              </w:rPr>
            </w:r>
            <w:r w:rsidR="009D200C">
              <w:rPr>
                <w:noProof/>
                <w:webHidden/>
              </w:rPr>
              <w:fldChar w:fldCharType="separate"/>
            </w:r>
            <w:r w:rsidR="003C2B86">
              <w:rPr>
                <w:noProof/>
                <w:webHidden/>
              </w:rPr>
              <w:t>13</w:t>
            </w:r>
            <w:r w:rsidR="009D200C">
              <w:rPr>
                <w:noProof/>
                <w:webHidden/>
              </w:rPr>
              <w:fldChar w:fldCharType="end"/>
            </w:r>
          </w:hyperlink>
        </w:p>
        <w:p w14:paraId="244E31B7" w14:textId="77777777" w:rsidR="009D200C" w:rsidRDefault="006F6FDA">
          <w:pPr>
            <w:pStyle w:val="TOC1"/>
            <w:tabs>
              <w:tab w:val="right" w:leader="dot" w:pos="9350"/>
            </w:tabs>
            <w:rPr>
              <w:rFonts w:asciiTheme="minorHAnsi" w:eastAsiaTheme="minorEastAsia" w:hAnsiTheme="minorHAnsi" w:cstheme="minorBidi"/>
              <w:noProof/>
              <w:color w:val="auto"/>
              <w:sz w:val="22"/>
              <w:szCs w:val="22"/>
            </w:rPr>
          </w:pPr>
          <w:hyperlink w:anchor="_Toc496011827" w:history="1">
            <w:r w:rsidR="009D200C" w:rsidRPr="00082175">
              <w:rPr>
                <w:rStyle w:val="Hyperlink"/>
                <w:noProof/>
              </w:rPr>
              <w:t>Statement of fiscal and economic impact</w:t>
            </w:r>
            <w:r w:rsidR="009D200C">
              <w:rPr>
                <w:noProof/>
                <w:webHidden/>
              </w:rPr>
              <w:tab/>
            </w:r>
            <w:r w:rsidR="009D200C">
              <w:rPr>
                <w:noProof/>
                <w:webHidden/>
              </w:rPr>
              <w:fldChar w:fldCharType="begin"/>
            </w:r>
            <w:r w:rsidR="009D200C">
              <w:rPr>
                <w:noProof/>
                <w:webHidden/>
              </w:rPr>
              <w:instrText xml:space="preserve"> PAGEREF _Toc496011827 \h </w:instrText>
            </w:r>
            <w:r w:rsidR="009D200C">
              <w:rPr>
                <w:noProof/>
                <w:webHidden/>
              </w:rPr>
            </w:r>
            <w:r w:rsidR="009D200C">
              <w:rPr>
                <w:noProof/>
                <w:webHidden/>
              </w:rPr>
              <w:fldChar w:fldCharType="separate"/>
            </w:r>
            <w:r w:rsidR="003C2B86">
              <w:rPr>
                <w:noProof/>
                <w:webHidden/>
              </w:rPr>
              <w:t>20</w:t>
            </w:r>
            <w:r w:rsidR="009D200C">
              <w:rPr>
                <w:noProof/>
                <w:webHidden/>
              </w:rPr>
              <w:fldChar w:fldCharType="end"/>
            </w:r>
          </w:hyperlink>
        </w:p>
        <w:p w14:paraId="3A0CAC5D" w14:textId="77777777" w:rsidR="009D200C" w:rsidRDefault="006F6FDA">
          <w:pPr>
            <w:pStyle w:val="TOC1"/>
            <w:tabs>
              <w:tab w:val="right" w:leader="dot" w:pos="9350"/>
            </w:tabs>
            <w:rPr>
              <w:rFonts w:asciiTheme="minorHAnsi" w:eastAsiaTheme="minorEastAsia" w:hAnsiTheme="minorHAnsi" w:cstheme="minorBidi"/>
              <w:noProof/>
              <w:color w:val="auto"/>
              <w:sz w:val="22"/>
              <w:szCs w:val="22"/>
            </w:rPr>
          </w:pPr>
          <w:hyperlink w:anchor="_Toc496011829" w:history="1">
            <w:r w:rsidR="009D200C" w:rsidRPr="00082175">
              <w:rPr>
                <w:rStyle w:val="Hyperlink"/>
                <w:noProof/>
              </w:rPr>
              <w:t>Federal relationship</w:t>
            </w:r>
            <w:r w:rsidR="009D200C">
              <w:rPr>
                <w:noProof/>
                <w:webHidden/>
              </w:rPr>
              <w:tab/>
            </w:r>
            <w:r w:rsidR="009D200C">
              <w:rPr>
                <w:noProof/>
                <w:webHidden/>
              </w:rPr>
              <w:fldChar w:fldCharType="begin"/>
            </w:r>
            <w:r w:rsidR="009D200C">
              <w:rPr>
                <w:noProof/>
                <w:webHidden/>
              </w:rPr>
              <w:instrText xml:space="preserve"> PAGEREF _Toc496011829 \h </w:instrText>
            </w:r>
            <w:r w:rsidR="009D200C">
              <w:rPr>
                <w:noProof/>
                <w:webHidden/>
              </w:rPr>
            </w:r>
            <w:r w:rsidR="009D200C">
              <w:rPr>
                <w:noProof/>
                <w:webHidden/>
              </w:rPr>
              <w:fldChar w:fldCharType="separate"/>
            </w:r>
            <w:r w:rsidR="003C2B86">
              <w:rPr>
                <w:noProof/>
                <w:webHidden/>
              </w:rPr>
              <w:t>44</w:t>
            </w:r>
            <w:r w:rsidR="009D200C">
              <w:rPr>
                <w:noProof/>
                <w:webHidden/>
              </w:rPr>
              <w:fldChar w:fldCharType="end"/>
            </w:r>
          </w:hyperlink>
        </w:p>
        <w:p w14:paraId="133D3DAF" w14:textId="77777777" w:rsidR="009D200C" w:rsidRDefault="006F6FDA">
          <w:pPr>
            <w:pStyle w:val="TOC1"/>
            <w:tabs>
              <w:tab w:val="right" w:leader="dot" w:pos="9350"/>
            </w:tabs>
            <w:rPr>
              <w:rFonts w:asciiTheme="minorHAnsi" w:eastAsiaTheme="minorEastAsia" w:hAnsiTheme="minorHAnsi" w:cstheme="minorBidi"/>
              <w:noProof/>
              <w:color w:val="auto"/>
              <w:sz w:val="22"/>
              <w:szCs w:val="22"/>
            </w:rPr>
          </w:pPr>
          <w:hyperlink w:anchor="_Toc496011830" w:history="1">
            <w:r w:rsidR="009D200C" w:rsidRPr="00082175">
              <w:rPr>
                <w:rStyle w:val="Hyperlink"/>
                <w:noProof/>
              </w:rPr>
              <w:t>Land use</w:t>
            </w:r>
            <w:r w:rsidR="009D200C">
              <w:rPr>
                <w:noProof/>
                <w:webHidden/>
              </w:rPr>
              <w:tab/>
            </w:r>
            <w:r w:rsidR="009D200C">
              <w:rPr>
                <w:noProof/>
                <w:webHidden/>
              </w:rPr>
              <w:fldChar w:fldCharType="begin"/>
            </w:r>
            <w:r w:rsidR="009D200C">
              <w:rPr>
                <w:noProof/>
                <w:webHidden/>
              </w:rPr>
              <w:instrText xml:space="preserve"> PAGEREF _Toc496011830 \h </w:instrText>
            </w:r>
            <w:r w:rsidR="009D200C">
              <w:rPr>
                <w:noProof/>
                <w:webHidden/>
              </w:rPr>
            </w:r>
            <w:r w:rsidR="009D200C">
              <w:rPr>
                <w:noProof/>
                <w:webHidden/>
              </w:rPr>
              <w:fldChar w:fldCharType="separate"/>
            </w:r>
            <w:r w:rsidR="003C2B86">
              <w:rPr>
                <w:noProof/>
                <w:webHidden/>
              </w:rPr>
              <w:t>44</w:t>
            </w:r>
            <w:r w:rsidR="009D200C">
              <w:rPr>
                <w:noProof/>
                <w:webHidden/>
              </w:rPr>
              <w:fldChar w:fldCharType="end"/>
            </w:r>
          </w:hyperlink>
        </w:p>
        <w:p w14:paraId="2F742A82" w14:textId="77777777" w:rsidR="009D200C" w:rsidRDefault="006F6FDA">
          <w:pPr>
            <w:pStyle w:val="TOC1"/>
            <w:tabs>
              <w:tab w:val="right" w:leader="dot" w:pos="9350"/>
            </w:tabs>
            <w:rPr>
              <w:rFonts w:asciiTheme="minorHAnsi" w:eastAsiaTheme="minorEastAsia" w:hAnsiTheme="minorHAnsi" w:cstheme="minorBidi"/>
              <w:noProof/>
              <w:color w:val="auto"/>
              <w:sz w:val="22"/>
              <w:szCs w:val="22"/>
            </w:rPr>
          </w:pPr>
          <w:hyperlink w:anchor="_Toc496011831" w:history="1">
            <w:r w:rsidR="009D200C" w:rsidRPr="00082175">
              <w:rPr>
                <w:rStyle w:val="Hyperlink"/>
                <w:noProof/>
              </w:rPr>
              <w:t>Stakeholder and public involvement</w:t>
            </w:r>
            <w:r w:rsidR="009D200C">
              <w:rPr>
                <w:noProof/>
                <w:webHidden/>
              </w:rPr>
              <w:tab/>
            </w:r>
            <w:r w:rsidR="009D200C">
              <w:rPr>
                <w:noProof/>
                <w:webHidden/>
              </w:rPr>
              <w:fldChar w:fldCharType="begin"/>
            </w:r>
            <w:r w:rsidR="009D200C">
              <w:rPr>
                <w:noProof/>
                <w:webHidden/>
              </w:rPr>
              <w:instrText xml:space="preserve"> PAGEREF _Toc496011831 \h </w:instrText>
            </w:r>
            <w:r w:rsidR="009D200C">
              <w:rPr>
                <w:noProof/>
                <w:webHidden/>
              </w:rPr>
            </w:r>
            <w:r w:rsidR="009D200C">
              <w:rPr>
                <w:noProof/>
                <w:webHidden/>
              </w:rPr>
              <w:fldChar w:fldCharType="separate"/>
            </w:r>
            <w:r w:rsidR="003C2B86">
              <w:rPr>
                <w:noProof/>
                <w:webHidden/>
              </w:rPr>
              <w:t>46</w:t>
            </w:r>
            <w:r w:rsidR="009D200C">
              <w:rPr>
                <w:noProof/>
                <w:webHidden/>
              </w:rPr>
              <w:fldChar w:fldCharType="end"/>
            </w:r>
          </w:hyperlink>
        </w:p>
        <w:p w14:paraId="168F7F17" w14:textId="77777777" w:rsidR="009D200C" w:rsidRDefault="006F6FDA">
          <w:pPr>
            <w:pStyle w:val="TOC1"/>
            <w:tabs>
              <w:tab w:val="right" w:leader="dot" w:pos="9350"/>
            </w:tabs>
            <w:rPr>
              <w:rFonts w:asciiTheme="minorHAnsi" w:eastAsiaTheme="minorEastAsia" w:hAnsiTheme="minorHAnsi" w:cstheme="minorBidi"/>
              <w:noProof/>
              <w:color w:val="auto"/>
              <w:sz w:val="22"/>
              <w:szCs w:val="22"/>
            </w:rPr>
          </w:pPr>
          <w:hyperlink w:anchor="_Toc496011832" w:history="1">
            <w:r w:rsidR="009D200C" w:rsidRPr="00082175">
              <w:rPr>
                <w:rStyle w:val="Hyperlink"/>
                <w:noProof/>
              </w:rPr>
              <w:t>Public notice and hearings</w:t>
            </w:r>
            <w:r w:rsidR="009D200C">
              <w:rPr>
                <w:noProof/>
                <w:webHidden/>
              </w:rPr>
              <w:tab/>
            </w:r>
            <w:r w:rsidR="009D200C">
              <w:rPr>
                <w:noProof/>
                <w:webHidden/>
              </w:rPr>
              <w:fldChar w:fldCharType="begin"/>
            </w:r>
            <w:r w:rsidR="009D200C">
              <w:rPr>
                <w:noProof/>
                <w:webHidden/>
              </w:rPr>
              <w:instrText xml:space="preserve"> PAGEREF _Toc496011832 \h </w:instrText>
            </w:r>
            <w:r w:rsidR="009D200C">
              <w:rPr>
                <w:noProof/>
                <w:webHidden/>
              </w:rPr>
            </w:r>
            <w:r w:rsidR="009D200C">
              <w:rPr>
                <w:noProof/>
                <w:webHidden/>
              </w:rPr>
              <w:fldChar w:fldCharType="separate"/>
            </w:r>
            <w:r w:rsidR="003C2B86">
              <w:rPr>
                <w:noProof/>
                <w:webHidden/>
              </w:rPr>
              <w:t>47</w:t>
            </w:r>
            <w:r w:rsidR="009D200C">
              <w:rPr>
                <w:noProof/>
                <w:webHidden/>
              </w:rPr>
              <w:fldChar w:fldCharType="end"/>
            </w:r>
          </w:hyperlink>
        </w:p>
        <w:p w14:paraId="1A0B623C" w14:textId="77777777" w:rsidR="009D200C" w:rsidRDefault="006F6FDA">
          <w:pPr>
            <w:pStyle w:val="TOC1"/>
            <w:tabs>
              <w:tab w:val="right" w:leader="dot" w:pos="9350"/>
            </w:tabs>
            <w:rPr>
              <w:rFonts w:asciiTheme="minorHAnsi" w:eastAsiaTheme="minorEastAsia" w:hAnsiTheme="minorHAnsi" w:cstheme="minorBidi"/>
              <w:noProof/>
              <w:color w:val="auto"/>
              <w:sz w:val="22"/>
              <w:szCs w:val="22"/>
            </w:rPr>
          </w:pPr>
          <w:hyperlink w:anchor="_Toc496011833" w:history="1">
            <w:r w:rsidR="009D200C" w:rsidRPr="00082175">
              <w:rPr>
                <w:rStyle w:val="Hyperlink"/>
                <w:noProof/>
              </w:rPr>
              <w:t>Draft Rules  - With Edits Highlighted</w:t>
            </w:r>
            <w:r w:rsidR="009D200C">
              <w:rPr>
                <w:noProof/>
                <w:webHidden/>
              </w:rPr>
              <w:tab/>
            </w:r>
            <w:r w:rsidR="009D200C">
              <w:rPr>
                <w:noProof/>
                <w:webHidden/>
              </w:rPr>
              <w:fldChar w:fldCharType="begin"/>
            </w:r>
            <w:r w:rsidR="009D200C">
              <w:rPr>
                <w:noProof/>
                <w:webHidden/>
              </w:rPr>
              <w:instrText xml:space="preserve"> PAGEREF _Toc496011833 \h </w:instrText>
            </w:r>
            <w:r w:rsidR="009D200C">
              <w:rPr>
                <w:noProof/>
                <w:webHidden/>
              </w:rPr>
            </w:r>
            <w:r w:rsidR="009D200C">
              <w:rPr>
                <w:noProof/>
                <w:webHidden/>
              </w:rPr>
              <w:fldChar w:fldCharType="separate"/>
            </w:r>
            <w:r w:rsidR="003C2B86">
              <w:rPr>
                <w:noProof/>
                <w:webHidden/>
              </w:rPr>
              <w:t>50</w:t>
            </w:r>
            <w:r w:rsidR="009D200C">
              <w:rPr>
                <w:noProof/>
                <w:webHidden/>
              </w:rPr>
              <w:fldChar w:fldCharType="end"/>
            </w:r>
          </w:hyperlink>
        </w:p>
        <w:p w14:paraId="41C45936" w14:textId="47719B21" w:rsidR="009D200C" w:rsidRDefault="006F6FDA">
          <w:pPr>
            <w:pStyle w:val="TOC1"/>
            <w:tabs>
              <w:tab w:val="right" w:leader="dot" w:pos="9350"/>
            </w:tabs>
            <w:rPr>
              <w:rFonts w:asciiTheme="minorHAnsi" w:eastAsiaTheme="minorEastAsia" w:hAnsiTheme="minorHAnsi" w:cstheme="minorBidi"/>
              <w:noProof/>
              <w:color w:val="auto"/>
              <w:sz w:val="22"/>
              <w:szCs w:val="22"/>
            </w:rPr>
          </w:pPr>
          <w:hyperlink w:anchor="_Toc496011834" w:history="1">
            <w:r w:rsidR="00550C6B">
              <w:rPr>
                <w:rStyle w:val="Hyperlink"/>
                <w:noProof/>
              </w:rPr>
              <w:t xml:space="preserve">Draft Rules - </w:t>
            </w:r>
            <w:r w:rsidR="009D200C" w:rsidRPr="00082175">
              <w:rPr>
                <w:rStyle w:val="Hyperlink"/>
                <w:noProof/>
              </w:rPr>
              <w:t>With Edits Incorporated</w:t>
            </w:r>
            <w:r w:rsidR="009D200C">
              <w:rPr>
                <w:noProof/>
                <w:webHidden/>
              </w:rPr>
              <w:tab/>
            </w:r>
            <w:r w:rsidR="009D200C">
              <w:rPr>
                <w:noProof/>
                <w:webHidden/>
              </w:rPr>
              <w:fldChar w:fldCharType="begin"/>
            </w:r>
            <w:r w:rsidR="009D200C">
              <w:rPr>
                <w:noProof/>
                <w:webHidden/>
              </w:rPr>
              <w:instrText xml:space="preserve"> PAGEREF _Toc496011834 \h </w:instrText>
            </w:r>
            <w:r w:rsidR="009D200C">
              <w:rPr>
                <w:noProof/>
                <w:webHidden/>
              </w:rPr>
            </w:r>
            <w:r w:rsidR="009D200C">
              <w:rPr>
                <w:noProof/>
                <w:webHidden/>
              </w:rPr>
              <w:fldChar w:fldCharType="separate"/>
            </w:r>
            <w:r w:rsidR="003C2B86">
              <w:rPr>
                <w:noProof/>
                <w:webHidden/>
              </w:rPr>
              <w:t>51</w:t>
            </w:r>
            <w:r w:rsidR="009D200C">
              <w:rPr>
                <w:noProof/>
                <w:webHidden/>
              </w:rPr>
              <w:fldChar w:fldCharType="end"/>
            </w:r>
          </w:hyperlink>
        </w:p>
        <w:p w14:paraId="249F360D" w14:textId="77777777" w:rsidR="009D200C" w:rsidRDefault="006F6FDA">
          <w:pPr>
            <w:pStyle w:val="TOC1"/>
            <w:tabs>
              <w:tab w:val="right" w:leader="dot" w:pos="9350"/>
            </w:tabs>
            <w:rPr>
              <w:rFonts w:asciiTheme="minorHAnsi" w:eastAsiaTheme="minorEastAsia" w:hAnsiTheme="minorHAnsi" w:cstheme="minorBidi"/>
              <w:noProof/>
              <w:color w:val="auto"/>
              <w:sz w:val="22"/>
              <w:szCs w:val="22"/>
            </w:rPr>
          </w:pPr>
          <w:hyperlink w:anchor="_Toc496011835" w:history="1">
            <w:r w:rsidR="009D200C" w:rsidRPr="00082175">
              <w:rPr>
                <w:rStyle w:val="Hyperlink"/>
                <w:noProof/>
              </w:rPr>
              <w:t>Supporting documents</w:t>
            </w:r>
            <w:r w:rsidR="009D200C">
              <w:rPr>
                <w:noProof/>
                <w:webHidden/>
              </w:rPr>
              <w:tab/>
            </w:r>
            <w:r w:rsidR="009D200C">
              <w:rPr>
                <w:noProof/>
                <w:webHidden/>
              </w:rPr>
              <w:fldChar w:fldCharType="begin"/>
            </w:r>
            <w:r w:rsidR="009D200C">
              <w:rPr>
                <w:noProof/>
                <w:webHidden/>
              </w:rPr>
              <w:instrText xml:space="preserve"> PAGEREF _Toc496011835 \h </w:instrText>
            </w:r>
            <w:r w:rsidR="009D200C">
              <w:rPr>
                <w:noProof/>
                <w:webHidden/>
              </w:rPr>
            </w:r>
            <w:r w:rsidR="009D200C">
              <w:rPr>
                <w:noProof/>
                <w:webHidden/>
              </w:rPr>
              <w:fldChar w:fldCharType="separate"/>
            </w:r>
            <w:r w:rsidR="003C2B86">
              <w:rPr>
                <w:noProof/>
                <w:webHidden/>
              </w:rPr>
              <w:t>52</w:t>
            </w:r>
            <w:r w:rsidR="009D200C">
              <w:rPr>
                <w:noProof/>
                <w:webHidden/>
              </w:rPr>
              <w:fldChar w:fldCharType="end"/>
            </w:r>
          </w:hyperlink>
        </w:p>
        <w:p w14:paraId="66D76665" w14:textId="22CEAB2E" w:rsidR="00083818" w:rsidRDefault="009D200C" w:rsidP="009D200C">
          <w:pPr>
            <w:tabs>
              <w:tab w:val="right" w:pos="8990"/>
            </w:tabs>
            <w:spacing w:after="100"/>
            <w:ind w:left="0"/>
            <w:rPr>
              <w:rFonts w:ascii="Arial" w:eastAsia="Arial" w:hAnsi="Arial" w:cs="Arial"/>
            </w:rPr>
          </w:pPr>
          <w:r>
            <w:fldChar w:fldCharType="end"/>
          </w:r>
        </w:p>
      </w:sdtContent>
    </w:sdt>
    <w:p w14:paraId="46B93E61" w14:textId="77777777" w:rsidR="00083818" w:rsidRDefault="00FC36AC">
      <w:pPr>
        <w:widowControl w:val="0"/>
        <w:spacing w:line="276" w:lineRule="auto"/>
        <w:ind w:left="0" w:right="0"/>
        <w:sectPr w:rsidR="00083818">
          <w:headerReference w:type="default" r:id="rId12"/>
          <w:footerReference w:type="default" r:id="rId13"/>
          <w:headerReference w:type="first" r:id="rId14"/>
          <w:pgSz w:w="12240" w:h="15840"/>
          <w:pgMar w:top="1440" w:right="1440" w:bottom="1440" w:left="1440" w:header="0" w:footer="720" w:gutter="0"/>
          <w:pgNumType w:start="1"/>
          <w:cols w:space="720"/>
          <w:titlePg/>
        </w:sectPr>
      </w:pPr>
      <w:r>
        <w:br w:type="page"/>
      </w:r>
    </w:p>
    <w:tbl>
      <w:tblPr>
        <w:tblStyle w:val="a"/>
        <w:tblW w:w="9447" w:type="dxa"/>
        <w:jc w:val="center"/>
        <w:tblLayout w:type="fixed"/>
        <w:tblLook w:val="0400" w:firstRow="0" w:lastRow="0" w:firstColumn="0" w:lastColumn="0" w:noHBand="0" w:noVBand="1"/>
      </w:tblPr>
      <w:tblGrid>
        <w:gridCol w:w="9447"/>
      </w:tblGrid>
      <w:tr w:rsidR="00083818" w14:paraId="525D4CE5" w14:textId="77777777">
        <w:trPr>
          <w:trHeight w:val="500"/>
          <w:jc w:val="center"/>
        </w:trPr>
        <w:tc>
          <w:tcPr>
            <w:tcW w:w="9447" w:type="dxa"/>
            <w:tcBorders>
              <w:top w:val="nil"/>
              <w:left w:val="nil"/>
              <w:bottom w:val="single" w:sz="6" w:space="0" w:color="7F7F7F"/>
              <w:right w:val="nil"/>
            </w:tcBorders>
            <w:shd w:val="clear" w:color="auto" w:fill="D5DCE4"/>
            <w:vAlign w:val="bottom"/>
          </w:tcPr>
          <w:p w14:paraId="1239E6F0" w14:textId="77777777" w:rsidR="00083818" w:rsidRDefault="00FC36AC">
            <w:pPr>
              <w:pStyle w:val="Heading1"/>
            </w:pPr>
            <w:bookmarkStart w:id="1" w:name="_Toc496011822"/>
            <w:r>
              <w:lastRenderedPageBreak/>
              <w:t>Introduction</w:t>
            </w:r>
            <w:bookmarkEnd w:id="1"/>
          </w:p>
        </w:tc>
      </w:tr>
    </w:tbl>
    <w:p w14:paraId="605BC083" w14:textId="77777777" w:rsidR="00083818" w:rsidRDefault="00083818">
      <w:pPr>
        <w:ind w:left="0"/>
      </w:pPr>
    </w:p>
    <w:p w14:paraId="3AF53AD4" w14:textId="56C27086" w:rsidR="00083818" w:rsidRDefault="00FC36AC">
      <w:pPr>
        <w:ind w:left="0"/>
      </w:pPr>
      <w:r>
        <w:t xml:space="preserve">DEQ invites public input on </w:t>
      </w:r>
      <w:r w:rsidR="0055270E">
        <w:t xml:space="preserve">the proposed Cleaner Air Oregon program concept and rulemaking, including comment on the </w:t>
      </w:r>
      <w:r>
        <w:t>proposed permanent rules and rule amendments to chapter 340 of the Oregon Administrative Rules.</w:t>
      </w:r>
    </w:p>
    <w:p w14:paraId="4B832611" w14:textId="77777777" w:rsidR="003020D2" w:rsidRDefault="003020D2" w:rsidP="003020D2">
      <w:pPr>
        <w:pStyle w:val="Heading2"/>
        <w:spacing w:before="0" w:after="0"/>
        <w:ind w:left="0"/>
      </w:pPr>
    </w:p>
    <w:p w14:paraId="6CDEBDAA" w14:textId="77777777" w:rsidR="00083818" w:rsidRDefault="00FC36AC" w:rsidP="003020D2">
      <w:pPr>
        <w:pStyle w:val="Heading2"/>
        <w:spacing w:before="0" w:after="0"/>
        <w:ind w:left="0"/>
      </w:pPr>
      <w:r>
        <w:t>Background</w:t>
      </w:r>
    </w:p>
    <w:p w14:paraId="381F1D1E" w14:textId="77777777" w:rsidR="00083818" w:rsidRDefault="00FC36AC" w:rsidP="003020D2">
      <w:pPr>
        <w:ind w:left="0" w:right="0"/>
      </w:pPr>
      <w:r>
        <w:t xml:space="preserve">On April 6, 2016, Governor Brown directed the Oregon Department of Environmental Quality (DEQ) and the Oregon Health Authority (OHA) to develop a health risk-based air toxics permitting program. </w:t>
      </w:r>
    </w:p>
    <w:p w14:paraId="1CACD334" w14:textId="77777777" w:rsidR="00083818" w:rsidRDefault="00083818">
      <w:pPr>
        <w:ind w:left="0" w:right="0"/>
      </w:pPr>
    </w:p>
    <w:p w14:paraId="2D2F3A6C" w14:textId="77777777" w:rsidR="00083818" w:rsidRDefault="00FC36AC">
      <w:pPr>
        <w:ind w:left="0" w:right="0"/>
      </w:pPr>
      <w:r>
        <w:t>This action was triggered by:</w:t>
      </w:r>
    </w:p>
    <w:p w14:paraId="07E1147C" w14:textId="77777777" w:rsidR="00083818" w:rsidRDefault="00FC36AC">
      <w:pPr>
        <w:numPr>
          <w:ilvl w:val="0"/>
          <w:numId w:val="24"/>
        </w:numPr>
        <w:ind w:left="1440" w:right="0"/>
      </w:pPr>
      <w:r>
        <w:t>Regulatory gaps in current rules that allowed for significant localized health risks from industrial and commercial emissions</w:t>
      </w:r>
    </w:p>
    <w:p w14:paraId="60DB84F4" w14:textId="086C4E56" w:rsidR="00083818" w:rsidRDefault="00FC36AC">
      <w:pPr>
        <w:numPr>
          <w:ilvl w:val="0"/>
          <w:numId w:val="24"/>
        </w:numPr>
        <w:ind w:left="1440" w:right="0"/>
      </w:pPr>
      <w:r>
        <w:t>The need for a systematic way to understand and reduce the risk that industrial and commercial air toxics pose to people who live, work or learn nearby</w:t>
      </w:r>
      <w:r w:rsidR="00453B53" w:rsidRPr="00453B53">
        <w:t xml:space="preserve"> </w:t>
      </w:r>
      <w:r w:rsidR="00453B53">
        <w:t>in a practical, predictable and implementable manner.</w:t>
      </w:r>
    </w:p>
    <w:p w14:paraId="60886F69" w14:textId="77777777" w:rsidR="00083818" w:rsidRDefault="00083818">
      <w:pPr>
        <w:ind w:left="0" w:right="0"/>
      </w:pPr>
    </w:p>
    <w:p w14:paraId="6D270920" w14:textId="77777777" w:rsidR="00083818" w:rsidRDefault="00FC36AC">
      <w:pPr>
        <w:ind w:left="0" w:right="0"/>
      </w:pPr>
      <w:r>
        <w:t>Cleaner Air Oregon aims to:</w:t>
      </w:r>
    </w:p>
    <w:p w14:paraId="0D9605BE" w14:textId="77777777" w:rsidR="00083818" w:rsidRDefault="00FC36AC">
      <w:pPr>
        <w:numPr>
          <w:ilvl w:val="0"/>
          <w:numId w:val="25"/>
        </w:numPr>
        <w:ind w:left="1440" w:right="0"/>
      </w:pPr>
      <w:r>
        <w:t>Collect accurate and timely information about air toxics emissions from industrial and commercial facilities; and,</w:t>
      </w:r>
    </w:p>
    <w:p w14:paraId="4F66F9E7" w14:textId="77777777" w:rsidR="00083818" w:rsidRDefault="00FC36AC">
      <w:pPr>
        <w:numPr>
          <w:ilvl w:val="0"/>
          <w:numId w:val="25"/>
        </w:numPr>
        <w:ind w:left="1440" w:right="0"/>
      </w:pPr>
      <w:r>
        <w:t>Provide predictable and science-based regulations to control industrial and commercial air toxics emissions to protect public health, focusing on areas and facilities that may pose the highest risk to human health</w:t>
      </w:r>
    </w:p>
    <w:p w14:paraId="3C8DEF61" w14:textId="77777777" w:rsidR="00083818" w:rsidRDefault="00FC36AC">
      <w:pPr>
        <w:numPr>
          <w:ilvl w:val="0"/>
          <w:numId w:val="25"/>
        </w:numPr>
        <w:ind w:left="1440" w:right="0"/>
      </w:pPr>
      <w:r>
        <w:t>Provide DEQ and OHA (the agencies) additional resources to fully implement the program, as described in the proposed rules. DEQ intends to propose a fee schedule to cover the costs of implementing the program.</w:t>
      </w:r>
      <w:r>
        <w:rPr>
          <w:color w:val="C00000"/>
        </w:rPr>
        <w:t xml:space="preserve"> </w:t>
      </w:r>
    </w:p>
    <w:p w14:paraId="2C253BA0" w14:textId="77777777" w:rsidR="00083818" w:rsidRDefault="00083818">
      <w:pPr>
        <w:ind w:left="0"/>
      </w:pPr>
    </w:p>
    <w:p w14:paraId="2B6D255E" w14:textId="77777777" w:rsidR="00083818" w:rsidRDefault="00FC36AC" w:rsidP="003020D2">
      <w:pPr>
        <w:pStyle w:val="Heading2"/>
        <w:spacing w:before="0" w:after="0"/>
        <w:ind w:left="0"/>
      </w:pPr>
      <w:r>
        <w:t>DEQ proposal</w:t>
      </w:r>
    </w:p>
    <w:p w14:paraId="153F627D" w14:textId="7C639CDE" w:rsidR="00083818" w:rsidRDefault="00FC36AC" w:rsidP="003020D2">
      <w:pPr>
        <w:ind w:left="0"/>
      </w:pPr>
      <w:r>
        <w:t xml:space="preserve">In this </w:t>
      </w:r>
      <w:r w:rsidR="0055270E">
        <w:t xml:space="preserve">proposed new program and </w:t>
      </w:r>
      <w:r>
        <w:t>rulemaking, DEQ proposes to add a new division, division 245, to the existing OAR chapter 340. DEQ is also proposing to make changes to OAR 340 divisions 12, 200, 209, 210, 216, 218, 220, 244, and 246.</w:t>
      </w:r>
    </w:p>
    <w:p w14:paraId="3BB218FF" w14:textId="77777777" w:rsidR="00083818" w:rsidRDefault="00083818">
      <w:pPr>
        <w:ind w:left="0"/>
      </w:pPr>
    </w:p>
    <w:p w14:paraId="3A75C255" w14:textId="70421AB4" w:rsidR="00083818" w:rsidRDefault="00FC36AC">
      <w:pPr>
        <w:ind w:left="0"/>
      </w:pPr>
      <w:r>
        <w:t>The proposed amendment of Oregon Administrative Rule 340-200-0040 would incorporate non-substantive changes to existing rules into the Oregon Clean Air Act State Implementation Plan. The non-substantive rule changes are the result of making sure Cleaner Air O</w:t>
      </w:r>
      <w:r w:rsidR="0055270E">
        <w:t>regon rules mesh</w:t>
      </w:r>
      <w:r>
        <w:t xml:space="preserve"> with existing rules. </w:t>
      </w:r>
    </w:p>
    <w:p w14:paraId="52AD0C99" w14:textId="77777777" w:rsidR="00083818" w:rsidRDefault="00083818">
      <w:pPr>
        <w:ind w:left="0"/>
      </w:pPr>
    </w:p>
    <w:p w14:paraId="53C91BA1" w14:textId="77777777" w:rsidR="00083818" w:rsidRDefault="00FC36AC">
      <w:pPr>
        <w:pStyle w:val="Heading3"/>
        <w:spacing w:before="0"/>
        <w:ind w:left="0"/>
      </w:pPr>
      <w:r>
        <w:t>More information</w:t>
      </w:r>
    </w:p>
    <w:p w14:paraId="6535C55B" w14:textId="77777777" w:rsidR="00083818" w:rsidRDefault="00FC36AC">
      <w:pPr>
        <w:ind w:left="0" w:right="0"/>
      </w:pPr>
      <w:r>
        <w:t xml:space="preserve">Additional information about this rulemaking is on DEQ’s rulemaking web page: </w:t>
      </w:r>
      <w:hyperlink r:id="rId15">
        <w:r>
          <w:rPr>
            <w:color w:val="1155CC"/>
            <w:u w:val="single"/>
          </w:rPr>
          <w:t>http://www.oregon.gov/deq/Regulations/rulemaking/Pages/Rcleanerair2017.aspx</w:t>
        </w:r>
      </w:hyperlink>
    </w:p>
    <w:p w14:paraId="5AE1140A" w14:textId="77777777" w:rsidR="00083818" w:rsidRDefault="00083818">
      <w:pPr>
        <w:ind w:left="0"/>
        <w:rPr>
          <w:color w:val="BF8F00"/>
        </w:rPr>
      </w:pPr>
    </w:p>
    <w:p w14:paraId="07CAB7A0" w14:textId="72351264" w:rsidR="00083818" w:rsidRDefault="00945D5F">
      <w:pPr>
        <w:pStyle w:val="Heading3"/>
        <w:spacing w:before="0"/>
        <w:ind w:left="0"/>
      </w:pPr>
      <w:r>
        <w:lastRenderedPageBreak/>
        <w:t>Public h</w:t>
      </w:r>
      <w:r w:rsidR="00FC36AC">
        <w:t xml:space="preserve">earings </w:t>
      </w:r>
    </w:p>
    <w:p w14:paraId="06F32F7F" w14:textId="330757BD" w:rsidR="00083818" w:rsidRDefault="00FC36AC">
      <w:pPr>
        <w:ind w:left="0"/>
      </w:pPr>
      <w:r>
        <w:t xml:space="preserve">DEQ will hold public hearings on this </w:t>
      </w:r>
      <w:r w:rsidR="0055270E">
        <w:t xml:space="preserve">proposed new program and </w:t>
      </w:r>
      <w:r>
        <w:t>rulemaking. See the Public Notice and Hearings section below for details.</w:t>
      </w:r>
    </w:p>
    <w:p w14:paraId="3A71E1B8" w14:textId="77777777" w:rsidR="00083818" w:rsidRDefault="00083818">
      <w:pPr>
        <w:ind w:left="0"/>
      </w:pPr>
    </w:p>
    <w:p w14:paraId="3DED2DBB" w14:textId="77777777" w:rsidR="00083818" w:rsidRDefault="00FC36AC" w:rsidP="006914FC">
      <w:pPr>
        <w:pStyle w:val="Heading3"/>
        <w:spacing w:before="0"/>
        <w:ind w:left="0"/>
      </w:pPr>
      <w:r>
        <w:t>How to comment on this rulemaking proposal</w:t>
      </w:r>
    </w:p>
    <w:p w14:paraId="4F002943" w14:textId="78A161EE" w:rsidR="00083818" w:rsidRDefault="00FC36AC">
      <w:pPr>
        <w:ind w:left="0"/>
      </w:pPr>
      <w:r>
        <w:t xml:space="preserve">DEQ is asking for public comment on the proposed </w:t>
      </w:r>
      <w:r w:rsidR="0055270E">
        <w:t xml:space="preserve">new program and </w:t>
      </w:r>
      <w:r>
        <w:t xml:space="preserve">rules. Anyone can submit comments and questions about this </w:t>
      </w:r>
      <w:r w:rsidR="0055270E">
        <w:t xml:space="preserve">program and </w:t>
      </w:r>
      <w:r>
        <w:t>rulemaking through an online web page, by regular mail or at the public hearings.</w:t>
      </w:r>
    </w:p>
    <w:p w14:paraId="543BD05F" w14:textId="77777777" w:rsidR="00083818" w:rsidRDefault="00083818">
      <w:pPr>
        <w:pStyle w:val="Heading3"/>
        <w:ind w:left="0"/>
        <w:rPr>
          <w:rFonts w:ascii="Times New Roman" w:eastAsia="Times New Roman" w:hAnsi="Times New Roman" w:cs="Times New Roman"/>
          <w:b w:val="0"/>
          <w:sz w:val="24"/>
          <w:szCs w:val="24"/>
        </w:rPr>
      </w:pPr>
    </w:p>
    <w:p w14:paraId="15B5AEF8" w14:textId="77777777" w:rsidR="00083818" w:rsidRDefault="00FC36AC">
      <w:pPr>
        <w:pStyle w:val="Heading3"/>
        <w:ind w:left="0"/>
      </w:pPr>
      <w:r>
        <w:t>Comment deadline</w:t>
      </w:r>
    </w:p>
    <w:p w14:paraId="76062D7E" w14:textId="02D0321C" w:rsidR="00083818" w:rsidRDefault="00FC36AC">
      <w:pPr>
        <w:ind w:left="0"/>
      </w:pPr>
      <w:r>
        <w:t>DEQ will only consider comments on the proposed</w:t>
      </w:r>
      <w:r w:rsidR="0055270E">
        <w:t xml:space="preserve"> program and</w:t>
      </w:r>
      <w:r>
        <w:t xml:space="preserve"> rules that DEQ r</w:t>
      </w:r>
      <w:r w:rsidR="00453B53">
        <w:t>eceives by 4 p.m. on December 22</w:t>
      </w:r>
      <w:r>
        <w:t>, 2017.</w:t>
      </w:r>
    </w:p>
    <w:p w14:paraId="660C2CF6" w14:textId="77777777" w:rsidR="00083818" w:rsidRDefault="00083818">
      <w:pPr>
        <w:ind w:left="0"/>
      </w:pPr>
    </w:p>
    <w:p w14:paraId="7C25D2AC" w14:textId="77777777" w:rsidR="00083818" w:rsidRDefault="00FC36AC">
      <w:pPr>
        <w:pStyle w:val="Heading4"/>
        <w:spacing w:before="0"/>
      </w:pPr>
      <w:r>
        <w:t>Submit comment online</w:t>
      </w:r>
    </w:p>
    <w:p w14:paraId="5210139C" w14:textId="77777777" w:rsidR="00083818" w:rsidRDefault="00FC36AC">
      <w:pPr>
        <w:pStyle w:val="Heading3"/>
        <w:spacing w:before="0"/>
        <w:ind w:left="0" w:right="20"/>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Cleaner Air Oregon 2017 Comment Page:</w:t>
      </w:r>
    </w:p>
    <w:p w14:paraId="4DCD1CB7" w14:textId="77777777" w:rsidR="00083818" w:rsidRDefault="006F6FDA">
      <w:pPr>
        <w:ind w:left="0"/>
      </w:pPr>
      <w:hyperlink r:id="rId16">
        <w:r w:rsidR="00FC36AC">
          <w:t>http://www.oregon.gov/deq/Regulations/rulemaking/Pages/Ccleanerair2017.aspx</w:t>
        </w:r>
      </w:hyperlink>
    </w:p>
    <w:p w14:paraId="50D3788A" w14:textId="77777777" w:rsidR="00083818" w:rsidRDefault="00083818">
      <w:pPr>
        <w:ind w:left="0"/>
        <w:rPr>
          <w:color w:val="BF8F00"/>
          <w:u w:val="single"/>
        </w:rPr>
      </w:pPr>
    </w:p>
    <w:p w14:paraId="5BC41ABA" w14:textId="77777777" w:rsidR="00083818" w:rsidRDefault="00FC36AC">
      <w:pPr>
        <w:pStyle w:val="Heading4"/>
        <w:spacing w:before="0"/>
      </w:pPr>
      <w:r>
        <w:t xml:space="preserve">Note for public university students: </w:t>
      </w:r>
    </w:p>
    <w:p w14:paraId="0D422E2F" w14:textId="77777777" w:rsidR="00083818" w:rsidRDefault="00FC36AC">
      <w:pPr>
        <w:ind w:left="0"/>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3EF28808" w14:textId="77777777" w:rsidR="00083818" w:rsidRDefault="00083818">
      <w:pPr>
        <w:ind w:left="0"/>
      </w:pPr>
    </w:p>
    <w:p w14:paraId="79597544" w14:textId="77777777" w:rsidR="00083818" w:rsidRDefault="00FC36AC">
      <w:pPr>
        <w:pStyle w:val="Heading4"/>
        <w:spacing w:before="0"/>
      </w:pPr>
      <w:r>
        <w:t>By mail:</w:t>
      </w:r>
    </w:p>
    <w:p w14:paraId="77F4B426" w14:textId="77777777" w:rsidR="00083818" w:rsidRDefault="00FC36AC">
      <w:pPr>
        <w:ind w:left="0"/>
      </w:pPr>
      <w:r>
        <w:t>Oregon Department of Environmental Quality</w:t>
      </w:r>
    </w:p>
    <w:p w14:paraId="01B01F27" w14:textId="77777777" w:rsidR="00083818" w:rsidRDefault="00FC36AC">
      <w:pPr>
        <w:ind w:left="0"/>
        <w:rPr>
          <w:b/>
        </w:rPr>
      </w:pPr>
      <w:r>
        <w:t>Attn: Joe Westersund</w:t>
      </w:r>
    </w:p>
    <w:p w14:paraId="5CA7CCB2" w14:textId="77777777" w:rsidR="00083818" w:rsidRDefault="00FC36AC">
      <w:pPr>
        <w:ind w:left="0"/>
      </w:pPr>
      <w:r>
        <w:t>700 NE Multnomah St., Suite 600</w:t>
      </w:r>
    </w:p>
    <w:p w14:paraId="2C64A4FB" w14:textId="77777777" w:rsidR="00083818" w:rsidRDefault="00FC36AC">
      <w:pPr>
        <w:ind w:left="0"/>
      </w:pPr>
      <w:r>
        <w:t>Portland, OR 97232-4100</w:t>
      </w:r>
    </w:p>
    <w:p w14:paraId="2C19F346" w14:textId="77777777" w:rsidR="00083818" w:rsidRDefault="00083818">
      <w:pPr>
        <w:ind w:left="0"/>
      </w:pPr>
    </w:p>
    <w:p w14:paraId="7A967FD8" w14:textId="77777777" w:rsidR="00083818" w:rsidRDefault="00FC36AC">
      <w:pPr>
        <w:pStyle w:val="Heading4"/>
        <w:spacing w:before="0"/>
      </w:pPr>
      <w:r>
        <w:t>At hearing:</w:t>
      </w:r>
    </w:p>
    <w:p w14:paraId="7AB3833E" w14:textId="0BC9DB03" w:rsidR="00083818" w:rsidRDefault="00FC36AC">
      <w:pPr>
        <w:ind w:left="0"/>
        <w:rPr>
          <w:color w:val="BF8F00"/>
        </w:rPr>
      </w:pPr>
      <w:r>
        <w:t xml:space="preserve">See table on page </w:t>
      </w:r>
      <w:r w:rsidR="00695382">
        <w:t>48</w:t>
      </w:r>
      <w:r>
        <w:t xml:space="preserve"> for hearing dates, times, and locations</w:t>
      </w:r>
      <w:r w:rsidR="006A021E">
        <w:t>.</w:t>
      </w:r>
    </w:p>
    <w:p w14:paraId="53BED271" w14:textId="77777777" w:rsidR="00083818" w:rsidRDefault="00083818">
      <w:pPr>
        <w:ind w:left="0"/>
        <w:rPr>
          <w:color w:val="BF8F00"/>
        </w:rPr>
      </w:pPr>
    </w:p>
    <w:p w14:paraId="5A9C08B3" w14:textId="77777777" w:rsidR="00083818" w:rsidRDefault="00FC36AC">
      <w:pPr>
        <w:pStyle w:val="Heading3"/>
        <w:spacing w:before="0"/>
        <w:ind w:left="0"/>
      </w:pPr>
      <w:r>
        <w:t>Sign up for rulemaking notices</w:t>
      </w:r>
    </w:p>
    <w:p w14:paraId="2F069817" w14:textId="77777777" w:rsidR="00083818" w:rsidRDefault="00FC36AC">
      <w:pPr>
        <w:ind w:left="17" w:hanging="17"/>
      </w:pPr>
      <w:r>
        <w:t>Get email updates about future DEQ rulemaking by signing up through:  </w:t>
      </w:r>
    </w:p>
    <w:p w14:paraId="2B0574C3" w14:textId="73A2AE38" w:rsidR="00083818" w:rsidRDefault="00FC36AC">
      <w:pPr>
        <w:ind w:left="17" w:hanging="17"/>
      </w:pPr>
      <w:r>
        <w:t xml:space="preserve">GovDelivery at </w:t>
      </w:r>
      <w:hyperlink r:id="rId17">
        <w:r>
          <w:rPr>
            <w:color w:val="1155CC"/>
            <w:u w:val="single"/>
          </w:rPr>
          <w:t>https://public.govdelivery.com/accounts/ORDEQ/subscriber/new?topic_id=ORDEQ_609</w:t>
        </w:r>
      </w:hyperlink>
      <w:r>
        <w:t xml:space="preserve"> or on the rulemaking web site: </w:t>
      </w:r>
      <w:hyperlink r:id="rId18">
        <w:r>
          <w:rPr>
            <w:color w:val="0563C1"/>
            <w:u w:val="single"/>
          </w:rPr>
          <w:t>http://www.oregon.gov/deq/Regulations/rulemaking/Pages/Rcleanerair2017.aspx</w:t>
        </w:r>
      </w:hyperlink>
      <w:r w:rsidR="006A021E" w:rsidRPr="006A021E">
        <w:rPr>
          <w:color w:val="0563C1"/>
        </w:rPr>
        <w:t xml:space="preserve"> </w:t>
      </w:r>
      <w:r w:rsidR="006A021E" w:rsidRPr="006A021E">
        <w:rPr>
          <w:color w:val="auto"/>
        </w:rPr>
        <w:t>.</w:t>
      </w:r>
    </w:p>
    <w:p w14:paraId="0B5D1E7B" w14:textId="77777777" w:rsidR="00083818" w:rsidRDefault="00083818">
      <w:pPr>
        <w:ind w:left="17" w:hanging="17"/>
      </w:pPr>
    </w:p>
    <w:p w14:paraId="0E670CA9" w14:textId="77777777" w:rsidR="00083818" w:rsidRDefault="00FC36AC">
      <w:pPr>
        <w:pStyle w:val="Heading3"/>
        <w:tabs>
          <w:tab w:val="left" w:pos="2093"/>
        </w:tabs>
        <w:spacing w:before="0"/>
        <w:ind w:left="0"/>
      </w:pPr>
      <w:r>
        <w:t>What will happen next?</w:t>
      </w:r>
    </w:p>
    <w:p w14:paraId="225D56CF" w14:textId="6EC6FD7C" w:rsidR="00083818" w:rsidRDefault="00FC36AC">
      <w:pPr>
        <w:ind w:left="0"/>
      </w:pPr>
      <w:r>
        <w:t xml:space="preserve">DEQ will read and consider each comment and include a written response to comments in a staff report that DEQ will submit to the Environmental Quality Commission (EQC). DEQ may modify the </w:t>
      </w:r>
      <w:r w:rsidR="0055270E">
        <w:t xml:space="preserve">program and </w:t>
      </w:r>
      <w:r>
        <w:t xml:space="preserve">rule proposal based on the comments. </w:t>
      </w:r>
    </w:p>
    <w:p w14:paraId="71D80B81" w14:textId="77777777" w:rsidR="00083818" w:rsidRDefault="00083818">
      <w:pPr>
        <w:ind w:left="0"/>
      </w:pPr>
    </w:p>
    <w:p w14:paraId="083E3892" w14:textId="77777777" w:rsidR="00083818" w:rsidRDefault="00FC36AC">
      <w:pPr>
        <w:pStyle w:val="Heading3"/>
        <w:spacing w:before="0"/>
        <w:ind w:left="0"/>
      </w:pPr>
      <w:r>
        <w:t>Present proposal to the EQC</w:t>
      </w:r>
    </w:p>
    <w:p w14:paraId="560CF14F" w14:textId="62F77D20" w:rsidR="00083818" w:rsidRDefault="00FC36AC">
      <w:pPr>
        <w:ind w:left="0"/>
      </w:pPr>
      <w:r>
        <w:t xml:space="preserve">Proposed rules only become effective if the EQC adopts them. DEQ plans to present the proposed </w:t>
      </w:r>
      <w:r w:rsidR="0055270E">
        <w:t xml:space="preserve">final </w:t>
      </w:r>
      <w:r>
        <w:t xml:space="preserve">rules to the commission for a decision at its meeting in July 2018. </w:t>
      </w:r>
    </w:p>
    <w:p w14:paraId="49924D59" w14:textId="77777777" w:rsidR="00083818" w:rsidRDefault="00083818">
      <w:pPr>
        <w:pStyle w:val="Heading3"/>
        <w:spacing w:before="0"/>
        <w:ind w:left="0"/>
      </w:pPr>
    </w:p>
    <w:p w14:paraId="0CAE2D85" w14:textId="77777777" w:rsidR="00083818" w:rsidRDefault="00FC36AC">
      <w:pPr>
        <w:pStyle w:val="Heading3"/>
        <w:spacing w:before="0"/>
        <w:ind w:left="0"/>
      </w:pPr>
      <w:r>
        <w:t>Accessibility information</w:t>
      </w:r>
    </w:p>
    <w:p w14:paraId="11150729" w14:textId="77777777" w:rsidR="00083818" w:rsidRDefault="00FC36AC">
      <w:pPr>
        <w:ind w:left="0"/>
      </w:pPr>
      <w:r>
        <w:t>You may review copies of all documents referenced in this announcement at:</w:t>
      </w:r>
    </w:p>
    <w:p w14:paraId="6EC05A14" w14:textId="77777777" w:rsidR="00083818" w:rsidRDefault="00083818">
      <w:pPr>
        <w:ind w:left="0"/>
      </w:pPr>
    </w:p>
    <w:p w14:paraId="644C9538" w14:textId="77777777" w:rsidR="00083818" w:rsidRDefault="00FC36AC">
      <w:pPr>
        <w:ind w:left="0"/>
      </w:pPr>
      <w:r>
        <w:t>Oregon Department of Environmental Quality</w:t>
      </w:r>
    </w:p>
    <w:p w14:paraId="69056B2B" w14:textId="77777777" w:rsidR="00083818" w:rsidRDefault="00FC36AC">
      <w:pPr>
        <w:ind w:left="0"/>
      </w:pPr>
      <w:r>
        <w:t>700 NE Multnomah St., Suite 600</w:t>
      </w:r>
    </w:p>
    <w:p w14:paraId="0FED4B0F" w14:textId="77777777" w:rsidR="00083818" w:rsidRDefault="00FC36AC">
      <w:pPr>
        <w:ind w:left="0"/>
      </w:pPr>
      <w:r>
        <w:t>Portland, OR 97232-4100</w:t>
      </w:r>
    </w:p>
    <w:p w14:paraId="1D652A49" w14:textId="77777777" w:rsidR="00083818" w:rsidRDefault="00083818">
      <w:pPr>
        <w:ind w:left="0"/>
      </w:pPr>
    </w:p>
    <w:p w14:paraId="4D13EFF6" w14:textId="77777777" w:rsidR="00083818" w:rsidRDefault="00FC36AC">
      <w:pPr>
        <w:ind w:left="0"/>
      </w:pPr>
      <w:r>
        <w:t>To schedule a review of all websites and documents referenced in this announcement, call Angela Parker at 503-229-5728 (800-452-4011, ext. 5622 toll-free in Oregon).</w:t>
      </w:r>
    </w:p>
    <w:p w14:paraId="10E9881D" w14:textId="77777777" w:rsidR="00083818" w:rsidRDefault="00083818">
      <w:pPr>
        <w:ind w:left="0"/>
      </w:pPr>
    </w:p>
    <w:p w14:paraId="6A17688B" w14:textId="77777777" w:rsidR="00083818" w:rsidRDefault="00FC36AC">
      <w:pPr>
        <w:ind w:left="0"/>
      </w:pPr>
      <w:r>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19">
        <w:r>
          <w:rPr>
            <w:color w:val="1155CC"/>
            <w:u w:val="single"/>
          </w:rPr>
          <w:t>deqinfo@deq.state.or.us</w:t>
        </w:r>
      </w:hyperlink>
      <w:r>
        <w:t>. Hearing impaired persons may call 711.</w:t>
      </w:r>
    </w:p>
    <w:p w14:paraId="1F129C8D" w14:textId="77777777" w:rsidR="00083818" w:rsidRDefault="00083818">
      <w:pPr>
        <w:ind w:left="0"/>
      </w:pPr>
    </w:p>
    <w:p w14:paraId="280C90F6" w14:textId="77777777" w:rsidR="00083818" w:rsidRDefault="00083818"/>
    <w:tbl>
      <w:tblPr>
        <w:tblStyle w:val="a0"/>
        <w:tblW w:w="9267" w:type="dxa"/>
        <w:jc w:val="center"/>
        <w:tblLayout w:type="fixed"/>
        <w:tblLook w:val="0400" w:firstRow="0" w:lastRow="0" w:firstColumn="0" w:lastColumn="0" w:noHBand="0" w:noVBand="1"/>
      </w:tblPr>
      <w:tblGrid>
        <w:gridCol w:w="9267"/>
      </w:tblGrid>
      <w:tr w:rsidR="00083818" w14:paraId="00E682B2" w14:textId="77777777">
        <w:trPr>
          <w:trHeight w:val="500"/>
          <w:jc w:val="center"/>
        </w:trPr>
        <w:tc>
          <w:tcPr>
            <w:tcW w:w="9267" w:type="dxa"/>
            <w:tcBorders>
              <w:top w:val="nil"/>
              <w:left w:val="nil"/>
              <w:bottom w:val="single" w:sz="6" w:space="0" w:color="7F7F7F"/>
              <w:right w:val="nil"/>
            </w:tcBorders>
            <w:shd w:val="clear" w:color="auto" w:fill="D5DCE4"/>
            <w:vAlign w:val="bottom"/>
          </w:tcPr>
          <w:p w14:paraId="0521E8A4" w14:textId="77777777" w:rsidR="00083818" w:rsidRDefault="00FC36AC">
            <w:pPr>
              <w:pStyle w:val="Heading1"/>
            </w:pPr>
            <w:bookmarkStart w:id="2" w:name="_Toc496011823"/>
            <w:r>
              <w:t>Overview</w:t>
            </w:r>
            <w:bookmarkEnd w:id="2"/>
          </w:p>
        </w:tc>
      </w:tr>
    </w:tbl>
    <w:p w14:paraId="14EEF727" w14:textId="77777777" w:rsidR="003020D2" w:rsidRDefault="003020D2" w:rsidP="003020D2">
      <w:pPr>
        <w:pStyle w:val="Heading2"/>
        <w:spacing w:before="0" w:after="0"/>
        <w:ind w:left="0" w:right="-360"/>
        <w:rPr>
          <w:sz w:val="28"/>
          <w:szCs w:val="28"/>
        </w:rPr>
      </w:pPr>
    </w:p>
    <w:p w14:paraId="3087F4E9" w14:textId="790F7226" w:rsidR="00083818" w:rsidRDefault="00FC36AC" w:rsidP="003020D2">
      <w:pPr>
        <w:pStyle w:val="Heading2"/>
        <w:spacing w:before="0" w:after="0"/>
        <w:ind w:left="0" w:right="-360"/>
        <w:rPr>
          <w:color w:val="C55911"/>
          <w:vertAlign w:val="subscript"/>
        </w:rPr>
      </w:pPr>
      <w:r>
        <w:rPr>
          <w:sz w:val="28"/>
          <w:szCs w:val="28"/>
        </w:rPr>
        <w:t>Short summary</w:t>
      </w:r>
      <w:r>
        <w:t xml:space="preserve"> </w:t>
      </w:r>
    </w:p>
    <w:p w14:paraId="6ACB50EB" w14:textId="580E6768" w:rsidR="00083818" w:rsidRDefault="00FC36AC" w:rsidP="003020D2">
      <w:pPr>
        <w:ind w:left="0"/>
      </w:pPr>
      <w:r>
        <w:t xml:space="preserve">DEQ proposes </w:t>
      </w:r>
      <w:r w:rsidR="0055270E">
        <w:t xml:space="preserve">the </w:t>
      </w:r>
      <w:r>
        <w:t xml:space="preserve">Cleaner Air Oregon </w:t>
      </w:r>
      <w:r w:rsidR="0055270E">
        <w:t xml:space="preserve">program and </w:t>
      </w:r>
      <w:r>
        <w:t xml:space="preserve">rules to add public health-based protection from emissions of air toxics to the state’s existing air permitting regulatory framework. The goal of the Cleaner Air Oregon program is to evaluate potential health risks to people near </w:t>
      </w:r>
      <w:r w:rsidR="00F40993">
        <w:t xml:space="preserve">commercial and industrial </w:t>
      </w:r>
      <w:r>
        <w:t xml:space="preserve">facilities that emit regulated air toxics, and ultimately reduce those risks </w:t>
      </w:r>
      <w:r w:rsidR="00453B53">
        <w:t>below health-based standards</w:t>
      </w:r>
      <w:r>
        <w:t xml:space="preserve">. Affected facilities could include some that are not currently permitted for their air contaminant emissions, in addition to those that already have air quality permits. </w:t>
      </w:r>
    </w:p>
    <w:p w14:paraId="14EC2765" w14:textId="77777777" w:rsidR="00083818" w:rsidRDefault="00083818">
      <w:pPr>
        <w:ind w:left="0"/>
      </w:pPr>
    </w:p>
    <w:p w14:paraId="42B00BA8" w14:textId="0EFF5B2F" w:rsidR="00083818" w:rsidRDefault="00FC36AC">
      <w:pPr>
        <w:ind w:left="0"/>
      </w:pPr>
      <w:r>
        <w:t xml:space="preserve">Facility </w:t>
      </w:r>
      <w:r w:rsidR="00453B53">
        <w:t xml:space="preserve">risk </w:t>
      </w:r>
      <w:r>
        <w:t>assessments would rely on emissions data specific to, and provided by, each facility. Facilities will be required to calculate and report the risk posed by their emissions where people would be exposed. Regulatory actions would be triggered when the risk posed by a facility’s emissions exceed specified “Risk Action Levels.” If emissions exceed a Risk Action Level, facilities have flexibility in how they reduce emissions. Options include installing emission control</w:t>
      </w:r>
      <w:r w:rsidR="00453B53">
        <w:t>s</w:t>
      </w:r>
      <w:r>
        <w:t xml:space="preserve">, incorporating pollution prevention, substituting less-hazardous materials for more-hazardous materials, or altering work practices. If risk from a facility’s emissions is already below defined Risk Action Levels, the facility generally will only be required to report </w:t>
      </w:r>
      <w:r w:rsidR="00453B53">
        <w:t xml:space="preserve">periodically </w:t>
      </w:r>
      <w:r>
        <w:t>on its emissions.</w:t>
      </w:r>
    </w:p>
    <w:p w14:paraId="76BC0E2F" w14:textId="77777777" w:rsidR="00083818" w:rsidRDefault="00083818">
      <w:pPr>
        <w:ind w:left="0"/>
      </w:pPr>
    </w:p>
    <w:p w14:paraId="27791F55" w14:textId="4F0214E9" w:rsidR="00083818" w:rsidRDefault="00FC36AC">
      <w:pPr>
        <w:ind w:left="0"/>
      </w:pPr>
      <w:r>
        <w:t>For existing facilities with emissions presenting risk above Risk Action Levels that have demonstrated use of all feasible emission reduction measures,</w:t>
      </w:r>
      <w:r w:rsidR="0055270E">
        <w:t xml:space="preserve"> </w:t>
      </w:r>
      <w:r>
        <w:t>the proposed regulations would allow DEQ to approv</w:t>
      </w:r>
      <w:r w:rsidR="00453B53">
        <w:t>e continued</w:t>
      </w:r>
      <w:r>
        <w:t xml:space="preserve"> operation above Risk Action Levels with periodic review for newly available technology or controls. Proposed regulations would prohibit operation of facilities </w:t>
      </w:r>
      <w:r w:rsidR="00453B53">
        <w:t>whose risks are significantly above the Risk Action levels, exceeding a proposed upper risk limit</w:t>
      </w:r>
      <w:r>
        <w:t xml:space="preserve">. </w:t>
      </w:r>
      <w:r w:rsidR="00453B53">
        <w:t>Over time, f</w:t>
      </w:r>
      <w:r>
        <w:t xml:space="preserve">acilities in areas </w:t>
      </w:r>
      <w:r w:rsidR="00453B53">
        <w:t xml:space="preserve">significantly </w:t>
      </w:r>
      <w:r>
        <w:t xml:space="preserve">impacted by risk from multiple facilities could be prevented from increasing their emissions contributing to further risk, and new facilities </w:t>
      </w:r>
      <w:r w:rsidR="00453B53">
        <w:t xml:space="preserve">that could pose additional risks over de minimis levels </w:t>
      </w:r>
      <w:r>
        <w:t>could be prohibited from locating in these areas.</w:t>
      </w:r>
    </w:p>
    <w:p w14:paraId="6CB3B5E6" w14:textId="77777777" w:rsidR="00083818" w:rsidRDefault="00083818">
      <w:pPr>
        <w:ind w:left="0"/>
      </w:pPr>
    </w:p>
    <w:p w14:paraId="45563755" w14:textId="12841944" w:rsidR="00083818" w:rsidRDefault="00FC36AC">
      <w:pPr>
        <w:ind w:left="0"/>
      </w:pPr>
      <w:r>
        <w:t xml:space="preserve">DEQ is also proposing several housekeeping changes to existing rules needed for Cleaner Air Oregon. This includes changes to the existing rules for art glass manufacturers to make their requirements consistent with the proposed Cleaner Air Oregon rules. Some of the </w:t>
      </w:r>
      <w:r w:rsidR="0055270E">
        <w:t>proposed changes</w:t>
      </w:r>
      <w:r>
        <w:t xml:space="preserve"> to existing rules would amend the Oregon Clean Air Act State Implementation Plan (see the Rules affected, authorities, supporting documents section of this notice below.)</w:t>
      </w:r>
    </w:p>
    <w:p w14:paraId="17959E9C" w14:textId="77777777" w:rsidR="00083818" w:rsidRDefault="00FC36AC">
      <w:pPr>
        <w:ind w:left="0"/>
        <w:rPr>
          <w:color w:val="C55911"/>
        </w:rPr>
      </w:pPr>
      <w:r>
        <w:br/>
      </w:r>
      <w:r>
        <w:rPr>
          <w:rFonts w:ascii="Arial" w:eastAsia="Arial" w:hAnsi="Arial" w:cs="Arial"/>
          <w:b/>
          <w:sz w:val="28"/>
          <w:szCs w:val="28"/>
        </w:rPr>
        <w:t>Regulated parties</w:t>
      </w:r>
      <w:r>
        <w:t xml:space="preserve"> </w:t>
      </w:r>
    </w:p>
    <w:p w14:paraId="61F27B45" w14:textId="6CAAD30C" w:rsidR="00083818" w:rsidRDefault="0055270E">
      <w:pPr>
        <w:ind w:left="0"/>
      </w:pPr>
      <w:r>
        <w:t>The</w:t>
      </w:r>
      <w:r w:rsidR="00FC36AC">
        <w:t xml:space="preserve"> proposed Cleaner Air Oregon</w:t>
      </w:r>
      <w:r>
        <w:t xml:space="preserve"> program and</w:t>
      </w:r>
      <w:r w:rsidR="00FC36AC">
        <w:t xml:space="preserve"> rule</w:t>
      </w:r>
      <w:r w:rsidR="00F40993">
        <w:t xml:space="preserve">s would apply to all commercial and industrial </w:t>
      </w:r>
      <w:r w:rsidR="00FC36AC">
        <w:t>facilities that emit air toxics. These sources, whether they require an air permit under existing rules or not, would be required to submit air toxics facility risk assessments</w:t>
      </w:r>
      <w:r w:rsidR="000035CF" w:rsidRPr="000035CF">
        <w:t xml:space="preserve"> </w:t>
      </w:r>
      <w:r w:rsidR="000035CF">
        <w:t>if called in by DEQ</w:t>
      </w:r>
      <w:r w:rsidR="00FC36AC">
        <w:t xml:space="preserve">. In areas identified by DEQ as having excess risk from air toxics that may be caused by multiple sources, sources that likely emit more than a de minimis level of air toxics may also be evaluated. </w:t>
      </w:r>
    </w:p>
    <w:p w14:paraId="2E6FF38A" w14:textId="77777777" w:rsidR="00083818" w:rsidRDefault="00083818">
      <w:pPr>
        <w:ind w:left="0"/>
      </w:pPr>
    </w:p>
    <w:p w14:paraId="17DEB713" w14:textId="42571CF9" w:rsidR="00083818" w:rsidRDefault="00FC36AC">
      <w:pPr>
        <w:ind w:left="0"/>
      </w:pPr>
      <w:r>
        <w:t xml:space="preserve">DEQ proposes to implement Cleaner Air Oregon rules in two phases by </w:t>
      </w:r>
      <w:r w:rsidR="000035CF">
        <w:t>organizing</w:t>
      </w:r>
      <w:r>
        <w:t xml:space="preserve"> facilities into two tiers. Facilities would be </w:t>
      </w:r>
      <w:r w:rsidR="000035CF">
        <w:t>prioritized and ranked</w:t>
      </w:r>
      <w:r>
        <w:t xml:space="preserve"> in the program based on a formula that considers potential health risk and the potential vulnerability of the surrounding community. DE</w:t>
      </w:r>
      <w:r w:rsidR="000035CF">
        <w:t>Q would work on 80 of the highest</w:t>
      </w:r>
      <w:r>
        <w:t xml:space="preserve"> ranking facilities during the first five years of the program and then address the rest in priority order.</w:t>
      </w:r>
    </w:p>
    <w:p w14:paraId="706F5AE8" w14:textId="77777777" w:rsidR="000035CF" w:rsidRDefault="000035CF">
      <w:pPr>
        <w:ind w:left="0"/>
      </w:pPr>
    </w:p>
    <w:p w14:paraId="56220162" w14:textId="77777777" w:rsidR="00083818" w:rsidRDefault="00FC36AC" w:rsidP="006914FC">
      <w:pPr>
        <w:pStyle w:val="Heading2"/>
        <w:spacing w:after="0"/>
        <w:ind w:left="0"/>
        <w:rPr>
          <w:color w:val="C55911"/>
          <w:sz w:val="24"/>
          <w:szCs w:val="24"/>
        </w:rPr>
      </w:pPr>
      <w:r>
        <w:rPr>
          <w:sz w:val="28"/>
          <w:szCs w:val="28"/>
        </w:rPr>
        <w:t>Request for other options</w:t>
      </w:r>
      <w:r>
        <w:t xml:space="preserve"> </w:t>
      </w:r>
    </w:p>
    <w:p w14:paraId="719BF041" w14:textId="2CC10143" w:rsidR="00083818" w:rsidRDefault="00FC36AC" w:rsidP="006914FC">
      <w:pPr>
        <w:ind w:left="0"/>
      </w:pPr>
      <w:r>
        <w:t xml:space="preserve">The proposed </w:t>
      </w:r>
      <w:r w:rsidR="0055270E">
        <w:t xml:space="preserve">program and </w:t>
      </w:r>
      <w:r>
        <w:t>rules are designed to evaluate potential risks to people near facilities that emit regulated air toxics, and ultimately reduce those risks to health protective levels. To achieve this purpose, DEQ considered numerous options that were informed by other states’ risk-based air toxics permitting programs. In addition, DEQ convened a Technical Work Group and the Cleaner Air Oregon Rules Advisory Committee and considered comments from committee members. DEQ welcomes input on any part of the</w:t>
      </w:r>
      <w:r w:rsidR="0055270E">
        <w:t xml:space="preserve"> program and rules </w:t>
      </w:r>
      <w:r w:rsidR="000035CF">
        <w:t>and</w:t>
      </w:r>
      <w:r w:rsidR="0055270E">
        <w:t xml:space="preserve"> is </w:t>
      </w:r>
      <w:r>
        <w:t>specifically requesting input on the following:</w:t>
      </w:r>
    </w:p>
    <w:p w14:paraId="065CDDC9" w14:textId="20219A43" w:rsidR="00083818" w:rsidRDefault="00FC36AC">
      <w:pPr>
        <w:numPr>
          <w:ilvl w:val="0"/>
          <w:numId w:val="4"/>
        </w:numPr>
        <w:contextualSpacing/>
      </w:pPr>
      <w:r>
        <w:t xml:space="preserve">Whether there are there other options for achieving the rules’ substantive goals while reducing </w:t>
      </w:r>
      <w:r w:rsidR="00001174">
        <w:t xml:space="preserve">potential financial and operational </w:t>
      </w:r>
      <w:r w:rsidR="00DF6DF6">
        <w:t>impacts on business (s</w:t>
      </w:r>
      <w:r>
        <w:t xml:space="preserve">ee Fiscal and Economic Impact Analysis on </w:t>
      </w:r>
      <w:r w:rsidRPr="00001174">
        <w:t>page 2</w:t>
      </w:r>
      <w:r w:rsidR="00001174" w:rsidRPr="00001174">
        <w:t>0</w:t>
      </w:r>
      <w:r w:rsidRPr="00001174">
        <w:t xml:space="preserve"> of</w:t>
      </w:r>
      <w:r>
        <w:t xml:space="preserve"> this document.)</w:t>
      </w:r>
    </w:p>
    <w:p w14:paraId="33B51859" w14:textId="077D1B4C" w:rsidR="00083818" w:rsidRDefault="00FC36AC">
      <w:pPr>
        <w:numPr>
          <w:ilvl w:val="0"/>
          <w:numId w:val="14"/>
        </w:numPr>
        <w:contextualSpacing/>
      </w:pPr>
      <w:r>
        <w:t xml:space="preserve">The </w:t>
      </w:r>
      <w:r w:rsidR="00001174">
        <w:t xml:space="preserve">health-based </w:t>
      </w:r>
      <w:r>
        <w:t>Risk Action Levels, including the rang</w:t>
      </w:r>
      <w:r w:rsidR="003A03AC">
        <w:t>es for noncancer hazard indices (s</w:t>
      </w:r>
      <w:r>
        <w:t>ee proposed OAR 340-245-8010 Table 1</w:t>
      </w:r>
      <w:r w:rsidR="00DF6DF6">
        <w:t>.</w:t>
      </w:r>
      <w:r>
        <w:t>)</w:t>
      </w:r>
    </w:p>
    <w:p w14:paraId="4573EE3E" w14:textId="69BCC7A7" w:rsidR="00083818" w:rsidRDefault="00FC36AC">
      <w:pPr>
        <w:numPr>
          <w:ilvl w:val="0"/>
          <w:numId w:val="14"/>
        </w:numPr>
        <w:contextualSpacing/>
      </w:pPr>
      <w:r>
        <w:t xml:space="preserve">The proposed process for case-by-case toxicologist review </w:t>
      </w:r>
      <w:r w:rsidR="003A03AC">
        <w:t>of noncancer Risk Action Levels (s</w:t>
      </w:r>
      <w:r>
        <w:t>ee OAR 340-245-0100</w:t>
      </w:r>
      <w:r w:rsidR="00DF6DF6">
        <w:t>.</w:t>
      </w:r>
      <w:r>
        <w:t>)</w:t>
      </w:r>
    </w:p>
    <w:p w14:paraId="0B87872F" w14:textId="780EA050" w:rsidR="00083818" w:rsidRDefault="00FC36AC">
      <w:pPr>
        <w:numPr>
          <w:ilvl w:val="0"/>
          <w:numId w:val="14"/>
        </w:numPr>
        <w:contextualSpacing/>
      </w:pPr>
      <w:r>
        <w:t>Whether other equipment, beyond the list of Categorically Insignificant Activities, should be considered</w:t>
      </w:r>
      <w:r w:rsidR="003A03AC">
        <w:t xml:space="preserve"> exempt from Cleaner Air Oregon (s</w:t>
      </w:r>
      <w:r>
        <w:t>ee OAR 340-245-0060</w:t>
      </w:r>
      <w:r w:rsidR="00DF6DF6">
        <w:t>.</w:t>
      </w:r>
      <w:r>
        <w:t>)</w:t>
      </w:r>
    </w:p>
    <w:p w14:paraId="54374ECF" w14:textId="171B39A0" w:rsidR="00001174" w:rsidRDefault="00001174">
      <w:pPr>
        <w:numPr>
          <w:ilvl w:val="0"/>
          <w:numId w:val="14"/>
        </w:numPr>
        <w:contextualSpacing/>
      </w:pPr>
      <w:r>
        <w:t xml:space="preserve">Whether natural gas and propane combustion should be treated </w:t>
      </w:r>
      <w:r w:rsidR="00A338A6">
        <w:t xml:space="preserve">specially by identifying the risk </w:t>
      </w:r>
      <w:r w:rsidR="00BD5B08">
        <w:t>from combustion s</w:t>
      </w:r>
      <w:r w:rsidR="00A338A6">
        <w:t>eparately and not requiring risk reduction</w:t>
      </w:r>
      <w:r w:rsidR="00BD5B08">
        <w:t xml:space="preserve"> since there are no current emission reductions for</w:t>
      </w:r>
      <w:r w:rsidR="005331C5">
        <w:t xml:space="preserve"> na</w:t>
      </w:r>
      <w:r w:rsidR="003A03AC">
        <w:t>tural gas or propane combustion (s</w:t>
      </w:r>
      <w:r w:rsidR="005331C5">
        <w:t>ee OAR 340-245-0080(3)(b)</w:t>
      </w:r>
      <w:r w:rsidR="00DF6DF6">
        <w:t>.)</w:t>
      </w:r>
      <w:r w:rsidR="00BD5B08">
        <w:t xml:space="preserve"> </w:t>
      </w:r>
      <w:r w:rsidR="00A338A6">
        <w:t xml:space="preserve"> </w:t>
      </w:r>
    </w:p>
    <w:p w14:paraId="363C84E2" w14:textId="2DF29B9C" w:rsidR="00083818" w:rsidRDefault="00FC36AC">
      <w:pPr>
        <w:numPr>
          <w:ilvl w:val="0"/>
          <w:numId w:val="14"/>
        </w:numPr>
        <w:contextualSpacing/>
      </w:pPr>
      <w:r>
        <w:t xml:space="preserve">The proposed process through which sources who can prove a financial hardship and </w:t>
      </w:r>
      <w:r w:rsidR="008A700F">
        <w:t xml:space="preserve">an </w:t>
      </w:r>
      <w:r>
        <w:t>inability to pay can apply for postponement of re</w:t>
      </w:r>
      <w:r w:rsidR="003A03AC">
        <w:t>quirements to reduce their risk (s</w:t>
      </w:r>
      <w:r>
        <w:t>ee</w:t>
      </w:r>
      <w:r>
        <w:rPr>
          <w:highlight w:val="yellow"/>
        </w:rPr>
        <w:t xml:space="preserve"> </w:t>
      </w:r>
      <w:r>
        <w:t>OAR 340-245-0230(4)</w:t>
      </w:r>
      <w:r w:rsidR="00DF6DF6">
        <w:t>.</w:t>
      </w:r>
      <w:r>
        <w:t>)</w:t>
      </w:r>
    </w:p>
    <w:p w14:paraId="4AC2B382" w14:textId="47D46FAD" w:rsidR="00083818" w:rsidRDefault="00FC36AC">
      <w:pPr>
        <w:numPr>
          <w:ilvl w:val="0"/>
          <w:numId w:val="14"/>
        </w:numPr>
        <w:contextualSpacing/>
      </w:pPr>
      <w:r>
        <w:t>The proposed Area Multi-Source Risk Determination process to estimate the combined risk posed by nearby facilities, and prevent that risk from increasing i</w:t>
      </w:r>
      <w:r w:rsidR="003A03AC">
        <w:t>f it’s above Risk Action Levels</w:t>
      </w:r>
      <w:r>
        <w:t xml:space="preserve"> (</w:t>
      </w:r>
      <w:r w:rsidR="003A03AC">
        <w:t>s</w:t>
      </w:r>
      <w:r>
        <w:t>ee OAR 340-245-0090</w:t>
      </w:r>
      <w:r w:rsidR="00DF6DF6">
        <w:t>.</w:t>
      </w:r>
      <w:r>
        <w:t>)</w:t>
      </w:r>
    </w:p>
    <w:p w14:paraId="2A6D612A" w14:textId="2A1BAC9C" w:rsidR="00083818" w:rsidRDefault="00FC36AC">
      <w:pPr>
        <w:numPr>
          <w:ilvl w:val="0"/>
          <w:numId w:val="14"/>
        </w:numPr>
        <w:contextualSpacing/>
      </w:pPr>
      <w:r>
        <w:t>The proposed director discretion process and criteria for determining whether to approve el</w:t>
      </w:r>
      <w:r w:rsidR="003A03AC">
        <w:t>evated Conditional Risk Levels (s</w:t>
      </w:r>
      <w:r>
        <w:t>ee OAR 340-245-0230(7)</w:t>
      </w:r>
      <w:r w:rsidR="00DF6DF6">
        <w:t>.</w:t>
      </w:r>
      <w:r>
        <w:t>)</w:t>
      </w:r>
    </w:p>
    <w:p w14:paraId="4135410E" w14:textId="2232FCC4" w:rsidR="00083818" w:rsidRDefault="00FC36AC">
      <w:pPr>
        <w:numPr>
          <w:ilvl w:val="0"/>
          <w:numId w:val="14"/>
        </w:numPr>
        <w:contextualSpacing/>
      </w:pPr>
      <w:r>
        <w:t>The proposed communi</w:t>
      </w:r>
      <w:r w:rsidR="003A03AC">
        <w:t>ty engagement plan requirements (s</w:t>
      </w:r>
      <w:r>
        <w:t>ee OAR 340-245-0250</w:t>
      </w:r>
      <w:r w:rsidR="00DF6DF6">
        <w:t>.</w:t>
      </w:r>
      <w:r>
        <w:t>)</w:t>
      </w:r>
    </w:p>
    <w:p w14:paraId="330D83CA" w14:textId="6A642F85" w:rsidR="00083818" w:rsidRDefault="00FC36AC">
      <w:pPr>
        <w:numPr>
          <w:ilvl w:val="0"/>
          <w:numId w:val="14"/>
        </w:numPr>
        <w:contextualSpacing/>
      </w:pPr>
      <w:r>
        <w:t>The proposed implemen</w:t>
      </w:r>
      <w:r w:rsidR="003A03AC">
        <w:t>tation plan and ranking formula (s</w:t>
      </w:r>
      <w:r>
        <w:t>ee OAR 340-245-0040</w:t>
      </w:r>
      <w:r w:rsidR="003A03AC">
        <w:t xml:space="preserve">.)  </w:t>
      </w:r>
    </w:p>
    <w:p w14:paraId="28859DB9" w14:textId="6A1A793C" w:rsidR="00083818" w:rsidRDefault="00FC36AC">
      <w:pPr>
        <w:numPr>
          <w:ilvl w:val="0"/>
          <w:numId w:val="14"/>
        </w:numPr>
        <w:contextualSpacing/>
      </w:pPr>
      <w:r>
        <w:t>How facilities could demonstrate compliance with acute (daily) limits, how DEQ could verify compliance, and what DEQ should do if the</w:t>
      </w:r>
      <w:r w:rsidR="003A03AC">
        <w:t>re is a short-term exceedance (s</w:t>
      </w:r>
      <w:r>
        <w:t>ee OAR 340-245-0300(10) and OAR 340-012-0054</w:t>
      </w:r>
      <w:r w:rsidR="00DF6DF6">
        <w:t>.</w:t>
      </w:r>
      <w:r>
        <w:t>)</w:t>
      </w:r>
    </w:p>
    <w:p w14:paraId="290084AC" w14:textId="77777777" w:rsidR="00083818" w:rsidRDefault="00083818">
      <w:pPr>
        <w:ind w:left="0"/>
      </w:pPr>
    </w:p>
    <w:p w14:paraId="5C3A40D0" w14:textId="3C13E989" w:rsidR="002579B4" w:rsidRDefault="002579B4">
      <w:pPr>
        <w:ind w:left="0"/>
      </w:pPr>
      <w:r>
        <w:t xml:space="preserve">In addition to the above, DEQ is also requesting input on the following with regard to the </w:t>
      </w:r>
      <w:r w:rsidRPr="002579B4">
        <w:rPr>
          <w:color w:val="auto"/>
        </w:rPr>
        <w:t>proposed Revised Colored Art Glass Manufacturing Facility Rules</w:t>
      </w:r>
      <w:r>
        <w:t>:</w:t>
      </w:r>
    </w:p>
    <w:p w14:paraId="3846E3CC" w14:textId="7C7148EA" w:rsidR="00A14C23" w:rsidRDefault="00A14C23" w:rsidP="00A14C23">
      <w:pPr>
        <w:numPr>
          <w:ilvl w:val="0"/>
          <w:numId w:val="14"/>
        </w:numPr>
        <w:contextualSpacing/>
      </w:pPr>
      <w:r>
        <w:t>Can the applicability requirement in the proposed OAR 340-245-9000(2) be clarified or replaced with a better criterion?</w:t>
      </w:r>
    </w:p>
    <w:p w14:paraId="031B0F66" w14:textId="0DAA99B2" w:rsidR="00682CD4" w:rsidRDefault="00A14C23" w:rsidP="00A14C23">
      <w:pPr>
        <w:numPr>
          <w:ilvl w:val="0"/>
          <w:numId w:val="14"/>
        </w:numPr>
        <w:contextualSpacing/>
      </w:pPr>
      <w:r>
        <w:t xml:space="preserve">Can the </w:t>
      </w:r>
      <w:r w:rsidR="00682CD4" w:rsidRPr="00682CD4">
        <w:t>definition of Raw Materials</w:t>
      </w:r>
      <w:r>
        <w:t xml:space="preserve"> in the proposed OAR 340-245-9010(12) be improved or clarified?</w:t>
      </w:r>
    </w:p>
    <w:p w14:paraId="205CDFD4" w14:textId="77777777" w:rsidR="002579B4" w:rsidRDefault="002579B4">
      <w:pPr>
        <w:ind w:left="0"/>
      </w:pPr>
    </w:p>
    <w:p w14:paraId="3DA6E069" w14:textId="726B016C" w:rsidR="00083818" w:rsidRDefault="00945D5F" w:rsidP="003020D2">
      <w:pPr>
        <w:pStyle w:val="Heading2"/>
        <w:spacing w:before="0" w:after="0"/>
        <w:ind w:left="270"/>
      </w:pPr>
      <w:bookmarkStart w:id="3" w:name="_kidze67leo0u" w:colFirst="0" w:colLast="0"/>
      <w:bookmarkEnd w:id="3"/>
      <w:r>
        <w:t>Common t</w:t>
      </w:r>
      <w:r w:rsidR="00FC36AC">
        <w:t>erms</w:t>
      </w:r>
    </w:p>
    <w:p w14:paraId="6C160D5E" w14:textId="77777777" w:rsidR="00083818" w:rsidRDefault="00FC36AC" w:rsidP="003020D2">
      <w:pPr>
        <w:numPr>
          <w:ilvl w:val="0"/>
          <w:numId w:val="22"/>
        </w:numPr>
        <w:contextualSpacing/>
      </w:pPr>
      <w:r>
        <w:t>“Air Toxics” are air pollutants that have been determined to cause or reasonably be anticipated to cause adverse effects to human health.</w:t>
      </w:r>
    </w:p>
    <w:p w14:paraId="250BB14E" w14:textId="77777777" w:rsidR="00083818" w:rsidRDefault="00FC36AC" w:rsidP="006914FC">
      <w:pPr>
        <w:numPr>
          <w:ilvl w:val="0"/>
          <w:numId w:val="22"/>
        </w:numPr>
        <w:contextualSpacing/>
      </w:pPr>
      <w:r>
        <w:t>“Existing source” means a source that already exists or has applied for a permit before the date the rules become effective.</w:t>
      </w:r>
    </w:p>
    <w:p w14:paraId="4C9DD560" w14:textId="77777777" w:rsidR="00083818" w:rsidRDefault="00FC36AC" w:rsidP="006914FC">
      <w:pPr>
        <w:numPr>
          <w:ilvl w:val="0"/>
          <w:numId w:val="22"/>
        </w:numPr>
        <w:contextualSpacing/>
      </w:pPr>
      <w:r>
        <w:t>“New source” means a source that is proposed or constructed on or after the date the rules become effective.</w:t>
      </w:r>
    </w:p>
    <w:p w14:paraId="5E0FAE1F" w14:textId="77777777" w:rsidR="00083818" w:rsidRDefault="00FC36AC" w:rsidP="006914FC">
      <w:pPr>
        <w:numPr>
          <w:ilvl w:val="0"/>
          <w:numId w:val="22"/>
        </w:numPr>
        <w:contextualSpacing/>
      </w:pPr>
      <w:r>
        <w:t>“Risk Action Level” means cancer and noncancer health risk levels that trigger regulatory requirements.</w:t>
      </w:r>
    </w:p>
    <w:p w14:paraId="1A97CAD5" w14:textId="14A9EE22" w:rsidR="00083818" w:rsidRDefault="00FC36AC" w:rsidP="006914FC">
      <w:pPr>
        <w:numPr>
          <w:ilvl w:val="0"/>
          <w:numId w:val="22"/>
        </w:numPr>
        <w:contextualSpacing/>
      </w:pPr>
      <w:r>
        <w:t>“Risk Assessment” refers to the process of calculating the health risk created by the air toxics emissions from a source. The proposed rules include four “levels” of risk assessment in OAR 340-245-0080 that progress from simple to complex. Simpler levels are easier to calculate but rely on assumptions that are likely to overestimate the risk. More complex levels are harder to calculate because they include more site-specific details. Each source may use the simplest risk assessment level that shows compliance with the rules.</w:t>
      </w:r>
    </w:p>
    <w:p w14:paraId="4C4D129D" w14:textId="1E61DBF9" w:rsidR="00083818" w:rsidRDefault="00FC36AC" w:rsidP="006914FC">
      <w:pPr>
        <w:numPr>
          <w:ilvl w:val="0"/>
          <w:numId w:val="22"/>
        </w:numPr>
        <w:contextualSpacing/>
        <w:rPr>
          <w:rFonts w:ascii="Arial" w:eastAsia="Arial" w:hAnsi="Arial" w:cs="Arial"/>
        </w:rPr>
      </w:pPr>
      <w:r>
        <w:t>“Risk Based Concentration” means health-protective levels of each chemical in the air. These levels would be set at an excess cancer risk of one in one million for chronic lifetime (70 years) residential exposure, or a noncancer hazard quotient of one for either chronic lifetime (70 years) residential exposure or acute 24-hour exposure.</w:t>
      </w:r>
    </w:p>
    <w:p w14:paraId="43CFE495" w14:textId="56214114" w:rsidR="00083818" w:rsidRDefault="00FC36AC" w:rsidP="006914FC">
      <w:pPr>
        <w:numPr>
          <w:ilvl w:val="0"/>
          <w:numId w:val="22"/>
        </w:numPr>
        <w:contextualSpacing/>
        <w:rPr>
          <w:rFonts w:ascii="Arial" w:eastAsia="Arial" w:hAnsi="Arial" w:cs="Arial"/>
        </w:rPr>
      </w:pPr>
      <w:r>
        <w:t>“Source”</w:t>
      </w:r>
      <w:r w:rsidR="003A03AC">
        <w:t xml:space="preserve"> means</w:t>
      </w:r>
      <w:r>
        <w:t xml:space="preserve"> a facility that emits air pollutants. A source may consist of one or more toxics emissions units. Examples of sources that may only have one toxics emissions unit are dry cleaners and schools or commercial facilities that have a single boiler to provide heat. Sources that may consist of multiple toxics emissions units include commercial bakeries, paint shops with drying ovens, electric power generating plants and plywood mills.</w:t>
      </w:r>
    </w:p>
    <w:p w14:paraId="1980EFEA" w14:textId="77777777" w:rsidR="00083818" w:rsidRDefault="00FC36AC" w:rsidP="00B517E6">
      <w:pPr>
        <w:numPr>
          <w:ilvl w:val="0"/>
          <w:numId w:val="22"/>
        </w:numPr>
        <w:contextualSpacing/>
      </w:pPr>
      <w:r>
        <w:t>“Toxics emissions unit” refers to a piece of equipment or an operation that emits air pollutants. Occasionally, a toxics emissions unit may include multiple pieces of equipment that all do the same thing. Examples include: a boiler, a rock crusher, a pulp mill lime kiln, and a painting line that may comprise one to several paint stations.</w:t>
      </w:r>
    </w:p>
    <w:p w14:paraId="028097F0" w14:textId="77777777" w:rsidR="00083818" w:rsidRDefault="00083818">
      <w:pPr>
        <w:ind w:left="0"/>
      </w:pPr>
    </w:p>
    <w:p w14:paraId="1A5180F2" w14:textId="77777777" w:rsidR="00083818" w:rsidRDefault="00083818">
      <w:pPr>
        <w:ind w:left="0"/>
      </w:pPr>
    </w:p>
    <w:p w14:paraId="43CC8494" w14:textId="77777777" w:rsidR="00083818" w:rsidRDefault="00083818"/>
    <w:tbl>
      <w:tblPr>
        <w:tblStyle w:val="a1"/>
        <w:tblW w:w="9009" w:type="dxa"/>
        <w:jc w:val="center"/>
        <w:tblLayout w:type="fixed"/>
        <w:tblLook w:val="0400" w:firstRow="0" w:lastRow="0" w:firstColumn="0" w:lastColumn="0" w:noHBand="0" w:noVBand="1"/>
      </w:tblPr>
      <w:tblGrid>
        <w:gridCol w:w="9009"/>
      </w:tblGrid>
      <w:tr w:rsidR="00083818" w14:paraId="60FA6371" w14:textId="77777777">
        <w:trPr>
          <w:trHeight w:val="680"/>
          <w:jc w:val="center"/>
        </w:trPr>
        <w:tc>
          <w:tcPr>
            <w:tcW w:w="9009" w:type="dxa"/>
            <w:tcBorders>
              <w:top w:val="nil"/>
              <w:left w:val="nil"/>
              <w:bottom w:val="single" w:sz="6" w:space="0" w:color="7F7F7F"/>
              <w:right w:val="nil"/>
            </w:tcBorders>
            <w:shd w:val="clear" w:color="auto" w:fill="D5DCE4"/>
            <w:vAlign w:val="bottom"/>
          </w:tcPr>
          <w:p w14:paraId="1807093F" w14:textId="397835F5" w:rsidR="00083818" w:rsidRDefault="00550C6B" w:rsidP="00B517E6">
            <w:pPr>
              <w:pStyle w:val="Heading1"/>
            </w:pPr>
            <w:bookmarkStart w:id="4" w:name="_Toc496011824"/>
            <w:r>
              <w:t>Statement of n</w:t>
            </w:r>
            <w:r w:rsidR="00FC36AC">
              <w:t>eed</w:t>
            </w:r>
            <w:bookmarkEnd w:id="4"/>
            <w:r w:rsidR="00FC36AC">
              <w:t xml:space="preserve"> </w:t>
            </w:r>
          </w:p>
        </w:tc>
      </w:tr>
    </w:tbl>
    <w:p w14:paraId="00C5D0AE" w14:textId="77777777" w:rsidR="00083818" w:rsidRDefault="00083818">
      <w:pPr>
        <w:ind w:left="0"/>
      </w:pPr>
    </w:p>
    <w:p w14:paraId="3FE34288" w14:textId="28E2E064" w:rsidR="00083818" w:rsidRDefault="00FC36AC">
      <w:pPr>
        <w:ind w:left="0"/>
      </w:pPr>
      <w:r>
        <w:t xml:space="preserve">Existing rules do not limit </w:t>
      </w:r>
      <w:r w:rsidR="0055270E">
        <w:t xml:space="preserve">air toxics </w:t>
      </w:r>
      <w:r>
        <w:t>emissions based on health risks for people living near industrial and commercial facilities. As a result there may be regulatory gaps that result in significant localized health risks from facilities. The proposed rules would establish new tools to understand potential health risks for communities and to regulate facilities based on those health risks. To address regulatory gaps, proposed rules include provisions to cover facilities and pollutants that could be posing risk, set health-protective risk levels for communities impacted by one or more facilities (including sensitive and vulnerable populations), accomplish an accurate and streamlined assessment process, and ensure that affected communities have equal and adequate opportunities to participate and weigh in on proposed permitting decisions.</w:t>
      </w:r>
    </w:p>
    <w:p w14:paraId="0C7C3267" w14:textId="77777777" w:rsidR="00083818" w:rsidRDefault="00083818">
      <w:pPr>
        <w:ind w:left="0" w:right="-360"/>
      </w:pPr>
    </w:p>
    <w:tbl>
      <w:tblPr>
        <w:tblStyle w:val="a2"/>
        <w:tblW w:w="10358" w:type="dxa"/>
        <w:tblInd w:w="-383"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3780"/>
        <w:gridCol w:w="6578"/>
      </w:tblGrid>
      <w:tr w:rsidR="00083818" w14:paraId="5FE1DF65" w14:textId="77777777" w:rsidTr="00550C6B">
        <w:trPr>
          <w:trHeight w:val="520"/>
        </w:trPr>
        <w:tc>
          <w:tcPr>
            <w:tcW w:w="3780" w:type="dxa"/>
            <w:shd w:val="clear" w:color="auto" w:fill="E2EFD9"/>
            <w:vAlign w:val="center"/>
          </w:tcPr>
          <w:p w14:paraId="13A653F1" w14:textId="1068FE1D" w:rsidR="00083818" w:rsidRDefault="00550C6B">
            <w:pPr>
              <w:pStyle w:val="Title"/>
              <w:spacing w:before="120"/>
              <w:ind w:left="0" w:right="-360"/>
              <w:rPr>
                <w:rFonts w:ascii="Arial" w:eastAsia="Arial" w:hAnsi="Arial" w:cs="Arial"/>
                <w:color w:val="000000"/>
              </w:rPr>
            </w:pPr>
            <w:r>
              <w:rPr>
                <w:rFonts w:ascii="Arial" w:eastAsia="Arial" w:hAnsi="Arial" w:cs="Arial"/>
                <w:color w:val="000000"/>
              </w:rPr>
              <w:t>Proposed rule or t</w:t>
            </w:r>
            <w:r w:rsidR="00FC36AC">
              <w:rPr>
                <w:rFonts w:ascii="Arial" w:eastAsia="Arial" w:hAnsi="Arial" w:cs="Arial"/>
                <w:color w:val="000000"/>
              </w:rPr>
              <w:t>opic</w:t>
            </w:r>
          </w:p>
        </w:tc>
        <w:tc>
          <w:tcPr>
            <w:tcW w:w="6578" w:type="dxa"/>
            <w:shd w:val="clear" w:color="auto" w:fill="E2EFD9"/>
            <w:vAlign w:val="center"/>
          </w:tcPr>
          <w:p w14:paraId="6EEEF2B4" w14:textId="77777777" w:rsidR="00083818" w:rsidRDefault="00FC36AC">
            <w:pPr>
              <w:pStyle w:val="Title"/>
              <w:spacing w:before="120"/>
              <w:ind w:left="0" w:right="-360"/>
              <w:rPr>
                <w:rFonts w:ascii="Arial" w:eastAsia="Arial" w:hAnsi="Arial" w:cs="Arial"/>
                <w:color w:val="000000"/>
              </w:rPr>
            </w:pPr>
            <w:r>
              <w:rPr>
                <w:rFonts w:ascii="Arial" w:eastAsia="Arial" w:hAnsi="Arial" w:cs="Arial"/>
                <w:color w:val="000000"/>
              </w:rPr>
              <w:t>Discussion</w:t>
            </w:r>
          </w:p>
        </w:tc>
      </w:tr>
      <w:tr w:rsidR="00083818" w14:paraId="0A3B2D37" w14:textId="77777777" w:rsidTr="00550C6B">
        <w:tc>
          <w:tcPr>
            <w:tcW w:w="10358" w:type="dxa"/>
            <w:gridSpan w:val="2"/>
            <w:shd w:val="clear" w:color="auto" w:fill="C5E0B3"/>
          </w:tcPr>
          <w:p w14:paraId="77441734" w14:textId="534A9E64" w:rsidR="00083818" w:rsidRDefault="00FC36AC" w:rsidP="00A957D4">
            <w:pPr>
              <w:pStyle w:val="Subtitle"/>
              <w:shd w:val="clear" w:color="auto" w:fill="C5E0B3"/>
              <w:tabs>
                <w:tab w:val="left" w:pos="3495"/>
              </w:tabs>
              <w:ind w:left="0" w:right="-360"/>
              <w:rPr>
                <w:rFonts w:ascii="Arial" w:eastAsia="Arial" w:hAnsi="Arial" w:cs="Arial"/>
              </w:rPr>
            </w:pPr>
            <w:r>
              <w:rPr>
                <w:rFonts w:ascii="Arial" w:eastAsia="Arial" w:hAnsi="Arial" w:cs="Arial"/>
              </w:rPr>
              <w:t>Applicability</w:t>
            </w:r>
            <w:r w:rsidR="00A957D4">
              <w:rPr>
                <w:rFonts w:ascii="Arial" w:eastAsia="Arial" w:hAnsi="Arial" w:cs="Arial"/>
              </w:rPr>
              <w:tab/>
            </w:r>
          </w:p>
        </w:tc>
      </w:tr>
      <w:tr w:rsidR="00083818" w14:paraId="5ABE511D" w14:textId="77777777" w:rsidTr="00550C6B">
        <w:tc>
          <w:tcPr>
            <w:tcW w:w="3780" w:type="dxa"/>
            <w:shd w:val="clear" w:color="auto" w:fill="auto"/>
          </w:tcPr>
          <w:p w14:paraId="1B424C42" w14:textId="77777777" w:rsidR="00083818" w:rsidRDefault="00FC36AC">
            <w:pPr>
              <w:ind w:left="0" w:right="15"/>
            </w:pPr>
            <w:r>
              <w:t>What need does the proposed rule address?</w:t>
            </w:r>
          </w:p>
        </w:tc>
        <w:tc>
          <w:tcPr>
            <w:tcW w:w="6578" w:type="dxa"/>
            <w:shd w:val="clear" w:color="auto" w:fill="auto"/>
          </w:tcPr>
          <w:p w14:paraId="59743912" w14:textId="77777777" w:rsidR="00083818" w:rsidRDefault="00FC36AC">
            <w:pPr>
              <w:ind w:left="0" w:right="15"/>
              <w:rPr>
                <w:sz w:val="22"/>
                <w:szCs w:val="22"/>
              </w:rPr>
            </w:pPr>
            <w:r>
              <w:t xml:space="preserve">Recent experience with art glass and other facilities shows there are gaps in existing air toxics regulations. Current air toxics rules do not consider health risks to those living near facilities, and may allow facilities to emit air toxics at levels of concern for public health. This is particularly true if their processes and emissions are not currently addressed by a federal air toxics standard (National Emission Standard for Hazardous Air Pollutant or NESHAP), are only partially addressed by a federal standard, or if the emissions are not yet considered a risk to the public. </w:t>
            </w:r>
          </w:p>
        </w:tc>
      </w:tr>
      <w:tr w:rsidR="00083818" w14:paraId="62851513" w14:textId="77777777" w:rsidTr="00550C6B">
        <w:tc>
          <w:tcPr>
            <w:tcW w:w="3780" w:type="dxa"/>
            <w:shd w:val="clear" w:color="auto" w:fill="auto"/>
          </w:tcPr>
          <w:p w14:paraId="523A9CC0" w14:textId="77777777" w:rsidR="00083818" w:rsidRDefault="00FC36AC">
            <w:pPr>
              <w:ind w:left="0" w:right="15"/>
              <w:rPr>
                <w:sz w:val="22"/>
                <w:szCs w:val="22"/>
              </w:rPr>
            </w:pPr>
            <w:r>
              <w:t>How does the proposed rule address the need?</w:t>
            </w:r>
            <w:r>
              <w:rPr>
                <w:sz w:val="22"/>
                <w:szCs w:val="22"/>
              </w:rPr>
              <w:t xml:space="preserve"> </w:t>
            </w:r>
          </w:p>
        </w:tc>
        <w:tc>
          <w:tcPr>
            <w:tcW w:w="6578" w:type="dxa"/>
            <w:shd w:val="clear" w:color="auto" w:fill="auto"/>
          </w:tcPr>
          <w:p w14:paraId="2D9C5C13" w14:textId="73EF91F6" w:rsidR="00083818" w:rsidRDefault="00FC36AC" w:rsidP="008A700F">
            <w:pPr>
              <w:ind w:left="0" w:right="15"/>
              <w:rPr>
                <w:sz w:val="22"/>
                <w:szCs w:val="22"/>
              </w:rPr>
            </w:pPr>
            <w:r>
              <w:t xml:space="preserve">The proposed rules would apply to both new and existing facilities that emit air toxics. Facilities would calculate their emissions and the potential health risk the emissions pose to nearby people. If the risk is above Risk Action Levels set in the rules, the facility would need to reduce the risk or take other actions. Implementation would be phased in based on a </w:t>
            </w:r>
            <w:r w:rsidR="008A700F">
              <w:t xml:space="preserve">ranking </w:t>
            </w:r>
            <w:r>
              <w:t xml:space="preserve">formula that considers risk and the potential vulnerability of the surrounding community.  </w:t>
            </w:r>
          </w:p>
        </w:tc>
      </w:tr>
      <w:tr w:rsidR="00083818" w14:paraId="57F0DB27" w14:textId="77777777" w:rsidTr="00550C6B">
        <w:trPr>
          <w:trHeight w:val="260"/>
        </w:trPr>
        <w:tc>
          <w:tcPr>
            <w:tcW w:w="3780" w:type="dxa"/>
            <w:shd w:val="clear" w:color="auto" w:fill="auto"/>
          </w:tcPr>
          <w:p w14:paraId="26866161" w14:textId="77777777" w:rsidR="00083818" w:rsidRDefault="00FC36AC">
            <w:pPr>
              <w:ind w:left="0" w:right="15"/>
            </w:pPr>
            <w:r>
              <w:t>How will DEQ know the rule addresses the need?</w:t>
            </w:r>
          </w:p>
        </w:tc>
        <w:tc>
          <w:tcPr>
            <w:tcW w:w="6578" w:type="dxa"/>
            <w:shd w:val="clear" w:color="auto" w:fill="auto"/>
          </w:tcPr>
          <w:p w14:paraId="0C529A29" w14:textId="77777777" w:rsidR="00083818" w:rsidRDefault="00FC36AC">
            <w:pPr>
              <w:ind w:left="0" w:right="15"/>
            </w:pPr>
            <w:r>
              <w:t>Permit limits will be attached to facilities’ air permits, and will include emissions reporting to allow DEQ to measure risk reduction over time.</w:t>
            </w:r>
          </w:p>
        </w:tc>
      </w:tr>
      <w:tr w:rsidR="00083818" w14:paraId="7CC93BF8" w14:textId="77777777" w:rsidTr="00550C6B">
        <w:tc>
          <w:tcPr>
            <w:tcW w:w="10358" w:type="dxa"/>
            <w:gridSpan w:val="2"/>
            <w:shd w:val="clear" w:color="auto" w:fill="C5E0B3"/>
          </w:tcPr>
          <w:p w14:paraId="4E145337" w14:textId="5F7D9473" w:rsidR="00083818" w:rsidRDefault="00550C6B">
            <w:pPr>
              <w:pStyle w:val="Subtitle"/>
              <w:ind w:left="0" w:right="-360"/>
              <w:rPr>
                <w:rFonts w:ascii="Arial" w:eastAsia="Arial" w:hAnsi="Arial" w:cs="Arial"/>
              </w:rPr>
            </w:pPr>
            <w:r>
              <w:rPr>
                <w:rFonts w:ascii="Arial" w:eastAsia="Arial" w:hAnsi="Arial" w:cs="Arial"/>
              </w:rPr>
              <w:t>Pollutants i</w:t>
            </w:r>
            <w:r w:rsidR="00FC36AC">
              <w:rPr>
                <w:rFonts w:ascii="Arial" w:eastAsia="Arial" w:hAnsi="Arial" w:cs="Arial"/>
              </w:rPr>
              <w:t xml:space="preserve">ncluded </w:t>
            </w:r>
          </w:p>
        </w:tc>
      </w:tr>
      <w:tr w:rsidR="00083818" w14:paraId="20F19E00" w14:textId="77777777" w:rsidTr="00550C6B">
        <w:tc>
          <w:tcPr>
            <w:tcW w:w="3780" w:type="dxa"/>
            <w:shd w:val="clear" w:color="auto" w:fill="auto"/>
          </w:tcPr>
          <w:p w14:paraId="4F0E94E0" w14:textId="77777777" w:rsidR="00083818" w:rsidRDefault="00FC36AC">
            <w:pPr>
              <w:ind w:left="0" w:right="15"/>
            </w:pPr>
            <w:r>
              <w:t>What need does the proposed rule address?</w:t>
            </w:r>
          </w:p>
        </w:tc>
        <w:tc>
          <w:tcPr>
            <w:tcW w:w="6578" w:type="dxa"/>
            <w:shd w:val="clear" w:color="auto" w:fill="auto"/>
          </w:tcPr>
          <w:p w14:paraId="7D7231E8" w14:textId="77777777" w:rsidR="00083818" w:rsidRDefault="00FC36AC">
            <w:pPr>
              <w:ind w:left="0" w:right="15"/>
              <w:rPr>
                <w:sz w:val="22"/>
                <w:szCs w:val="22"/>
              </w:rPr>
            </w:pPr>
            <w:r>
              <w:t>The current air toxics regulations address 187 regulated air toxics and several other pollutants beyond this list for which DEQ has adopted Ambient Benchmark Concentrations under OAR 340-246-0090. There are many other air toxics of concern emitted by industry in Oregon that are not currently regulated.</w:t>
            </w:r>
          </w:p>
        </w:tc>
      </w:tr>
      <w:tr w:rsidR="00083818" w14:paraId="1E1FD7C7" w14:textId="77777777" w:rsidTr="00550C6B">
        <w:tc>
          <w:tcPr>
            <w:tcW w:w="3780" w:type="dxa"/>
            <w:shd w:val="clear" w:color="auto" w:fill="auto"/>
          </w:tcPr>
          <w:p w14:paraId="736126B6" w14:textId="6768AB76" w:rsidR="00083818" w:rsidRDefault="00FC36AC" w:rsidP="0055270E">
            <w:pPr>
              <w:ind w:left="0" w:right="15"/>
              <w:rPr>
                <w:sz w:val="22"/>
                <w:szCs w:val="22"/>
              </w:rPr>
            </w:pPr>
            <w:r>
              <w:t>How does the proposed rule address the need?</w:t>
            </w:r>
            <w:r>
              <w:rPr>
                <w:sz w:val="22"/>
                <w:szCs w:val="22"/>
              </w:rPr>
              <w:t xml:space="preserve"> </w:t>
            </w:r>
          </w:p>
        </w:tc>
        <w:tc>
          <w:tcPr>
            <w:tcW w:w="6578" w:type="dxa"/>
            <w:shd w:val="clear" w:color="auto" w:fill="auto"/>
          </w:tcPr>
          <w:p w14:paraId="711718D0" w14:textId="77777777" w:rsidR="00083818" w:rsidRDefault="00FC36AC">
            <w:pPr>
              <w:ind w:left="0" w:right="15"/>
              <w:rPr>
                <w:sz w:val="22"/>
                <w:szCs w:val="22"/>
              </w:rPr>
            </w:pPr>
            <w:r>
              <w:t>The proposed regulations would require facilities to report emissions from 601 chemicals, of which 260 have health data sufficient for calculating risk to people who are exposed to the emissions.</w:t>
            </w:r>
          </w:p>
        </w:tc>
      </w:tr>
      <w:tr w:rsidR="00083818" w14:paraId="1FDE17E1" w14:textId="77777777" w:rsidTr="00550C6B">
        <w:tc>
          <w:tcPr>
            <w:tcW w:w="3780" w:type="dxa"/>
            <w:shd w:val="clear" w:color="auto" w:fill="auto"/>
          </w:tcPr>
          <w:p w14:paraId="46A5BCA4" w14:textId="77777777" w:rsidR="00083818" w:rsidRDefault="00FC36AC">
            <w:pPr>
              <w:ind w:left="0" w:right="15"/>
            </w:pPr>
            <w:r>
              <w:t>How will DEQ know the rule addresses the need?</w:t>
            </w:r>
          </w:p>
        </w:tc>
        <w:tc>
          <w:tcPr>
            <w:tcW w:w="6578" w:type="dxa"/>
            <w:shd w:val="clear" w:color="auto" w:fill="auto"/>
          </w:tcPr>
          <w:p w14:paraId="5F42C721" w14:textId="33A4CE06" w:rsidR="00083818" w:rsidRDefault="00FC36AC" w:rsidP="008A700F">
            <w:pPr>
              <w:ind w:left="0" w:right="15"/>
              <w:rPr>
                <w:sz w:val="22"/>
                <w:szCs w:val="22"/>
              </w:rPr>
            </w:pPr>
            <w:r>
              <w:t xml:space="preserve">DEQ has received initial reporting </w:t>
            </w:r>
            <w:r w:rsidR="008A700F">
              <w:t xml:space="preserve">from regulated facilities covering </w:t>
            </w:r>
            <w:r>
              <w:t xml:space="preserve">the 601 pollutants in the proposed Cleaner Air Oregon regulations. Through ongoing emission inventory refinement and obtaining emission inventories for additional facilities, DEQ will establish a more thorough </w:t>
            </w:r>
            <w:r w:rsidR="008A700F">
              <w:t xml:space="preserve">and accurate </w:t>
            </w:r>
            <w:r>
              <w:t>database for air t</w:t>
            </w:r>
            <w:r w:rsidR="00F40993">
              <w:t xml:space="preserve">oxics emissions from commercial and industrial </w:t>
            </w:r>
            <w:r>
              <w:t>facilities in Oregon. Ongoing program implementation, risk screening and assessment will give DEQ and OHA a detailed understanding of the potential health impact</w:t>
            </w:r>
            <w:r w:rsidR="00F40993">
              <w:t xml:space="preserve">s of air toxics from </w:t>
            </w:r>
            <w:r>
              <w:t>facilities.</w:t>
            </w:r>
          </w:p>
        </w:tc>
      </w:tr>
      <w:tr w:rsidR="00083818" w14:paraId="0614C7CD" w14:textId="77777777" w:rsidTr="00550C6B">
        <w:trPr>
          <w:trHeight w:val="320"/>
        </w:trPr>
        <w:tc>
          <w:tcPr>
            <w:tcW w:w="10358" w:type="dxa"/>
            <w:gridSpan w:val="2"/>
            <w:shd w:val="clear" w:color="auto" w:fill="C5E0B3"/>
          </w:tcPr>
          <w:p w14:paraId="2646D2E1" w14:textId="4B0D95E6" w:rsidR="00083818" w:rsidRDefault="00550C6B">
            <w:pPr>
              <w:pStyle w:val="Subtitle"/>
              <w:ind w:left="0" w:right="-360"/>
              <w:rPr>
                <w:rFonts w:ascii="Arial" w:eastAsia="Arial" w:hAnsi="Arial" w:cs="Arial"/>
              </w:rPr>
            </w:pPr>
            <w:r>
              <w:rPr>
                <w:rFonts w:ascii="Arial" w:eastAsia="Arial" w:hAnsi="Arial" w:cs="Arial"/>
              </w:rPr>
              <w:t>Levels of health p</w:t>
            </w:r>
            <w:r w:rsidR="00FC36AC">
              <w:rPr>
                <w:rFonts w:ascii="Arial" w:eastAsia="Arial" w:hAnsi="Arial" w:cs="Arial"/>
              </w:rPr>
              <w:t>rotection</w:t>
            </w:r>
          </w:p>
        </w:tc>
      </w:tr>
      <w:tr w:rsidR="00083818" w14:paraId="446A6FF6" w14:textId="77777777" w:rsidTr="00550C6B">
        <w:tc>
          <w:tcPr>
            <w:tcW w:w="3780" w:type="dxa"/>
            <w:shd w:val="clear" w:color="auto" w:fill="auto"/>
          </w:tcPr>
          <w:p w14:paraId="6641B094" w14:textId="77777777" w:rsidR="00083818" w:rsidRDefault="00FC36AC">
            <w:pPr>
              <w:ind w:left="0" w:right="15"/>
            </w:pPr>
            <w:r>
              <w:t>What need does the proposed rule address?</w:t>
            </w:r>
          </w:p>
        </w:tc>
        <w:tc>
          <w:tcPr>
            <w:tcW w:w="6578" w:type="dxa"/>
            <w:shd w:val="clear" w:color="auto" w:fill="auto"/>
          </w:tcPr>
          <w:p w14:paraId="012004F2" w14:textId="316E1069" w:rsidR="00083818" w:rsidRDefault="00FC36AC">
            <w:pPr>
              <w:ind w:left="0" w:right="15"/>
              <w:rPr>
                <w:sz w:val="22"/>
                <w:szCs w:val="22"/>
              </w:rPr>
            </w:pPr>
            <w:r>
              <w:t xml:space="preserve">There are no regulatory health risk levels, or Risk Action Levels, for </w:t>
            </w:r>
            <w:r w:rsidR="006764E7">
              <w:t xml:space="preserve">air toxics emissions from </w:t>
            </w:r>
            <w:r>
              <w:t xml:space="preserve">facilities in existing Oregon regulations. In addition, the current air toxics health reference levels, or benchmarks, in OAR 340-246-0090 are expressed as annual averages and are set to evaluate chronic exposure for either carcinogens or non-carcinogens. They are not suitable for consideration of acute or multi-pathway exposures. </w:t>
            </w:r>
          </w:p>
        </w:tc>
      </w:tr>
      <w:tr w:rsidR="00083818" w14:paraId="4E7A5D22" w14:textId="77777777" w:rsidTr="00550C6B">
        <w:tc>
          <w:tcPr>
            <w:tcW w:w="3780" w:type="dxa"/>
            <w:shd w:val="clear" w:color="auto" w:fill="auto"/>
          </w:tcPr>
          <w:p w14:paraId="4256051D" w14:textId="77777777" w:rsidR="00083818" w:rsidRDefault="00FC36AC">
            <w:pPr>
              <w:ind w:left="0" w:right="15"/>
              <w:rPr>
                <w:sz w:val="22"/>
                <w:szCs w:val="22"/>
              </w:rPr>
            </w:pPr>
            <w:r>
              <w:t>How does the proposed rule address the need?</w:t>
            </w:r>
            <w:r>
              <w:rPr>
                <w:sz w:val="22"/>
                <w:szCs w:val="22"/>
              </w:rPr>
              <w:t xml:space="preserve"> </w:t>
            </w:r>
          </w:p>
        </w:tc>
        <w:tc>
          <w:tcPr>
            <w:tcW w:w="6578" w:type="dxa"/>
            <w:shd w:val="clear" w:color="auto" w:fill="auto"/>
          </w:tcPr>
          <w:p w14:paraId="790EF92E" w14:textId="77777777" w:rsidR="00083818" w:rsidRDefault="00FC36AC" w:rsidP="00FC36AC">
            <w:pPr>
              <w:ind w:left="0" w:right="15"/>
              <w:rPr>
                <w:sz w:val="22"/>
                <w:szCs w:val="22"/>
              </w:rPr>
            </w:pPr>
            <w:r>
              <w:t>The proposed regulations would establish a more complete set of health reference levels or Risk Based Concentrations for a larger set of chemicals. Risk Based Concentrations would include cancer, chronic non cancer, and acute non cancer concentrations as well as multi-pathway considerations. Risk Based Concentrations would be used in the evaluation of potential risks from facility emissions. Potential risks would then be compared with a series of Risk Action Levels, or regulatory risk levels for facilities subject to the program, that would be set up in the proposed regulations.</w:t>
            </w:r>
          </w:p>
        </w:tc>
      </w:tr>
      <w:tr w:rsidR="00083818" w14:paraId="730C19AB" w14:textId="77777777" w:rsidTr="00550C6B">
        <w:tc>
          <w:tcPr>
            <w:tcW w:w="3780" w:type="dxa"/>
            <w:shd w:val="clear" w:color="auto" w:fill="auto"/>
          </w:tcPr>
          <w:p w14:paraId="4753D245" w14:textId="77777777" w:rsidR="00083818" w:rsidRDefault="00FC36AC">
            <w:pPr>
              <w:ind w:left="0" w:right="15"/>
            </w:pPr>
            <w:r>
              <w:t>How will DEQ know the rule addressed the need?</w:t>
            </w:r>
          </w:p>
        </w:tc>
        <w:tc>
          <w:tcPr>
            <w:tcW w:w="6578" w:type="dxa"/>
            <w:shd w:val="clear" w:color="auto" w:fill="auto"/>
          </w:tcPr>
          <w:p w14:paraId="75B670A3" w14:textId="7BD348BC" w:rsidR="00083818" w:rsidRDefault="00FC36AC" w:rsidP="00E11E0A">
            <w:pPr>
              <w:ind w:left="0" w:right="15"/>
              <w:rPr>
                <w:sz w:val="22"/>
                <w:szCs w:val="22"/>
              </w:rPr>
            </w:pPr>
            <w:r>
              <w:t>The proposed new Risk Based Concentrations would be appropriate and useful for facilities going through risk screening and analysis. Risk Action Levels would provide protective and predictable levels for risk assessment and risk management.</w:t>
            </w:r>
            <w:r w:rsidR="006764E7">
              <w:t xml:space="preserve"> RBCs are set using nationally accepted</w:t>
            </w:r>
            <w:r w:rsidR="00E11E0A">
              <w:t xml:space="preserve"> </w:t>
            </w:r>
            <w:r w:rsidR="00E11E0A" w:rsidRPr="00E11E0A">
              <w:t>cancer, chronic noncancer, and acute noncancer toxicity values</w:t>
            </w:r>
            <w:r w:rsidR="006764E7">
              <w:t>.</w:t>
            </w:r>
          </w:p>
        </w:tc>
      </w:tr>
      <w:tr w:rsidR="00083818" w14:paraId="1C26D64D" w14:textId="77777777" w:rsidTr="00550C6B">
        <w:tc>
          <w:tcPr>
            <w:tcW w:w="10358" w:type="dxa"/>
            <w:gridSpan w:val="2"/>
            <w:shd w:val="clear" w:color="auto" w:fill="C5E0B3"/>
          </w:tcPr>
          <w:p w14:paraId="3241AA16" w14:textId="1D307C91" w:rsidR="00083818" w:rsidRDefault="00550C6B">
            <w:pPr>
              <w:pStyle w:val="Subtitle"/>
              <w:ind w:left="0" w:right="-360"/>
              <w:rPr>
                <w:rFonts w:ascii="Arial" w:eastAsia="Arial" w:hAnsi="Arial" w:cs="Arial"/>
              </w:rPr>
            </w:pPr>
            <w:r>
              <w:rPr>
                <w:rFonts w:ascii="Arial" w:eastAsia="Arial" w:hAnsi="Arial" w:cs="Arial"/>
              </w:rPr>
              <w:t>Effective screening and assessment p</w:t>
            </w:r>
            <w:r w:rsidR="00FC36AC">
              <w:rPr>
                <w:rFonts w:ascii="Arial" w:eastAsia="Arial" w:hAnsi="Arial" w:cs="Arial"/>
              </w:rPr>
              <w:t>rocess</w:t>
            </w:r>
          </w:p>
        </w:tc>
      </w:tr>
      <w:tr w:rsidR="00083818" w14:paraId="54DBDB50" w14:textId="77777777" w:rsidTr="00550C6B">
        <w:tc>
          <w:tcPr>
            <w:tcW w:w="3780" w:type="dxa"/>
            <w:shd w:val="clear" w:color="auto" w:fill="auto"/>
          </w:tcPr>
          <w:p w14:paraId="18F80651" w14:textId="77777777" w:rsidR="00083818" w:rsidRDefault="00FC36AC">
            <w:pPr>
              <w:ind w:left="0" w:right="15"/>
            </w:pPr>
            <w:r>
              <w:t>What need does the proposed rule address?</w:t>
            </w:r>
          </w:p>
        </w:tc>
        <w:tc>
          <w:tcPr>
            <w:tcW w:w="6578" w:type="dxa"/>
            <w:shd w:val="clear" w:color="auto" w:fill="auto"/>
          </w:tcPr>
          <w:p w14:paraId="7E1709B2" w14:textId="77777777" w:rsidR="00083818" w:rsidRDefault="00FC36AC">
            <w:pPr>
              <w:ind w:left="0" w:right="15"/>
              <w:rPr>
                <w:sz w:val="22"/>
                <w:szCs w:val="22"/>
              </w:rPr>
            </w:pPr>
            <w:r>
              <w:t>Current air toxics regulations do not require facilities to evaluate potential risk from their emissions. Due to this, DEQ, OHA, businesses, and the public do not have reliable or consistent data on the health risks posed by facility emissions.</w:t>
            </w:r>
          </w:p>
        </w:tc>
      </w:tr>
      <w:tr w:rsidR="00083818" w14:paraId="113AEBB0" w14:textId="77777777" w:rsidTr="00550C6B">
        <w:tc>
          <w:tcPr>
            <w:tcW w:w="3780" w:type="dxa"/>
            <w:shd w:val="clear" w:color="auto" w:fill="auto"/>
          </w:tcPr>
          <w:p w14:paraId="11796A66" w14:textId="77777777" w:rsidR="00083818" w:rsidRDefault="00FC36AC">
            <w:pPr>
              <w:ind w:left="0" w:right="15"/>
            </w:pPr>
            <w:r>
              <w:t xml:space="preserve">How does the proposed rule address the need? </w:t>
            </w:r>
          </w:p>
        </w:tc>
        <w:tc>
          <w:tcPr>
            <w:tcW w:w="6578" w:type="dxa"/>
            <w:shd w:val="clear" w:color="auto" w:fill="auto"/>
          </w:tcPr>
          <w:p w14:paraId="79F398D4" w14:textId="0284916B" w:rsidR="00083818" w:rsidRDefault="006764E7" w:rsidP="006764E7">
            <w:pPr>
              <w:ind w:left="0" w:right="15"/>
              <w:rPr>
                <w:sz w:val="22"/>
                <w:szCs w:val="22"/>
              </w:rPr>
            </w:pPr>
            <w:r>
              <w:t xml:space="preserve">Proposed regulations would provide an efficient and user-friendly tiered system to verify or “screen out” a facility’s risk to the community posed by air toxics emissions. </w:t>
            </w:r>
            <w:r w:rsidR="00FC36AC">
              <w:t>Proposed regulations would also include more detailed modeling and risk assessment requirements and protocols for facilities that do not screen out.</w:t>
            </w:r>
          </w:p>
        </w:tc>
      </w:tr>
      <w:tr w:rsidR="00083818" w14:paraId="01D50824" w14:textId="77777777" w:rsidTr="00550C6B">
        <w:tc>
          <w:tcPr>
            <w:tcW w:w="3780" w:type="dxa"/>
            <w:shd w:val="clear" w:color="auto" w:fill="auto"/>
          </w:tcPr>
          <w:p w14:paraId="1C707D5B" w14:textId="77777777" w:rsidR="00083818" w:rsidRDefault="00FC36AC">
            <w:pPr>
              <w:ind w:left="0" w:right="15"/>
            </w:pPr>
            <w:r>
              <w:t>How will DEQ know the rule addressed the need?</w:t>
            </w:r>
          </w:p>
        </w:tc>
        <w:tc>
          <w:tcPr>
            <w:tcW w:w="6578" w:type="dxa"/>
            <w:shd w:val="clear" w:color="auto" w:fill="auto"/>
          </w:tcPr>
          <w:p w14:paraId="2285CB4D" w14:textId="77777777" w:rsidR="00083818" w:rsidRDefault="00FC36AC">
            <w:pPr>
              <w:ind w:left="0" w:right="15"/>
              <w:rPr>
                <w:sz w:val="22"/>
                <w:szCs w:val="22"/>
              </w:rPr>
            </w:pPr>
            <w:r>
              <w:t>The proposed risk screening and analysis tools will allow facilities to understand their potential risk and any further risk reduction requirements in Cleaner Air Oregon regulations. Upon full implementation, DEQ, OHA, and the public will have statewide data for industrial and commercial air toxics risk.</w:t>
            </w:r>
          </w:p>
        </w:tc>
      </w:tr>
      <w:tr w:rsidR="00083818" w14:paraId="5025311D" w14:textId="77777777" w:rsidTr="00550C6B">
        <w:trPr>
          <w:trHeight w:val="280"/>
        </w:trPr>
        <w:tc>
          <w:tcPr>
            <w:tcW w:w="10358" w:type="dxa"/>
            <w:gridSpan w:val="2"/>
            <w:shd w:val="clear" w:color="auto" w:fill="C5E0B3"/>
          </w:tcPr>
          <w:p w14:paraId="64A60546" w14:textId="727C1C81" w:rsidR="00083818" w:rsidRDefault="00550C6B">
            <w:pPr>
              <w:pStyle w:val="Subtitle"/>
              <w:ind w:left="0" w:right="-360"/>
              <w:rPr>
                <w:rFonts w:ascii="Arial" w:eastAsia="Arial" w:hAnsi="Arial" w:cs="Arial"/>
              </w:rPr>
            </w:pPr>
            <w:r>
              <w:rPr>
                <w:rFonts w:ascii="Arial" w:eastAsia="Arial" w:hAnsi="Arial" w:cs="Arial"/>
              </w:rPr>
              <w:t>Addressing environmental justice c</w:t>
            </w:r>
            <w:r w:rsidR="00FC36AC">
              <w:rPr>
                <w:rFonts w:ascii="Arial" w:eastAsia="Arial" w:hAnsi="Arial" w:cs="Arial"/>
              </w:rPr>
              <w:t>oncerns</w:t>
            </w:r>
          </w:p>
        </w:tc>
      </w:tr>
      <w:tr w:rsidR="00083818" w14:paraId="27A565E6" w14:textId="77777777" w:rsidTr="00550C6B">
        <w:trPr>
          <w:trHeight w:val="360"/>
        </w:trPr>
        <w:tc>
          <w:tcPr>
            <w:tcW w:w="3780" w:type="dxa"/>
            <w:shd w:val="clear" w:color="auto" w:fill="auto"/>
          </w:tcPr>
          <w:p w14:paraId="3DD9F87B" w14:textId="77777777" w:rsidR="00083818" w:rsidRDefault="00FC36AC">
            <w:pPr>
              <w:ind w:left="0" w:right="15"/>
              <w:rPr>
                <w:rFonts w:ascii="Arial" w:eastAsia="Arial" w:hAnsi="Arial" w:cs="Arial"/>
              </w:rPr>
            </w:pPr>
            <w:r>
              <w:t>What need does the proposed rule address?</w:t>
            </w:r>
          </w:p>
        </w:tc>
        <w:tc>
          <w:tcPr>
            <w:tcW w:w="6578" w:type="dxa"/>
            <w:shd w:val="clear" w:color="auto" w:fill="auto"/>
          </w:tcPr>
          <w:p w14:paraId="6E1E6371" w14:textId="77777777" w:rsidR="00083818" w:rsidRDefault="00FC36AC">
            <w:pPr>
              <w:spacing w:after="120"/>
              <w:ind w:left="0" w:right="15"/>
            </w:pPr>
            <w:r>
              <w:t>In developing a new risk-based air toxics permitting program, DEQ and OHA are required by state and federal law to consider and incorporate provisions to ensure that the agencies’ actions address the interests of Oregon communities, especially minority, low-income and other traditionally underrepresented communities, including rural communities. In addition, some communities may be disproportionately impacted by the risk from air toxics emissions.</w:t>
            </w:r>
          </w:p>
          <w:p w14:paraId="1ED9E14F" w14:textId="77777777" w:rsidR="00083818" w:rsidRDefault="00FC36AC">
            <w:pPr>
              <w:spacing w:after="120"/>
              <w:ind w:left="0" w:right="15"/>
              <w:rPr>
                <w:rFonts w:ascii="Arial" w:eastAsia="Arial" w:hAnsi="Arial" w:cs="Arial"/>
              </w:rPr>
            </w:pPr>
            <w:r>
              <w:t>DEQ researched federal and other state risk-based permitting programs to understand how Environmental Justice considerations could be addressed, produced an issue paper, and received input from the state Environmental Justice Task Force.</w:t>
            </w:r>
          </w:p>
        </w:tc>
      </w:tr>
      <w:tr w:rsidR="00083818" w14:paraId="37F1BFD0" w14:textId="77777777" w:rsidTr="00550C6B">
        <w:trPr>
          <w:trHeight w:val="360"/>
        </w:trPr>
        <w:tc>
          <w:tcPr>
            <w:tcW w:w="3780" w:type="dxa"/>
            <w:shd w:val="clear" w:color="auto" w:fill="auto"/>
          </w:tcPr>
          <w:p w14:paraId="0F42E600" w14:textId="77777777" w:rsidR="00083818" w:rsidRDefault="00FC36AC">
            <w:pPr>
              <w:ind w:left="0" w:right="15"/>
            </w:pPr>
            <w:r>
              <w:t>How would the proposed rule address the need?</w:t>
            </w:r>
          </w:p>
        </w:tc>
        <w:tc>
          <w:tcPr>
            <w:tcW w:w="6578" w:type="dxa"/>
            <w:shd w:val="clear" w:color="auto" w:fill="auto"/>
          </w:tcPr>
          <w:p w14:paraId="147E3F61" w14:textId="77777777" w:rsidR="00083818" w:rsidRDefault="00FC36AC">
            <w:pPr>
              <w:ind w:left="0" w:right="15"/>
            </w:pPr>
            <w:r>
              <w:t>Many aspects of proposed Cleaner Air Oregon regulations would contribute to addressing Environmental Justice concerns. Protectiveness for sensitive and overburdened populations is included by:</w:t>
            </w:r>
          </w:p>
          <w:p w14:paraId="4A523A9D" w14:textId="77777777" w:rsidR="00083818" w:rsidRDefault="00FC36AC">
            <w:pPr>
              <w:numPr>
                <w:ilvl w:val="0"/>
                <w:numId w:val="16"/>
              </w:numPr>
              <w:ind w:right="15"/>
              <w:contextualSpacing/>
            </w:pPr>
            <w:r>
              <w:t>Proposing a large (600+) list of regulated chemicals</w:t>
            </w:r>
          </w:p>
          <w:p w14:paraId="4F9F72B9" w14:textId="77777777" w:rsidR="00083818" w:rsidRDefault="00FC36AC">
            <w:pPr>
              <w:numPr>
                <w:ilvl w:val="0"/>
                <w:numId w:val="16"/>
              </w:numPr>
              <w:ind w:right="15"/>
              <w:contextualSpacing/>
            </w:pPr>
            <w:r>
              <w:t>Setting risk-based concentrations in a health protective way</w:t>
            </w:r>
          </w:p>
          <w:p w14:paraId="33010D4E" w14:textId="1F3FEEAE" w:rsidR="00083818" w:rsidRDefault="00FC36AC">
            <w:pPr>
              <w:numPr>
                <w:ilvl w:val="0"/>
                <w:numId w:val="16"/>
              </w:numPr>
              <w:ind w:right="15"/>
              <w:contextualSpacing/>
            </w:pPr>
            <w:r>
              <w:t>Evaluating risk cumulatively for an entire facility to represent what people nearby are breathing</w:t>
            </w:r>
          </w:p>
          <w:p w14:paraId="4A684AF8" w14:textId="77777777" w:rsidR="00083818" w:rsidRDefault="00FC36AC">
            <w:pPr>
              <w:numPr>
                <w:ilvl w:val="0"/>
                <w:numId w:val="16"/>
              </w:numPr>
              <w:ind w:right="15"/>
              <w:contextualSpacing/>
            </w:pPr>
            <w:r>
              <w:t>Proposing protective Risk Action Levels</w:t>
            </w:r>
          </w:p>
          <w:p w14:paraId="1E10D992" w14:textId="77777777" w:rsidR="00083818" w:rsidRDefault="00FC36AC">
            <w:pPr>
              <w:numPr>
                <w:ilvl w:val="0"/>
                <w:numId w:val="16"/>
              </w:numPr>
              <w:ind w:right="15"/>
              <w:contextualSpacing/>
            </w:pPr>
            <w:r>
              <w:t>Prioritizing facilities for the first tier (80 in 5 yrs.) based on a formula that factors in potential risk, population size, number of children 5 yrs. old and younger, percent of minority population, and percent of low income population</w:t>
            </w:r>
          </w:p>
          <w:p w14:paraId="077788D7" w14:textId="77777777" w:rsidR="00083818" w:rsidRDefault="00FC36AC">
            <w:pPr>
              <w:numPr>
                <w:ilvl w:val="0"/>
                <w:numId w:val="16"/>
              </w:numPr>
              <w:ind w:right="15"/>
              <w:contextualSpacing/>
            </w:pPr>
            <w:r>
              <w:t>Taking a cumulative effects approach for impacts from multiple industrial and commercial facilities with a proposed area risk cap</w:t>
            </w:r>
          </w:p>
          <w:p w14:paraId="0FC94892" w14:textId="101509CA" w:rsidR="00083818" w:rsidRDefault="00FC36AC">
            <w:pPr>
              <w:numPr>
                <w:ilvl w:val="0"/>
                <w:numId w:val="16"/>
              </w:numPr>
              <w:ind w:right="15"/>
              <w:contextualSpacing/>
            </w:pPr>
            <w:r>
              <w:t>Building in a robust public engagement process that must be tailored to the community and becomes more extensive with increasing risk</w:t>
            </w:r>
            <w:r w:rsidR="00550C6B">
              <w:t>.</w:t>
            </w:r>
          </w:p>
        </w:tc>
      </w:tr>
      <w:tr w:rsidR="00083818" w14:paraId="6B16D319" w14:textId="77777777" w:rsidTr="00550C6B">
        <w:trPr>
          <w:trHeight w:val="360"/>
        </w:trPr>
        <w:tc>
          <w:tcPr>
            <w:tcW w:w="3780" w:type="dxa"/>
            <w:shd w:val="clear" w:color="auto" w:fill="auto"/>
          </w:tcPr>
          <w:p w14:paraId="50585FEF" w14:textId="77777777" w:rsidR="00083818" w:rsidRDefault="00FC36AC">
            <w:pPr>
              <w:ind w:left="0" w:right="15"/>
            </w:pPr>
            <w:r>
              <w:t>How will DEQ know the rule addressed the need?</w:t>
            </w:r>
          </w:p>
        </w:tc>
        <w:tc>
          <w:tcPr>
            <w:tcW w:w="6578" w:type="dxa"/>
            <w:shd w:val="clear" w:color="auto" w:fill="auto"/>
          </w:tcPr>
          <w:p w14:paraId="696537B4" w14:textId="77777777" w:rsidR="00083818" w:rsidRDefault="00FC36AC">
            <w:pPr>
              <w:ind w:left="0" w:right="15"/>
            </w:pPr>
            <w:r>
              <w:t>The effectiveness of current Environmental Justice provisions in the proposed rules will be evaluated after the first five years of implementation, or Tier 1.</w:t>
            </w:r>
          </w:p>
        </w:tc>
      </w:tr>
      <w:tr w:rsidR="00083818" w14:paraId="45E3EB2B" w14:textId="77777777" w:rsidTr="00550C6B">
        <w:trPr>
          <w:trHeight w:val="320"/>
        </w:trPr>
        <w:tc>
          <w:tcPr>
            <w:tcW w:w="10358" w:type="dxa"/>
            <w:gridSpan w:val="2"/>
            <w:shd w:val="clear" w:color="auto" w:fill="C5E0B3"/>
          </w:tcPr>
          <w:p w14:paraId="65AD56B3" w14:textId="72FD230C" w:rsidR="00083818" w:rsidRDefault="00550C6B">
            <w:pPr>
              <w:pStyle w:val="Subtitle"/>
              <w:ind w:left="0" w:right="-360"/>
            </w:pPr>
            <w:r>
              <w:rPr>
                <w:rFonts w:ascii="Arial" w:eastAsia="Arial" w:hAnsi="Arial" w:cs="Arial"/>
              </w:rPr>
              <w:t>Risk from multiple industrial f</w:t>
            </w:r>
            <w:r w:rsidR="00FC36AC">
              <w:rPr>
                <w:rFonts w:ascii="Arial" w:eastAsia="Arial" w:hAnsi="Arial" w:cs="Arial"/>
              </w:rPr>
              <w:t>acilities</w:t>
            </w:r>
          </w:p>
        </w:tc>
      </w:tr>
      <w:tr w:rsidR="00083818" w14:paraId="4D4982BF" w14:textId="77777777" w:rsidTr="00550C6B">
        <w:trPr>
          <w:trHeight w:val="360"/>
        </w:trPr>
        <w:tc>
          <w:tcPr>
            <w:tcW w:w="3780" w:type="dxa"/>
            <w:shd w:val="clear" w:color="auto" w:fill="auto"/>
          </w:tcPr>
          <w:p w14:paraId="53C197CD" w14:textId="77777777" w:rsidR="00083818" w:rsidRDefault="00FC36AC">
            <w:pPr>
              <w:ind w:left="0" w:right="15"/>
            </w:pPr>
            <w:r>
              <w:t>What need does the proposed rule address?</w:t>
            </w:r>
          </w:p>
        </w:tc>
        <w:tc>
          <w:tcPr>
            <w:tcW w:w="6578" w:type="dxa"/>
            <w:shd w:val="clear" w:color="auto" w:fill="auto"/>
          </w:tcPr>
          <w:p w14:paraId="44E982BE" w14:textId="77777777" w:rsidR="00083818" w:rsidRDefault="00FC36AC">
            <w:pPr>
              <w:ind w:left="0" w:right="15"/>
            </w:pPr>
            <w:r>
              <w:t xml:space="preserve">Cumulative risk from multiple sources of air toxics can be a concern for people who live or work near multiple facilities. </w:t>
            </w:r>
          </w:p>
        </w:tc>
      </w:tr>
      <w:tr w:rsidR="00083818" w14:paraId="0792588C" w14:textId="77777777" w:rsidTr="00550C6B">
        <w:trPr>
          <w:trHeight w:val="360"/>
        </w:trPr>
        <w:tc>
          <w:tcPr>
            <w:tcW w:w="3780" w:type="dxa"/>
            <w:shd w:val="clear" w:color="auto" w:fill="auto"/>
          </w:tcPr>
          <w:p w14:paraId="1829BD6B" w14:textId="77777777" w:rsidR="00083818" w:rsidRDefault="00FC36AC">
            <w:pPr>
              <w:ind w:left="0" w:right="15"/>
            </w:pPr>
            <w:r>
              <w:t>How does the proposed rule address the need?</w:t>
            </w:r>
          </w:p>
        </w:tc>
        <w:tc>
          <w:tcPr>
            <w:tcW w:w="6578" w:type="dxa"/>
            <w:shd w:val="clear" w:color="auto" w:fill="auto"/>
          </w:tcPr>
          <w:p w14:paraId="14547828" w14:textId="77777777" w:rsidR="00083818" w:rsidRDefault="00FC36AC">
            <w:pPr>
              <w:ind w:left="0" w:right="15"/>
            </w:pPr>
            <w:r>
              <w:t>The proposed regulations would set a risk limit for locations impacted by multiple industrial and commercial facilities and restrict increases of industrial and commercial emissions that would affect locations that are above the limit.</w:t>
            </w:r>
          </w:p>
        </w:tc>
      </w:tr>
      <w:tr w:rsidR="00083818" w14:paraId="5D5504F9" w14:textId="77777777" w:rsidTr="00550C6B">
        <w:trPr>
          <w:trHeight w:val="360"/>
        </w:trPr>
        <w:tc>
          <w:tcPr>
            <w:tcW w:w="3780" w:type="dxa"/>
            <w:shd w:val="clear" w:color="auto" w:fill="auto"/>
          </w:tcPr>
          <w:p w14:paraId="145BA750" w14:textId="77777777" w:rsidR="00083818" w:rsidRDefault="00FC36AC">
            <w:pPr>
              <w:ind w:left="0" w:right="15"/>
            </w:pPr>
            <w:r>
              <w:t>How will DEQ know the rule addressed the need?</w:t>
            </w:r>
          </w:p>
        </w:tc>
        <w:tc>
          <w:tcPr>
            <w:tcW w:w="6578" w:type="dxa"/>
            <w:shd w:val="clear" w:color="auto" w:fill="auto"/>
          </w:tcPr>
          <w:p w14:paraId="1B2E613C" w14:textId="0AD057DA" w:rsidR="00083818" w:rsidRDefault="006764E7">
            <w:pPr>
              <w:ind w:left="0" w:right="15"/>
            </w:pPr>
            <w:r>
              <w:t xml:space="preserve">Over time, </w:t>
            </w:r>
            <w:r w:rsidR="00FC36AC">
              <w:t>DEQ will identify and analyze areas of the state where multiple industrial and commercial facilities could create risk exceeding the Area Multi-Source Risk Action Level. This approach is new and could involve a high level of technical complexity, however, DEQ anticipates that the proposed rule would address the need if areas with multi-source impacts above Risk Action Levels experience no additional increases and facilities and the affected community understand the analysis and any area-wide plan that may be in place.</w:t>
            </w:r>
          </w:p>
        </w:tc>
      </w:tr>
      <w:tr w:rsidR="00083818" w14:paraId="7AFEA4B4" w14:textId="77777777" w:rsidTr="00550C6B">
        <w:trPr>
          <w:trHeight w:val="240"/>
        </w:trPr>
        <w:tc>
          <w:tcPr>
            <w:tcW w:w="10358" w:type="dxa"/>
            <w:gridSpan w:val="2"/>
            <w:shd w:val="clear" w:color="auto" w:fill="C5E0B3"/>
          </w:tcPr>
          <w:p w14:paraId="21ACBDEB" w14:textId="7793599B" w:rsidR="00083818" w:rsidRDefault="00550C6B">
            <w:pPr>
              <w:pStyle w:val="Subtitle"/>
              <w:ind w:left="0" w:right="-360"/>
            </w:pPr>
            <w:r>
              <w:rPr>
                <w:rFonts w:ascii="Arial" w:eastAsia="Arial" w:hAnsi="Arial" w:cs="Arial"/>
              </w:rPr>
              <w:t>Public information and e</w:t>
            </w:r>
            <w:r w:rsidR="00FC36AC">
              <w:rPr>
                <w:rFonts w:ascii="Arial" w:eastAsia="Arial" w:hAnsi="Arial" w:cs="Arial"/>
              </w:rPr>
              <w:t>ngagement</w:t>
            </w:r>
          </w:p>
        </w:tc>
      </w:tr>
      <w:tr w:rsidR="00083818" w14:paraId="0E980456" w14:textId="77777777" w:rsidTr="00550C6B">
        <w:trPr>
          <w:trHeight w:val="360"/>
        </w:trPr>
        <w:tc>
          <w:tcPr>
            <w:tcW w:w="3780" w:type="dxa"/>
            <w:shd w:val="clear" w:color="auto" w:fill="auto"/>
          </w:tcPr>
          <w:p w14:paraId="16018069" w14:textId="77777777" w:rsidR="00083818" w:rsidRDefault="00FC36AC">
            <w:pPr>
              <w:ind w:left="0" w:right="15"/>
            </w:pPr>
            <w:r>
              <w:t>What need does the proposed rule address?</w:t>
            </w:r>
          </w:p>
        </w:tc>
        <w:tc>
          <w:tcPr>
            <w:tcW w:w="6578" w:type="dxa"/>
            <w:shd w:val="clear" w:color="auto" w:fill="auto"/>
          </w:tcPr>
          <w:p w14:paraId="52A7E8BA" w14:textId="77777777" w:rsidR="00083818" w:rsidRDefault="00FC36AC">
            <w:pPr>
              <w:ind w:left="0" w:right="15"/>
            </w:pPr>
            <w:r>
              <w:t>DEQ has heard from communities that the timing of public input on a draft permit under the existing air permitting program is too late in the process for adequate understanding of and participation in decisions. Because proposed Cleaner Air Oregon risk evaluations and regulatory decisions would be even more specific to facility locations and affected neighborhoods, effective community engagement is vital to ensure that potentially affected citizens, businesses, and governments have ample notice, understanding, and opportunity to provide input.</w:t>
            </w:r>
          </w:p>
        </w:tc>
      </w:tr>
      <w:tr w:rsidR="00083818" w14:paraId="766A828E" w14:textId="77777777" w:rsidTr="00550C6B">
        <w:trPr>
          <w:trHeight w:val="360"/>
        </w:trPr>
        <w:tc>
          <w:tcPr>
            <w:tcW w:w="3780" w:type="dxa"/>
            <w:shd w:val="clear" w:color="auto" w:fill="auto"/>
          </w:tcPr>
          <w:p w14:paraId="78EB05C5" w14:textId="77777777" w:rsidR="00083818" w:rsidRDefault="00FC36AC">
            <w:pPr>
              <w:ind w:left="0" w:right="15"/>
            </w:pPr>
            <w:r>
              <w:t>How does the proposed rule address the need?</w:t>
            </w:r>
          </w:p>
        </w:tc>
        <w:tc>
          <w:tcPr>
            <w:tcW w:w="6578" w:type="dxa"/>
            <w:shd w:val="clear" w:color="auto" w:fill="auto"/>
          </w:tcPr>
          <w:p w14:paraId="6B494F0C" w14:textId="77777777" w:rsidR="00083818" w:rsidRDefault="00FC36AC">
            <w:pPr>
              <w:ind w:left="0" w:right="15"/>
            </w:pPr>
            <w:r>
              <w:t>Proposed community engagement provisions provide for and encourage direct communication between the owner or operator of a source and the community affected by the source’s air toxics emissions. The requirements of the community engagement rules are intended to ensure that Environmental Justice concerns and considerations are appropriately addressed throughout the implementation of Cleaner Air Oregon. The owner or operator of a source whose risk is above any Risk Action Level must develop and follow a Community Engagement Plan to ensure compliance with community engagement requirements.</w:t>
            </w:r>
          </w:p>
        </w:tc>
      </w:tr>
      <w:tr w:rsidR="00083818" w14:paraId="2FD00B5C" w14:textId="77777777" w:rsidTr="00550C6B">
        <w:trPr>
          <w:trHeight w:val="360"/>
        </w:trPr>
        <w:tc>
          <w:tcPr>
            <w:tcW w:w="3780" w:type="dxa"/>
            <w:shd w:val="clear" w:color="auto" w:fill="auto"/>
          </w:tcPr>
          <w:p w14:paraId="6F1F83E2" w14:textId="77777777" w:rsidR="00083818" w:rsidRDefault="00FC36AC">
            <w:pPr>
              <w:ind w:left="0" w:right="15"/>
            </w:pPr>
            <w:r>
              <w:t>How will DEQ know the rule addresses the need?</w:t>
            </w:r>
          </w:p>
        </w:tc>
        <w:tc>
          <w:tcPr>
            <w:tcW w:w="6578" w:type="dxa"/>
            <w:shd w:val="clear" w:color="auto" w:fill="auto"/>
          </w:tcPr>
          <w:p w14:paraId="27137083" w14:textId="77777777" w:rsidR="00083818" w:rsidRDefault="00FC36AC">
            <w:pPr>
              <w:ind w:left="0" w:right="15"/>
            </w:pPr>
            <w:r>
              <w:t>Under proposed regulations, DEQ will evaluate a facility’s Community Engagement Plan and promote best practices and tailoring of outreach and communication in individual communities. An evaluation of this practice will be completed after the first five years of the program (Tier 1) is completed.</w:t>
            </w:r>
          </w:p>
        </w:tc>
      </w:tr>
    </w:tbl>
    <w:p w14:paraId="5B50A3FC" w14:textId="77777777" w:rsidR="00083818" w:rsidRDefault="00083818">
      <w:pPr>
        <w:ind w:left="0" w:right="-360"/>
      </w:pPr>
    </w:p>
    <w:p w14:paraId="573FEDF7" w14:textId="77777777" w:rsidR="00083818" w:rsidRDefault="00083818">
      <w:pPr>
        <w:widowControl w:val="0"/>
        <w:spacing w:line="276" w:lineRule="auto"/>
        <w:ind w:left="0" w:right="0"/>
      </w:pPr>
    </w:p>
    <w:tbl>
      <w:tblPr>
        <w:tblStyle w:val="a3"/>
        <w:tblW w:w="9070" w:type="dxa"/>
        <w:jc w:val="center"/>
        <w:tblLayout w:type="fixed"/>
        <w:tblLook w:val="0400" w:firstRow="0" w:lastRow="0" w:firstColumn="0" w:lastColumn="0" w:noHBand="0" w:noVBand="1"/>
      </w:tblPr>
      <w:tblGrid>
        <w:gridCol w:w="9070"/>
      </w:tblGrid>
      <w:tr w:rsidR="00083818" w14:paraId="5A359457" w14:textId="77777777" w:rsidTr="00E47B63">
        <w:trPr>
          <w:trHeight w:val="549"/>
          <w:jc w:val="center"/>
        </w:trPr>
        <w:tc>
          <w:tcPr>
            <w:tcW w:w="9070" w:type="dxa"/>
            <w:tcBorders>
              <w:top w:val="nil"/>
              <w:left w:val="nil"/>
              <w:bottom w:val="single" w:sz="6" w:space="0" w:color="7F7F7F"/>
              <w:right w:val="nil"/>
            </w:tcBorders>
            <w:shd w:val="clear" w:color="auto" w:fill="D5DCE4"/>
            <w:vAlign w:val="bottom"/>
          </w:tcPr>
          <w:p w14:paraId="6BE563E1" w14:textId="56FAFE59" w:rsidR="00083818" w:rsidRDefault="00FC36AC" w:rsidP="00E47B63">
            <w:pPr>
              <w:pStyle w:val="Heading1"/>
              <w:rPr>
                <w:rFonts w:ascii="Calibri" w:eastAsia="Calibri" w:hAnsi="Calibri" w:cs="Calibri"/>
                <w:color w:val="C55911"/>
              </w:rPr>
            </w:pPr>
            <w:bookmarkStart w:id="5" w:name="_nn3dihi0s1fl" w:colFirst="0" w:colLast="0"/>
            <w:bookmarkStart w:id="6" w:name="_Toc496011825"/>
            <w:bookmarkEnd w:id="5"/>
            <w:r>
              <w:t>Rules affected, authorities, supporting documents</w:t>
            </w:r>
            <w:bookmarkEnd w:id="6"/>
            <w:r>
              <w:rPr>
                <w:color w:val="C55911"/>
              </w:rPr>
              <w:t xml:space="preserve"> </w:t>
            </w:r>
          </w:p>
        </w:tc>
      </w:tr>
    </w:tbl>
    <w:p w14:paraId="5488B322" w14:textId="77777777" w:rsidR="00083818" w:rsidRDefault="00083818">
      <w:pPr>
        <w:ind w:left="0" w:right="-360"/>
        <w:rPr>
          <w:rFonts w:ascii="Arial" w:eastAsia="Arial" w:hAnsi="Arial" w:cs="Arial"/>
          <w:b/>
          <w:color w:val="C55911"/>
        </w:rPr>
      </w:pPr>
    </w:p>
    <w:p w14:paraId="1B4CFDEA" w14:textId="77777777" w:rsidR="00083818" w:rsidRDefault="00FC36AC">
      <w:pPr>
        <w:pStyle w:val="Heading4"/>
        <w:ind w:right="-360"/>
      </w:pPr>
      <w:r>
        <w:t>Lead division</w:t>
      </w:r>
    </w:p>
    <w:p w14:paraId="73B5B652" w14:textId="75C6EB48" w:rsidR="00083818" w:rsidRDefault="00FC36AC">
      <w:pPr>
        <w:tabs>
          <w:tab w:val="left" w:pos="4500"/>
        </w:tabs>
        <w:ind w:left="0" w:right="-360"/>
      </w:pPr>
      <w:r>
        <w:t>Operations</w:t>
      </w:r>
      <w:r w:rsidR="006764E7">
        <w:t>/Air Quality</w:t>
      </w:r>
    </w:p>
    <w:p w14:paraId="1D207076" w14:textId="77777777" w:rsidR="00083818" w:rsidRDefault="00083818">
      <w:pPr>
        <w:tabs>
          <w:tab w:val="left" w:pos="4500"/>
        </w:tabs>
        <w:ind w:left="0" w:right="-360"/>
      </w:pPr>
    </w:p>
    <w:p w14:paraId="00871E56" w14:textId="77777777" w:rsidR="00083818" w:rsidRDefault="00FC36AC">
      <w:pPr>
        <w:pStyle w:val="Heading4"/>
        <w:ind w:right="-360"/>
      </w:pPr>
      <w:r>
        <w:t>Program or activity</w:t>
      </w:r>
    </w:p>
    <w:p w14:paraId="5AA376F2" w14:textId="77777777" w:rsidR="00083818" w:rsidRDefault="00FC36AC">
      <w:pPr>
        <w:tabs>
          <w:tab w:val="left" w:pos="4500"/>
        </w:tabs>
        <w:ind w:left="0" w:right="-360"/>
      </w:pPr>
      <w:r>
        <w:t>Air Quality Permitting and Air Toxics</w:t>
      </w:r>
    </w:p>
    <w:p w14:paraId="4C171A79" w14:textId="77777777" w:rsidR="00083818" w:rsidRDefault="00083818">
      <w:pPr>
        <w:tabs>
          <w:tab w:val="left" w:pos="4500"/>
        </w:tabs>
        <w:ind w:left="0" w:right="-360"/>
      </w:pPr>
    </w:p>
    <w:p w14:paraId="2D5F833A" w14:textId="77777777" w:rsidR="00083818" w:rsidRDefault="00FC36AC">
      <w:pPr>
        <w:pStyle w:val="Heading4"/>
        <w:ind w:right="-360"/>
      </w:pPr>
      <w:r>
        <w:t>Chapter 340 action</w:t>
      </w:r>
    </w:p>
    <w:p w14:paraId="443A17CB" w14:textId="77777777" w:rsidR="00083818" w:rsidRDefault="00083818"/>
    <w:tbl>
      <w:tblPr>
        <w:tblStyle w:val="a4"/>
        <w:tblW w:w="9180" w:type="dxa"/>
        <w:tblBorders>
          <w:top w:val="nil"/>
          <w:left w:val="nil"/>
          <w:bottom w:val="nil"/>
          <w:right w:val="nil"/>
          <w:insideH w:val="nil"/>
          <w:insideV w:val="nil"/>
        </w:tblBorders>
        <w:tblLayout w:type="fixed"/>
        <w:tblLook w:val="0400" w:firstRow="0" w:lastRow="0" w:firstColumn="0" w:lastColumn="0" w:noHBand="0" w:noVBand="1"/>
      </w:tblPr>
      <w:tblGrid>
        <w:gridCol w:w="1728"/>
        <w:gridCol w:w="7452"/>
      </w:tblGrid>
      <w:tr w:rsidR="000C32E5" w:rsidRPr="000C32E5" w14:paraId="423D2A1B" w14:textId="77777777" w:rsidTr="008E613A">
        <w:tc>
          <w:tcPr>
            <w:tcW w:w="1728" w:type="dxa"/>
          </w:tcPr>
          <w:p w14:paraId="03AFAAC8" w14:textId="77777777" w:rsidR="00083818" w:rsidRDefault="00FC36AC">
            <w:pPr>
              <w:ind w:right="-360"/>
              <w:rPr>
                <w:color w:val="000000"/>
              </w:rPr>
            </w:pPr>
            <w:r>
              <w:rPr>
                <w:color w:val="000000"/>
              </w:rPr>
              <w:t>Adopt OAR:</w:t>
            </w:r>
          </w:p>
        </w:tc>
        <w:tc>
          <w:tcPr>
            <w:tcW w:w="7452" w:type="dxa"/>
          </w:tcPr>
          <w:p w14:paraId="264921F5" w14:textId="77777777" w:rsidR="000C32E5" w:rsidRDefault="00FC36AC" w:rsidP="000C32E5">
            <w:pPr>
              <w:ind w:right="-360"/>
              <w:rPr>
                <w:color w:val="auto"/>
              </w:rPr>
            </w:pPr>
            <w:r w:rsidRPr="000C32E5">
              <w:rPr>
                <w:color w:val="auto"/>
              </w:rPr>
              <w:t xml:space="preserve">340-216-0069, 340-216-8030, 340-244-8990, 340-245-0005, 340-245-0010, 340-245-0020, </w:t>
            </w:r>
            <w:r w:rsidR="008E613A" w:rsidRPr="000C32E5">
              <w:rPr>
                <w:color w:val="auto"/>
              </w:rPr>
              <w:t xml:space="preserve">340-245-0022, </w:t>
            </w:r>
            <w:r w:rsidRPr="000C32E5">
              <w:rPr>
                <w:color w:val="auto"/>
              </w:rPr>
              <w:t xml:space="preserve">340-245-0030, 340-245-0040, 340-245-0050, 340-245-0060, 340-245-0070, 340-245-0080, 340-245-0090, </w:t>
            </w:r>
            <w:r w:rsidR="008E613A" w:rsidRPr="000C32E5">
              <w:rPr>
                <w:color w:val="auto"/>
              </w:rPr>
              <w:t xml:space="preserve">340-245-0100, </w:t>
            </w:r>
            <w:r w:rsidRPr="000C32E5">
              <w:rPr>
                <w:color w:val="auto"/>
              </w:rPr>
              <w:t>340-245-0200, 340-245-0210, 340-245-0220, 340-245-0230, 340-245-0240, 340-245-0250, 340-245-0300, 340-245-0310, 340-245-0320, 340-245-0330, 340-245-0340, 340-245-0400, 340-245-0410, 340-245-0420, 340-245-0500, 340-245-8010, 340-245-8020, 340-245-8030, 340-245-80</w:t>
            </w:r>
            <w:r w:rsidR="00EF3371" w:rsidRPr="000C32E5">
              <w:rPr>
                <w:color w:val="auto"/>
              </w:rPr>
              <w:t>40, 340-245-8050, 340-245-8060</w:t>
            </w:r>
            <w:r w:rsidR="000C32E5" w:rsidRPr="000C32E5">
              <w:rPr>
                <w:color w:val="auto"/>
              </w:rPr>
              <w:t>, 340-245-9000, 340-245-9010, 340-245-9015, 340-245-9020, 340-245-9030, 340-245-9050, 340-245-9060, 340-245-9070, 340-245-9080</w:t>
            </w:r>
          </w:p>
          <w:p w14:paraId="71D1AFDB" w14:textId="28F46D22" w:rsidR="000C32E5" w:rsidRDefault="000C32E5" w:rsidP="000C32E5">
            <w:pPr>
              <w:rPr>
                <w:color w:val="000000"/>
              </w:rPr>
            </w:pPr>
            <w:r>
              <w:rPr>
                <w:color w:val="000000"/>
              </w:rPr>
              <w:t>DEQ Cleane</w:t>
            </w:r>
            <w:r w:rsidR="00BC0258">
              <w:rPr>
                <w:color w:val="000000"/>
              </w:rPr>
              <w:t>r Air Oregon Monitoring Plan</w:t>
            </w:r>
            <w:r>
              <w:rPr>
                <w:color w:val="000000"/>
              </w:rPr>
              <w:t xml:space="preserve"> </w:t>
            </w:r>
            <w:r w:rsidR="00162F81">
              <w:rPr>
                <w:color w:val="000000"/>
              </w:rPr>
              <w:t xml:space="preserve">Template </w:t>
            </w:r>
            <w:r>
              <w:rPr>
                <w:color w:val="000000"/>
              </w:rPr>
              <w:t>July 2018 edition</w:t>
            </w:r>
          </w:p>
          <w:p w14:paraId="460BD836" w14:textId="77777777" w:rsidR="000C32E5" w:rsidRPr="000C32E5" w:rsidRDefault="000C32E5" w:rsidP="000C32E5">
            <w:pPr>
              <w:ind w:right="-360"/>
              <w:rPr>
                <w:color w:val="auto"/>
              </w:rPr>
            </w:pPr>
          </w:p>
          <w:p w14:paraId="05375A94" w14:textId="5D84AA7B" w:rsidR="00083818" w:rsidRPr="000C32E5" w:rsidRDefault="00083818">
            <w:pPr>
              <w:ind w:right="-360"/>
              <w:rPr>
                <w:color w:val="auto"/>
              </w:rPr>
            </w:pPr>
          </w:p>
          <w:p w14:paraId="379AA1C7" w14:textId="77777777" w:rsidR="00083818" w:rsidRPr="000C32E5" w:rsidRDefault="00083818">
            <w:pPr>
              <w:ind w:right="-360"/>
              <w:rPr>
                <w:color w:val="auto"/>
              </w:rPr>
            </w:pPr>
          </w:p>
        </w:tc>
      </w:tr>
      <w:tr w:rsidR="00083818" w14:paraId="7A35D876" w14:textId="77777777" w:rsidTr="008E613A">
        <w:tc>
          <w:tcPr>
            <w:tcW w:w="1728" w:type="dxa"/>
          </w:tcPr>
          <w:p w14:paraId="3F852D58" w14:textId="77777777" w:rsidR="00083818" w:rsidRDefault="00FC36AC">
            <w:pPr>
              <w:ind w:right="-360"/>
              <w:rPr>
                <w:color w:val="000000"/>
              </w:rPr>
            </w:pPr>
            <w:r>
              <w:rPr>
                <w:color w:val="000000"/>
              </w:rPr>
              <w:t>Amend OAR:</w:t>
            </w:r>
          </w:p>
        </w:tc>
        <w:tc>
          <w:tcPr>
            <w:tcW w:w="7452" w:type="dxa"/>
          </w:tcPr>
          <w:p w14:paraId="73295325" w14:textId="77777777" w:rsidR="00083818" w:rsidRDefault="00FC36AC">
            <w:pPr>
              <w:rPr>
                <w:color w:val="000000"/>
              </w:rPr>
            </w:pPr>
            <w:r>
              <w:rPr>
                <w:color w:val="000000"/>
              </w:rPr>
              <w:t xml:space="preserve">340-012-0030, 340-012-0053, 340-012-0054, 340-012-0135, 340-012-0140, 340-200-0020, 340-200-0035, 340-200-0040, 340-209-0020, 340-209-0040, 340-209-0050, 340-210-0010, 340-216-0020, 340-216-0030, 340-216-0040, 340-216-0090, 340-216-8010, 340-216-8020, 340-218-0010, 340-218-0020, 340-218-0030, 340-218-0110, 340-218-0190, 340-218-0200, </w:t>
            </w:r>
          </w:p>
          <w:p w14:paraId="1367ABE7" w14:textId="77777777" w:rsidR="00083818" w:rsidRDefault="00FC36AC">
            <w:pPr>
              <w:rPr>
                <w:color w:val="000000"/>
              </w:rPr>
            </w:pPr>
            <w:r>
              <w:rPr>
                <w:color w:val="000000"/>
              </w:rPr>
              <w:t xml:space="preserve">340-220-0010, 340-220-0020, 340-220-0050, 340-244-9000, 340-246-0010, 340-246-0090, 340-246-0190 </w:t>
            </w:r>
          </w:p>
          <w:p w14:paraId="0B3A8155" w14:textId="77777777" w:rsidR="00083818" w:rsidRDefault="00FC36AC">
            <w:pPr>
              <w:rPr>
                <w:color w:val="000000"/>
              </w:rPr>
            </w:pPr>
            <w:r>
              <w:rPr>
                <w:color w:val="000000"/>
              </w:rPr>
              <w:t>DEQ Source Sampling Manual March 2015 edition</w:t>
            </w:r>
          </w:p>
          <w:p w14:paraId="5E804722" w14:textId="77777777" w:rsidR="00083818" w:rsidRDefault="00083818">
            <w:pPr>
              <w:rPr>
                <w:color w:val="000000"/>
                <w:u w:val="single"/>
              </w:rPr>
            </w:pPr>
          </w:p>
        </w:tc>
      </w:tr>
    </w:tbl>
    <w:p w14:paraId="5F5746B3" w14:textId="77777777" w:rsidR="00083818" w:rsidRDefault="00083818">
      <w:pPr>
        <w:ind w:left="0" w:right="-360"/>
        <w:rPr>
          <w:rFonts w:ascii="Arial" w:eastAsia="Arial" w:hAnsi="Arial" w:cs="Arial"/>
        </w:rPr>
      </w:pPr>
    </w:p>
    <w:p w14:paraId="32403D42" w14:textId="77777777" w:rsidR="00083818" w:rsidRDefault="00083818">
      <w:pPr>
        <w:ind w:left="0" w:right="-360"/>
      </w:pPr>
    </w:p>
    <w:p w14:paraId="657AECF5" w14:textId="77777777" w:rsidR="00083818" w:rsidRDefault="00FC36AC">
      <w:pPr>
        <w:pStyle w:val="Heading3"/>
        <w:ind w:left="0" w:right="-360"/>
        <w:jc w:val="both"/>
        <w:rPr>
          <w:sz w:val="24"/>
          <w:szCs w:val="24"/>
        </w:rPr>
      </w:pPr>
      <w:r>
        <w:rPr>
          <w:sz w:val="24"/>
          <w:szCs w:val="24"/>
        </w:rPr>
        <w:t>Statutory authority - ORS</w:t>
      </w:r>
    </w:p>
    <w:tbl>
      <w:tblPr>
        <w:tblStyle w:val="a5"/>
        <w:tblW w:w="8990" w:type="dxa"/>
        <w:tblBorders>
          <w:top w:val="nil"/>
          <w:left w:val="nil"/>
          <w:bottom w:val="nil"/>
          <w:right w:val="nil"/>
          <w:insideH w:val="nil"/>
          <w:insideV w:val="nil"/>
        </w:tblBorders>
        <w:tblLayout w:type="fixed"/>
        <w:tblLook w:val="0400" w:firstRow="0" w:lastRow="0" w:firstColumn="0" w:lastColumn="0" w:noHBand="0" w:noVBand="1"/>
      </w:tblPr>
      <w:tblGrid>
        <w:gridCol w:w="2600"/>
        <w:gridCol w:w="996"/>
        <w:gridCol w:w="1798"/>
        <w:gridCol w:w="1798"/>
        <w:gridCol w:w="1798"/>
      </w:tblGrid>
      <w:tr w:rsidR="00083818" w14:paraId="5D38FF01" w14:textId="77777777">
        <w:trPr>
          <w:trHeight w:val="300"/>
        </w:trPr>
        <w:tc>
          <w:tcPr>
            <w:tcW w:w="8990" w:type="dxa"/>
            <w:gridSpan w:val="5"/>
          </w:tcPr>
          <w:p w14:paraId="37E166FE" w14:textId="77777777" w:rsidR="00083818" w:rsidRPr="000C32E5" w:rsidRDefault="00FC36AC">
            <w:pPr>
              <w:ind w:right="-360"/>
              <w:rPr>
                <w:color w:val="auto"/>
              </w:rPr>
            </w:pPr>
            <w:r w:rsidRPr="000C32E5">
              <w:rPr>
                <w:color w:val="auto"/>
              </w:rPr>
              <w:t>468.020, 468.065, 468A.025, 468A.040, 468A.050, 468A.070, and 468A.155</w:t>
            </w:r>
          </w:p>
        </w:tc>
      </w:tr>
      <w:tr w:rsidR="00083818" w14:paraId="51CD317D" w14:textId="77777777">
        <w:tc>
          <w:tcPr>
            <w:tcW w:w="2600" w:type="dxa"/>
          </w:tcPr>
          <w:p w14:paraId="6E9BB64E" w14:textId="77777777" w:rsidR="00083818" w:rsidRDefault="00083818">
            <w:pPr>
              <w:ind w:right="-360"/>
            </w:pPr>
          </w:p>
        </w:tc>
        <w:tc>
          <w:tcPr>
            <w:tcW w:w="996" w:type="dxa"/>
          </w:tcPr>
          <w:p w14:paraId="66ADD295" w14:textId="77777777" w:rsidR="00083818" w:rsidRDefault="00083818">
            <w:pPr>
              <w:ind w:right="-360"/>
            </w:pPr>
          </w:p>
        </w:tc>
        <w:tc>
          <w:tcPr>
            <w:tcW w:w="1798" w:type="dxa"/>
          </w:tcPr>
          <w:p w14:paraId="35748EE6" w14:textId="77777777" w:rsidR="00083818" w:rsidRDefault="00083818">
            <w:pPr>
              <w:ind w:right="-360"/>
            </w:pPr>
          </w:p>
        </w:tc>
        <w:tc>
          <w:tcPr>
            <w:tcW w:w="1798" w:type="dxa"/>
          </w:tcPr>
          <w:p w14:paraId="539ACF31" w14:textId="77777777" w:rsidR="00083818" w:rsidRDefault="00083818">
            <w:pPr>
              <w:ind w:right="-360"/>
            </w:pPr>
          </w:p>
        </w:tc>
        <w:tc>
          <w:tcPr>
            <w:tcW w:w="1798" w:type="dxa"/>
          </w:tcPr>
          <w:p w14:paraId="750B6922" w14:textId="77777777" w:rsidR="00083818" w:rsidRDefault="00083818">
            <w:pPr>
              <w:ind w:right="-360"/>
            </w:pPr>
          </w:p>
        </w:tc>
      </w:tr>
    </w:tbl>
    <w:p w14:paraId="47F0773B" w14:textId="77777777" w:rsidR="00083818" w:rsidRDefault="00FC36AC">
      <w:pPr>
        <w:pStyle w:val="Heading3"/>
        <w:ind w:left="0" w:right="-360"/>
        <w:rPr>
          <w:sz w:val="24"/>
          <w:szCs w:val="24"/>
        </w:rPr>
      </w:pPr>
      <w:r>
        <w:rPr>
          <w:sz w:val="24"/>
          <w:szCs w:val="24"/>
        </w:rPr>
        <w:t>Statute implemented - ORS</w:t>
      </w:r>
    </w:p>
    <w:tbl>
      <w:tblPr>
        <w:tblStyle w:val="a6"/>
        <w:tblW w:w="8990" w:type="dxa"/>
        <w:tblBorders>
          <w:top w:val="nil"/>
          <w:left w:val="nil"/>
          <w:bottom w:val="nil"/>
          <w:right w:val="nil"/>
          <w:insideH w:val="nil"/>
          <w:insideV w:val="nil"/>
        </w:tblBorders>
        <w:tblLayout w:type="fixed"/>
        <w:tblLook w:val="0400" w:firstRow="0" w:lastRow="0" w:firstColumn="0" w:lastColumn="0" w:noHBand="0" w:noVBand="1"/>
      </w:tblPr>
      <w:tblGrid>
        <w:gridCol w:w="8990"/>
      </w:tblGrid>
      <w:tr w:rsidR="00083818" w14:paraId="74DEC282" w14:textId="77777777">
        <w:tc>
          <w:tcPr>
            <w:tcW w:w="8990" w:type="dxa"/>
          </w:tcPr>
          <w:p w14:paraId="6F1ADEB5" w14:textId="77777777" w:rsidR="00083818" w:rsidRDefault="00FC36AC">
            <w:pPr>
              <w:ind w:right="-360"/>
            </w:pPr>
            <w:r>
              <w:rPr>
                <w:color w:val="000000"/>
              </w:rPr>
              <w:t>ORS 468.065, 468A.010, 468A.015, 468A.025, 468A.035, 468A.040, 468A.050, 468A.070, and 468A.155</w:t>
            </w:r>
          </w:p>
        </w:tc>
      </w:tr>
    </w:tbl>
    <w:p w14:paraId="2F3F38E5" w14:textId="77777777" w:rsidR="00842E18" w:rsidRDefault="00842E18">
      <w:pPr>
        <w:ind w:left="0" w:right="-360"/>
      </w:pPr>
      <w:bookmarkStart w:id="7" w:name="tyjcwt" w:colFirst="0" w:colLast="0"/>
      <w:bookmarkEnd w:id="7"/>
    </w:p>
    <w:p w14:paraId="27767326" w14:textId="77777777" w:rsidR="00842E18" w:rsidRDefault="00842E18">
      <w:pPr>
        <w:ind w:left="0" w:right="-360"/>
      </w:pPr>
    </w:p>
    <w:p w14:paraId="3B0AB436" w14:textId="0F0D2BD6" w:rsidR="00083818" w:rsidRDefault="00FC36AC">
      <w:pPr>
        <w:ind w:left="0" w:right="-360"/>
        <w:rPr>
          <w:sz w:val="32"/>
          <w:szCs w:val="32"/>
        </w:rPr>
      </w:pPr>
      <w:r w:rsidRPr="00842E18">
        <w:rPr>
          <w:rFonts w:ascii="Arial" w:eastAsia="Arial" w:hAnsi="Arial" w:cs="Arial"/>
          <w:b/>
        </w:rPr>
        <w:t>Documents relied on for rulemaking</w:t>
      </w:r>
      <w:r>
        <w:rPr>
          <w:sz w:val="32"/>
          <w:szCs w:val="32"/>
        </w:rPr>
        <w:t xml:space="preserve"> </w:t>
      </w:r>
      <w:r>
        <w:rPr>
          <w:sz w:val="32"/>
          <w:szCs w:val="32"/>
        </w:rPr>
        <w:tab/>
      </w:r>
    </w:p>
    <w:p w14:paraId="3FB21E3F" w14:textId="77777777" w:rsidR="00842E18" w:rsidRDefault="00842E18">
      <w:pPr>
        <w:ind w:left="0" w:right="-360"/>
        <w:rPr>
          <w:rFonts w:ascii="Calibri" w:eastAsia="Calibri" w:hAnsi="Calibri" w:cs="Calibri"/>
        </w:rPr>
      </w:pPr>
    </w:p>
    <w:tbl>
      <w:tblPr>
        <w:tblStyle w:val="a7"/>
        <w:tblW w:w="9795" w:type="dxa"/>
        <w:jc w:val="center"/>
        <w:tblBorders>
          <w:top w:val="single" w:sz="12" w:space="0" w:color="000000"/>
          <w:left w:val="single" w:sz="12" w:space="0" w:color="000000"/>
          <w:bottom w:val="single" w:sz="12" w:space="0" w:color="000000"/>
          <w:right w:val="single" w:sz="12" w:space="0" w:color="000000"/>
          <w:insideH w:val="single" w:sz="4" w:space="0" w:color="A8D08D"/>
          <w:insideV w:val="single" w:sz="4" w:space="0" w:color="A8D08D"/>
        </w:tblBorders>
        <w:tblLayout w:type="fixed"/>
        <w:tblLook w:val="0400" w:firstRow="0" w:lastRow="0" w:firstColumn="0" w:lastColumn="0" w:noHBand="0" w:noVBand="1"/>
      </w:tblPr>
      <w:tblGrid>
        <w:gridCol w:w="4845"/>
        <w:gridCol w:w="4950"/>
      </w:tblGrid>
      <w:tr w:rsidR="00083818" w14:paraId="720C46B2" w14:textId="77777777" w:rsidTr="00713E55">
        <w:trPr>
          <w:trHeight w:val="360"/>
          <w:jc w:val="center"/>
        </w:trPr>
        <w:tc>
          <w:tcPr>
            <w:tcW w:w="4845" w:type="dxa"/>
            <w:shd w:val="clear" w:color="auto" w:fill="C5E0B3"/>
          </w:tcPr>
          <w:p w14:paraId="24B061D2" w14:textId="77777777" w:rsidR="00083818" w:rsidRDefault="00FC36AC">
            <w:pPr>
              <w:pStyle w:val="Title"/>
              <w:ind w:left="0" w:right="-360"/>
              <w:rPr>
                <w:rFonts w:ascii="Arial" w:eastAsia="Arial" w:hAnsi="Arial" w:cs="Arial"/>
                <w:color w:val="000000"/>
                <w:sz w:val="24"/>
                <w:szCs w:val="24"/>
              </w:rPr>
            </w:pPr>
            <w:r>
              <w:rPr>
                <w:rFonts w:ascii="Arial" w:eastAsia="Arial" w:hAnsi="Arial" w:cs="Arial"/>
                <w:color w:val="000000"/>
                <w:sz w:val="24"/>
                <w:szCs w:val="24"/>
              </w:rPr>
              <w:t>Document title</w:t>
            </w:r>
          </w:p>
        </w:tc>
        <w:tc>
          <w:tcPr>
            <w:tcW w:w="4950" w:type="dxa"/>
            <w:shd w:val="clear" w:color="auto" w:fill="C5E0B3"/>
          </w:tcPr>
          <w:p w14:paraId="1DA585D7" w14:textId="77777777" w:rsidR="00083818" w:rsidRDefault="00FC36AC">
            <w:pPr>
              <w:pStyle w:val="Title"/>
              <w:ind w:left="0" w:right="-360"/>
              <w:rPr>
                <w:rFonts w:ascii="Arial" w:eastAsia="Arial" w:hAnsi="Arial" w:cs="Arial"/>
                <w:color w:val="000000"/>
                <w:sz w:val="24"/>
                <w:szCs w:val="24"/>
              </w:rPr>
            </w:pPr>
            <w:r>
              <w:rPr>
                <w:rFonts w:ascii="Arial" w:eastAsia="Arial" w:hAnsi="Arial" w:cs="Arial"/>
                <w:color w:val="000000"/>
                <w:sz w:val="24"/>
                <w:szCs w:val="24"/>
              </w:rPr>
              <w:t>Document location</w:t>
            </w:r>
          </w:p>
        </w:tc>
      </w:tr>
      <w:tr w:rsidR="00083818" w14:paraId="47CEFDC1" w14:textId="77777777" w:rsidTr="00713E55">
        <w:trPr>
          <w:trHeight w:val="560"/>
          <w:jc w:val="center"/>
        </w:trPr>
        <w:tc>
          <w:tcPr>
            <w:tcW w:w="4845" w:type="dxa"/>
          </w:tcPr>
          <w:p w14:paraId="5C010057" w14:textId="77777777" w:rsidR="00083818" w:rsidRPr="00713E55" w:rsidRDefault="00FC36AC" w:rsidP="00713E55">
            <w:pPr>
              <w:rPr>
                <w:color w:val="000000"/>
              </w:rPr>
            </w:pPr>
            <w:r w:rsidRPr="00713E55">
              <w:rPr>
                <w:color w:val="000000"/>
              </w:rPr>
              <w:t>Portland Air Toxics Study</w:t>
            </w:r>
          </w:p>
        </w:tc>
        <w:tc>
          <w:tcPr>
            <w:tcW w:w="4950" w:type="dxa"/>
            <w:vAlign w:val="center"/>
          </w:tcPr>
          <w:p w14:paraId="2D76F62E" w14:textId="77777777" w:rsidR="00083818" w:rsidRPr="00713E55" w:rsidRDefault="006F6FDA" w:rsidP="00713E55">
            <w:pPr>
              <w:spacing w:before="60"/>
              <w:ind w:right="760"/>
              <w:rPr>
                <w:color w:val="0563C1"/>
                <w:u w:val="single"/>
              </w:rPr>
            </w:pPr>
            <w:hyperlink r:id="rId20">
              <w:r w:rsidR="00FC36AC" w:rsidRPr="00713E55">
                <w:rPr>
                  <w:color w:val="0563C1"/>
                  <w:u w:val="single"/>
                </w:rPr>
                <w:t>http://www.oregon.gov/deq/aq/air-toxics/Pages/PATS.aspx</w:t>
              </w:r>
            </w:hyperlink>
          </w:p>
        </w:tc>
      </w:tr>
      <w:tr w:rsidR="00083818" w14:paraId="64392F2A" w14:textId="77777777" w:rsidTr="00713E55">
        <w:trPr>
          <w:trHeight w:val="220"/>
          <w:jc w:val="center"/>
        </w:trPr>
        <w:tc>
          <w:tcPr>
            <w:tcW w:w="4845" w:type="dxa"/>
          </w:tcPr>
          <w:p w14:paraId="6AE9B40C" w14:textId="77777777" w:rsidR="00083818" w:rsidRPr="00713E55" w:rsidRDefault="00FC36AC" w:rsidP="00713E55">
            <w:pPr>
              <w:rPr>
                <w:color w:val="000000"/>
              </w:rPr>
            </w:pPr>
            <w:r w:rsidRPr="00713E55">
              <w:rPr>
                <w:color w:val="000000"/>
              </w:rPr>
              <w:t>EPA National Air Toxics Assessment</w:t>
            </w:r>
          </w:p>
        </w:tc>
        <w:tc>
          <w:tcPr>
            <w:tcW w:w="4950" w:type="dxa"/>
            <w:vAlign w:val="center"/>
          </w:tcPr>
          <w:p w14:paraId="22AD0F85" w14:textId="77777777" w:rsidR="00083818" w:rsidRPr="00713E55" w:rsidRDefault="006F6FDA" w:rsidP="00713E55">
            <w:pPr>
              <w:spacing w:before="60"/>
              <w:ind w:right="760"/>
              <w:rPr>
                <w:color w:val="0563C1"/>
                <w:u w:val="single"/>
              </w:rPr>
            </w:pPr>
            <w:hyperlink r:id="rId21" w:anchor="state">
              <w:r w:rsidR="00FC36AC" w:rsidRPr="00713E55">
                <w:rPr>
                  <w:color w:val="0563C1"/>
                  <w:u w:val="single"/>
                </w:rPr>
                <w:t>https://www.epa.gov/national-air-toxics-assessment/2011-nata-assessment-results#state</w:t>
              </w:r>
            </w:hyperlink>
          </w:p>
        </w:tc>
      </w:tr>
      <w:tr w:rsidR="00083818" w14:paraId="4CC71438" w14:textId="77777777" w:rsidTr="00713E55">
        <w:trPr>
          <w:trHeight w:val="220"/>
          <w:jc w:val="center"/>
        </w:trPr>
        <w:tc>
          <w:tcPr>
            <w:tcW w:w="4845" w:type="dxa"/>
          </w:tcPr>
          <w:p w14:paraId="00D353E6" w14:textId="44AF8BC6" w:rsidR="00083818" w:rsidRDefault="006914FC">
            <w:pPr>
              <w:rPr>
                <w:color w:val="000000"/>
              </w:rPr>
            </w:pPr>
            <w:r w:rsidRPr="00713E55">
              <w:rPr>
                <w:color w:val="000000"/>
              </w:rPr>
              <w:t>State of Oregon Environmental Justice Task Force</w:t>
            </w:r>
          </w:p>
          <w:p w14:paraId="464658C6" w14:textId="77777777" w:rsidR="00083818" w:rsidRDefault="00FC36AC">
            <w:pPr>
              <w:rPr>
                <w:color w:val="000000"/>
              </w:rPr>
            </w:pPr>
            <w:r w:rsidRPr="00713E55">
              <w:rPr>
                <w:color w:val="000000"/>
              </w:rPr>
              <w:t>Environmental Justice: Best Practices for Oregon’s Natural Resource Agencies</w:t>
            </w:r>
          </w:p>
        </w:tc>
        <w:tc>
          <w:tcPr>
            <w:tcW w:w="4950" w:type="dxa"/>
            <w:vAlign w:val="center"/>
          </w:tcPr>
          <w:p w14:paraId="13C882F1" w14:textId="77777777" w:rsidR="00083818" w:rsidRPr="00713E55" w:rsidRDefault="006F6FDA" w:rsidP="00713E55">
            <w:pPr>
              <w:spacing w:before="60"/>
              <w:ind w:right="760"/>
              <w:rPr>
                <w:color w:val="0563C1"/>
                <w:u w:val="single"/>
              </w:rPr>
            </w:pPr>
            <w:hyperlink r:id="rId22">
              <w:r w:rsidR="00FC36AC" w:rsidRPr="00713E55">
                <w:rPr>
                  <w:color w:val="0563C1"/>
                  <w:u w:val="single"/>
                </w:rPr>
                <w:t>http://www.oregon.gov/gov/policy/environment/environmental_justice/Documents/2016%20Oregon%20EJTF%20Handbook%20Final.pdf</w:t>
              </w:r>
            </w:hyperlink>
          </w:p>
          <w:p w14:paraId="0E5422C8" w14:textId="77777777" w:rsidR="00083818" w:rsidRPr="00713E55" w:rsidRDefault="00083818" w:rsidP="00713E55">
            <w:pPr>
              <w:spacing w:before="60"/>
              <w:ind w:right="760"/>
              <w:rPr>
                <w:color w:val="0563C1"/>
                <w:u w:val="single"/>
              </w:rPr>
            </w:pPr>
          </w:p>
        </w:tc>
      </w:tr>
      <w:tr w:rsidR="00083818" w14:paraId="45A627D4" w14:textId="77777777" w:rsidTr="00713E55">
        <w:trPr>
          <w:trHeight w:val="220"/>
          <w:jc w:val="center"/>
        </w:trPr>
        <w:tc>
          <w:tcPr>
            <w:tcW w:w="4845" w:type="dxa"/>
          </w:tcPr>
          <w:p w14:paraId="0C5F7FB7" w14:textId="77777777" w:rsidR="00083818" w:rsidRPr="00713E55" w:rsidRDefault="00FC36AC" w:rsidP="00713E55">
            <w:r w:rsidRPr="00713E55">
              <w:rPr>
                <w:color w:val="000000"/>
              </w:rPr>
              <w:t>EPA EJSCREEN: Environmental Justice Screening and Mapping Tool</w:t>
            </w:r>
          </w:p>
        </w:tc>
        <w:tc>
          <w:tcPr>
            <w:tcW w:w="4950" w:type="dxa"/>
            <w:vAlign w:val="center"/>
          </w:tcPr>
          <w:p w14:paraId="46B33B04" w14:textId="77777777" w:rsidR="00083818" w:rsidRPr="00713E55" w:rsidRDefault="006F6FDA" w:rsidP="00713E55">
            <w:pPr>
              <w:spacing w:before="60"/>
              <w:ind w:right="760"/>
              <w:rPr>
                <w:color w:val="0563C1"/>
                <w:u w:val="single"/>
              </w:rPr>
            </w:pPr>
            <w:hyperlink r:id="rId23">
              <w:r w:rsidR="00FC36AC" w:rsidRPr="00713E55">
                <w:rPr>
                  <w:color w:val="0563C1"/>
                  <w:u w:val="single"/>
                </w:rPr>
                <w:t>https://www.epa.gov/ejscreen</w:t>
              </w:r>
            </w:hyperlink>
          </w:p>
          <w:p w14:paraId="64EBD062" w14:textId="77777777" w:rsidR="00083818" w:rsidRPr="00713E55" w:rsidRDefault="00083818" w:rsidP="00713E55">
            <w:pPr>
              <w:spacing w:before="60"/>
              <w:ind w:right="760"/>
              <w:rPr>
                <w:color w:val="0563C1"/>
                <w:u w:val="single"/>
              </w:rPr>
            </w:pPr>
          </w:p>
        </w:tc>
      </w:tr>
      <w:tr w:rsidR="00083818" w14:paraId="486D11CC" w14:textId="77777777" w:rsidTr="00713E55">
        <w:trPr>
          <w:trHeight w:val="676"/>
          <w:jc w:val="center"/>
        </w:trPr>
        <w:tc>
          <w:tcPr>
            <w:tcW w:w="4845" w:type="dxa"/>
          </w:tcPr>
          <w:p w14:paraId="1252BCE5" w14:textId="77777777" w:rsidR="00083818" w:rsidRPr="00713E55" w:rsidRDefault="00FC36AC" w:rsidP="00713E55">
            <w:pPr>
              <w:rPr>
                <w:color w:val="000000"/>
              </w:rPr>
            </w:pPr>
            <w:r w:rsidRPr="00713E55">
              <w:rPr>
                <w:color w:val="000000"/>
              </w:rPr>
              <w:t xml:space="preserve">40 CFR Appendix W to Part 51, Guideline on </w:t>
            </w:r>
          </w:p>
          <w:p w14:paraId="0B255E9B" w14:textId="77777777" w:rsidR="00083818" w:rsidRPr="00713E55" w:rsidRDefault="00FC36AC" w:rsidP="00713E55">
            <w:pPr>
              <w:rPr>
                <w:color w:val="000000"/>
              </w:rPr>
            </w:pPr>
            <w:r w:rsidRPr="00713E55">
              <w:rPr>
                <w:color w:val="000000"/>
              </w:rPr>
              <w:t>Air Quality Models</w:t>
            </w:r>
          </w:p>
        </w:tc>
        <w:tc>
          <w:tcPr>
            <w:tcW w:w="4950" w:type="dxa"/>
            <w:vAlign w:val="center"/>
          </w:tcPr>
          <w:p w14:paraId="33AB29BD" w14:textId="77777777" w:rsidR="00083818" w:rsidRPr="00713E55" w:rsidRDefault="006F6FDA" w:rsidP="00713E55">
            <w:pPr>
              <w:spacing w:before="60"/>
              <w:ind w:right="760"/>
              <w:rPr>
                <w:color w:val="0563C1"/>
                <w:u w:val="single"/>
              </w:rPr>
            </w:pPr>
            <w:hyperlink r:id="rId24">
              <w:r w:rsidR="00FC36AC" w:rsidRPr="00713E55">
                <w:rPr>
                  <w:color w:val="0563C1"/>
                  <w:u w:val="single"/>
                </w:rPr>
                <w:t>https://www3.epa.gov/ttn/scram/appendix_w-2016.htm</w:t>
              </w:r>
            </w:hyperlink>
          </w:p>
        </w:tc>
      </w:tr>
      <w:tr w:rsidR="00083818" w14:paraId="6FABD3E9" w14:textId="77777777" w:rsidTr="00713E55">
        <w:trPr>
          <w:trHeight w:val="712"/>
          <w:jc w:val="center"/>
        </w:trPr>
        <w:tc>
          <w:tcPr>
            <w:tcW w:w="4845" w:type="dxa"/>
          </w:tcPr>
          <w:p w14:paraId="1B50ACA8" w14:textId="77777777" w:rsidR="00083818" w:rsidRPr="00713E55" w:rsidRDefault="00FC36AC" w:rsidP="00713E55">
            <w:pPr>
              <w:rPr>
                <w:color w:val="000000"/>
              </w:rPr>
            </w:pPr>
            <w:r w:rsidRPr="00713E55">
              <w:rPr>
                <w:color w:val="000000"/>
              </w:rPr>
              <w:t>EPA, Integrated Risk Information System (IRIS) Reference Concentrations (RfC) and Inhalation Unit Risk (IUR)</w:t>
            </w:r>
          </w:p>
        </w:tc>
        <w:tc>
          <w:tcPr>
            <w:tcW w:w="4950" w:type="dxa"/>
            <w:vAlign w:val="center"/>
          </w:tcPr>
          <w:p w14:paraId="00FC71F1" w14:textId="77777777" w:rsidR="00083818" w:rsidRPr="00713E55" w:rsidRDefault="006F6FDA" w:rsidP="00713E55">
            <w:pPr>
              <w:spacing w:before="60"/>
              <w:ind w:right="760"/>
              <w:rPr>
                <w:color w:val="0563C1"/>
                <w:u w:val="single"/>
              </w:rPr>
            </w:pPr>
            <w:hyperlink r:id="rId25">
              <w:r w:rsidR="00FC36AC" w:rsidRPr="00713E55">
                <w:rPr>
                  <w:color w:val="0563C1"/>
                  <w:u w:val="single"/>
                </w:rPr>
                <w:t>www.epa.gov/iris</w:t>
              </w:r>
            </w:hyperlink>
          </w:p>
        </w:tc>
      </w:tr>
      <w:tr w:rsidR="00083818" w14:paraId="62424A51" w14:textId="77777777" w:rsidTr="00713E55">
        <w:trPr>
          <w:trHeight w:val="960"/>
          <w:jc w:val="center"/>
        </w:trPr>
        <w:tc>
          <w:tcPr>
            <w:tcW w:w="4845" w:type="dxa"/>
          </w:tcPr>
          <w:p w14:paraId="2DED75AD" w14:textId="77777777" w:rsidR="00083818" w:rsidRPr="00713E55" w:rsidRDefault="00FC36AC" w:rsidP="00713E55">
            <w:pPr>
              <w:rPr>
                <w:color w:val="000000"/>
              </w:rPr>
            </w:pPr>
            <w:r w:rsidRPr="00713E55">
              <w:rPr>
                <w:color w:val="000000"/>
              </w:rPr>
              <w:t>EPA, Office of Superfund Remediation and Technology Innovation (OSRTI) provisional peer reviewed toxicity value (PPRTV) program (Reference Concentrations (RfCs) and Inhalation Unit Risks (IURs))</w:t>
            </w:r>
          </w:p>
        </w:tc>
        <w:tc>
          <w:tcPr>
            <w:tcW w:w="4950" w:type="dxa"/>
            <w:vAlign w:val="center"/>
          </w:tcPr>
          <w:p w14:paraId="09C83FBF" w14:textId="77777777" w:rsidR="00083818" w:rsidRPr="00713E55" w:rsidRDefault="006F6FDA" w:rsidP="00713E55">
            <w:pPr>
              <w:spacing w:before="60"/>
              <w:ind w:right="760"/>
              <w:rPr>
                <w:color w:val="0563C1"/>
                <w:u w:val="single"/>
              </w:rPr>
            </w:pPr>
            <w:hyperlink r:id="rId26">
              <w:r w:rsidR="00FC36AC" w:rsidRPr="00713E55">
                <w:rPr>
                  <w:color w:val="0563C1"/>
                  <w:u w:val="single"/>
                </w:rPr>
                <w:t>www.hhpprtv.ornl.gov</w:t>
              </w:r>
            </w:hyperlink>
          </w:p>
        </w:tc>
      </w:tr>
      <w:tr w:rsidR="00083818" w14:paraId="41157846" w14:textId="77777777" w:rsidTr="00713E55">
        <w:trPr>
          <w:trHeight w:val="960"/>
          <w:jc w:val="center"/>
        </w:trPr>
        <w:tc>
          <w:tcPr>
            <w:tcW w:w="4845" w:type="dxa"/>
          </w:tcPr>
          <w:p w14:paraId="2429EDA7" w14:textId="77777777" w:rsidR="00083818" w:rsidRDefault="00FC36AC">
            <w:pPr>
              <w:ind w:right="-360"/>
              <w:rPr>
                <w:color w:val="000000"/>
                <w:sz w:val="22"/>
                <w:szCs w:val="22"/>
              </w:rPr>
            </w:pPr>
            <w:r w:rsidRPr="006914FC">
              <w:rPr>
                <w:color w:val="000000"/>
                <w:sz w:val="22"/>
                <w:szCs w:val="22"/>
              </w:rPr>
              <w:t>United States Agency for Toxic Substances and Disease Registry (ATSDR), chronic inhalation Minimal Risk Level (MRL)</w:t>
            </w:r>
          </w:p>
        </w:tc>
        <w:tc>
          <w:tcPr>
            <w:tcW w:w="4950" w:type="dxa"/>
            <w:vAlign w:val="center"/>
          </w:tcPr>
          <w:p w14:paraId="778EEC8B" w14:textId="77777777" w:rsidR="00083818" w:rsidRPr="00713E55" w:rsidRDefault="006F6FDA" w:rsidP="00713E55">
            <w:pPr>
              <w:spacing w:before="60"/>
              <w:ind w:right="760"/>
              <w:rPr>
                <w:color w:val="0563C1"/>
                <w:u w:val="single"/>
              </w:rPr>
            </w:pPr>
            <w:hyperlink r:id="rId27">
              <w:r w:rsidR="00FC36AC" w:rsidRPr="00713E55">
                <w:rPr>
                  <w:color w:val="0563C1"/>
                  <w:u w:val="single"/>
                </w:rPr>
                <w:t>www.atsdr.cdc.gov</w:t>
              </w:r>
            </w:hyperlink>
          </w:p>
        </w:tc>
      </w:tr>
      <w:tr w:rsidR="00083818" w14:paraId="57462EE2" w14:textId="77777777" w:rsidTr="00713E55">
        <w:trPr>
          <w:trHeight w:val="960"/>
          <w:jc w:val="center"/>
        </w:trPr>
        <w:tc>
          <w:tcPr>
            <w:tcW w:w="4845" w:type="dxa"/>
          </w:tcPr>
          <w:p w14:paraId="6FB3DEEF" w14:textId="77777777" w:rsidR="00083818" w:rsidRDefault="00FC36AC">
            <w:pPr>
              <w:ind w:right="-360"/>
              <w:rPr>
                <w:color w:val="000000"/>
                <w:sz w:val="22"/>
                <w:szCs w:val="22"/>
              </w:rPr>
            </w:pPr>
            <w:r w:rsidRPr="006914FC">
              <w:rPr>
                <w:color w:val="000000"/>
                <w:sz w:val="22"/>
                <w:szCs w:val="22"/>
              </w:rPr>
              <w:t>California’s Office of Environmental Health Hazard Assessment (OEHHA), chronic Reference Exposure Level (REL) and Inhalation Unit Risk (IUR)</w:t>
            </w:r>
          </w:p>
        </w:tc>
        <w:tc>
          <w:tcPr>
            <w:tcW w:w="4950" w:type="dxa"/>
            <w:vAlign w:val="center"/>
          </w:tcPr>
          <w:p w14:paraId="627C57EE" w14:textId="77777777" w:rsidR="00083818" w:rsidRPr="00713E55" w:rsidRDefault="006F6FDA" w:rsidP="00713E55">
            <w:pPr>
              <w:spacing w:before="60"/>
              <w:ind w:right="760"/>
              <w:rPr>
                <w:color w:val="0563C1"/>
                <w:u w:val="single"/>
              </w:rPr>
            </w:pPr>
            <w:hyperlink r:id="rId28">
              <w:r w:rsidR="00FC36AC" w:rsidRPr="00713E55">
                <w:rPr>
                  <w:color w:val="0563C1"/>
                  <w:u w:val="single"/>
                </w:rPr>
                <w:t>www.oehha.ca.gov</w:t>
              </w:r>
            </w:hyperlink>
          </w:p>
        </w:tc>
      </w:tr>
    </w:tbl>
    <w:p w14:paraId="3A8183BF" w14:textId="77777777" w:rsidR="00083818" w:rsidRDefault="00083818" w:rsidP="006914FC">
      <w:pPr>
        <w:widowControl w:val="0"/>
        <w:spacing w:line="276" w:lineRule="auto"/>
        <w:ind w:left="0" w:right="0"/>
      </w:pPr>
    </w:p>
    <w:p w14:paraId="611A9AF1" w14:textId="77777777" w:rsidR="006914FC" w:rsidRDefault="006914FC" w:rsidP="006914FC">
      <w:pPr>
        <w:widowControl w:val="0"/>
        <w:spacing w:line="276" w:lineRule="auto"/>
        <w:ind w:left="0" w:right="0"/>
      </w:pPr>
    </w:p>
    <w:tbl>
      <w:tblPr>
        <w:tblStyle w:val="a8"/>
        <w:tblW w:w="9119" w:type="dxa"/>
        <w:jc w:val="center"/>
        <w:tblBorders>
          <w:bottom w:val="single" w:sz="6" w:space="0" w:color="7F7F7F"/>
        </w:tblBorders>
        <w:tblLayout w:type="fixed"/>
        <w:tblLook w:val="0400" w:firstRow="0" w:lastRow="0" w:firstColumn="0" w:lastColumn="0" w:noHBand="0" w:noVBand="1"/>
      </w:tblPr>
      <w:tblGrid>
        <w:gridCol w:w="9119"/>
      </w:tblGrid>
      <w:tr w:rsidR="00083818" w14:paraId="41FAD450" w14:textId="77777777">
        <w:trPr>
          <w:trHeight w:val="720"/>
          <w:jc w:val="center"/>
        </w:trPr>
        <w:tc>
          <w:tcPr>
            <w:tcW w:w="9119" w:type="dxa"/>
            <w:shd w:val="clear" w:color="auto" w:fill="D5DCE4"/>
            <w:vAlign w:val="bottom"/>
          </w:tcPr>
          <w:p w14:paraId="69782A47" w14:textId="670F8B95" w:rsidR="00083818" w:rsidRDefault="00550C6B" w:rsidP="008D2879">
            <w:pPr>
              <w:pStyle w:val="Heading1"/>
              <w:rPr>
                <w:color w:val="0563C1"/>
                <w:u w:val="single"/>
              </w:rPr>
            </w:pPr>
            <w:bookmarkStart w:id="8" w:name="_Toc496011826"/>
            <w:r>
              <w:t>Fee a</w:t>
            </w:r>
            <w:r w:rsidR="00FC36AC">
              <w:t>nalysis</w:t>
            </w:r>
            <w:bookmarkEnd w:id="8"/>
            <w:r w:rsidR="00E47B63">
              <w:rPr>
                <w:color w:val="C55911"/>
              </w:rPr>
              <w:t xml:space="preserve"> </w:t>
            </w:r>
          </w:p>
        </w:tc>
      </w:tr>
    </w:tbl>
    <w:p w14:paraId="30989932" w14:textId="77777777" w:rsidR="00771AC5" w:rsidRDefault="00771AC5">
      <w:pPr>
        <w:ind w:left="0"/>
      </w:pPr>
      <w:bookmarkStart w:id="9" w:name="1t3h5sf" w:colFirst="0" w:colLast="0"/>
      <w:bookmarkEnd w:id="9"/>
    </w:p>
    <w:p w14:paraId="5F76E210" w14:textId="77777777" w:rsidR="00771AC5" w:rsidRPr="00771AC5" w:rsidRDefault="00771AC5" w:rsidP="00771AC5">
      <w:pPr>
        <w:ind w:left="0"/>
      </w:pPr>
      <w:r w:rsidRPr="00771AC5">
        <w:t xml:space="preserve">New fees are required to implement Cleaner Air Oregon. These fees would be paid by all currently permitted air quality sources and some currently unpermitted sources that would be required to get air toxics permits only because of Cleaner Air Oregon. </w:t>
      </w:r>
    </w:p>
    <w:p w14:paraId="6ECB7838" w14:textId="77777777" w:rsidR="00771AC5" w:rsidRPr="00771AC5" w:rsidRDefault="00771AC5" w:rsidP="00771AC5">
      <w:pPr>
        <w:ind w:left="0" w:right="-432"/>
      </w:pPr>
    </w:p>
    <w:p w14:paraId="0ECFF894" w14:textId="77777777" w:rsidR="00771AC5" w:rsidRPr="00771AC5" w:rsidRDefault="00771AC5" w:rsidP="003020D2">
      <w:pPr>
        <w:keepNext/>
        <w:keepLines/>
        <w:ind w:left="0" w:right="0"/>
        <w:outlineLvl w:val="1"/>
        <w:rPr>
          <w:rFonts w:ascii="Arial" w:eastAsia="Arial" w:hAnsi="Arial" w:cs="Arial"/>
          <w:b/>
          <w:sz w:val="32"/>
          <w:szCs w:val="32"/>
        </w:rPr>
      </w:pPr>
      <w:r w:rsidRPr="00771AC5">
        <w:rPr>
          <w:rFonts w:ascii="Arial" w:eastAsia="Arial" w:hAnsi="Arial" w:cs="Arial"/>
          <w:b/>
          <w:sz w:val="32"/>
          <w:szCs w:val="32"/>
        </w:rPr>
        <w:t>Affected party involvement in fee-setting process</w:t>
      </w:r>
    </w:p>
    <w:p w14:paraId="5B7FFF89" w14:textId="77777777" w:rsidR="00771AC5" w:rsidRPr="00771AC5" w:rsidRDefault="00771AC5" w:rsidP="003020D2">
      <w:pPr>
        <w:ind w:left="0" w:right="-432"/>
      </w:pPr>
      <w:r w:rsidRPr="00771AC5">
        <w:t xml:space="preserve">DEQ and OHA worked with a rules advisory committee that also served as the fiscal advisory committee in the fee-setting process. Representatives of both large and small businesses were on the fiscal advisory committee. </w:t>
      </w:r>
    </w:p>
    <w:p w14:paraId="587B0655" w14:textId="77777777" w:rsidR="00771AC5" w:rsidRPr="00771AC5" w:rsidRDefault="00771AC5" w:rsidP="00771AC5">
      <w:pPr>
        <w:ind w:left="0"/>
      </w:pPr>
    </w:p>
    <w:p w14:paraId="02AEC360" w14:textId="77777777" w:rsidR="00771AC5" w:rsidRPr="00771AC5" w:rsidRDefault="00771AC5" w:rsidP="00771AC5">
      <w:pPr>
        <w:ind w:left="0"/>
      </w:pPr>
      <w:r w:rsidRPr="00771AC5">
        <w:t xml:space="preserve">The fees were designed to generate the revenue necessary to support the proposed staffing model (detailed below) for at least five years. These fee-funded positions would supplement existing staff resources, all of which are general fund funded. Cleaner Air Oregon cannot be implemented as proposed in this rulemaking without additional resources.  </w:t>
      </w:r>
    </w:p>
    <w:p w14:paraId="0589DAD9" w14:textId="77777777" w:rsidR="00771AC5" w:rsidRPr="00771AC5" w:rsidRDefault="00771AC5" w:rsidP="00771AC5">
      <w:pPr>
        <w:ind w:left="0"/>
      </w:pPr>
    </w:p>
    <w:p w14:paraId="149D6751" w14:textId="77777777" w:rsidR="00771AC5" w:rsidRPr="00771AC5" w:rsidRDefault="00771AC5" w:rsidP="00771AC5">
      <w:pPr>
        <w:ind w:left="0"/>
      </w:pPr>
      <w:r w:rsidRPr="00771AC5">
        <w:t xml:space="preserve">The proposed staffing model includes the following positions, note that the staffing model includes resources for both DEQ and OHA. </w:t>
      </w:r>
    </w:p>
    <w:p w14:paraId="75914689" w14:textId="77777777" w:rsidR="00771AC5" w:rsidRPr="00771AC5" w:rsidRDefault="00771AC5" w:rsidP="00771AC5">
      <w:pPr>
        <w:ind w:left="0"/>
      </w:pPr>
    </w:p>
    <w:tbl>
      <w:tblPr>
        <w:tblStyle w:val="TableGrid"/>
        <w:tblW w:w="0" w:type="auto"/>
        <w:tblLook w:val="04A0" w:firstRow="1" w:lastRow="0" w:firstColumn="1" w:lastColumn="0" w:noHBand="0" w:noVBand="1"/>
      </w:tblPr>
      <w:tblGrid>
        <w:gridCol w:w="9350"/>
      </w:tblGrid>
      <w:tr w:rsidR="008F42FF" w:rsidRPr="00771AC5" w14:paraId="4318DF19" w14:textId="77777777" w:rsidTr="00550C6B">
        <w:trPr>
          <w:tblHeader/>
        </w:trPr>
        <w:tc>
          <w:tcPr>
            <w:tcW w:w="9350" w:type="dxa"/>
            <w:shd w:val="clear" w:color="auto" w:fill="D9D9D9" w:themeFill="background1" w:themeFillShade="D9"/>
          </w:tcPr>
          <w:p w14:paraId="01FF8834" w14:textId="5A7DE7CC" w:rsidR="008F42FF" w:rsidRPr="008F42FF" w:rsidRDefault="008F42FF" w:rsidP="008F42FF">
            <w:pPr>
              <w:tabs>
                <w:tab w:val="left" w:pos="1860"/>
                <w:tab w:val="center" w:pos="4567"/>
              </w:tabs>
              <w:spacing w:before="120" w:after="120"/>
              <w:rPr>
                <w:rFonts w:ascii="Times New Roman" w:hAnsi="Times New Roman" w:cs="Times New Roman"/>
                <w:b/>
                <w:sz w:val="24"/>
                <w:szCs w:val="24"/>
              </w:rPr>
            </w:pPr>
            <w:r w:rsidRPr="008F42FF">
              <w:rPr>
                <w:rFonts w:ascii="Times New Roman" w:hAnsi="Times New Roman" w:cs="Times New Roman"/>
                <w:b/>
                <w:sz w:val="24"/>
                <w:szCs w:val="24"/>
              </w:rPr>
              <w:tab/>
            </w:r>
            <w:r w:rsidRPr="008F42FF">
              <w:rPr>
                <w:rFonts w:ascii="Times New Roman" w:hAnsi="Times New Roman" w:cs="Times New Roman"/>
                <w:b/>
                <w:sz w:val="24"/>
                <w:szCs w:val="24"/>
              </w:rPr>
              <w:tab/>
              <w:t>Proposed Clea</w:t>
            </w:r>
            <w:r w:rsidR="00550C6B">
              <w:rPr>
                <w:rFonts w:ascii="Times New Roman" w:hAnsi="Times New Roman" w:cs="Times New Roman"/>
                <w:b/>
                <w:sz w:val="24"/>
                <w:szCs w:val="24"/>
              </w:rPr>
              <w:t>ner Air Oregon staffing m</w:t>
            </w:r>
            <w:r w:rsidRPr="008F42FF">
              <w:rPr>
                <w:rFonts w:ascii="Times New Roman" w:hAnsi="Times New Roman" w:cs="Times New Roman"/>
                <w:b/>
                <w:sz w:val="24"/>
                <w:szCs w:val="24"/>
              </w:rPr>
              <w:t>odel</w:t>
            </w:r>
          </w:p>
        </w:tc>
      </w:tr>
      <w:tr w:rsidR="00771AC5" w:rsidRPr="00771AC5" w14:paraId="38270A54" w14:textId="77777777" w:rsidTr="008F42FF">
        <w:tc>
          <w:tcPr>
            <w:tcW w:w="9350" w:type="dxa"/>
          </w:tcPr>
          <w:p w14:paraId="614BE898" w14:textId="77777777" w:rsidR="00771AC5" w:rsidRPr="00771AC5" w:rsidRDefault="00771AC5" w:rsidP="008F42FF">
            <w:pPr>
              <w:spacing w:before="120" w:after="120"/>
              <w:rPr>
                <w:rFonts w:ascii="Times New Roman" w:hAnsi="Times New Roman" w:cs="Times New Roman"/>
                <w:b/>
                <w:i/>
                <w:sz w:val="24"/>
                <w:szCs w:val="24"/>
              </w:rPr>
            </w:pPr>
            <w:r w:rsidRPr="00771AC5">
              <w:rPr>
                <w:rFonts w:ascii="Times New Roman" w:hAnsi="Times New Roman" w:cs="Times New Roman"/>
                <w:b/>
                <w:i/>
                <w:sz w:val="24"/>
                <w:szCs w:val="24"/>
              </w:rPr>
              <w:t xml:space="preserve">Department of Environmental Quality </w:t>
            </w:r>
          </w:p>
        </w:tc>
      </w:tr>
      <w:tr w:rsidR="00771AC5" w:rsidRPr="00771AC5" w14:paraId="15C2441C" w14:textId="77777777" w:rsidTr="008F42FF">
        <w:tc>
          <w:tcPr>
            <w:tcW w:w="9350" w:type="dxa"/>
          </w:tcPr>
          <w:p w14:paraId="4CC3FCB3" w14:textId="77777777" w:rsidR="00771AC5" w:rsidRPr="00771AC5" w:rsidRDefault="00771AC5" w:rsidP="008F42FF">
            <w:pPr>
              <w:spacing w:before="120" w:after="120"/>
              <w:rPr>
                <w:rFonts w:ascii="Times New Roman" w:hAnsi="Times New Roman" w:cs="Times New Roman"/>
                <w:sz w:val="24"/>
                <w:szCs w:val="24"/>
              </w:rPr>
            </w:pPr>
            <w:r w:rsidRPr="00771AC5">
              <w:rPr>
                <w:rFonts w:ascii="Times New Roman" w:hAnsi="Times New Roman" w:cs="Times New Roman"/>
                <w:b/>
                <w:sz w:val="24"/>
                <w:szCs w:val="24"/>
              </w:rPr>
              <w:t xml:space="preserve"> 1.0 FTE Environmental Engineer 3</w:t>
            </w:r>
          </w:p>
        </w:tc>
      </w:tr>
      <w:tr w:rsidR="00771AC5" w:rsidRPr="00771AC5" w14:paraId="3516C65A" w14:textId="77777777" w:rsidTr="008F42FF">
        <w:tc>
          <w:tcPr>
            <w:tcW w:w="9350" w:type="dxa"/>
          </w:tcPr>
          <w:p w14:paraId="303324C7" w14:textId="455B1BBA" w:rsidR="00771AC5" w:rsidRPr="00771AC5" w:rsidRDefault="00771AC5" w:rsidP="008F42FF">
            <w:pPr>
              <w:spacing w:before="120" w:after="120"/>
              <w:rPr>
                <w:rFonts w:ascii="Times New Roman" w:hAnsi="Times New Roman" w:cs="Times New Roman"/>
                <w:sz w:val="24"/>
                <w:szCs w:val="24"/>
              </w:rPr>
            </w:pPr>
            <w:r w:rsidRPr="00771AC5">
              <w:rPr>
                <w:rFonts w:ascii="Times New Roman" w:hAnsi="Times New Roman" w:cs="Times New Roman"/>
                <w:sz w:val="24"/>
                <w:szCs w:val="24"/>
              </w:rPr>
              <w:t>Lead technical staff for Cleaner Air Oregon: reviews risk assessment applications, coordinates with regional permit writers, develops and reviews permit attachments, leads TBACT reviews, and develops internal training plans.</w:t>
            </w:r>
          </w:p>
        </w:tc>
      </w:tr>
      <w:tr w:rsidR="00771AC5" w:rsidRPr="00771AC5" w14:paraId="14BCD67F" w14:textId="77777777" w:rsidTr="008F42FF">
        <w:tc>
          <w:tcPr>
            <w:tcW w:w="9350" w:type="dxa"/>
          </w:tcPr>
          <w:p w14:paraId="45C43F4A" w14:textId="77777777" w:rsidR="00771AC5" w:rsidRPr="00771AC5" w:rsidRDefault="00771AC5" w:rsidP="008F42FF">
            <w:pPr>
              <w:spacing w:before="120" w:after="120"/>
              <w:rPr>
                <w:rFonts w:ascii="Times New Roman" w:hAnsi="Times New Roman" w:cs="Times New Roman"/>
                <w:sz w:val="24"/>
                <w:szCs w:val="24"/>
              </w:rPr>
            </w:pPr>
            <w:r w:rsidRPr="00771AC5">
              <w:rPr>
                <w:rFonts w:ascii="Times New Roman" w:hAnsi="Times New Roman" w:cs="Times New Roman"/>
                <w:b/>
                <w:sz w:val="24"/>
                <w:szCs w:val="24"/>
              </w:rPr>
              <w:t>3.0 FTE Natural Resource Specialist 4 (Permit Writers)</w:t>
            </w:r>
          </w:p>
        </w:tc>
      </w:tr>
      <w:tr w:rsidR="00771AC5" w:rsidRPr="00771AC5" w14:paraId="6AC87DB7" w14:textId="77777777" w:rsidTr="008F42FF">
        <w:tc>
          <w:tcPr>
            <w:tcW w:w="9350" w:type="dxa"/>
          </w:tcPr>
          <w:p w14:paraId="0A9AAC16" w14:textId="547E697D" w:rsidR="00771AC5" w:rsidRPr="00771AC5" w:rsidRDefault="00771AC5" w:rsidP="008F42FF">
            <w:pPr>
              <w:spacing w:before="120" w:after="120"/>
              <w:rPr>
                <w:rFonts w:ascii="Times New Roman" w:hAnsi="Times New Roman" w:cs="Times New Roman"/>
                <w:sz w:val="24"/>
                <w:szCs w:val="24"/>
              </w:rPr>
            </w:pPr>
            <w:r w:rsidRPr="00771AC5">
              <w:rPr>
                <w:rFonts w:ascii="Times New Roman" w:hAnsi="Times New Roman" w:cs="Times New Roman"/>
                <w:sz w:val="24"/>
                <w:szCs w:val="24"/>
              </w:rPr>
              <w:t xml:space="preserve">Develops permit attachment in coordination with EE3 and regional permitting staff, reviews community engagement plans in consultation with the Oregon Health Authority, provides technical assistance to facilities regarding permitting requirements and supports internal training activities. </w:t>
            </w:r>
          </w:p>
        </w:tc>
      </w:tr>
      <w:tr w:rsidR="00771AC5" w:rsidRPr="00771AC5" w14:paraId="132D7ED1" w14:textId="77777777" w:rsidTr="008F42FF">
        <w:tc>
          <w:tcPr>
            <w:tcW w:w="9350" w:type="dxa"/>
          </w:tcPr>
          <w:p w14:paraId="288BB863" w14:textId="77777777" w:rsidR="00771AC5" w:rsidRPr="00771AC5" w:rsidRDefault="00771AC5" w:rsidP="008F42FF">
            <w:pPr>
              <w:spacing w:before="120" w:after="120"/>
              <w:rPr>
                <w:rFonts w:ascii="Times New Roman" w:hAnsi="Times New Roman" w:cs="Times New Roman"/>
                <w:sz w:val="24"/>
                <w:szCs w:val="24"/>
              </w:rPr>
            </w:pPr>
            <w:r w:rsidRPr="00771AC5">
              <w:rPr>
                <w:rFonts w:ascii="Times New Roman" w:hAnsi="Times New Roman" w:cs="Times New Roman"/>
                <w:b/>
                <w:sz w:val="24"/>
                <w:szCs w:val="24"/>
              </w:rPr>
              <w:t>1.0 FTE Natural Resource Specialist 4 (Modeler)</w:t>
            </w:r>
          </w:p>
        </w:tc>
      </w:tr>
      <w:tr w:rsidR="00771AC5" w:rsidRPr="00771AC5" w14:paraId="532E3A4A" w14:textId="77777777" w:rsidTr="008F42FF">
        <w:tc>
          <w:tcPr>
            <w:tcW w:w="9350" w:type="dxa"/>
          </w:tcPr>
          <w:p w14:paraId="2987A0BD" w14:textId="6B025B88" w:rsidR="00771AC5" w:rsidRPr="00771AC5" w:rsidRDefault="00771AC5" w:rsidP="008F42FF">
            <w:pPr>
              <w:spacing w:before="120" w:after="120"/>
              <w:rPr>
                <w:rFonts w:ascii="Times New Roman" w:hAnsi="Times New Roman" w:cs="Times New Roman"/>
                <w:sz w:val="24"/>
                <w:szCs w:val="24"/>
              </w:rPr>
            </w:pPr>
            <w:r w:rsidRPr="00771AC5">
              <w:rPr>
                <w:rFonts w:ascii="Times New Roman" w:hAnsi="Times New Roman" w:cs="Times New Roman"/>
                <w:sz w:val="24"/>
                <w:szCs w:val="24"/>
              </w:rPr>
              <w:t>Provides technical assistance to sources on risk assessment modeling protocol development, reviews and approves risk assessment modeling protocols, reviews and approves risk assessment modeling results, conducts area multi-source risk determinations.</w:t>
            </w:r>
          </w:p>
        </w:tc>
      </w:tr>
      <w:tr w:rsidR="00771AC5" w:rsidRPr="00771AC5" w14:paraId="3A5299F1" w14:textId="77777777" w:rsidTr="008F42FF">
        <w:tc>
          <w:tcPr>
            <w:tcW w:w="9350" w:type="dxa"/>
          </w:tcPr>
          <w:p w14:paraId="2F7F1B99" w14:textId="77777777" w:rsidR="00771AC5" w:rsidRPr="00771AC5" w:rsidRDefault="00771AC5" w:rsidP="008F42FF">
            <w:pPr>
              <w:spacing w:before="120" w:after="120"/>
              <w:rPr>
                <w:rFonts w:ascii="Times New Roman" w:hAnsi="Times New Roman" w:cs="Times New Roman"/>
                <w:sz w:val="24"/>
                <w:szCs w:val="24"/>
              </w:rPr>
            </w:pPr>
            <w:r w:rsidRPr="00771AC5">
              <w:rPr>
                <w:rFonts w:ascii="Times New Roman" w:hAnsi="Times New Roman" w:cs="Times New Roman"/>
                <w:b/>
                <w:sz w:val="24"/>
                <w:szCs w:val="24"/>
              </w:rPr>
              <w:t>1.0 FTE Natural Resource Specialist 4 (Risk Assessor)</w:t>
            </w:r>
          </w:p>
        </w:tc>
      </w:tr>
      <w:tr w:rsidR="00771AC5" w:rsidRPr="00771AC5" w14:paraId="2555453E" w14:textId="77777777" w:rsidTr="008F42FF">
        <w:tc>
          <w:tcPr>
            <w:tcW w:w="9350" w:type="dxa"/>
          </w:tcPr>
          <w:p w14:paraId="2F3BD489" w14:textId="16A8F66C" w:rsidR="00771AC5" w:rsidRPr="00771AC5" w:rsidRDefault="00771AC5" w:rsidP="008F42FF">
            <w:pPr>
              <w:spacing w:before="120" w:after="120"/>
              <w:rPr>
                <w:rFonts w:ascii="Times New Roman" w:hAnsi="Times New Roman" w:cs="Times New Roman"/>
                <w:sz w:val="24"/>
                <w:szCs w:val="24"/>
              </w:rPr>
            </w:pPr>
            <w:r w:rsidRPr="00771AC5">
              <w:rPr>
                <w:rFonts w:ascii="Times New Roman" w:hAnsi="Times New Roman" w:cs="Times New Roman"/>
                <w:sz w:val="24"/>
                <w:szCs w:val="24"/>
              </w:rPr>
              <w:t xml:space="preserve">Provides technical assistance to sources on health risk assessment protocol development, reviews and approves health risk assessments, supports risk communication activities, and consults with the Oregon Health Authority on updates to Risk Based Concentrations. </w:t>
            </w:r>
          </w:p>
        </w:tc>
      </w:tr>
      <w:tr w:rsidR="00771AC5" w:rsidRPr="00771AC5" w14:paraId="7676CF97" w14:textId="77777777" w:rsidTr="008F42FF">
        <w:tc>
          <w:tcPr>
            <w:tcW w:w="9350" w:type="dxa"/>
          </w:tcPr>
          <w:p w14:paraId="534E1B36" w14:textId="77777777" w:rsidR="00771AC5" w:rsidRPr="00771AC5" w:rsidRDefault="00771AC5" w:rsidP="008F42FF">
            <w:pPr>
              <w:spacing w:before="120" w:after="120"/>
              <w:rPr>
                <w:rFonts w:ascii="Times New Roman" w:hAnsi="Times New Roman" w:cs="Times New Roman"/>
                <w:sz w:val="24"/>
                <w:szCs w:val="24"/>
              </w:rPr>
            </w:pPr>
            <w:r w:rsidRPr="00771AC5">
              <w:rPr>
                <w:rFonts w:ascii="Times New Roman" w:hAnsi="Times New Roman" w:cs="Times New Roman"/>
                <w:b/>
                <w:sz w:val="24"/>
                <w:szCs w:val="24"/>
              </w:rPr>
              <w:t xml:space="preserve">0.5 FTE Information Systems Specialist 5 </w:t>
            </w:r>
          </w:p>
        </w:tc>
      </w:tr>
      <w:tr w:rsidR="00771AC5" w:rsidRPr="00771AC5" w14:paraId="63D8D86C" w14:textId="77777777" w:rsidTr="008F42FF">
        <w:tc>
          <w:tcPr>
            <w:tcW w:w="9350" w:type="dxa"/>
          </w:tcPr>
          <w:p w14:paraId="1AC071C2" w14:textId="50A9A197" w:rsidR="00771AC5" w:rsidRPr="00771AC5" w:rsidRDefault="00771AC5" w:rsidP="008F42FF">
            <w:pPr>
              <w:spacing w:before="120" w:after="120"/>
              <w:rPr>
                <w:rFonts w:ascii="Times New Roman" w:hAnsi="Times New Roman" w:cs="Times New Roman"/>
                <w:sz w:val="24"/>
                <w:szCs w:val="24"/>
              </w:rPr>
            </w:pPr>
            <w:r w:rsidRPr="00771AC5">
              <w:rPr>
                <w:rFonts w:ascii="Times New Roman" w:hAnsi="Times New Roman" w:cs="Times New Roman"/>
                <w:sz w:val="24"/>
                <w:szCs w:val="24"/>
              </w:rPr>
              <w:t xml:space="preserve">Provide information technology infrastructure to support new permitting program, including creating and managing new databases for emissions and updating TRAACS to incorporate Cleaner Air permit attachments. </w:t>
            </w:r>
          </w:p>
        </w:tc>
      </w:tr>
      <w:tr w:rsidR="00771AC5" w:rsidRPr="00771AC5" w14:paraId="68F08478" w14:textId="77777777" w:rsidTr="008F42FF">
        <w:tc>
          <w:tcPr>
            <w:tcW w:w="9350" w:type="dxa"/>
          </w:tcPr>
          <w:p w14:paraId="10F382E0" w14:textId="77777777" w:rsidR="00771AC5" w:rsidRPr="00771AC5" w:rsidRDefault="00771AC5" w:rsidP="008F42FF">
            <w:pPr>
              <w:spacing w:before="120" w:after="120"/>
              <w:rPr>
                <w:rFonts w:ascii="Times New Roman" w:hAnsi="Times New Roman" w:cs="Times New Roman"/>
                <w:sz w:val="24"/>
                <w:szCs w:val="24"/>
              </w:rPr>
            </w:pPr>
            <w:r w:rsidRPr="00771AC5">
              <w:rPr>
                <w:rFonts w:ascii="Times New Roman" w:hAnsi="Times New Roman" w:cs="Times New Roman"/>
                <w:b/>
                <w:sz w:val="24"/>
                <w:szCs w:val="24"/>
              </w:rPr>
              <w:t xml:space="preserve">0.25 FTE Environmental Law Specialist </w:t>
            </w:r>
          </w:p>
        </w:tc>
      </w:tr>
      <w:tr w:rsidR="00771AC5" w:rsidRPr="00771AC5" w14:paraId="03038512" w14:textId="77777777" w:rsidTr="008F42FF">
        <w:tc>
          <w:tcPr>
            <w:tcW w:w="9350" w:type="dxa"/>
          </w:tcPr>
          <w:p w14:paraId="7D961DD6" w14:textId="10A1CEA2" w:rsidR="00771AC5" w:rsidRPr="00771AC5" w:rsidRDefault="00771AC5" w:rsidP="008F42FF">
            <w:pPr>
              <w:spacing w:before="120" w:after="120"/>
              <w:rPr>
                <w:rFonts w:ascii="Times New Roman" w:hAnsi="Times New Roman" w:cs="Times New Roman"/>
                <w:sz w:val="24"/>
                <w:szCs w:val="24"/>
              </w:rPr>
            </w:pPr>
            <w:r w:rsidRPr="00771AC5">
              <w:rPr>
                <w:rFonts w:ascii="Times New Roman" w:hAnsi="Times New Roman" w:cs="Times New Roman"/>
                <w:sz w:val="24"/>
                <w:szCs w:val="24"/>
              </w:rPr>
              <w:t xml:space="preserve">Office of Compliance and Enforcement staff time to coordinate/lead Cleaner Air Oregon enforcement activities. </w:t>
            </w:r>
          </w:p>
        </w:tc>
      </w:tr>
      <w:tr w:rsidR="00771AC5" w:rsidRPr="00771AC5" w14:paraId="694DF6AE" w14:textId="77777777" w:rsidTr="008F42FF">
        <w:tc>
          <w:tcPr>
            <w:tcW w:w="9350" w:type="dxa"/>
          </w:tcPr>
          <w:p w14:paraId="3914AD6D" w14:textId="77777777" w:rsidR="00771AC5" w:rsidRPr="00771AC5" w:rsidRDefault="00771AC5" w:rsidP="008F42FF">
            <w:pPr>
              <w:spacing w:before="120" w:after="120"/>
              <w:rPr>
                <w:rFonts w:ascii="Times New Roman" w:hAnsi="Times New Roman" w:cs="Times New Roman"/>
                <w:sz w:val="24"/>
                <w:szCs w:val="24"/>
              </w:rPr>
            </w:pPr>
            <w:r w:rsidRPr="00771AC5">
              <w:rPr>
                <w:rFonts w:ascii="Times New Roman" w:hAnsi="Times New Roman" w:cs="Times New Roman"/>
                <w:b/>
                <w:sz w:val="24"/>
                <w:szCs w:val="24"/>
              </w:rPr>
              <w:t xml:space="preserve">0.2 FTE Principal / Executive Manager E </w:t>
            </w:r>
          </w:p>
        </w:tc>
      </w:tr>
      <w:tr w:rsidR="00771AC5" w:rsidRPr="00771AC5" w14:paraId="4065A23E" w14:textId="77777777" w:rsidTr="008F42FF">
        <w:tc>
          <w:tcPr>
            <w:tcW w:w="9350" w:type="dxa"/>
          </w:tcPr>
          <w:p w14:paraId="08264D06" w14:textId="2A80D7BF" w:rsidR="00771AC5" w:rsidRPr="00771AC5" w:rsidRDefault="00771AC5" w:rsidP="008F42FF">
            <w:pPr>
              <w:spacing w:before="120" w:after="120"/>
              <w:rPr>
                <w:rFonts w:ascii="Times New Roman" w:hAnsi="Times New Roman" w:cs="Times New Roman"/>
                <w:sz w:val="24"/>
                <w:szCs w:val="24"/>
              </w:rPr>
            </w:pPr>
            <w:r w:rsidRPr="00771AC5">
              <w:rPr>
                <w:rFonts w:ascii="Times New Roman" w:hAnsi="Times New Roman" w:cs="Times New Roman"/>
                <w:sz w:val="24"/>
                <w:szCs w:val="24"/>
              </w:rPr>
              <w:t xml:space="preserve">Regional Air Quality Manager supervision and oversight of Cleaner Air Oregon work occurring in the regions. </w:t>
            </w:r>
          </w:p>
        </w:tc>
      </w:tr>
      <w:tr w:rsidR="00771AC5" w:rsidRPr="00771AC5" w14:paraId="2F68C40A" w14:textId="77777777" w:rsidTr="008F42FF">
        <w:tc>
          <w:tcPr>
            <w:tcW w:w="9350" w:type="dxa"/>
          </w:tcPr>
          <w:p w14:paraId="160DEDCE" w14:textId="1CD5FEA5" w:rsidR="00771AC5" w:rsidRPr="00771AC5" w:rsidRDefault="008F42FF" w:rsidP="008F42FF">
            <w:pPr>
              <w:spacing w:before="120" w:after="120"/>
              <w:rPr>
                <w:rFonts w:ascii="Times New Roman" w:hAnsi="Times New Roman" w:cs="Times New Roman"/>
                <w:b/>
                <w:sz w:val="24"/>
                <w:szCs w:val="24"/>
              </w:rPr>
            </w:pPr>
            <w:r w:rsidRPr="008F42FF">
              <w:rPr>
                <w:rFonts w:ascii="Times New Roman" w:hAnsi="Times New Roman" w:cs="Times New Roman"/>
                <w:b/>
                <w:sz w:val="24"/>
                <w:szCs w:val="24"/>
              </w:rPr>
              <w:t xml:space="preserve">1.0 FTE </w:t>
            </w:r>
            <w:r w:rsidR="00771AC5" w:rsidRPr="00771AC5">
              <w:rPr>
                <w:rFonts w:ascii="Times New Roman" w:hAnsi="Times New Roman" w:cs="Times New Roman"/>
                <w:b/>
                <w:sz w:val="24"/>
                <w:szCs w:val="24"/>
              </w:rPr>
              <w:t>Program Analyst 2</w:t>
            </w:r>
            <w:r w:rsidR="00D57FC5">
              <w:rPr>
                <w:rFonts w:ascii="Times New Roman" w:hAnsi="Times New Roman" w:cs="Times New Roman"/>
                <w:b/>
                <w:sz w:val="24"/>
                <w:szCs w:val="24"/>
              </w:rPr>
              <w:t xml:space="preserve"> (Technical Assistance/Community Outreach Coordinator)</w:t>
            </w:r>
          </w:p>
        </w:tc>
      </w:tr>
      <w:tr w:rsidR="00771AC5" w:rsidRPr="00771AC5" w14:paraId="3C5E7713" w14:textId="77777777" w:rsidTr="008F42FF">
        <w:tc>
          <w:tcPr>
            <w:tcW w:w="9350" w:type="dxa"/>
          </w:tcPr>
          <w:p w14:paraId="5CF19E9B" w14:textId="3931F151" w:rsidR="00771AC5" w:rsidRPr="00771AC5" w:rsidRDefault="00771AC5" w:rsidP="008F42FF">
            <w:pPr>
              <w:spacing w:before="120" w:after="120"/>
              <w:rPr>
                <w:rFonts w:ascii="Times New Roman" w:hAnsi="Times New Roman" w:cs="Times New Roman"/>
                <w:sz w:val="24"/>
                <w:szCs w:val="24"/>
              </w:rPr>
            </w:pPr>
            <w:r w:rsidRPr="00771AC5">
              <w:rPr>
                <w:rFonts w:ascii="Times New Roman" w:hAnsi="Times New Roman" w:cs="Times New Roman"/>
                <w:sz w:val="24"/>
                <w:szCs w:val="24"/>
              </w:rPr>
              <w:t xml:space="preserve">Provide specialized technical assistance to impacted parties (regulated entities and citizens) on Cleaner Air Oregon regulations, requirements and processes. </w:t>
            </w:r>
          </w:p>
        </w:tc>
      </w:tr>
      <w:tr w:rsidR="00771AC5" w:rsidRPr="00771AC5" w14:paraId="33438D32" w14:textId="77777777" w:rsidTr="008F42FF">
        <w:trPr>
          <w:trHeight w:val="404"/>
        </w:trPr>
        <w:tc>
          <w:tcPr>
            <w:tcW w:w="9350" w:type="dxa"/>
          </w:tcPr>
          <w:p w14:paraId="0F0AFAC8" w14:textId="77777777" w:rsidR="00771AC5" w:rsidRPr="00771AC5" w:rsidRDefault="00771AC5" w:rsidP="008F42FF">
            <w:pPr>
              <w:spacing w:before="120" w:after="120"/>
              <w:rPr>
                <w:rFonts w:ascii="Times New Roman" w:hAnsi="Times New Roman" w:cs="Times New Roman"/>
                <w:b/>
                <w:i/>
                <w:sz w:val="24"/>
                <w:szCs w:val="24"/>
              </w:rPr>
            </w:pPr>
            <w:r w:rsidRPr="00771AC5">
              <w:rPr>
                <w:rFonts w:ascii="Times New Roman" w:hAnsi="Times New Roman" w:cs="Times New Roman"/>
                <w:b/>
                <w:i/>
                <w:sz w:val="24"/>
                <w:szCs w:val="24"/>
              </w:rPr>
              <w:t xml:space="preserve">Oregon Health Authority </w:t>
            </w:r>
          </w:p>
        </w:tc>
      </w:tr>
      <w:tr w:rsidR="00771AC5" w:rsidRPr="00771AC5" w14:paraId="4498D398" w14:textId="77777777" w:rsidTr="008F42FF">
        <w:tc>
          <w:tcPr>
            <w:tcW w:w="9350" w:type="dxa"/>
          </w:tcPr>
          <w:p w14:paraId="418C7607" w14:textId="5181B663" w:rsidR="00771AC5" w:rsidRPr="00771AC5" w:rsidRDefault="00771AC5" w:rsidP="008F42FF">
            <w:pPr>
              <w:spacing w:before="120" w:after="120"/>
              <w:rPr>
                <w:rFonts w:ascii="Times New Roman" w:hAnsi="Times New Roman" w:cs="Times New Roman"/>
                <w:sz w:val="24"/>
                <w:szCs w:val="24"/>
              </w:rPr>
            </w:pPr>
            <w:r w:rsidRPr="00771AC5">
              <w:rPr>
                <w:rFonts w:ascii="Times New Roman" w:hAnsi="Times New Roman" w:cs="Times New Roman"/>
                <w:b/>
                <w:sz w:val="24"/>
                <w:szCs w:val="24"/>
              </w:rPr>
              <w:t>0.75 FTE Natural Resource Specialist 4</w:t>
            </w:r>
            <w:r w:rsidR="00947791">
              <w:rPr>
                <w:rFonts w:ascii="Times New Roman" w:hAnsi="Times New Roman" w:cs="Times New Roman"/>
                <w:b/>
                <w:sz w:val="24"/>
                <w:szCs w:val="24"/>
              </w:rPr>
              <w:t xml:space="preserve"> (Toxicologist)</w:t>
            </w:r>
          </w:p>
        </w:tc>
      </w:tr>
      <w:tr w:rsidR="00771AC5" w:rsidRPr="00771AC5" w14:paraId="18DF3AAE" w14:textId="77777777" w:rsidTr="008F42FF">
        <w:tc>
          <w:tcPr>
            <w:tcW w:w="9350" w:type="dxa"/>
          </w:tcPr>
          <w:p w14:paraId="5BB70F9F" w14:textId="4C0378CE" w:rsidR="00771AC5" w:rsidRPr="00771AC5" w:rsidRDefault="00771AC5" w:rsidP="008F42FF">
            <w:pPr>
              <w:spacing w:before="120" w:after="120"/>
              <w:rPr>
                <w:rFonts w:ascii="Times New Roman" w:hAnsi="Times New Roman" w:cs="Times New Roman"/>
                <w:sz w:val="24"/>
                <w:szCs w:val="24"/>
              </w:rPr>
            </w:pPr>
            <w:r w:rsidRPr="00771AC5">
              <w:rPr>
                <w:rFonts w:ascii="Times New Roman" w:hAnsi="Times New Roman" w:cs="Times New Roman"/>
                <w:sz w:val="24"/>
                <w:szCs w:val="24"/>
              </w:rPr>
              <w:t xml:space="preserve">Lead toxicologist responsible for facility-specific non-cancer Risk Action Level determination reviews, coordinating updates to Risk Based Concentrations, reviewing public engagement plans, review facility-specific monitoring plans, develop health-based interpretations of modeling/monitoring results and consult on health risk messaging. </w:t>
            </w:r>
          </w:p>
        </w:tc>
      </w:tr>
      <w:tr w:rsidR="00771AC5" w:rsidRPr="00771AC5" w14:paraId="54B4C9BD" w14:textId="77777777" w:rsidTr="008F42FF">
        <w:tc>
          <w:tcPr>
            <w:tcW w:w="9350" w:type="dxa"/>
          </w:tcPr>
          <w:p w14:paraId="46DAD89D" w14:textId="77777777" w:rsidR="00771AC5" w:rsidRPr="00771AC5" w:rsidRDefault="00771AC5" w:rsidP="008F42FF">
            <w:pPr>
              <w:spacing w:before="120" w:after="120"/>
              <w:rPr>
                <w:rFonts w:ascii="Times New Roman" w:hAnsi="Times New Roman" w:cs="Times New Roman"/>
                <w:sz w:val="24"/>
                <w:szCs w:val="24"/>
              </w:rPr>
            </w:pPr>
            <w:r w:rsidRPr="00771AC5">
              <w:rPr>
                <w:rFonts w:ascii="Times New Roman" w:hAnsi="Times New Roman" w:cs="Times New Roman"/>
                <w:b/>
                <w:sz w:val="24"/>
                <w:szCs w:val="24"/>
              </w:rPr>
              <w:t>0.75 FTE Public Health Toxicologist</w:t>
            </w:r>
          </w:p>
        </w:tc>
      </w:tr>
      <w:tr w:rsidR="00771AC5" w:rsidRPr="00771AC5" w14:paraId="6D8D2F04" w14:textId="77777777" w:rsidTr="008F42FF">
        <w:tc>
          <w:tcPr>
            <w:tcW w:w="9350" w:type="dxa"/>
          </w:tcPr>
          <w:p w14:paraId="0780A6D7" w14:textId="1401672E" w:rsidR="00771AC5" w:rsidRPr="00771AC5" w:rsidRDefault="00771AC5" w:rsidP="008F42FF">
            <w:pPr>
              <w:spacing w:before="120" w:after="120"/>
              <w:rPr>
                <w:rFonts w:ascii="Times New Roman" w:hAnsi="Times New Roman" w:cs="Times New Roman"/>
                <w:sz w:val="24"/>
                <w:szCs w:val="24"/>
              </w:rPr>
            </w:pPr>
            <w:r w:rsidRPr="00771AC5">
              <w:rPr>
                <w:rFonts w:ascii="Times New Roman" w:hAnsi="Times New Roman" w:cs="Times New Roman"/>
                <w:sz w:val="24"/>
                <w:szCs w:val="24"/>
              </w:rPr>
              <w:t>Assist the lead toxicologist during facility-specific non-cancer Risk Action Level determination reviews, provide research and analytic support to inform updates of Risk Based Concentrations, support the development of health-based data interpretations, and provide technical assistance to OHA and DEQ staff on the development of health risk communication materials. (Budgeted at 0.75 FTE</w:t>
            </w:r>
            <w:r w:rsidR="00C43B5F">
              <w:rPr>
                <w:rFonts w:ascii="Times New Roman" w:hAnsi="Times New Roman" w:cs="Times New Roman"/>
                <w:sz w:val="24"/>
                <w:szCs w:val="24"/>
              </w:rPr>
              <w:t>.</w:t>
            </w:r>
            <w:r w:rsidRPr="00771AC5">
              <w:rPr>
                <w:rFonts w:ascii="Times New Roman" w:hAnsi="Times New Roman" w:cs="Times New Roman"/>
                <w:sz w:val="24"/>
                <w:szCs w:val="24"/>
              </w:rPr>
              <w:t>)</w:t>
            </w:r>
          </w:p>
        </w:tc>
      </w:tr>
      <w:tr w:rsidR="00771AC5" w:rsidRPr="00771AC5" w14:paraId="3F9C715B" w14:textId="77777777" w:rsidTr="008F42FF">
        <w:tc>
          <w:tcPr>
            <w:tcW w:w="9350" w:type="dxa"/>
          </w:tcPr>
          <w:p w14:paraId="5C518D09" w14:textId="77777777" w:rsidR="00771AC5" w:rsidRPr="00771AC5" w:rsidRDefault="00771AC5" w:rsidP="008F42FF">
            <w:pPr>
              <w:spacing w:before="120" w:after="120"/>
              <w:rPr>
                <w:rFonts w:ascii="Times New Roman" w:hAnsi="Times New Roman" w:cs="Times New Roman"/>
                <w:sz w:val="24"/>
                <w:szCs w:val="24"/>
              </w:rPr>
            </w:pPr>
            <w:r w:rsidRPr="00771AC5">
              <w:rPr>
                <w:rFonts w:ascii="Times New Roman" w:hAnsi="Times New Roman" w:cs="Times New Roman"/>
                <w:b/>
                <w:sz w:val="24"/>
                <w:szCs w:val="24"/>
              </w:rPr>
              <w:t xml:space="preserve">0.50 FTE Public Health Educator </w:t>
            </w:r>
          </w:p>
        </w:tc>
      </w:tr>
      <w:tr w:rsidR="00771AC5" w:rsidRPr="00771AC5" w14:paraId="1AA3266B" w14:textId="77777777" w:rsidTr="008F42FF">
        <w:tc>
          <w:tcPr>
            <w:tcW w:w="9350" w:type="dxa"/>
          </w:tcPr>
          <w:p w14:paraId="1F9B0F35" w14:textId="4055EFBE" w:rsidR="00771AC5" w:rsidRPr="00771AC5" w:rsidRDefault="00771AC5" w:rsidP="008F42FF">
            <w:pPr>
              <w:spacing w:before="120" w:after="120"/>
              <w:rPr>
                <w:rFonts w:ascii="Times New Roman" w:hAnsi="Times New Roman" w:cs="Times New Roman"/>
                <w:sz w:val="24"/>
                <w:szCs w:val="24"/>
              </w:rPr>
            </w:pPr>
            <w:r w:rsidRPr="00771AC5">
              <w:rPr>
                <w:rFonts w:ascii="Times New Roman" w:hAnsi="Times New Roman" w:cs="Times New Roman"/>
                <w:sz w:val="24"/>
                <w:szCs w:val="24"/>
              </w:rPr>
              <w:t xml:space="preserve">Support community engagement and risk communications activities, prepare for and participate in public meetings, review community engagement plans, and prepare materials to communicate about risks related to facilities for which we have partial or full EI information but full risk assessments have not yet been completed. </w:t>
            </w:r>
          </w:p>
        </w:tc>
      </w:tr>
      <w:tr w:rsidR="00771AC5" w:rsidRPr="00771AC5" w14:paraId="71D55044" w14:textId="77777777" w:rsidTr="008F42FF">
        <w:tc>
          <w:tcPr>
            <w:tcW w:w="9350" w:type="dxa"/>
          </w:tcPr>
          <w:p w14:paraId="00059943" w14:textId="77777777" w:rsidR="00771AC5" w:rsidRPr="00771AC5" w:rsidRDefault="00771AC5" w:rsidP="008F42FF">
            <w:pPr>
              <w:spacing w:before="120" w:after="120"/>
              <w:rPr>
                <w:rFonts w:ascii="Times New Roman" w:hAnsi="Times New Roman" w:cs="Times New Roman"/>
                <w:sz w:val="24"/>
                <w:szCs w:val="24"/>
              </w:rPr>
            </w:pPr>
            <w:r w:rsidRPr="00771AC5">
              <w:rPr>
                <w:rFonts w:ascii="Times New Roman" w:hAnsi="Times New Roman" w:cs="Times New Roman"/>
                <w:b/>
                <w:sz w:val="24"/>
                <w:szCs w:val="24"/>
              </w:rPr>
              <w:t>0.10 FTE Principal / Executive Manager D</w:t>
            </w:r>
          </w:p>
        </w:tc>
      </w:tr>
      <w:tr w:rsidR="00771AC5" w:rsidRPr="00771AC5" w14:paraId="584222BB" w14:textId="77777777" w:rsidTr="008F42FF">
        <w:tc>
          <w:tcPr>
            <w:tcW w:w="9350" w:type="dxa"/>
          </w:tcPr>
          <w:p w14:paraId="6E0BDDA0" w14:textId="3BDB0FAF" w:rsidR="00771AC5" w:rsidRPr="00771AC5" w:rsidRDefault="00771AC5" w:rsidP="008F42FF">
            <w:pPr>
              <w:spacing w:before="120" w:after="120"/>
              <w:rPr>
                <w:rFonts w:ascii="Times New Roman" w:hAnsi="Times New Roman" w:cs="Times New Roman"/>
                <w:sz w:val="24"/>
                <w:szCs w:val="24"/>
              </w:rPr>
            </w:pPr>
            <w:r w:rsidRPr="00771AC5">
              <w:rPr>
                <w:rFonts w:ascii="Times New Roman" w:hAnsi="Times New Roman" w:cs="Times New Roman"/>
                <w:sz w:val="24"/>
                <w:szCs w:val="24"/>
              </w:rPr>
              <w:t xml:space="preserve">Provide management and oversight to OHA staff involved in Cleaner Air Oregon activities. </w:t>
            </w:r>
          </w:p>
        </w:tc>
      </w:tr>
    </w:tbl>
    <w:p w14:paraId="0B967F64" w14:textId="77777777" w:rsidR="00771AC5" w:rsidRDefault="00771AC5" w:rsidP="00771AC5">
      <w:pPr>
        <w:ind w:left="0"/>
      </w:pPr>
    </w:p>
    <w:p w14:paraId="53438B2E" w14:textId="77777777" w:rsidR="008F42FF" w:rsidRPr="00771AC5" w:rsidRDefault="008F42FF" w:rsidP="00771AC5">
      <w:pPr>
        <w:ind w:left="0"/>
      </w:pPr>
    </w:p>
    <w:p w14:paraId="27A1E430" w14:textId="35D484F6" w:rsidR="00771AC5" w:rsidRPr="00771AC5" w:rsidRDefault="00550C6B" w:rsidP="003020D2">
      <w:pPr>
        <w:keepNext/>
        <w:keepLines/>
        <w:ind w:left="0" w:right="0"/>
        <w:outlineLvl w:val="1"/>
        <w:rPr>
          <w:rFonts w:ascii="Arial" w:eastAsia="Arial" w:hAnsi="Arial" w:cs="Arial"/>
          <w:b/>
          <w:sz w:val="32"/>
          <w:szCs w:val="32"/>
        </w:rPr>
      </w:pPr>
      <w:r>
        <w:rPr>
          <w:rFonts w:ascii="Arial" w:eastAsia="Arial" w:hAnsi="Arial" w:cs="Arial"/>
          <w:b/>
          <w:sz w:val="32"/>
          <w:szCs w:val="32"/>
        </w:rPr>
        <w:t>Proposed f</w:t>
      </w:r>
      <w:r w:rsidR="00771AC5" w:rsidRPr="00771AC5">
        <w:rPr>
          <w:rFonts w:ascii="Arial" w:eastAsia="Arial" w:hAnsi="Arial" w:cs="Arial"/>
          <w:b/>
          <w:sz w:val="32"/>
          <w:szCs w:val="32"/>
        </w:rPr>
        <w:t>ees:</w:t>
      </w:r>
    </w:p>
    <w:p w14:paraId="08BBDC82" w14:textId="77777777" w:rsidR="00771AC5" w:rsidRPr="00771AC5" w:rsidRDefault="00771AC5" w:rsidP="003020D2">
      <w:pPr>
        <w:ind w:left="0"/>
      </w:pPr>
      <w:r w:rsidRPr="00771AC5">
        <w:t xml:space="preserve">The agencies propose a fee structure with two elements; base and activity fees. The two elements correspond to input received from fee-paying stakeholders that the fees be predictable on a year-to-year basis </w:t>
      </w:r>
      <w:r w:rsidRPr="00771AC5">
        <w:rPr>
          <w:i/>
        </w:rPr>
        <w:t>and</w:t>
      </w:r>
      <w:r w:rsidRPr="00771AC5">
        <w:t xml:space="preserve"> that the fees reflect that certain facilities (i.e. those actively working through the requirements) are receiving a higher level of service from the agencies. </w:t>
      </w:r>
    </w:p>
    <w:p w14:paraId="2B73C961" w14:textId="77777777" w:rsidR="00C43B5F" w:rsidRDefault="00C43B5F" w:rsidP="00771AC5">
      <w:pPr>
        <w:ind w:left="0"/>
        <w:rPr>
          <w:u w:val="single"/>
        </w:rPr>
      </w:pPr>
    </w:p>
    <w:p w14:paraId="2A071D40" w14:textId="77777777" w:rsidR="00771AC5" w:rsidRPr="00771AC5" w:rsidRDefault="00771AC5" w:rsidP="00771AC5">
      <w:pPr>
        <w:ind w:left="0"/>
      </w:pPr>
      <w:r w:rsidRPr="00771AC5">
        <w:rPr>
          <w:u w:val="single"/>
        </w:rPr>
        <w:t>Annual Base Fee:</w:t>
      </w:r>
      <w:r w:rsidRPr="00771AC5">
        <w:t xml:space="preserve"> The proposed annual base fee would be assessed on all sources who currently hold an air permit (state Air Contaminant Discharge Permit or federal Title V permit). Base fees differ based on a facility’s existing permit class. The proposed base fees are listed in detail below in Tables 1 and 2. While the dollar amount varies based on existing permit type, the Cleaner Air Oregon base fee is </w:t>
      </w:r>
      <w:r w:rsidRPr="00771AC5">
        <w:rPr>
          <w:i/>
        </w:rPr>
        <w:t>proportionately</w:t>
      </w:r>
      <w:r w:rsidRPr="00771AC5">
        <w:t xml:space="preserve"> equivalent (approximately 24.6% of existing fees in 2017) across permit categories. Note that Title V permit holders would pay a flat fee and an emissions-based (per-ton) fee. This is consistent with the existing approach to Title V permit fees.</w:t>
      </w:r>
    </w:p>
    <w:p w14:paraId="6DF9F8AA" w14:textId="77777777" w:rsidR="00771AC5" w:rsidRPr="00771AC5" w:rsidRDefault="00771AC5" w:rsidP="00771AC5">
      <w:pPr>
        <w:ind w:left="0"/>
      </w:pPr>
    </w:p>
    <w:p w14:paraId="29C5787C" w14:textId="77777777" w:rsidR="00771AC5" w:rsidRPr="00771AC5" w:rsidRDefault="00771AC5" w:rsidP="00771AC5">
      <w:pPr>
        <w:ind w:left="0"/>
      </w:pPr>
      <w:r w:rsidRPr="00771AC5">
        <w:rPr>
          <w:u w:val="single"/>
        </w:rPr>
        <w:t>Activity Fees:</w:t>
      </w:r>
      <w:r w:rsidRPr="00771AC5">
        <w:t xml:space="preserve"> A schedule of one-time fees that correspond to elements of the draft rules that require agency review and/or approval. A “call-in” fee is levied on all sources at the time they are called in to the program and covers the agencies’ costs associated with orienting a source to the program, reviewing risk assessment protocols and providing technical assistance. Additional activity fees are collected at the time a facility is seeking approval of risk assessment work and/or other approvals described in rule (e.g. conditional risk level, Best Available Control Technology review, monitoring protocol review etc.). Because the type of risk assessment method used is at the discretion of the facility and because subsequent approvals needed are based on the results of those risk assessments, activity fee revenue forecasting has more uncertainty than base fee revenue. Assumptions used in forecasting activity fee revenue are described in the next section. </w:t>
      </w:r>
    </w:p>
    <w:p w14:paraId="17AC0816" w14:textId="77777777" w:rsidR="00771AC5" w:rsidRPr="00771AC5" w:rsidRDefault="00771AC5" w:rsidP="00771AC5">
      <w:pPr>
        <w:ind w:left="0"/>
      </w:pPr>
    </w:p>
    <w:p w14:paraId="3DBF0211" w14:textId="77777777" w:rsidR="00771AC5" w:rsidRPr="00771AC5" w:rsidRDefault="00771AC5" w:rsidP="00771AC5">
      <w:pPr>
        <w:ind w:left="0"/>
      </w:pPr>
      <w:r w:rsidRPr="00771AC5">
        <w:t xml:space="preserve">The various risk assessment methods; and other permit approvals each have activity fees that are based on a workload analysis performed by the department. The workload analysis estimates the number of work hours (by position classification) needed for the review and approval of each activity. The complete activity fee schedule can be found below in Table 3. </w:t>
      </w:r>
    </w:p>
    <w:p w14:paraId="63BF2A5A" w14:textId="77777777" w:rsidR="00771AC5" w:rsidRPr="00771AC5" w:rsidRDefault="00771AC5" w:rsidP="00771AC5">
      <w:pPr>
        <w:ind w:left="0"/>
      </w:pPr>
    </w:p>
    <w:p w14:paraId="37C8B947" w14:textId="77777777" w:rsidR="00771AC5" w:rsidRPr="00771AC5" w:rsidRDefault="00771AC5" w:rsidP="00771AC5">
      <w:pPr>
        <w:ind w:left="1440" w:right="20" w:hanging="360"/>
      </w:pPr>
    </w:p>
    <w:p w14:paraId="745B37A8" w14:textId="51FB4F09" w:rsidR="00771AC5" w:rsidRPr="00771AC5" w:rsidRDefault="00771AC5" w:rsidP="003020D2">
      <w:pPr>
        <w:keepNext/>
        <w:keepLines/>
        <w:ind w:left="0" w:right="14"/>
        <w:outlineLvl w:val="2"/>
      </w:pPr>
      <w:r w:rsidRPr="00771AC5">
        <w:rPr>
          <w:rFonts w:ascii="Arial" w:eastAsia="Arial" w:hAnsi="Arial" w:cs="Arial"/>
          <w:b/>
          <w:sz w:val="28"/>
          <w:szCs w:val="28"/>
        </w:rPr>
        <w:t>Assumptions:</w:t>
      </w:r>
    </w:p>
    <w:p w14:paraId="6A7326E2" w14:textId="77777777" w:rsidR="00771AC5" w:rsidRPr="00771AC5" w:rsidRDefault="00771AC5" w:rsidP="003020D2">
      <w:pPr>
        <w:numPr>
          <w:ilvl w:val="0"/>
          <w:numId w:val="28"/>
        </w:numPr>
        <w:pBdr>
          <w:top w:val="none" w:sz="0" w:space="0" w:color="auto"/>
          <w:left w:val="none" w:sz="0" w:space="0" w:color="auto"/>
          <w:bottom w:val="none" w:sz="0" w:space="0" w:color="auto"/>
          <w:right w:val="none" w:sz="0" w:space="0" w:color="auto"/>
          <w:between w:val="none" w:sz="0" w:space="0" w:color="auto"/>
        </w:pBdr>
        <w:spacing w:after="160"/>
        <w:ind w:left="360" w:right="20"/>
        <w:contextualSpacing/>
        <w:rPr>
          <w:rFonts w:eastAsiaTheme="minorHAnsi"/>
          <w:color w:val="auto"/>
        </w:rPr>
      </w:pPr>
      <w:r w:rsidRPr="00771AC5">
        <w:rPr>
          <w:rFonts w:eastAsiaTheme="minorHAnsi"/>
          <w:color w:val="auto"/>
        </w:rPr>
        <w:t xml:space="preserve">DEQ assumed that the first 80 sources that will be called-in during Tier 1 would be required to submit the most complex Risk Assessments because their risk is estimated to be the highest of all permitted sources. The most complex Risk Assessments have the highest fees associated with their review. DEQ also predicted that not all 80 initial Risk Assessment would be completely reviewed nor that Air Toxics Permit Attachments would be issued for all of these sources within the 5 year Tier 1 period. </w:t>
      </w:r>
    </w:p>
    <w:p w14:paraId="5EA799DF" w14:textId="77777777" w:rsidR="00771AC5" w:rsidRPr="00771AC5" w:rsidRDefault="00771AC5" w:rsidP="00C43B5F">
      <w:pPr>
        <w:numPr>
          <w:ilvl w:val="0"/>
          <w:numId w:val="28"/>
        </w:numPr>
        <w:pBdr>
          <w:top w:val="none" w:sz="0" w:space="0" w:color="auto"/>
          <w:left w:val="none" w:sz="0" w:space="0" w:color="auto"/>
          <w:bottom w:val="none" w:sz="0" w:space="0" w:color="auto"/>
          <w:right w:val="none" w:sz="0" w:space="0" w:color="auto"/>
          <w:between w:val="none" w:sz="0" w:space="0" w:color="auto"/>
        </w:pBdr>
        <w:spacing w:after="160"/>
        <w:ind w:left="360" w:right="20"/>
        <w:contextualSpacing/>
        <w:rPr>
          <w:rFonts w:eastAsiaTheme="minorHAnsi"/>
          <w:color w:val="auto"/>
        </w:rPr>
      </w:pPr>
      <w:r w:rsidRPr="00771AC5">
        <w:rPr>
          <w:rFonts w:eastAsiaTheme="minorHAnsi"/>
          <w:color w:val="auto"/>
        </w:rPr>
        <w:t>Agency staff, in consultation with staff from states who operate similar programs, have developed estimates of the number and types of activity fees that the first 80 facilities will be required to pay. Those estimates, and the associated activity fee revenue are displayed in the attached “Activity Fee Revenue Projections” document. In summary, it is estimated that:</w:t>
      </w:r>
    </w:p>
    <w:p w14:paraId="5EC6DDD2" w14:textId="646C218E" w:rsidR="00771AC5" w:rsidRPr="00771AC5" w:rsidRDefault="00771AC5" w:rsidP="00771AC5">
      <w:pPr>
        <w:numPr>
          <w:ilvl w:val="0"/>
          <w:numId w:val="29"/>
        </w:numPr>
        <w:pBdr>
          <w:top w:val="none" w:sz="0" w:space="0" w:color="auto"/>
          <w:left w:val="none" w:sz="0" w:space="0" w:color="auto"/>
          <w:bottom w:val="none" w:sz="0" w:space="0" w:color="auto"/>
          <w:right w:val="none" w:sz="0" w:space="0" w:color="auto"/>
          <w:between w:val="none" w:sz="0" w:space="0" w:color="auto"/>
        </w:pBdr>
        <w:spacing w:after="160" w:line="259" w:lineRule="auto"/>
        <w:ind w:right="20"/>
        <w:contextualSpacing/>
        <w:rPr>
          <w:rFonts w:eastAsiaTheme="minorHAnsi"/>
          <w:color w:val="auto"/>
        </w:rPr>
      </w:pPr>
      <w:r w:rsidRPr="00771AC5">
        <w:rPr>
          <w:rFonts w:eastAsiaTheme="minorHAnsi"/>
          <w:color w:val="auto"/>
        </w:rPr>
        <w:t>25 of the 80 facilities will meet their compliance obligation through a level 3 risk assessment</w:t>
      </w:r>
      <w:r w:rsidR="00C43B5F">
        <w:rPr>
          <w:rFonts w:eastAsiaTheme="minorHAnsi"/>
          <w:color w:val="auto"/>
        </w:rPr>
        <w:t>.</w:t>
      </w:r>
    </w:p>
    <w:p w14:paraId="0E38AB04" w14:textId="23503A9A" w:rsidR="00771AC5" w:rsidRPr="00771AC5" w:rsidRDefault="00771AC5" w:rsidP="00771AC5">
      <w:pPr>
        <w:numPr>
          <w:ilvl w:val="0"/>
          <w:numId w:val="29"/>
        </w:numPr>
        <w:pBdr>
          <w:top w:val="none" w:sz="0" w:space="0" w:color="auto"/>
          <w:left w:val="none" w:sz="0" w:space="0" w:color="auto"/>
          <w:bottom w:val="none" w:sz="0" w:space="0" w:color="auto"/>
          <w:right w:val="none" w:sz="0" w:space="0" w:color="auto"/>
          <w:between w:val="none" w:sz="0" w:space="0" w:color="auto"/>
        </w:pBdr>
        <w:spacing w:after="160" w:line="259" w:lineRule="auto"/>
        <w:ind w:right="20"/>
        <w:contextualSpacing/>
        <w:rPr>
          <w:rFonts w:eastAsiaTheme="minorHAnsi"/>
          <w:color w:val="auto"/>
        </w:rPr>
      </w:pPr>
      <w:r w:rsidRPr="00771AC5">
        <w:rPr>
          <w:rFonts w:eastAsiaTheme="minorHAnsi"/>
          <w:color w:val="auto"/>
        </w:rPr>
        <w:t>20 of the 80 facilities will meet their compliance obligation though a level 4 risk assessment</w:t>
      </w:r>
      <w:r w:rsidR="00C43B5F">
        <w:rPr>
          <w:rFonts w:eastAsiaTheme="minorHAnsi"/>
          <w:color w:val="auto"/>
        </w:rPr>
        <w:t>.</w:t>
      </w:r>
    </w:p>
    <w:p w14:paraId="2F05773F" w14:textId="57E4DCA4" w:rsidR="00771AC5" w:rsidRPr="00771AC5" w:rsidRDefault="00771AC5" w:rsidP="00771AC5">
      <w:pPr>
        <w:numPr>
          <w:ilvl w:val="0"/>
          <w:numId w:val="29"/>
        </w:numPr>
        <w:pBdr>
          <w:top w:val="none" w:sz="0" w:space="0" w:color="auto"/>
          <w:left w:val="none" w:sz="0" w:space="0" w:color="auto"/>
          <w:bottom w:val="none" w:sz="0" w:space="0" w:color="auto"/>
          <w:right w:val="none" w:sz="0" w:space="0" w:color="auto"/>
          <w:between w:val="none" w:sz="0" w:space="0" w:color="auto"/>
        </w:pBdr>
        <w:spacing w:after="160" w:line="259" w:lineRule="auto"/>
        <w:ind w:right="20"/>
        <w:contextualSpacing/>
        <w:rPr>
          <w:rFonts w:eastAsiaTheme="minorHAnsi"/>
          <w:color w:val="auto"/>
        </w:rPr>
      </w:pPr>
      <w:r w:rsidRPr="00771AC5">
        <w:rPr>
          <w:rFonts w:eastAsiaTheme="minorHAnsi"/>
          <w:color w:val="auto"/>
        </w:rPr>
        <w:t>5 of the 80 facilities will meet their compliance obligation through a risk reduction plan</w:t>
      </w:r>
      <w:r w:rsidR="00C43B5F">
        <w:rPr>
          <w:rFonts w:eastAsiaTheme="minorHAnsi"/>
          <w:color w:val="auto"/>
        </w:rPr>
        <w:t>.</w:t>
      </w:r>
    </w:p>
    <w:p w14:paraId="7FBC679A" w14:textId="01F17059" w:rsidR="00771AC5" w:rsidRPr="00771AC5" w:rsidRDefault="00771AC5" w:rsidP="00771AC5">
      <w:pPr>
        <w:numPr>
          <w:ilvl w:val="0"/>
          <w:numId w:val="29"/>
        </w:numPr>
        <w:pBdr>
          <w:top w:val="none" w:sz="0" w:space="0" w:color="auto"/>
          <w:left w:val="none" w:sz="0" w:space="0" w:color="auto"/>
          <w:bottom w:val="none" w:sz="0" w:space="0" w:color="auto"/>
          <w:right w:val="none" w:sz="0" w:space="0" w:color="auto"/>
          <w:between w:val="none" w:sz="0" w:space="0" w:color="auto"/>
        </w:pBdr>
        <w:spacing w:after="160" w:line="259" w:lineRule="auto"/>
        <w:ind w:right="20"/>
        <w:contextualSpacing/>
        <w:rPr>
          <w:rFonts w:eastAsiaTheme="minorHAnsi"/>
          <w:color w:val="auto"/>
        </w:rPr>
      </w:pPr>
      <w:r w:rsidRPr="00771AC5">
        <w:rPr>
          <w:rFonts w:eastAsiaTheme="minorHAnsi"/>
          <w:color w:val="auto"/>
        </w:rPr>
        <w:t>20 of the 80 facilities will meet their compliance obligation through a conditional risk level</w:t>
      </w:r>
      <w:r w:rsidR="00C43B5F">
        <w:rPr>
          <w:rFonts w:eastAsiaTheme="minorHAnsi"/>
          <w:color w:val="auto"/>
        </w:rPr>
        <w:t>.</w:t>
      </w:r>
      <w:r w:rsidRPr="00771AC5">
        <w:rPr>
          <w:rFonts w:eastAsiaTheme="minorHAnsi"/>
          <w:color w:val="auto"/>
        </w:rPr>
        <w:t xml:space="preserve"> </w:t>
      </w:r>
    </w:p>
    <w:p w14:paraId="79DF763A" w14:textId="266FC7F9" w:rsidR="00771AC5" w:rsidRPr="00771AC5" w:rsidRDefault="00771AC5" w:rsidP="00771AC5">
      <w:pPr>
        <w:numPr>
          <w:ilvl w:val="0"/>
          <w:numId w:val="29"/>
        </w:numPr>
        <w:pBdr>
          <w:top w:val="none" w:sz="0" w:space="0" w:color="auto"/>
          <w:left w:val="none" w:sz="0" w:space="0" w:color="auto"/>
          <w:bottom w:val="none" w:sz="0" w:space="0" w:color="auto"/>
          <w:right w:val="none" w:sz="0" w:space="0" w:color="auto"/>
          <w:between w:val="none" w:sz="0" w:space="0" w:color="auto"/>
        </w:pBdr>
        <w:spacing w:after="160" w:line="259" w:lineRule="auto"/>
        <w:ind w:right="20"/>
        <w:contextualSpacing/>
        <w:rPr>
          <w:rFonts w:eastAsiaTheme="minorHAnsi"/>
          <w:color w:val="auto"/>
        </w:rPr>
      </w:pPr>
      <w:r w:rsidRPr="00771AC5">
        <w:rPr>
          <w:rFonts w:eastAsiaTheme="minorHAnsi"/>
          <w:color w:val="auto"/>
        </w:rPr>
        <w:t>5 of the 80 facilities will meet their compliance obligation through a conditional risk level and risk reduction plan</w:t>
      </w:r>
      <w:r w:rsidR="00C43B5F">
        <w:rPr>
          <w:rFonts w:eastAsiaTheme="minorHAnsi"/>
          <w:color w:val="auto"/>
        </w:rPr>
        <w:t>.</w:t>
      </w:r>
    </w:p>
    <w:p w14:paraId="0CC795DF" w14:textId="77777777" w:rsidR="00771AC5" w:rsidRPr="00771AC5" w:rsidRDefault="00771AC5" w:rsidP="00771AC5">
      <w:pPr>
        <w:numPr>
          <w:ilvl w:val="0"/>
          <w:numId w:val="29"/>
        </w:numPr>
        <w:pBdr>
          <w:top w:val="none" w:sz="0" w:space="0" w:color="auto"/>
          <w:left w:val="none" w:sz="0" w:space="0" w:color="auto"/>
          <w:bottom w:val="none" w:sz="0" w:space="0" w:color="auto"/>
          <w:right w:val="none" w:sz="0" w:space="0" w:color="auto"/>
          <w:between w:val="none" w:sz="0" w:space="0" w:color="auto"/>
        </w:pBdr>
        <w:spacing w:after="160" w:line="259" w:lineRule="auto"/>
        <w:ind w:right="20"/>
        <w:contextualSpacing/>
        <w:rPr>
          <w:rFonts w:eastAsiaTheme="minorHAnsi"/>
          <w:color w:val="auto"/>
        </w:rPr>
      </w:pPr>
      <w:r w:rsidRPr="00771AC5">
        <w:rPr>
          <w:rFonts w:eastAsiaTheme="minorHAnsi"/>
          <w:color w:val="auto"/>
        </w:rPr>
        <w:t xml:space="preserve">5 of the 80 facilities will meet their compliance obligation through a director consultation and conditional risk level. </w:t>
      </w:r>
    </w:p>
    <w:p w14:paraId="613F5108" w14:textId="77777777" w:rsidR="008F42FF" w:rsidRDefault="008F42FF" w:rsidP="00771AC5">
      <w:pPr>
        <w:ind w:left="1440" w:right="20" w:hanging="360"/>
      </w:pPr>
    </w:p>
    <w:p w14:paraId="5FCD36CB" w14:textId="77777777" w:rsidR="00771AC5" w:rsidRPr="00771AC5" w:rsidRDefault="00771AC5" w:rsidP="00771AC5">
      <w:pPr>
        <w:ind w:left="1440" w:right="20" w:hanging="360"/>
      </w:pPr>
      <w:r w:rsidRPr="00771AC5">
        <w:t xml:space="preserve"> </w:t>
      </w:r>
    </w:p>
    <w:p w14:paraId="5EBBFF15" w14:textId="77777777" w:rsidR="00771AC5" w:rsidRPr="00771AC5" w:rsidRDefault="00771AC5" w:rsidP="00771AC5">
      <w:pPr>
        <w:keepNext/>
        <w:keepLines/>
        <w:spacing w:before="40"/>
        <w:ind w:left="0" w:right="14"/>
        <w:outlineLvl w:val="2"/>
        <w:rPr>
          <w:rFonts w:ascii="Arial" w:eastAsia="Arial" w:hAnsi="Arial" w:cs="Arial"/>
          <w:b/>
          <w:sz w:val="28"/>
          <w:szCs w:val="28"/>
        </w:rPr>
      </w:pPr>
      <w:r w:rsidRPr="00771AC5">
        <w:rPr>
          <w:rFonts w:ascii="Arial" w:eastAsia="Arial" w:hAnsi="Arial" w:cs="Arial"/>
          <w:b/>
          <w:sz w:val="28"/>
          <w:szCs w:val="28"/>
        </w:rPr>
        <w:t>Considerations:</w:t>
      </w:r>
    </w:p>
    <w:p w14:paraId="6D35B3B3" w14:textId="77777777" w:rsidR="00771AC5" w:rsidRPr="00771AC5" w:rsidRDefault="00771AC5" w:rsidP="00771AC5">
      <w:pPr>
        <w:ind w:left="0" w:right="20"/>
      </w:pPr>
      <w:r w:rsidRPr="00771AC5">
        <w:t>In developing fee structures, DEQ considered and acknowledged the following:</w:t>
      </w:r>
    </w:p>
    <w:p w14:paraId="403BC985" w14:textId="77777777" w:rsidR="00771AC5" w:rsidRPr="00771AC5" w:rsidRDefault="00771AC5" w:rsidP="00771AC5">
      <w:pPr>
        <w:ind w:left="0" w:right="20"/>
      </w:pPr>
    </w:p>
    <w:p w14:paraId="50AED7F2" w14:textId="77777777" w:rsidR="00771AC5" w:rsidRPr="00771AC5" w:rsidRDefault="00771AC5" w:rsidP="00771AC5">
      <w:pPr>
        <w:numPr>
          <w:ilvl w:val="0"/>
          <w:numId w:val="8"/>
        </w:numPr>
        <w:ind w:left="360" w:right="20" w:hanging="450"/>
        <w:contextualSpacing/>
      </w:pPr>
      <w:r w:rsidRPr="00771AC5">
        <w:t xml:space="preserve">Risk-based air quality permitting is new in Oregon and as such there are uncertainties in terms regarding its implementation.  </w:t>
      </w:r>
    </w:p>
    <w:p w14:paraId="5E9F3694" w14:textId="77777777" w:rsidR="00771AC5" w:rsidRPr="00771AC5" w:rsidRDefault="00771AC5" w:rsidP="00892A1D">
      <w:pPr>
        <w:numPr>
          <w:ilvl w:val="0"/>
          <w:numId w:val="8"/>
        </w:numPr>
        <w:ind w:left="360" w:right="20" w:hanging="450"/>
        <w:contextualSpacing/>
      </w:pPr>
      <w:r w:rsidRPr="00771AC5">
        <w:t xml:space="preserve">Because DEQ did not receive supplemental funding during the 2017 legislative session to conduct additional emissions inventory analysis, the agency has less understanding of toxics currently being emitted by facilities in Oregon. That understanding could have better informed facility risk forecasting and program implementation. </w:t>
      </w:r>
    </w:p>
    <w:p w14:paraId="1CFDB98A" w14:textId="77777777" w:rsidR="00771AC5" w:rsidRPr="00771AC5" w:rsidRDefault="00771AC5" w:rsidP="00771AC5">
      <w:pPr>
        <w:ind w:left="1080" w:right="20"/>
        <w:contextualSpacing/>
      </w:pPr>
    </w:p>
    <w:p w14:paraId="4CC39A94" w14:textId="77777777" w:rsidR="00771AC5" w:rsidRPr="00771AC5" w:rsidRDefault="00771AC5" w:rsidP="00771AC5">
      <w:pPr>
        <w:ind w:left="0" w:right="20"/>
      </w:pPr>
      <w:r w:rsidRPr="00771AC5">
        <w:t xml:space="preserve">During the public comment period, DEQ seeks additional feedback on funding proposals to implement Cleaner Air Oregon. </w:t>
      </w:r>
    </w:p>
    <w:p w14:paraId="070E097E" w14:textId="77777777" w:rsidR="00771AC5" w:rsidRPr="00771AC5" w:rsidRDefault="00771AC5" w:rsidP="00771AC5">
      <w:pPr>
        <w:ind w:left="0"/>
      </w:pPr>
    </w:p>
    <w:p w14:paraId="408EE590" w14:textId="77777777" w:rsidR="00771AC5" w:rsidRPr="00771AC5" w:rsidRDefault="00771AC5" w:rsidP="00771AC5">
      <w:pPr>
        <w:ind w:left="0" w:right="-432"/>
      </w:pPr>
      <w:r w:rsidRPr="00771AC5">
        <w:t>The Oregon Environmental Quality Commission approval of this rule proposal would establish new fees. EQC authority to act on the proposed fees is in ORS 468.020, 468.065, 468A.040, 468A.050, and 468A.315.</w:t>
      </w:r>
    </w:p>
    <w:p w14:paraId="4509A765" w14:textId="77777777" w:rsidR="00771AC5" w:rsidRDefault="00771AC5" w:rsidP="00771AC5">
      <w:pPr>
        <w:ind w:left="0" w:right="-432"/>
      </w:pPr>
    </w:p>
    <w:p w14:paraId="55147A45" w14:textId="77777777" w:rsidR="008F42FF" w:rsidRPr="00771AC5" w:rsidRDefault="008F42FF" w:rsidP="00771AC5">
      <w:pPr>
        <w:ind w:left="0" w:right="-432"/>
      </w:pPr>
    </w:p>
    <w:p w14:paraId="1E679E9E" w14:textId="77777777" w:rsidR="00771AC5" w:rsidRPr="00771AC5" w:rsidRDefault="00771AC5" w:rsidP="00771AC5">
      <w:pPr>
        <w:ind w:left="0" w:right="-432"/>
        <w:rPr>
          <w:rFonts w:ascii="Arial" w:hAnsi="Arial" w:cs="Arial"/>
          <w:b/>
        </w:rPr>
      </w:pPr>
      <w:r w:rsidRPr="00771AC5">
        <w:rPr>
          <w:rFonts w:ascii="Arial" w:hAnsi="Arial" w:cs="Arial"/>
          <w:b/>
        </w:rPr>
        <w:t xml:space="preserve">Stakeholder engagement during the fee proposal development </w:t>
      </w:r>
    </w:p>
    <w:p w14:paraId="083CCD79" w14:textId="77777777" w:rsidR="00771AC5" w:rsidRPr="00771AC5" w:rsidRDefault="00771AC5" w:rsidP="00771AC5">
      <w:pPr>
        <w:tabs>
          <w:tab w:val="left" w:pos="630"/>
        </w:tabs>
        <w:ind w:left="0"/>
      </w:pPr>
      <w:r w:rsidRPr="00771AC5">
        <w:t>The agencies discussed program implementation, staffing models and proposed fee structures with the Rules Advisory Committee in July and August 2017. Stakeholders provided the following verbal input during the meeting, which has been incorporated into the proposal:</w:t>
      </w:r>
    </w:p>
    <w:p w14:paraId="1FA345AB" w14:textId="77777777" w:rsidR="00771AC5" w:rsidRPr="00771AC5" w:rsidRDefault="00771AC5" w:rsidP="00771AC5">
      <w:pPr>
        <w:numPr>
          <w:ilvl w:val="0"/>
          <w:numId w:val="30"/>
        </w:numPr>
        <w:pBdr>
          <w:top w:val="none" w:sz="0" w:space="0" w:color="auto"/>
          <w:left w:val="none" w:sz="0" w:space="0" w:color="auto"/>
          <w:bottom w:val="none" w:sz="0" w:space="0" w:color="auto"/>
          <w:right w:val="none" w:sz="0" w:space="0" w:color="auto"/>
          <w:between w:val="none" w:sz="0" w:space="0" w:color="auto"/>
        </w:pBdr>
        <w:tabs>
          <w:tab w:val="left" w:pos="630"/>
        </w:tabs>
        <w:spacing w:after="160" w:line="259" w:lineRule="auto"/>
        <w:ind w:left="630" w:right="0"/>
        <w:contextualSpacing/>
        <w:rPr>
          <w:rFonts w:eastAsiaTheme="minorHAnsi"/>
          <w:color w:val="auto"/>
        </w:rPr>
      </w:pPr>
      <w:r w:rsidRPr="00771AC5">
        <w:rPr>
          <w:rFonts w:eastAsiaTheme="minorHAnsi"/>
          <w:color w:val="auto"/>
        </w:rPr>
        <w:t>The program should be implemented in a tiered-approach, starting with facilities that have the potential to pose the most risk to the greatest number of people.</w:t>
      </w:r>
    </w:p>
    <w:p w14:paraId="55B47920" w14:textId="77777777" w:rsidR="00771AC5" w:rsidRPr="00771AC5" w:rsidRDefault="00771AC5" w:rsidP="00771AC5">
      <w:pPr>
        <w:numPr>
          <w:ilvl w:val="0"/>
          <w:numId w:val="30"/>
        </w:numPr>
        <w:pBdr>
          <w:top w:val="none" w:sz="0" w:space="0" w:color="auto"/>
          <w:left w:val="none" w:sz="0" w:space="0" w:color="auto"/>
          <w:bottom w:val="none" w:sz="0" w:space="0" w:color="auto"/>
          <w:right w:val="none" w:sz="0" w:space="0" w:color="auto"/>
          <w:between w:val="none" w:sz="0" w:space="0" w:color="auto"/>
        </w:pBdr>
        <w:tabs>
          <w:tab w:val="left" w:pos="630"/>
        </w:tabs>
        <w:spacing w:after="160" w:line="259" w:lineRule="auto"/>
        <w:ind w:left="630" w:right="0"/>
        <w:contextualSpacing/>
        <w:rPr>
          <w:rFonts w:eastAsiaTheme="minorHAnsi"/>
          <w:color w:val="auto"/>
        </w:rPr>
      </w:pPr>
      <w:r w:rsidRPr="00771AC5">
        <w:rPr>
          <w:rFonts w:eastAsiaTheme="minorHAnsi"/>
          <w:color w:val="auto"/>
        </w:rPr>
        <w:t xml:space="preserve">The agencies should include a position in the staffing model responsible for providing technical assistance to individuals or organizations that would be impacted by the program. This includes entities regulated by the program who are in the process of being “called in” and entities who are seeking to better understand their compliance obligations if/when they are called in. This also includes community groups and members of the public interested in learning about community outreach requirements. </w:t>
      </w:r>
    </w:p>
    <w:p w14:paraId="0797AFD3" w14:textId="77777777" w:rsidR="00771AC5" w:rsidRPr="00771AC5" w:rsidRDefault="00771AC5" w:rsidP="00771AC5">
      <w:pPr>
        <w:numPr>
          <w:ilvl w:val="0"/>
          <w:numId w:val="30"/>
        </w:numPr>
        <w:pBdr>
          <w:top w:val="none" w:sz="0" w:space="0" w:color="auto"/>
          <w:left w:val="none" w:sz="0" w:space="0" w:color="auto"/>
          <w:bottom w:val="none" w:sz="0" w:space="0" w:color="auto"/>
          <w:right w:val="none" w:sz="0" w:space="0" w:color="auto"/>
          <w:between w:val="none" w:sz="0" w:space="0" w:color="auto"/>
        </w:pBdr>
        <w:tabs>
          <w:tab w:val="left" w:pos="630"/>
        </w:tabs>
        <w:spacing w:after="160" w:line="259" w:lineRule="auto"/>
        <w:ind w:left="630" w:right="0"/>
        <w:contextualSpacing/>
        <w:rPr>
          <w:rFonts w:eastAsiaTheme="minorHAnsi"/>
          <w:color w:val="auto"/>
        </w:rPr>
      </w:pPr>
      <w:r w:rsidRPr="00771AC5">
        <w:rPr>
          <w:rFonts w:eastAsiaTheme="minorHAnsi"/>
          <w:color w:val="auto"/>
        </w:rPr>
        <w:t xml:space="preserve">The agencies should develop a fee structure that is predictable to fee-payers. </w:t>
      </w:r>
    </w:p>
    <w:p w14:paraId="6140D40B" w14:textId="77777777" w:rsidR="00771AC5" w:rsidRPr="00771AC5" w:rsidRDefault="00771AC5" w:rsidP="00771AC5">
      <w:pPr>
        <w:numPr>
          <w:ilvl w:val="0"/>
          <w:numId w:val="30"/>
        </w:numPr>
        <w:pBdr>
          <w:top w:val="none" w:sz="0" w:space="0" w:color="auto"/>
          <w:left w:val="none" w:sz="0" w:space="0" w:color="auto"/>
          <w:bottom w:val="none" w:sz="0" w:space="0" w:color="auto"/>
          <w:right w:val="none" w:sz="0" w:space="0" w:color="auto"/>
          <w:between w:val="none" w:sz="0" w:space="0" w:color="auto"/>
        </w:pBdr>
        <w:tabs>
          <w:tab w:val="left" w:pos="630"/>
        </w:tabs>
        <w:spacing w:after="160" w:line="259" w:lineRule="auto"/>
        <w:ind w:left="630" w:right="0"/>
        <w:contextualSpacing/>
        <w:rPr>
          <w:rFonts w:eastAsiaTheme="minorHAnsi"/>
          <w:color w:val="auto"/>
        </w:rPr>
      </w:pPr>
      <w:r w:rsidRPr="00771AC5">
        <w:rPr>
          <w:rFonts w:eastAsiaTheme="minorHAnsi"/>
          <w:color w:val="auto"/>
        </w:rPr>
        <w:t xml:space="preserve">The agencies should develop a fee structure acknowledging that the facilities actively working through the requirements will be receiving a higher level of service from the agencies. </w:t>
      </w:r>
    </w:p>
    <w:p w14:paraId="0F139226" w14:textId="77777777" w:rsidR="00771AC5" w:rsidRPr="00771AC5" w:rsidRDefault="00771AC5" w:rsidP="00771AC5">
      <w:pPr>
        <w:ind w:left="0" w:right="-432"/>
      </w:pPr>
      <w:r w:rsidRPr="00771AC5">
        <w:t>In addition to advisory committee meetings, the agencies have had direct conversations with fee paying stakeholders to further describe and discuss the fee proposal.</w:t>
      </w:r>
    </w:p>
    <w:p w14:paraId="7CDA81B6" w14:textId="77777777" w:rsidR="00771AC5" w:rsidRDefault="00771AC5" w:rsidP="00771AC5">
      <w:pPr>
        <w:ind w:left="0" w:right="-432"/>
      </w:pPr>
    </w:p>
    <w:p w14:paraId="0DA38528" w14:textId="77777777" w:rsidR="008F42FF" w:rsidRPr="00771AC5" w:rsidRDefault="008F42FF" w:rsidP="00771AC5">
      <w:pPr>
        <w:ind w:left="0" w:right="-432"/>
      </w:pPr>
    </w:p>
    <w:p w14:paraId="65AF0F03" w14:textId="77777777" w:rsidR="00771AC5" w:rsidRPr="00771AC5" w:rsidRDefault="00771AC5" w:rsidP="00771AC5">
      <w:pPr>
        <w:keepNext/>
        <w:keepLines/>
        <w:spacing w:before="40"/>
        <w:ind w:left="0" w:right="14"/>
        <w:outlineLvl w:val="2"/>
        <w:rPr>
          <w:rFonts w:ascii="Arial" w:eastAsia="Arial" w:hAnsi="Arial" w:cs="Arial"/>
          <w:b/>
          <w:sz w:val="28"/>
          <w:szCs w:val="28"/>
        </w:rPr>
      </w:pPr>
      <w:r w:rsidRPr="00771AC5">
        <w:rPr>
          <w:rFonts w:ascii="Arial" w:eastAsia="Arial" w:hAnsi="Arial" w:cs="Arial"/>
          <w:b/>
          <w:sz w:val="28"/>
          <w:szCs w:val="28"/>
        </w:rPr>
        <w:t>How long will the proposed fee sustain the program?</w:t>
      </w:r>
    </w:p>
    <w:p w14:paraId="07DFD583" w14:textId="77777777" w:rsidR="00771AC5" w:rsidRPr="00771AC5" w:rsidRDefault="00771AC5" w:rsidP="00771AC5">
      <w:pPr>
        <w:ind w:left="0" w:right="-432"/>
      </w:pPr>
      <w:r w:rsidRPr="00771AC5">
        <w:t xml:space="preserve">The proposed annual base fee, call-in fee, and specific activity fees would sustain the program for five years, until the year 2023. </w:t>
      </w:r>
    </w:p>
    <w:p w14:paraId="310EB9E3" w14:textId="77777777" w:rsidR="00771AC5" w:rsidRPr="00771AC5" w:rsidRDefault="00771AC5" w:rsidP="00771AC5"/>
    <w:p w14:paraId="750BC44E" w14:textId="77777777" w:rsidR="00771AC5" w:rsidRDefault="00771AC5">
      <w:pPr>
        <w:ind w:left="0"/>
      </w:pPr>
    </w:p>
    <w:tbl>
      <w:tblPr>
        <w:tblStyle w:val="aa"/>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55"/>
        <w:gridCol w:w="2850"/>
        <w:gridCol w:w="3255"/>
      </w:tblGrid>
      <w:tr w:rsidR="00083818" w14:paraId="55F648BE" w14:textId="77777777" w:rsidTr="003A7FAC">
        <w:trPr>
          <w:trHeight w:val="480"/>
          <w:tblHeader/>
        </w:trPr>
        <w:tc>
          <w:tcPr>
            <w:tcW w:w="9360" w:type="dxa"/>
            <w:gridSpan w:val="3"/>
            <w:shd w:val="clear" w:color="auto" w:fill="E2EFD9"/>
            <w:tcMar>
              <w:top w:w="100" w:type="dxa"/>
              <w:left w:w="100" w:type="dxa"/>
              <w:bottom w:w="100" w:type="dxa"/>
              <w:right w:w="100" w:type="dxa"/>
            </w:tcMar>
          </w:tcPr>
          <w:p w14:paraId="59903B04" w14:textId="77777777" w:rsidR="00E624F9" w:rsidRPr="00E624F9" w:rsidRDefault="00E624F9" w:rsidP="00E624F9">
            <w:pPr>
              <w:ind w:left="0" w:right="-432"/>
              <w:jc w:val="center"/>
              <w:rPr>
                <w:b/>
              </w:rPr>
            </w:pPr>
            <w:r w:rsidRPr="00E624F9">
              <w:rPr>
                <w:b/>
              </w:rPr>
              <w:t>Table 1</w:t>
            </w:r>
          </w:p>
          <w:p w14:paraId="4C7C41D4" w14:textId="0D350151" w:rsidR="00083818" w:rsidRPr="00E624F9" w:rsidRDefault="00E624F9" w:rsidP="00E624F9">
            <w:pPr>
              <w:spacing w:after="120"/>
              <w:ind w:left="1440" w:right="14" w:hanging="360"/>
              <w:contextualSpacing/>
              <w:outlineLvl w:val="0"/>
            </w:pPr>
            <w:r w:rsidRPr="00E624F9">
              <w:rPr>
                <w:b/>
              </w:rPr>
              <w:t>Cleaner Air Oregon Annual Fees for Air Contaminant Discharge Permittees</w:t>
            </w:r>
          </w:p>
        </w:tc>
      </w:tr>
      <w:tr w:rsidR="00083818" w14:paraId="71F75E2F" w14:textId="77777777" w:rsidTr="003A7FAC">
        <w:trPr>
          <w:trHeight w:val="332"/>
        </w:trPr>
        <w:tc>
          <w:tcPr>
            <w:tcW w:w="6105" w:type="dxa"/>
            <w:gridSpan w:val="2"/>
            <w:shd w:val="clear" w:color="auto" w:fill="auto"/>
            <w:tcMar>
              <w:top w:w="100" w:type="dxa"/>
              <w:left w:w="100" w:type="dxa"/>
              <w:bottom w:w="100" w:type="dxa"/>
              <w:right w:w="100" w:type="dxa"/>
            </w:tcMar>
          </w:tcPr>
          <w:p w14:paraId="645192FD" w14:textId="77777777" w:rsidR="00083818" w:rsidRDefault="00FC36AC">
            <w:pPr>
              <w:ind w:left="100" w:right="-432"/>
            </w:pPr>
            <w:r>
              <w:t xml:space="preserve">a. </w:t>
            </w:r>
            <w:r>
              <w:rPr>
                <w:sz w:val="14"/>
                <w:szCs w:val="14"/>
              </w:rPr>
              <w:t xml:space="preserve">    </w:t>
            </w:r>
            <w:r>
              <w:t>Basic ACDP</w:t>
            </w:r>
          </w:p>
        </w:tc>
        <w:tc>
          <w:tcPr>
            <w:tcW w:w="3255" w:type="dxa"/>
            <w:shd w:val="clear" w:color="auto" w:fill="auto"/>
            <w:tcMar>
              <w:top w:w="100" w:type="dxa"/>
              <w:left w:w="100" w:type="dxa"/>
              <w:bottom w:w="100" w:type="dxa"/>
              <w:right w:w="100" w:type="dxa"/>
            </w:tcMar>
          </w:tcPr>
          <w:p w14:paraId="2880D851" w14:textId="1D6EA07B" w:rsidR="00083818" w:rsidRDefault="002927CD">
            <w:pPr>
              <w:ind w:left="100" w:right="-432"/>
            </w:pPr>
            <w:r>
              <w:t>$106</w:t>
            </w:r>
            <w:r w:rsidR="00FC36AC">
              <w:t>.00</w:t>
            </w:r>
          </w:p>
        </w:tc>
      </w:tr>
      <w:tr w:rsidR="00083818" w14:paraId="49131D58" w14:textId="77777777" w:rsidTr="003A7FAC">
        <w:trPr>
          <w:trHeight w:val="368"/>
        </w:trPr>
        <w:tc>
          <w:tcPr>
            <w:tcW w:w="3255" w:type="dxa"/>
            <w:shd w:val="clear" w:color="auto" w:fill="auto"/>
            <w:tcMar>
              <w:top w:w="100" w:type="dxa"/>
              <w:left w:w="100" w:type="dxa"/>
              <w:bottom w:w="100" w:type="dxa"/>
              <w:right w:w="100" w:type="dxa"/>
            </w:tcMar>
          </w:tcPr>
          <w:p w14:paraId="39E52B35" w14:textId="77777777" w:rsidR="00083818" w:rsidRDefault="00FC36AC">
            <w:pPr>
              <w:ind w:left="100" w:right="-432"/>
            </w:pPr>
            <w:r>
              <w:t xml:space="preserve">b. </w:t>
            </w:r>
            <w:r>
              <w:rPr>
                <w:sz w:val="14"/>
                <w:szCs w:val="14"/>
              </w:rPr>
              <w:t xml:space="preserve">   </w:t>
            </w:r>
            <w:r>
              <w:t>General ACDP</w:t>
            </w:r>
          </w:p>
        </w:tc>
        <w:tc>
          <w:tcPr>
            <w:tcW w:w="2850" w:type="dxa"/>
            <w:shd w:val="clear" w:color="auto" w:fill="auto"/>
            <w:tcMar>
              <w:top w:w="100" w:type="dxa"/>
              <w:left w:w="100" w:type="dxa"/>
              <w:bottom w:w="100" w:type="dxa"/>
              <w:right w:w="100" w:type="dxa"/>
            </w:tcMar>
          </w:tcPr>
          <w:p w14:paraId="27B76D18" w14:textId="129C52F9" w:rsidR="00083818" w:rsidRDefault="00FC36AC">
            <w:pPr>
              <w:ind w:left="100" w:right="-432"/>
            </w:pPr>
            <w:r>
              <w:t>(A) Fee Class One</w:t>
            </w:r>
            <w:r w:rsidR="00771AC5">
              <w:t>*</w:t>
            </w:r>
          </w:p>
        </w:tc>
        <w:tc>
          <w:tcPr>
            <w:tcW w:w="3255" w:type="dxa"/>
            <w:shd w:val="clear" w:color="auto" w:fill="auto"/>
            <w:tcMar>
              <w:top w:w="100" w:type="dxa"/>
              <w:left w:w="100" w:type="dxa"/>
              <w:bottom w:w="100" w:type="dxa"/>
              <w:right w:w="100" w:type="dxa"/>
            </w:tcMar>
          </w:tcPr>
          <w:p w14:paraId="42E0E738" w14:textId="3E97977A" w:rsidR="00083818" w:rsidRDefault="002927CD">
            <w:pPr>
              <w:ind w:left="100" w:right="-432"/>
            </w:pPr>
            <w:r>
              <w:t>$213</w:t>
            </w:r>
            <w:r w:rsidR="00FC36AC">
              <w:t>.00</w:t>
            </w:r>
          </w:p>
        </w:tc>
      </w:tr>
      <w:tr w:rsidR="00083818" w14:paraId="0CA8CAB7" w14:textId="77777777" w:rsidTr="003A7FAC">
        <w:trPr>
          <w:trHeight w:val="395"/>
        </w:trPr>
        <w:tc>
          <w:tcPr>
            <w:tcW w:w="3255" w:type="dxa"/>
            <w:shd w:val="clear" w:color="auto" w:fill="auto"/>
            <w:tcMar>
              <w:top w:w="100" w:type="dxa"/>
              <w:left w:w="100" w:type="dxa"/>
              <w:bottom w:w="100" w:type="dxa"/>
              <w:right w:w="100" w:type="dxa"/>
            </w:tcMar>
          </w:tcPr>
          <w:p w14:paraId="7D59962D" w14:textId="77777777" w:rsidR="00083818" w:rsidRDefault="00FC36AC">
            <w:pPr>
              <w:ind w:left="100" w:right="-432"/>
            </w:pPr>
            <w:r>
              <w:t xml:space="preserve"> </w:t>
            </w:r>
          </w:p>
        </w:tc>
        <w:tc>
          <w:tcPr>
            <w:tcW w:w="2850" w:type="dxa"/>
            <w:shd w:val="clear" w:color="auto" w:fill="auto"/>
            <w:tcMar>
              <w:top w:w="100" w:type="dxa"/>
              <w:left w:w="100" w:type="dxa"/>
              <w:bottom w:w="100" w:type="dxa"/>
              <w:right w:w="100" w:type="dxa"/>
            </w:tcMar>
          </w:tcPr>
          <w:p w14:paraId="70E33B0C" w14:textId="77777777" w:rsidR="00083818" w:rsidRDefault="00FC36AC">
            <w:pPr>
              <w:ind w:left="100" w:right="-432"/>
            </w:pPr>
            <w:r>
              <w:t>(B) Fee Class Two</w:t>
            </w:r>
          </w:p>
        </w:tc>
        <w:tc>
          <w:tcPr>
            <w:tcW w:w="3255" w:type="dxa"/>
            <w:shd w:val="clear" w:color="auto" w:fill="auto"/>
            <w:tcMar>
              <w:top w:w="100" w:type="dxa"/>
              <w:left w:w="100" w:type="dxa"/>
              <w:bottom w:w="100" w:type="dxa"/>
              <w:right w:w="100" w:type="dxa"/>
            </w:tcMar>
          </w:tcPr>
          <w:p w14:paraId="585D418E" w14:textId="4DC955BD" w:rsidR="00083818" w:rsidRDefault="002927CD">
            <w:pPr>
              <w:ind w:left="100" w:right="-432"/>
            </w:pPr>
            <w:r>
              <w:t>$383</w:t>
            </w:r>
            <w:r w:rsidR="00FC36AC">
              <w:t>.00</w:t>
            </w:r>
          </w:p>
        </w:tc>
      </w:tr>
      <w:tr w:rsidR="00083818" w14:paraId="55DF9933" w14:textId="77777777" w:rsidTr="003A7FAC">
        <w:trPr>
          <w:trHeight w:val="350"/>
        </w:trPr>
        <w:tc>
          <w:tcPr>
            <w:tcW w:w="3255" w:type="dxa"/>
            <w:shd w:val="clear" w:color="auto" w:fill="auto"/>
            <w:tcMar>
              <w:top w:w="100" w:type="dxa"/>
              <w:left w:w="100" w:type="dxa"/>
              <w:bottom w:w="100" w:type="dxa"/>
              <w:right w:w="100" w:type="dxa"/>
            </w:tcMar>
          </w:tcPr>
          <w:p w14:paraId="4275980F" w14:textId="77777777" w:rsidR="00083818" w:rsidRDefault="00FC36AC">
            <w:pPr>
              <w:ind w:left="100" w:right="-432"/>
            </w:pPr>
            <w:r>
              <w:t xml:space="preserve"> </w:t>
            </w:r>
          </w:p>
        </w:tc>
        <w:tc>
          <w:tcPr>
            <w:tcW w:w="2850" w:type="dxa"/>
            <w:shd w:val="clear" w:color="auto" w:fill="auto"/>
            <w:tcMar>
              <w:top w:w="100" w:type="dxa"/>
              <w:left w:w="100" w:type="dxa"/>
              <w:bottom w:w="100" w:type="dxa"/>
              <w:right w:w="100" w:type="dxa"/>
            </w:tcMar>
          </w:tcPr>
          <w:p w14:paraId="34575F87" w14:textId="77777777" w:rsidR="00083818" w:rsidRDefault="00FC36AC">
            <w:pPr>
              <w:ind w:left="100" w:right="-432"/>
            </w:pPr>
            <w:r>
              <w:t>(C) Fee Class Three</w:t>
            </w:r>
          </w:p>
        </w:tc>
        <w:tc>
          <w:tcPr>
            <w:tcW w:w="3255" w:type="dxa"/>
            <w:shd w:val="clear" w:color="auto" w:fill="auto"/>
            <w:tcMar>
              <w:top w:w="100" w:type="dxa"/>
              <w:left w:w="100" w:type="dxa"/>
              <w:bottom w:w="100" w:type="dxa"/>
              <w:right w:w="100" w:type="dxa"/>
            </w:tcMar>
          </w:tcPr>
          <w:p w14:paraId="16F87CFC" w14:textId="2FFC4CDA" w:rsidR="00083818" w:rsidRDefault="002927CD">
            <w:pPr>
              <w:ind w:left="100" w:right="-432"/>
            </w:pPr>
            <w:r>
              <w:t>$553</w:t>
            </w:r>
            <w:r w:rsidR="00FC36AC">
              <w:t>.00</w:t>
            </w:r>
          </w:p>
        </w:tc>
      </w:tr>
      <w:tr w:rsidR="00083818" w14:paraId="474195B1" w14:textId="77777777" w:rsidTr="003A7FAC">
        <w:trPr>
          <w:trHeight w:val="480"/>
        </w:trPr>
        <w:tc>
          <w:tcPr>
            <w:tcW w:w="3255" w:type="dxa"/>
            <w:shd w:val="clear" w:color="auto" w:fill="auto"/>
            <w:tcMar>
              <w:top w:w="100" w:type="dxa"/>
              <w:left w:w="100" w:type="dxa"/>
              <w:bottom w:w="100" w:type="dxa"/>
              <w:right w:w="100" w:type="dxa"/>
            </w:tcMar>
          </w:tcPr>
          <w:p w14:paraId="7E052891" w14:textId="77777777" w:rsidR="00083818" w:rsidRDefault="00FC36AC">
            <w:pPr>
              <w:ind w:left="100" w:right="-432"/>
            </w:pPr>
            <w:r>
              <w:t xml:space="preserve"> </w:t>
            </w:r>
          </w:p>
        </w:tc>
        <w:tc>
          <w:tcPr>
            <w:tcW w:w="2850" w:type="dxa"/>
            <w:shd w:val="clear" w:color="auto" w:fill="auto"/>
            <w:tcMar>
              <w:top w:w="100" w:type="dxa"/>
              <w:left w:w="100" w:type="dxa"/>
              <w:bottom w:w="100" w:type="dxa"/>
              <w:right w:w="100" w:type="dxa"/>
            </w:tcMar>
          </w:tcPr>
          <w:p w14:paraId="26F24A39" w14:textId="77777777" w:rsidR="00083818" w:rsidRDefault="00FC36AC">
            <w:pPr>
              <w:ind w:left="100" w:right="-432"/>
            </w:pPr>
            <w:r>
              <w:t>(D) Fee Class Four</w:t>
            </w:r>
          </w:p>
        </w:tc>
        <w:tc>
          <w:tcPr>
            <w:tcW w:w="3255" w:type="dxa"/>
            <w:shd w:val="clear" w:color="auto" w:fill="auto"/>
            <w:tcMar>
              <w:top w:w="100" w:type="dxa"/>
              <w:left w:w="100" w:type="dxa"/>
              <w:bottom w:w="100" w:type="dxa"/>
              <w:right w:w="100" w:type="dxa"/>
            </w:tcMar>
          </w:tcPr>
          <w:p w14:paraId="381636D0" w14:textId="60EDEEEC" w:rsidR="00083818" w:rsidRDefault="002927CD">
            <w:pPr>
              <w:ind w:left="100" w:right="-432"/>
            </w:pPr>
            <w:r>
              <w:t>$106</w:t>
            </w:r>
            <w:r w:rsidR="00FC36AC">
              <w:t>.00</w:t>
            </w:r>
          </w:p>
        </w:tc>
      </w:tr>
      <w:tr w:rsidR="00083818" w14:paraId="410F3243" w14:textId="77777777" w:rsidTr="003A7FAC">
        <w:trPr>
          <w:trHeight w:val="395"/>
        </w:trPr>
        <w:tc>
          <w:tcPr>
            <w:tcW w:w="3255" w:type="dxa"/>
            <w:shd w:val="clear" w:color="auto" w:fill="auto"/>
            <w:tcMar>
              <w:top w:w="100" w:type="dxa"/>
              <w:left w:w="100" w:type="dxa"/>
              <w:bottom w:w="100" w:type="dxa"/>
              <w:right w:w="100" w:type="dxa"/>
            </w:tcMar>
          </w:tcPr>
          <w:p w14:paraId="3A186FC2" w14:textId="77777777" w:rsidR="00083818" w:rsidRDefault="00FC36AC">
            <w:pPr>
              <w:ind w:left="100" w:right="-432"/>
            </w:pPr>
            <w:r>
              <w:t xml:space="preserve"> </w:t>
            </w:r>
          </w:p>
        </w:tc>
        <w:tc>
          <w:tcPr>
            <w:tcW w:w="2850" w:type="dxa"/>
            <w:shd w:val="clear" w:color="auto" w:fill="auto"/>
            <w:tcMar>
              <w:top w:w="100" w:type="dxa"/>
              <w:left w:w="100" w:type="dxa"/>
              <w:bottom w:w="100" w:type="dxa"/>
              <w:right w:w="100" w:type="dxa"/>
            </w:tcMar>
          </w:tcPr>
          <w:p w14:paraId="568431C1" w14:textId="77777777" w:rsidR="00083818" w:rsidRDefault="00FC36AC">
            <w:pPr>
              <w:ind w:left="100" w:right="-432"/>
            </w:pPr>
            <w:r>
              <w:t>(E) Fee Class Five</w:t>
            </w:r>
          </w:p>
        </w:tc>
        <w:tc>
          <w:tcPr>
            <w:tcW w:w="3255" w:type="dxa"/>
            <w:shd w:val="clear" w:color="auto" w:fill="auto"/>
            <w:tcMar>
              <w:top w:w="100" w:type="dxa"/>
              <w:left w:w="100" w:type="dxa"/>
              <w:bottom w:w="100" w:type="dxa"/>
              <w:right w:w="100" w:type="dxa"/>
            </w:tcMar>
          </w:tcPr>
          <w:p w14:paraId="28758F82" w14:textId="7DDFFDD3" w:rsidR="00083818" w:rsidRDefault="002927CD">
            <w:pPr>
              <w:ind w:left="100" w:right="-432"/>
            </w:pPr>
            <w:r>
              <w:t>$ 35</w:t>
            </w:r>
            <w:r w:rsidR="00FC36AC">
              <w:t>.00</w:t>
            </w:r>
          </w:p>
        </w:tc>
      </w:tr>
      <w:tr w:rsidR="00083818" w14:paraId="7D9DEB03" w14:textId="77777777" w:rsidTr="003A7FAC">
        <w:trPr>
          <w:trHeight w:val="341"/>
        </w:trPr>
        <w:tc>
          <w:tcPr>
            <w:tcW w:w="3255" w:type="dxa"/>
            <w:shd w:val="clear" w:color="auto" w:fill="auto"/>
            <w:tcMar>
              <w:top w:w="100" w:type="dxa"/>
              <w:left w:w="100" w:type="dxa"/>
              <w:bottom w:w="100" w:type="dxa"/>
              <w:right w:w="100" w:type="dxa"/>
            </w:tcMar>
          </w:tcPr>
          <w:p w14:paraId="7F080B7A" w14:textId="77777777" w:rsidR="00083818" w:rsidRDefault="00FC36AC">
            <w:pPr>
              <w:ind w:left="100" w:right="-432"/>
            </w:pPr>
            <w:r>
              <w:t xml:space="preserve"> </w:t>
            </w:r>
          </w:p>
        </w:tc>
        <w:tc>
          <w:tcPr>
            <w:tcW w:w="2850" w:type="dxa"/>
            <w:shd w:val="clear" w:color="auto" w:fill="auto"/>
            <w:tcMar>
              <w:top w:w="100" w:type="dxa"/>
              <w:left w:w="100" w:type="dxa"/>
              <w:bottom w:w="100" w:type="dxa"/>
              <w:right w:w="100" w:type="dxa"/>
            </w:tcMar>
          </w:tcPr>
          <w:p w14:paraId="72AD5109" w14:textId="77777777" w:rsidR="00083818" w:rsidRDefault="00FC36AC">
            <w:pPr>
              <w:ind w:left="100" w:right="-432"/>
            </w:pPr>
            <w:r>
              <w:t>(F) Fee Class Six</w:t>
            </w:r>
          </w:p>
        </w:tc>
        <w:tc>
          <w:tcPr>
            <w:tcW w:w="3255" w:type="dxa"/>
            <w:shd w:val="clear" w:color="auto" w:fill="auto"/>
            <w:tcMar>
              <w:top w:w="100" w:type="dxa"/>
              <w:left w:w="100" w:type="dxa"/>
              <w:bottom w:w="100" w:type="dxa"/>
              <w:right w:w="100" w:type="dxa"/>
            </w:tcMar>
          </w:tcPr>
          <w:p w14:paraId="7E0AC113" w14:textId="0D220978" w:rsidR="00083818" w:rsidRDefault="002927CD">
            <w:pPr>
              <w:ind w:left="100" w:right="-432"/>
            </w:pPr>
            <w:r>
              <w:t>$ 71</w:t>
            </w:r>
            <w:r w:rsidR="00FC36AC">
              <w:t>.00</w:t>
            </w:r>
          </w:p>
        </w:tc>
      </w:tr>
      <w:tr w:rsidR="00083818" w14:paraId="31C54F60" w14:textId="77777777" w:rsidTr="003A7FAC">
        <w:trPr>
          <w:trHeight w:val="341"/>
        </w:trPr>
        <w:tc>
          <w:tcPr>
            <w:tcW w:w="3255" w:type="dxa"/>
            <w:shd w:val="clear" w:color="auto" w:fill="auto"/>
            <w:tcMar>
              <w:top w:w="100" w:type="dxa"/>
              <w:left w:w="100" w:type="dxa"/>
              <w:bottom w:w="100" w:type="dxa"/>
              <w:right w:w="100" w:type="dxa"/>
            </w:tcMar>
          </w:tcPr>
          <w:p w14:paraId="2E4DCEB2" w14:textId="77777777" w:rsidR="00083818" w:rsidRDefault="00FC36AC">
            <w:pPr>
              <w:ind w:left="100" w:right="-432"/>
            </w:pPr>
            <w:r>
              <w:t xml:space="preserve">c. </w:t>
            </w:r>
            <w:r>
              <w:rPr>
                <w:sz w:val="14"/>
                <w:szCs w:val="14"/>
              </w:rPr>
              <w:t xml:space="preserve">    </w:t>
            </w:r>
            <w:r>
              <w:t>Simple ACDP</w:t>
            </w:r>
          </w:p>
        </w:tc>
        <w:tc>
          <w:tcPr>
            <w:tcW w:w="2850" w:type="dxa"/>
            <w:shd w:val="clear" w:color="auto" w:fill="auto"/>
            <w:tcMar>
              <w:top w:w="100" w:type="dxa"/>
              <w:left w:w="100" w:type="dxa"/>
              <w:bottom w:w="100" w:type="dxa"/>
              <w:right w:w="100" w:type="dxa"/>
            </w:tcMar>
          </w:tcPr>
          <w:p w14:paraId="79FF5F33" w14:textId="77777777" w:rsidR="00083818" w:rsidRDefault="00FC36AC">
            <w:pPr>
              <w:ind w:left="100" w:right="-432"/>
            </w:pPr>
            <w:r>
              <w:t>(A) Low Fee</w:t>
            </w:r>
          </w:p>
        </w:tc>
        <w:tc>
          <w:tcPr>
            <w:tcW w:w="3255" w:type="dxa"/>
            <w:shd w:val="clear" w:color="auto" w:fill="auto"/>
            <w:tcMar>
              <w:top w:w="100" w:type="dxa"/>
              <w:left w:w="100" w:type="dxa"/>
              <w:bottom w:w="100" w:type="dxa"/>
              <w:right w:w="100" w:type="dxa"/>
            </w:tcMar>
          </w:tcPr>
          <w:p w14:paraId="54F40DE1" w14:textId="28FD9A30" w:rsidR="00083818" w:rsidRDefault="002927CD">
            <w:pPr>
              <w:ind w:left="100" w:right="-432"/>
            </w:pPr>
            <w:r>
              <w:t>$568</w:t>
            </w:r>
            <w:r w:rsidR="00FC36AC">
              <w:t>.00</w:t>
            </w:r>
          </w:p>
        </w:tc>
      </w:tr>
      <w:tr w:rsidR="00083818" w14:paraId="48207503" w14:textId="77777777" w:rsidTr="003A7FAC">
        <w:trPr>
          <w:trHeight w:val="341"/>
        </w:trPr>
        <w:tc>
          <w:tcPr>
            <w:tcW w:w="3255" w:type="dxa"/>
            <w:shd w:val="clear" w:color="auto" w:fill="auto"/>
            <w:tcMar>
              <w:top w:w="100" w:type="dxa"/>
              <w:left w:w="100" w:type="dxa"/>
              <w:bottom w:w="100" w:type="dxa"/>
              <w:right w:w="100" w:type="dxa"/>
            </w:tcMar>
          </w:tcPr>
          <w:p w14:paraId="7982D928" w14:textId="77777777" w:rsidR="00083818" w:rsidRDefault="00FC36AC">
            <w:pPr>
              <w:ind w:left="100" w:right="-432"/>
            </w:pPr>
            <w:r>
              <w:t xml:space="preserve"> </w:t>
            </w:r>
          </w:p>
        </w:tc>
        <w:tc>
          <w:tcPr>
            <w:tcW w:w="2850" w:type="dxa"/>
            <w:shd w:val="clear" w:color="auto" w:fill="auto"/>
            <w:tcMar>
              <w:top w:w="100" w:type="dxa"/>
              <w:left w:w="100" w:type="dxa"/>
              <w:bottom w:w="100" w:type="dxa"/>
              <w:right w:w="100" w:type="dxa"/>
            </w:tcMar>
          </w:tcPr>
          <w:p w14:paraId="2BD1D815" w14:textId="77777777" w:rsidR="00083818" w:rsidRDefault="00FC36AC">
            <w:pPr>
              <w:ind w:left="100" w:right="-432"/>
            </w:pPr>
            <w:r>
              <w:t>(B) High Fee</w:t>
            </w:r>
          </w:p>
        </w:tc>
        <w:tc>
          <w:tcPr>
            <w:tcW w:w="3255" w:type="dxa"/>
            <w:shd w:val="clear" w:color="auto" w:fill="auto"/>
            <w:tcMar>
              <w:top w:w="100" w:type="dxa"/>
              <w:left w:w="100" w:type="dxa"/>
              <w:bottom w:w="100" w:type="dxa"/>
              <w:right w:w="100" w:type="dxa"/>
            </w:tcMar>
          </w:tcPr>
          <w:p w14:paraId="2C5B5D8B" w14:textId="3A5E63A3" w:rsidR="00083818" w:rsidRDefault="002927CD">
            <w:pPr>
              <w:ind w:left="100" w:right="-432"/>
            </w:pPr>
            <w:r>
              <w:t>$1,136</w:t>
            </w:r>
            <w:r w:rsidR="00FC36AC">
              <w:t>.00</w:t>
            </w:r>
          </w:p>
        </w:tc>
      </w:tr>
      <w:tr w:rsidR="00083818" w14:paraId="6B1F4178" w14:textId="77777777" w:rsidTr="003A7FAC">
        <w:trPr>
          <w:trHeight w:val="341"/>
        </w:trPr>
        <w:tc>
          <w:tcPr>
            <w:tcW w:w="3255" w:type="dxa"/>
            <w:shd w:val="clear" w:color="auto" w:fill="auto"/>
            <w:tcMar>
              <w:top w:w="100" w:type="dxa"/>
              <w:left w:w="100" w:type="dxa"/>
              <w:bottom w:w="100" w:type="dxa"/>
              <w:right w:w="100" w:type="dxa"/>
            </w:tcMar>
          </w:tcPr>
          <w:p w14:paraId="2035D3ED" w14:textId="77777777" w:rsidR="00083818" w:rsidRDefault="00FC36AC">
            <w:pPr>
              <w:ind w:left="100" w:right="-432"/>
            </w:pPr>
            <w:r>
              <w:t xml:space="preserve">d. </w:t>
            </w:r>
            <w:r>
              <w:rPr>
                <w:sz w:val="14"/>
                <w:szCs w:val="14"/>
              </w:rPr>
              <w:t xml:space="preserve">   </w:t>
            </w:r>
            <w:r>
              <w:t>Standard ACDP</w:t>
            </w:r>
          </w:p>
        </w:tc>
        <w:tc>
          <w:tcPr>
            <w:tcW w:w="2850" w:type="dxa"/>
            <w:shd w:val="clear" w:color="auto" w:fill="auto"/>
            <w:tcMar>
              <w:top w:w="100" w:type="dxa"/>
              <w:left w:w="100" w:type="dxa"/>
              <w:bottom w:w="100" w:type="dxa"/>
              <w:right w:w="100" w:type="dxa"/>
            </w:tcMar>
          </w:tcPr>
          <w:p w14:paraId="4C0FEAC9" w14:textId="77777777" w:rsidR="00083818" w:rsidRDefault="00FC36AC">
            <w:pPr>
              <w:ind w:left="100" w:right="-432"/>
            </w:pPr>
            <w:r>
              <w:t xml:space="preserve"> </w:t>
            </w:r>
          </w:p>
        </w:tc>
        <w:tc>
          <w:tcPr>
            <w:tcW w:w="3255" w:type="dxa"/>
            <w:shd w:val="clear" w:color="auto" w:fill="auto"/>
            <w:tcMar>
              <w:top w:w="100" w:type="dxa"/>
              <w:left w:w="100" w:type="dxa"/>
              <w:bottom w:w="100" w:type="dxa"/>
              <w:right w:w="100" w:type="dxa"/>
            </w:tcMar>
          </w:tcPr>
          <w:p w14:paraId="19AF09FF" w14:textId="61FA1DE0" w:rsidR="00083818" w:rsidRDefault="002927CD">
            <w:pPr>
              <w:ind w:left="100" w:right="-432"/>
            </w:pPr>
            <w:r>
              <w:t>$2,27</w:t>
            </w:r>
            <w:r w:rsidR="00FC36AC">
              <w:t>1.00</w:t>
            </w:r>
          </w:p>
        </w:tc>
      </w:tr>
    </w:tbl>
    <w:p w14:paraId="291F7D86" w14:textId="02D0D620" w:rsidR="00083818" w:rsidRDefault="00771AC5">
      <w:pPr>
        <w:ind w:left="0" w:right="-432"/>
      </w:pPr>
      <w:r>
        <w:t>*The fee classes are defined in OAR 340-216-0060 for the different types of General Permits.</w:t>
      </w:r>
    </w:p>
    <w:p w14:paraId="675464CE" w14:textId="77777777" w:rsidR="00771AC5" w:rsidRDefault="00771AC5">
      <w:pPr>
        <w:ind w:left="0" w:right="-432"/>
      </w:pPr>
    </w:p>
    <w:p w14:paraId="20B349FE" w14:textId="77777777" w:rsidR="00771AC5" w:rsidRDefault="00771AC5">
      <w:pPr>
        <w:ind w:left="0" w:right="-432"/>
      </w:pPr>
    </w:p>
    <w:p w14:paraId="381F4AEE" w14:textId="77777777" w:rsidR="00083818" w:rsidRDefault="00083818">
      <w:pPr>
        <w:ind w:left="0" w:right="-432"/>
      </w:pPr>
    </w:p>
    <w:tbl>
      <w:tblPr>
        <w:tblStyle w:val="ab"/>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83818" w14:paraId="1FB43723" w14:textId="77777777" w:rsidTr="0036094D">
        <w:tc>
          <w:tcPr>
            <w:tcW w:w="9360" w:type="dxa"/>
            <w:tcBorders>
              <w:top w:val="single" w:sz="7" w:space="0" w:color="000000"/>
              <w:left w:val="single" w:sz="7" w:space="0" w:color="000000"/>
              <w:bottom w:val="single" w:sz="7" w:space="0" w:color="000000"/>
              <w:right w:val="single" w:sz="7" w:space="0" w:color="000000"/>
            </w:tcBorders>
            <w:shd w:val="clear" w:color="auto" w:fill="E2EFD9"/>
            <w:tcMar>
              <w:top w:w="100" w:type="dxa"/>
              <w:left w:w="100" w:type="dxa"/>
              <w:bottom w:w="100" w:type="dxa"/>
              <w:right w:w="100" w:type="dxa"/>
            </w:tcMar>
          </w:tcPr>
          <w:p w14:paraId="238A70B8" w14:textId="77777777" w:rsidR="00083818" w:rsidRDefault="00FC36AC">
            <w:pPr>
              <w:ind w:left="0" w:right="-432"/>
              <w:jc w:val="center"/>
              <w:rPr>
                <w:b/>
              </w:rPr>
            </w:pPr>
            <w:r>
              <w:rPr>
                <w:b/>
              </w:rPr>
              <w:t>Table 2</w:t>
            </w:r>
          </w:p>
          <w:p w14:paraId="1112F7AC" w14:textId="77777777" w:rsidR="00083818" w:rsidRDefault="00FC36AC">
            <w:pPr>
              <w:ind w:left="0" w:right="-432"/>
              <w:jc w:val="center"/>
              <w:rPr>
                <w:b/>
              </w:rPr>
            </w:pPr>
            <w:r>
              <w:rPr>
                <w:b/>
              </w:rPr>
              <w:t>Cleaner Air Oregon Annual Fees for Title V Permittees</w:t>
            </w:r>
          </w:p>
        </w:tc>
      </w:tr>
      <w:tr w:rsidR="00083818" w14:paraId="14EFBEDB" w14:textId="77777777">
        <w:trPr>
          <w:trHeight w:val="440"/>
        </w:trPr>
        <w:tc>
          <w:tcPr>
            <w:tcW w:w="9360" w:type="dxa"/>
            <w:shd w:val="clear" w:color="auto" w:fill="auto"/>
            <w:tcMar>
              <w:top w:w="100" w:type="dxa"/>
              <w:left w:w="100" w:type="dxa"/>
              <w:bottom w:w="100" w:type="dxa"/>
              <w:right w:w="100" w:type="dxa"/>
            </w:tcMar>
          </w:tcPr>
          <w:p w14:paraId="5FB3EF49" w14:textId="185E1F7B" w:rsidR="00083818" w:rsidRDefault="002927CD">
            <w:pPr>
              <w:widowControl w:val="0"/>
              <w:ind w:left="0" w:right="0"/>
            </w:pPr>
            <w:r>
              <w:t>24.6</w:t>
            </w:r>
            <w:r w:rsidR="00FC36AC">
              <w:t xml:space="preserve"> percent of the following:</w:t>
            </w:r>
          </w:p>
        </w:tc>
      </w:tr>
      <w:tr w:rsidR="00083818" w14:paraId="6DBAEB3B" w14:textId="77777777">
        <w:trPr>
          <w:trHeight w:val="440"/>
        </w:trPr>
        <w:tc>
          <w:tcPr>
            <w:tcW w:w="9360" w:type="dxa"/>
            <w:shd w:val="clear" w:color="auto" w:fill="auto"/>
            <w:tcMar>
              <w:top w:w="100" w:type="dxa"/>
              <w:left w:w="100" w:type="dxa"/>
              <w:bottom w:w="100" w:type="dxa"/>
              <w:right w:w="100" w:type="dxa"/>
            </w:tcMar>
          </w:tcPr>
          <w:p w14:paraId="4C798A49" w14:textId="77777777" w:rsidR="00083818" w:rsidRDefault="00FC36AC">
            <w:pPr>
              <w:widowControl w:val="0"/>
              <w:ind w:left="0" w:right="0"/>
            </w:pPr>
            <w:r>
              <w:t>(a) The applicable annual base fee under OAR 340-220-0030 (for the period of November 15 of the current year to November 14 of the following year); and</w:t>
            </w:r>
          </w:p>
        </w:tc>
      </w:tr>
      <w:tr w:rsidR="00083818" w14:paraId="2C9BD8D3" w14:textId="77777777">
        <w:trPr>
          <w:trHeight w:val="440"/>
        </w:trPr>
        <w:tc>
          <w:tcPr>
            <w:tcW w:w="9360" w:type="dxa"/>
            <w:shd w:val="clear" w:color="auto" w:fill="auto"/>
            <w:tcMar>
              <w:top w:w="100" w:type="dxa"/>
              <w:left w:w="100" w:type="dxa"/>
              <w:bottom w:w="100" w:type="dxa"/>
              <w:right w:w="100" w:type="dxa"/>
            </w:tcMar>
          </w:tcPr>
          <w:p w14:paraId="36DF3909" w14:textId="77777777" w:rsidR="00083818" w:rsidRDefault="00FC36AC">
            <w:pPr>
              <w:widowControl w:val="0"/>
              <w:ind w:left="0" w:right="0"/>
            </w:pPr>
            <w:r>
              <w:t>(b) The applicable annual emission fee under OAR 340-220-0040 (for emissions during the previous calendar year).</w:t>
            </w:r>
          </w:p>
        </w:tc>
      </w:tr>
    </w:tbl>
    <w:p w14:paraId="5C77200E" w14:textId="77777777" w:rsidR="002927CD" w:rsidRDefault="002927CD">
      <w:pPr>
        <w:ind w:left="0" w:right="-432"/>
        <w:sectPr w:rsidR="002927CD">
          <w:type w:val="continuous"/>
          <w:pgSz w:w="12240" w:h="15840"/>
          <w:pgMar w:top="1440" w:right="1440" w:bottom="1440" w:left="1440" w:header="0" w:footer="720" w:gutter="0"/>
          <w:cols w:space="720"/>
        </w:sectPr>
      </w:pPr>
    </w:p>
    <w:p w14:paraId="08F2AF2E" w14:textId="52474B17" w:rsidR="00083818" w:rsidRDefault="00083818">
      <w:pPr>
        <w:ind w:left="0" w:right="-432"/>
        <w:jc w:val="center"/>
        <w:rPr>
          <w:b/>
        </w:rPr>
      </w:pPr>
    </w:p>
    <w:tbl>
      <w:tblPr>
        <w:tblW w:w="13440" w:type="dxa"/>
        <w:tblLook w:val="04A0" w:firstRow="1" w:lastRow="0" w:firstColumn="1" w:lastColumn="0" w:noHBand="0" w:noVBand="1"/>
      </w:tblPr>
      <w:tblGrid>
        <w:gridCol w:w="500"/>
        <w:gridCol w:w="8167"/>
        <w:gridCol w:w="964"/>
        <w:gridCol w:w="1137"/>
        <w:gridCol w:w="964"/>
        <w:gridCol w:w="1708"/>
      </w:tblGrid>
      <w:tr w:rsidR="00A957D4" w:rsidRPr="002927CD" w14:paraId="17C854CE" w14:textId="77777777" w:rsidTr="00001174">
        <w:trPr>
          <w:trHeight w:val="300"/>
        </w:trPr>
        <w:tc>
          <w:tcPr>
            <w:tcW w:w="13440" w:type="dxa"/>
            <w:gridSpan w:val="6"/>
            <w:tcBorders>
              <w:top w:val="double" w:sz="6" w:space="0" w:color="auto"/>
              <w:left w:val="double" w:sz="6" w:space="0" w:color="auto"/>
              <w:bottom w:val="single" w:sz="4" w:space="0" w:color="auto"/>
              <w:right w:val="double" w:sz="6" w:space="0" w:color="000000"/>
            </w:tcBorders>
            <w:shd w:val="clear" w:color="auto" w:fill="E2EFD9"/>
            <w:noWrap/>
            <w:vAlign w:val="bottom"/>
          </w:tcPr>
          <w:p w14:paraId="00BD8DC7" w14:textId="77777777" w:rsidR="00A957D4" w:rsidRDefault="00A957D4" w:rsidP="00A957D4">
            <w:pPr>
              <w:ind w:left="0" w:right="-432"/>
              <w:jc w:val="center"/>
              <w:rPr>
                <w:b/>
              </w:rPr>
            </w:pPr>
            <w:r>
              <w:rPr>
                <w:b/>
              </w:rPr>
              <w:t>Table 3</w:t>
            </w:r>
          </w:p>
          <w:p w14:paraId="1378AE6D" w14:textId="02F4BB7A" w:rsidR="00A957D4" w:rsidRPr="002927CD" w:rsidRDefault="00A957D4" w:rsidP="002927CD">
            <w:pPr>
              <w:pBdr>
                <w:top w:val="none" w:sz="0" w:space="0" w:color="auto"/>
                <w:left w:val="none" w:sz="0" w:space="0" w:color="auto"/>
                <w:bottom w:val="none" w:sz="0" w:space="0" w:color="auto"/>
                <w:right w:val="none" w:sz="0" w:space="0" w:color="auto"/>
                <w:between w:val="none" w:sz="0" w:space="0" w:color="auto"/>
              </w:pBdr>
              <w:ind w:left="0" w:right="0"/>
              <w:jc w:val="center"/>
              <w:rPr>
                <w:b/>
                <w:bCs/>
                <w:sz w:val="23"/>
                <w:szCs w:val="23"/>
              </w:rPr>
            </w:pPr>
            <w:r>
              <w:rPr>
                <w:b/>
              </w:rPr>
              <w:t>Cleaner Air Oregon Specific Activity Fees</w:t>
            </w:r>
          </w:p>
        </w:tc>
      </w:tr>
      <w:tr w:rsidR="002927CD" w:rsidRPr="002927CD" w14:paraId="4488FE56" w14:textId="77777777" w:rsidTr="00A957D4">
        <w:trPr>
          <w:trHeight w:val="300"/>
        </w:trPr>
        <w:tc>
          <w:tcPr>
            <w:tcW w:w="500" w:type="dxa"/>
            <w:tcBorders>
              <w:top w:val="double" w:sz="6" w:space="0" w:color="auto"/>
              <w:left w:val="double" w:sz="6" w:space="0" w:color="auto"/>
              <w:bottom w:val="single" w:sz="4" w:space="0" w:color="auto"/>
              <w:right w:val="single" w:sz="4" w:space="0" w:color="auto"/>
            </w:tcBorders>
            <w:shd w:val="clear" w:color="auto" w:fill="C5E0B3"/>
            <w:noWrap/>
            <w:vAlign w:val="bottom"/>
            <w:hideMark/>
          </w:tcPr>
          <w:p w14:paraId="21A6CE36"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center"/>
              <w:rPr>
                <w:b/>
                <w:bCs/>
                <w:sz w:val="23"/>
                <w:szCs w:val="23"/>
              </w:rPr>
            </w:pPr>
            <w:bookmarkStart w:id="10" w:name="RANGE!A1:F29"/>
            <w:r w:rsidRPr="002927CD">
              <w:rPr>
                <w:b/>
                <w:bCs/>
                <w:sz w:val="23"/>
                <w:szCs w:val="23"/>
              </w:rPr>
              <w:t> </w:t>
            </w:r>
            <w:bookmarkEnd w:id="10"/>
          </w:p>
        </w:tc>
        <w:tc>
          <w:tcPr>
            <w:tcW w:w="8167" w:type="dxa"/>
            <w:tcBorders>
              <w:top w:val="double" w:sz="6" w:space="0" w:color="auto"/>
              <w:left w:val="single" w:sz="4" w:space="0" w:color="auto"/>
              <w:bottom w:val="single" w:sz="4" w:space="0" w:color="auto"/>
              <w:right w:val="single" w:sz="4" w:space="0" w:color="auto"/>
            </w:tcBorders>
            <w:shd w:val="clear" w:color="auto" w:fill="C5E0B3"/>
            <w:vAlign w:val="bottom"/>
            <w:hideMark/>
          </w:tcPr>
          <w:p w14:paraId="1741B1CE" w14:textId="77777777" w:rsidR="002927CD" w:rsidRPr="00A957D4" w:rsidRDefault="002927CD" w:rsidP="002927CD">
            <w:pPr>
              <w:pBdr>
                <w:top w:val="none" w:sz="0" w:space="0" w:color="auto"/>
                <w:left w:val="none" w:sz="0" w:space="0" w:color="auto"/>
                <w:bottom w:val="none" w:sz="0" w:space="0" w:color="auto"/>
                <w:right w:val="none" w:sz="0" w:space="0" w:color="auto"/>
                <w:between w:val="none" w:sz="0" w:space="0" w:color="auto"/>
              </w:pBdr>
              <w:ind w:left="0" w:right="0"/>
              <w:rPr>
                <w:b/>
                <w:bCs/>
                <w:sz w:val="23"/>
                <w:szCs w:val="23"/>
              </w:rPr>
            </w:pPr>
            <w:r w:rsidRPr="00A957D4">
              <w:rPr>
                <w:b/>
                <w:bCs/>
                <w:sz w:val="23"/>
                <w:szCs w:val="23"/>
              </w:rPr>
              <w:t> </w:t>
            </w:r>
          </w:p>
        </w:tc>
        <w:tc>
          <w:tcPr>
            <w:tcW w:w="4773" w:type="dxa"/>
            <w:gridSpan w:val="4"/>
            <w:tcBorders>
              <w:top w:val="double" w:sz="6" w:space="0" w:color="auto"/>
              <w:left w:val="nil"/>
              <w:bottom w:val="single" w:sz="4" w:space="0" w:color="auto"/>
              <w:right w:val="double" w:sz="6" w:space="0" w:color="000000"/>
            </w:tcBorders>
            <w:shd w:val="clear" w:color="auto" w:fill="C5E0B3"/>
            <w:vAlign w:val="bottom"/>
            <w:hideMark/>
          </w:tcPr>
          <w:p w14:paraId="4E4EEA8D"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center"/>
              <w:rPr>
                <w:b/>
                <w:bCs/>
                <w:sz w:val="23"/>
                <w:szCs w:val="23"/>
              </w:rPr>
            </w:pPr>
            <w:r w:rsidRPr="002927CD">
              <w:rPr>
                <w:b/>
                <w:bCs/>
                <w:sz w:val="23"/>
                <w:szCs w:val="23"/>
              </w:rPr>
              <w:t>Permit Type</w:t>
            </w:r>
          </w:p>
        </w:tc>
      </w:tr>
      <w:tr w:rsidR="002927CD" w:rsidRPr="002927CD" w14:paraId="534F5B69" w14:textId="77777777" w:rsidTr="00A957D4">
        <w:trPr>
          <w:trHeight w:val="288"/>
        </w:trPr>
        <w:tc>
          <w:tcPr>
            <w:tcW w:w="500" w:type="dxa"/>
            <w:tcBorders>
              <w:top w:val="nil"/>
              <w:left w:val="double" w:sz="6" w:space="0" w:color="auto"/>
              <w:bottom w:val="single" w:sz="4" w:space="0" w:color="auto"/>
              <w:right w:val="single" w:sz="4" w:space="0" w:color="auto"/>
            </w:tcBorders>
            <w:shd w:val="clear" w:color="auto" w:fill="C5E0B3"/>
            <w:noWrap/>
            <w:vAlign w:val="bottom"/>
            <w:hideMark/>
          </w:tcPr>
          <w:p w14:paraId="5691FE49"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center"/>
              <w:rPr>
                <w:b/>
                <w:bCs/>
                <w:sz w:val="23"/>
                <w:szCs w:val="23"/>
              </w:rPr>
            </w:pPr>
            <w:r w:rsidRPr="002927CD">
              <w:rPr>
                <w:b/>
                <w:bCs/>
                <w:sz w:val="23"/>
                <w:szCs w:val="23"/>
              </w:rPr>
              <w:t>#</w:t>
            </w:r>
          </w:p>
        </w:tc>
        <w:tc>
          <w:tcPr>
            <w:tcW w:w="8167" w:type="dxa"/>
            <w:tcBorders>
              <w:top w:val="nil"/>
              <w:left w:val="single" w:sz="4" w:space="0" w:color="auto"/>
              <w:bottom w:val="single" w:sz="4" w:space="0" w:color="auto"/>
              <w:right w:val="single" w:sz="4" w:space="0" w:color="auto"/>
            </w:tcBorders>
            <w:shd w:val="clear" w:color="auto" w:fill="C5E0B3"/>
            <w:vAlign w:val="bottom"/>
            <w:hideMark/>
          </w:tcPr>
          <w:p w14:paraId="39D51694"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rPr>
                <w:b/>
                <w:bCs/>
                <w:sz w:val="23"/>
                <w:szCs w:val="23"/>
              </w:rPr>
            </w:pPr>
            <w:r w:rsidRPr="002927CD">
              <w:rPr>
                <w:b/>
                <w:bCs/>
                <w:sz w:val="23"/>
                <w:szCs w:val="23"/>
              </w:rPr>
              <w:t>ACTIVITY</w:t>
            </w:r>
          </w:p>
        </w:tc>
        <w:tc>
          <w:tcPr>
            <w:tcW w:w="964" w:type="dxa"/>
            <w:tcBorders>
              <w:top w:val="nil"/>
              <w:left w:val="nil"/>
              <w:bottom w:val="single" w:sz="4" w:space="0" w:color="auto"/>
              <w:right w:val="single" w:sz="4" w:space="0" w:color="auto"/>
            </w:tcBorders>
            <w:shd w:val="clear" w:color="auto" w:fill="C5E0B3"/>
            <w:noWrap/>
            <w:vAlign w:val="bottom"/>
            <w:hideMark/>
          </w:tcPr>
          <w:p w14:paraId="3ED0005C"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center"/>
              <w:rPr>
                <w:b/>
                <w:bCs/>
                <w:sz w:val="23"/>
                <w:szCs w:val="23"/>
              </w:rPr>
            </w:pPr>
            <w:r w:rsidRPr="002927CD">
              <w:rPr>
                <w:b/>
                <w:bCs/>
                <w:sz w:val="23"/>
                <w:szCs w:val="23"/>
              </w:rPr>
              <w:t>Title V</w:t>
            </w:r>
          </w:p>
        </w:tc>
        <w:tc>
          <w:tcPr>
            <w:tcW w:w="1137" w:type="dxa"/>
            <w:tcBorders>
              <w:top w:val="nil"/>
              <w:left w:val="nil"/>
              <w:bottom w:val="single" w:sz="4" w:space="0" w:color="auto"/>
              <w:right w:val="single" w:sz="4" w:space="0" w:color="auto"/>
            </w:tcBorders>
            <w:shd w:val="clear" w:color="auto" w:fill="C5E0B3"/>
            <w:noWrap/>
            <w:vAlign w:val="bottom"/>
            <w:hideMark/>
          </w:tcPr>
          <w:p w14:paraId="4CAAA608"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center"/>
              <w:rPr>
                <w:b/>
                <w:bCs/>
                <w:sz w:val="23"/>
                <w:szCs w:val="23"/>
              </w:rPr>
            </w:pPr>
            <w:r w:rsidRPr="002927CD">
              <w:rPr>
                <w:b/>
                <w:bCs/>
                <w:sz w:val="23"/>
                <w:szCs w:val="23"/>
              </w:rPr>
              <w:t>Standard</w:t>
            </w:r>
          </w:p>
        </w:tc>
        <w:tc>
          <w:tcPr>
            <w:tcW w:w="964" w:type="dxa"/>
            <w:tcBorders>
              <w:top w:val="nil"/>
              <w:left w:val="nil"/>
              <w:bottom w:val="single" w:sz="4" w:space="0" w:color="auto"/>
              <w:right w:val="single" w:sz="4" w:space="0" w:color="auto"/>
            </w:tcBorders>
            <w:shd w:val="clear" w:color="auto" w:fill="C5E0B3"/>
            <w:noWrap/>
            <w:vAlign w:val="bottom"/>
            <w:hideMark/>
          </w:tcPr>
          <w:p w14:paraId="49B06E3A"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center"/>
              <w:rPr>
                <w:b/>
                <w:bCs/>
                <w:sz w:val="23"/>
                <w:szCs w:val="23"/>
              </w:rPr>
            </w:pPr>
            <w:r w:rsidRPr="002927CD">
              <w:rPr>
                <w:b/>
                <w:bCs/>
                <w:sz w:val="23"/>
                <w:szCs w:val="23"/>
              </w:rPr>
              <w:t>Simple</w:t>
            </w:r>
          </w:p>
        </w:tc>
        <w:tc>
          <w:tcPr>
            <w:tcW w:w="1708" w:type="dxa"/>
            <w:tcBorders>
              <w:top w:val="nil"/>
              <w:left w:val="single" w:sz="4" w:space="0" w:color="auto"/>
              <w:bottom w:val="single" w:sz="4" w:space="0" w:color="auto"/>
              <w:right w:val="double" w:sz="6" w:space="0" w:color="auto"/>
            </w:tcBorders>
            <w:shd w:val="clear" w:color="auto" w:fill="C5E0B3"/>
            <w:noWrap/>
            <w:vAlign w:val="bottom"/>
            <w:hideMark/>
          </w:tcPr>
          <w:p w14:paraId="10818170"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center"/>
              <w:rPr>
                <w:b/>
                <w:bCs/>
                <w:sz w:val="23"/>
                <w:szCs w:val="23"/>
              </w:rPr>
            </w:pPr>
            <w:r w:rsidRPr="002927CD">
              <w:rPr>
                <w:b/>
                <w:bCs/>
                <w:sz w:val="23"/>
                <w:szCs w:val="23"/>
              </w:rPr>
              <w:t>General/Basic</w:t>
            </w:r>
          </w:p>
        </w:tc>
      </w:tr>
      <w:tr w:rsidR="002927CD" w:rsidRPr="002927CD" w14:paraId="46CCCE8A" w14:textId="77777777" w:rsidTr="00B23F3E">
        <w:trPr>
          <w:trHeight w:val="288"/>
        </w:trPr>
        <w:tc>
          <w:tcPr>
            <w:tcW w:w="500" w:type="dxa"/>
            <w:tcBorders>
              <w:top w:val="nil"/>
              <w:left w:val="double" w:sz="6" w:space="0" w:color="auto"/>
              <w:bottom w:val="single" w:sz="4" w:space="0" w:color="auto"/>
              <w:right w:val="single" w:sz="4" w:space="0" w:color="auto"/>
            </w:tcBorders>
            <w:shd w:val="clear" w:color="auto" w:fill="auto"/>
            <w:noWrap/>
            <w:vAlign w:val="bottom"/>
            <w:hideMark/>
          </w:tcPr>
          <w:p w14:paraId="2672AE0D"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center"/>
              <w:rPr>
                <w:b/>
                <w:bCs/>
                <w:sz w:val="23"/>
                <w:szCs w:val="23"/>
              </w:rPr>
            </w:pPr>
            <w:r w:rsidRPr="002927CD">
              <w:rPr>
                <w:b/>
                <w:bCs/>
                <w:sz w:val="23"/>
                <w:szCs w:val="23"/>
              </w:rPr>
              <w:t>1</w:t>
            </w:r>
          </w:p>
        </w:tc>
        <w:tc>
          <w:tcPr>
            <w:tcW w:w="8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8BF993"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rPr>
                <w:sz w:val="23"/>
                <w:szCs w:val="23"/>
              </w:rPr>
            </w:pPr>
            <w:r w:rsidRPr="002927CD">
              <w:rPr>
                <w:sz w:val="23"/>
                <w:szCs w:val="23"/>
              </w:rPr>
              <w:t>Existing Source Call-In Fee</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22F81"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$10,000</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53D10"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$10,000</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43016"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$1,000</w:t>
            </w:r>
          </w:p>
        </w:tc>
        <w:tc>
          <w:tcPr>
            <w:tcW w:w="1708" w:type="dxa"/>
            <w:tcBorders>
              <w:top w:val="single" w:sz="4" w:space="0" w:color="auto"/>
              <w:left w:val="single" w:sz="4" w:space="0" w:color="auto"/>
              <w:bottom w:val="single" w:sz="4" w:space="0" w:color="auto"/>
              <w:right w:val="double" w:sz="6" w:space="0" w:color="auto"/>
            </w:tcBorders>
            <w:shd w:val="clear" w:color="auto" w:fill="auto"/>
            <w:noWrap/>
            <w:vAlign w:val="bottom"/>
            <w:hideMark/>
          </w:tcPr>
          <w:p w14:paraId="7E4561FB"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$500</w:t>
            </w:r>
          </w:p>
        </w:tc>
      </w:tr>
      <w:tr w:rsidR="002927CD" w:rsidRPr="002927CD" w14:paraId="2FCD3D70" w14:textId="77777777" w:rsidTr="00A957D4">
        <w:trPr>
          <w:trHeight w:val="288"/>
        </w:trPr>
        <w:tc>
          <w:tcPr>
            <w:tcW w:w="500" w:type="dxa"/>
            <w:tcBorders>
              <w:top w:val="nil"/>
              <w:left w:val="double" w:sz="6" w:space="0" w:color="auto"/>
              <w:bottom w:val="single" w:sz="4" w:space="0" w:color="auto"/>
              <w:right w:val="single" w:sz="4" w:space="0" w:color="auto"/>
            </w:tcBorders>
            <w:shd w:val="clear" w:color="auto" w:fill="auto"/>
            <w:noWrap/>
            <w:vAlign w:val="bottom"/>
            <w:hideMark/>
          </w:tcPr>
          <w:p w14:paraId="3A1C5222"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center"/>
              <w:rPr>
                <w:b/>
                <w:bCs/>
                <w:sz w:val="23"/>
                <w:szCs w:val="23"/>
              </w:rPr>
            </w:pPr>
            <w:r w:rsidRPr="002927CD">
              <w:rPr>
                <w:b/>
                <w:bCs/>
                <w:sz w:val="23"/>
                <w:szCs w:val="23"/>
              </w:rPr>
              <w:t>2</w:t>
            </w:r>
          </w:p>
        </w:tc>
        <w:tc>
          <w:tcPr>
            <w:tcW w:w="8167" w:type="dxa"/>
            <w:tcBorders>
              <w:top w:val="nil"/>
              <w:left w:val="single" w:sz="4" w:space="0" w:color="auto"/>
              <w:bottom w:val="single" w:sz="4" w:space="0" w:color="auto"/>
              <w:right w:val="single" w:sz="4" w:space="0" w:color="auto"/>
            </w:tcBorders>
            <w:shd w:val="clear" w:color="auto" w:fill="auto"/>
            <w:vAlign w:val="bottom"/>
            <w:hideMark/>
          </w:tcPr>
          <w:p w14:paraId="6B87BF8F"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rPr>
                <w:sz w:val="23"/>
                <w:szCs w:val="23"/>
              </w:rPr>
            </w:pPr>
            <w:r w:rsidRPr="002927CD">
              <w:rPr>
                <w:sz w:val="23"/>
                <w:szCs w:val="23"/>
              </w:rPr>
              <w:t>New Source Consulting Fee</w:t>
            </w:r>
          </w:p>
        </w:tc>
        <w:tc>
          <w:tcPr>
            <w:tcW w:w="964" w:type="dxa"/>
            <w:tcBorders>
              <w:top w:val="nil"/>
              <w:left w:val="nil"/>
              <w:bottom w:val="single" w:sz="4" w:space="0" w:color="auto"/>
              <w:right w:val="single" w:sz="4" w:space="0" w:color="auto"/>
            </w:tcBorders>
            <w:shd w:val="clear" w:color="auto" w:fill="auto"/>
            <w:noWrap/>
            <w:vAlign w:val="bottom"/>
            <w:hideMark/>
          </w:tcPr>
          <w:p w14:paraId="51CCCFA7"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$12,000</w:t>
            </w:r>
          </w:p>
        </w:tc>
        <w:tc>
          <w:tcPr>
            <w:tcW w:w="1137" w:type="dxa"/>
            <w:tcBorders>
              <w:top w:val="nil"/>
              <w:left w:val="nil"/>
              <w:bottom w:val="single" w:sz="4" w:space="0" w:color="auto"/>
              <w:right w:val="single" w:sz="4" w:space="0" w:color="auto"/>
            </w:tcBorders>
            <w:shd w:val="clear" w:color="auto" w:fill="auto"/>
            <w:noWrap/>
            <w:vAlign w:val="bottom"/>
            <w:hideMark/>
          </w:tcPr>
          <w:p w14:paraId="39471981"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$12,000</w:t>
            </w:r>
          </w:p>
        </w:tc>
        <w:tc>
          <w:tcPr>
            <w:tcW w:w="964" w:type="dxa"/>
            <w:tcBorders>
              <w:top w:val="nil"/>
              <w:left w:val="nil"/>
              <w:bottom w:val="single" w:sz="4" w:space="0" w:color="auto"/>
              <w:right w:val="single" w:sz="4" w:space="0" w:color="auto"/>
            </w:tcBorders>
            <w:shd w:val="clear" w:color="auto" w:fill="auto"/>
            <w:noWrap/>
            <w:vAlign w:val="bottom"/>
            <w:hideMark/>
          </w:tcPr>
          <w:p w14:paraId="77AA298D"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$1,900</w:t>
            </w:r>
          </w:p>
        </w:tc>
        <w:tc>
          <w:tcPr>
            <w:tcW w:w="1708" w:type="dxa"/>
            <w:tcBorders>
              <w:top w:val="nil"/>
              <w:left w:val="single" w:sz="4" w:space="0" w:color="auto"/>
              <w:bottom w:val="single" w:sz="4" w:space="0" w:color="auto"/>
              <w:right w:val="double" w:sz="6" w:space="0" w:color="auto"/>
            </w:tcBorders>
            <w:shd w:val="clear" w:color="auto" w:fill="auto"/>
            <w:noWrap/>
            <w:vAlign w:val="bottom"/>
            <w:hideMark/>
          </w:tcPr>
          <w:p w14:paraId="5608EF32"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$1,000</w:t>
            </w:r>
          </w:p>
        </w:tc>
      </w:tr>
      <w:tr w:rsidR="002927CD" w:rsidRPr="002927CD" w14:paraId="673B05F0" w14:textId="77777777" w:rsidTr="00B23F3E">
        <w:trPr>
          <w:trHeight w:val="300"/>
        </w:trPr>
        <w:tc>
          <w:tcPr>
            <w:tcW w:w="500" w:type="dxa"/>
            <w:tcBorders>
              <w:top w:val="nil"/>
              <w:left w:val="double" w:sz="6" w:space="0" w:color="auto"/>
              <w:bottom w:val="single" w:sz="12" w:space="0" w:color="auto"/>
              <w:right w:val="single" w:sz="4" w:space="0" w:color="auto"/>
            </w:tcBorders>
            <w:shd w:val="clear" w:color="auto" w:fill="auto"/>
            <w:noWrap/>
            <w:vAlign w:val="bottom"/>
            <w:hideMark/>
          </w:tcPr>
          <w:p w14:paraId="6FBAB738"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center"/>
              <w:rPr>
                <w:b/>
                <w:bCs/>
                <w:sz w:val="23"/>
                <w:szCs w:val="23"/>
              </w:rPr>
            </w:pPr>
            <w:r w:rsidRPr="002927CD">
              <w:rPr>
                <w:b/>
                <w:bCs/>
                <w:sz w:val="23"/>
                <w:szCs w:val="23"/>
              </w:rPr>
              <w:t>3</w:t>
            </w:r>
          </w:p>
        </w:tc>
        <w:tc>
          <w:tcPr>
            <w:tcW w:w="8167" w:type="dxa"/>
            <w:tcBorders>
              <w:top w:val="single" w:sz="4" w:space="0" w:color="auto"/>
              <w:left w:val="single" w:sz="4" w:space="0" w:color="auto"/>
              <w:bottom w:val="single" w:sz="12" w:space="0" w:color="auto"/>
              <w:right w:val="single" w:sz="4" w:space="0" w:color="auto"/>
            </w:tcBorders>
            <w:shd w:val="clear" w:color="auto" w:fill="auto"/>
            <w:vAlign w:val="bottom"/>
            <w:hideMark/>
          </w:tcPr>
          <w:p w14:paraId="6913CEC3" w14:textId="57A0CC05" w:rsidR="002927CD" w:rsidRPr="002927CD" w:rsidRDefault="00AF04EB" w:rsidP="002927CD">
            <w:pPr>
              <w:pBdr>
                <w:top w:val="none" w:sz="0" w:space="0" w:color="auto"/>
                <w:left w:val="none" w:sz="0" w:space="0" w:color="auto"/>
                <w:bottom w:val="none" w:sz="0" w:space="0" w:color="auto"/>
                <w:right w:val="none" w:sz="0" w:space="0" w:color="auto"/>
                <w:between w:val="none" w:sz="0" w:space="0" w:color="auto"/>
              </w:pBdr>
              <w:ind w:left="0" w:right="0"/>
              <w:rPr>
                <w:sz w:val="23"/>
                <w:szCs w:val="23"/>
              </w:rPr>
            </w:pPr>
            <w:r>
              <w:rPr>
                <w:sz w:val="23"/>
                <w:szCs w:val="23"/>
              </w:rPr>
              <w:t>Reevaluation</w:t>
            </w:r>
            <w:r w:rsidR="002927CD" w:rsidRPr="002927CD">
              <w:rPr>
                <w:sz w:val="23"/>
                <w:szCs w:val="23"/>
              </w:rPr>
              <w:t xml:space="preserve"> Fee</w:t>
            </w:r>
          </w:p>
        </w:tc>
        <w:tc>
          <w:tcPr>
            <w:tcW w:w="964"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14:paraId="37EFEC93"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$5,000</w:t>
            </w:r>
          </w:p>
        </w:tc>
        <w:tc>
          <w:tcPr>
            <w:tcW w:w="1137"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14:paraId="0A53A629"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$5,000</w:t>
            </w:r>
          </w:p>
        </w:tc>
        <w:tc>
          <w:tcPr>
            <w:tcW w:w="964"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14:paraId="461A35CE"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$250</w:t>
            </w:r>
          </w:p>
        </w:tc>
        <w:tc>
          <w:tcPr>
            <w:tcW w:w="1708" w:type="dxa"/>
            <w:tcBorders>
              <w:top w:val="single" w:sz="4" w:space="0" w:color="auto"/>
              <w:left w:val="single" w:sz="4" w:space="0" w:color="auto"/>
              <w:bottom w:val="single" w:sz="12" w:space="0" w:color="auto"/>
              <w:right w:val="double" w:sz="6" w:space="0" w:color="auto"/>
            </w:tcBorders>
            <w:shd w:val="clear" w:color="auto" w:fill="auto"/>
            <w:noWrap/>
            <w:vAlign w:val="bottom"/>
            <w:hideMark/>
          </w:tcPr>
          <w:p w14:paraId="768F018A"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$250</w:t>
            </w:r>
          </w:p>
        </w:tc>
      </w:tr>
      <w:tr w:rsidR="002927CD" w:rsidRPr="002927CD" w14:paraId="5BE17F92" w14:textId="77777777" w:rsidTr="002927CD">
        <w:trPr>
          <w:trHeight w:val="300"/>
        </w:trPr>
        <w:tc>
          <w:tcPr>
            <w:tcW w:w="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5E5FBD4D"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center"/>
              <w:rPr>
                <w:b/>
                <w:bCs/>
                <w:sz w:val="23"/>
                <w:szCs w:val="23"/>
              </w:rPr>
            </w:pPr>
            <w:r w:rsidRPr="002927CD">
              <w:rPr>
                <w:b/>
                <w:bCs/>
                <w:sz w:val="23"/>
                <w:szCs w:val="23"/>
              </w:rPr>
              <w:t> </w:t>
            </w:r>
          </w:p>
        </w:tc>
        <w:tc>
          <w:tcPr>
            <w:tcW w:w="12940" w:type="dxa"/>
            <w:gridSpan w:val="5"/>
            <w:tcBorders>
              <w:top w:val="single" w:sz="4" w:space="0" w:color="auto"/>
              <w:left w:val="single" w:sz="4" w:space="0" w:color="auto"/>
              <w:bottom w:val="single" w:sz="4" w:space="0" w:color="auto"/>
              <w:right w:val="double" w:sz="6" w:space="0" w:color="000000"/>
            </w:tcBorders>
            <w:shd w:val="clear" w:color="auto" w:fill="auto"/>
            <w:vAlign w:val="bottom"/>
            <w:hideMark/>
          </w:tcPr>
          <w:p w14:paraId="19EE0925"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rPr>
                <w:b/>
                <w:bCs/>
                <w:sz w:val="23"/>
                <w:szCs w:val="23"/>
              </w:rPr>
            </w:pPr>
            <w:r w:rsidRPr="002927CD">
              <w:rPr>
                <w:b/>
                <w:bCs/>
                <w:sz w:val="23"/>
                <w:szCs w:val="23"/>
              </w:rPr>
              <w:t>Risk Below Risk Action Levels</w:t>
            </w:r>
          </w:p>
        </w:tc>
      </w:tr>
      <w:tr w:rsidR="002927CD" w:rsidRPr="002927CD" w14:paraId="1C057EB8" w14:textId="77777777" w:rsidTr="00B23F3E">
        <w:trPr>
          <w:trHeight w:val="288"/>
        </w:trPr>
        <w:tc>
          <w:tcPr>
            <w:tcW w:w="500" w:type="dxa"/>
            <w:tcBorders>
              <w:top w:val="nil"/>
              <w:left w:val="double" w:sz="6" w:space="0" w:color="auto"/>
              <w:bottom w:val="single" w:sz="4" w:space="0" w:color="auto"/>
              <w:right w:val="single" w:sz="4" w:space="0" w:color="auto"/>
            </w:tcBorders>
            <w:shd w:val="clear" w:color="auto" w:fill="auto"/>
            <w:noWrap/>
            <w:vAlign w:val="bottom"/>
            <w:hideMark/>
          </w:tcPr>
          <w:p w14:paraId="74E7E78A"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center"/>
              <w:rPr>
                <w:b/>
                <w:bCs/>
                <w:sz w:val="23"/>
                <w:szCs w:val="23"/>
              </w:rPr>
            </w:pPr>
            <w:r w:rsidRPr="002927CD">
              <w:rPr>
                <w:b/>
                <w:bCs/>
                <w:sz w:val="23"/>
                <w:szCs w:val="23"/>
              </w:rPr>
              <w:t>4</w:t>
            </w:r>
          </w:p>
        </w:tc>
        <w:tc>
          <w:tcPr>
            <w:tcW w:w="8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AAA1B9"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rPr>
                <w:sz w:val="23"/>
                <w:szCs w:val="23"/>
              </w:rPr>
            </w:pPr>
            <w:r w:rsidRPr="002927CD">
              <w:rPr>
                <w:sz w:val="23"/>
                <w:szCs w:val="23"/>
              </w:rPr>
              <w:t>Level 1 Risk Assessment - de minimis (no permit attachment required)</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B3B81"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$1,500</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6A319"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$1,500</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BCAC0"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$1,000</w:t>
            </w:r>
          </w:p>
        </w:tc>
        <w:tc>
          <w:tcPr>
            <w:tcW w:w="1708" w:type="dxa"/>
            <w:tcBorders>
              <w:top w:val="single" w:sz="4" w:space="0" w:color="auto"/>
              <w:left w:val="single" w:sz="4" w:space="0" w:color="auto"/>
              <w:bottom w:val="single" w:sz="4" w:space="0" w:color="auto"/>
              <w:right w:val="double" w:sz="6" w:space="0" w:color="auto"/>
            </w:tcBorders>
            <w:shd w:val="clear" w:color="auto" w:fill="auto"/>
            <w:noWrap/>
            <w:vAlign w:val="bottom"/>
            <w:hideMark/>
          </w:tcPr>
          <w:p w14:paraId="3BFE0B55"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$800</w:t>
            </w:r>
          </w:p>
        </w:tc>
      </w:tr>
      <w:tr w:rsidR="002927CD" w:rsidRPr="002927CD" w14:paraId="2FCCDE1C" w14:textId="77777777" w:rsidTr="00A957D4">
        <w:trPr>
          <w:trHeight w:val="288"/>
        </w:trPr>
        <w:tc>
          <w:tcPr>
            <w:tcW w:w="500" w:type="dxa"/>
            <w:tcBorders>
              <w:top w:val="nil"/>
              <w:left w:val="double" w:sz="6" w:space="0" w:color="auto"/>
              <w:bottom w:val="single" w:sz="4" w:space="0" w:color="auto"/>
              <w:right w:val="single" w:sz="4" w:space="0" w:color="auto"/>
            </w:tcBorders>
            <w:shd w:val="clear" w:color="auto" w:fill="auto"/>
            <w:noWrap/>
            <w:vAlign w:val="bottom"/>
            <w:hideMark/>
          </w:tcPr>
          <w:p w14:paraId="19DB0D39"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center"/>
              <w:rPr>
                <w:b/>
                <w:bCs/>
                <w:sz w:val="23"/>
                <w:szCs w:val="23"/>
              </w:rPr>
            </w:pPr>
            <w:r w:rsidRPr="002927CD">
              <w:rPr>
                <w:b/>
                <w:bCs/>
                <w:sz w:val="23"/>
                <w:szCs w:val="23"/>
              </w:rPr>
              <w:t>5</w:t>
            </w:r>
          </w:p>
        </w:tc>
        <w:tc>
          <w:tcPr>
            <w:tcW w:w="8167" w:type="dxa"/>
            <w:tcBorders>
              <w:top w:val="nil"/>
              <w:left w:val="single" w:sz="4" w:space="0" w:color="auto"/>
              <w:bottom w:val="single" w:sz="4" w:space="0" w:color="auto"/>
              <w:right w:val="single" w:sz="4" w:space="0" w:color="auto"/>
            </w:tcBorders>
            <w:shd w:val="clear" w:color="auto" w:fill="auto"/>
            <w:vAlign w:val="bottom"/>
            <w:hideMark/>
          </w:tcPr>
          <w:p w14:paraId="0396F5EA"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rPr>
                <w:sz w:val="23"/>
                <w:szCs w:val="23"/>
              </w:rPr>
            </w:pPr>
            <w:r w:rsidRPr="002927CD">
              <w:rPr>
                <w:sz w:val="23"/>
                <w:szCs w:val="23"/>
              </w:rPr>
              <w:t>Level 1 Risk Assessment - permit attachment required</w:t>
            </w:r>
          </w:p>
        </w:tc>
        <w:tc>
          <w:tcPr>
            <w:tcW w:w="964" w:type="dxa"/>
            <w:tcBorders>
              <w:top w:val="nil"/>
              <w:left w:val="nil"/>
              <w:bottom w:val="single" w:sz="4" w:space="0" w:color="auto"/>
              <w:right w:val="single" w:sz="4" w:space="0" w:color="auto"/>
            </w:tcBorders>
            <w:shd w:val="clear" w:color="auto" w:fill="auto"/>
            <w:noWrap/>
            <w:vAlign w:val="bottom"/>
            <w:hideMark/>
          </w:tcPr>
          <w:p w14:paraId="5164B9F2"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$2,000</w:t>
            </w:r>
          </w:p>
        </w:tc>
        <w:tc>
          <w:tcPr>
            <w:tcW w:w="1137" w:type="dxa"/>
            <w:tcBorders>
              <w:top w:val="nil"/>
              <w:left w:val="nil"/>
              <w:bottom w:val="single" w:sz="4" w:space="0" w:color="auto"/>
              <w:right w:val="single" w:sz="4" w:space="0" w:color="auto"/>
            </w:tcBorders>
            <w:shd w:val="clear" w:color="auto" w:fill="auto"/>
            <w:noWrap/>
            <w:vAlign w:val="bottom"/>
            <w:hideMark/>
          </w:tcPr>
          <w:p w14:paraId="203E4BA3"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$2,000</w:t>
            </w:r>
          </w:p>
        </w:tc>
        <w:tc>
          <w:tcPr>
            <w:tcW w:w="964" w:type="dxa"/>
            <w:tcBorders>
              <w:top w:val="nil"/>
              <w:left w:val="nil"/>
              <w:bottom w:val="single" w:sz="4" w:space="0" w:color="auto"/>
              <w:right w:val="single" w:sz="4" w:space="0" w:color="auto"/>
            </w:tcBorders>
            <w:shd w:val="clear" w:color="auto" w:fill="auto"/>
            <w:noWrap/>
            <w:vAlign w:val="bottom"/>
            <w:hideMark/>
          </w:tcPr>
          <w:p w14:paraId="10E87413"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$1,500</w:t>
            </w:r>
          </w:p>
        </w:tc>
        <w:tc>
          <w:tcPr>
            <w:tcW w:w="1708" w:type="dxa"/>
            <w:tcBorders>
              <w:top w:val="nil"/>
              <w:left w:val="single" w:sz="4" w:space="0" w:color="auto"/>
              <w:bottom w:val="single" w:sz="4" w:space="0" w:color="auto"/>
              <w:right w:val="double" w:sz="6" w:space="0" w:color="auto"/>
            </w:tcBorders>
            <w:shd w:val="clear" w:color="auto" w:fill="auto"/>
            <w:noWrap/>
            <w:vAlign w:val="bottom"/>
            <w:hideMark/>
          </w:tcPr>
          <w:p w14:paraId="40B9B7CC"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$1,100</w:t>
            </w:r>
          </w:p>
        </w:tc>
      </w:tr>
      <w:tr w:rsidR="002927CD" w:rsidRPr="002927CD" w14:paraId="4C4A676A" w14:textId="77777777" w:rsidTr="00B23F3E">
        <w:trPr>
          <w:trHeight w:val="288"/>
        </w:trPr>
        <w:tc>
          <w:tcPr>
            <w:tcW w:w="500" w:type="dxa"/>
            <w:tcBorders>
              <w:top w:val="nil"/>
              <w:left w:val="double" w:sz="6" w:space="0" w:color="auto"/>
              <w:bottom w:val="single" w:sz="4" w:space="0" w:color="auto"/>
              <w:right w:val="single" w:sz="4" w:space="0" w:color="auto"/>
            </w:tcBorders>
            <w:shd w:val="clear" w:color="auto" w:fill="auto"/>
            <w:noWrap/>
            <w:vAlign w:val="bottom"/>
            <w:hideMark/>
          </w:tcPr>
          <w:p w14:paraId="61719935"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center"/>
              <w:rPr>
                <w:b/>
                <w:bCs/>
                <w:sz w:val="23"/>
                <w:szCs w:val="23"/>
              </w:rPr>
            </w:pPr>
            <w:r w:rsidRPr="002927CD">
              <w:rPr>
                <w:b/>
                <w:bCs/>
                <w:sz w:val="23"/>
                <w:szCs w:val="23"/>
              </w:rPr>
              <w:t>6</w:t>
            </w:r>
          </w:p>
        </w:tc>
        <w:tc>
          <w:tcPr>
            <w:tcW w:w="8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0F7991"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rPr>
                <w:sz w:val="23"/>
                <w:szCs w:val="23"/>
              </w:rPr>
            </w:pPr>
            <w:r w:rsidRPr="002927CD">
              <w:rPr>
                <w:sz w:val="23"/>
                <w:szCs w:val="23"/>
              </w:rPr>
              <w:t>Level 2 Risk Assessment - de minimis (no permit attachment required)</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79E6C"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$2,700</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55A8B"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$2,700</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F6102"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$2,000</w:t>
            </w:r>
          </w:p>
        </w:tc>
        <w:tc>
          <w:tcPr>
            <w:tcW w:w="1708" w:type="dxa"/>
            <w:tcBorders>
              <w:top w:val="single" w:sz="4" w:space="0" w:color="auto"/>
              <w:left w:val="single" w:sz="4" w:space="0" w:color="auto"/>
              <w:bottom w:val="single" w:sz="4" w:space="0" w:color="auto"/>
              <w:right w:val="double" w:sz="6" w:space="0" w:color="auto"/>
            </w:tcBorders>
            <w:shd w:val="clear" w:color="auto" w:fill="auto"/>
            <w:noWrap/>
            <w:vAlign w:val="bottom"/>
            <w:hideMark/>
          </w:tcPr>
          <w:p w14:paraId="372973C0"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$1,600</w:t>
            </w:r>
          </w:p>
        </w:tc>
      </w:tr>
      <w:tr w:rsidR="002927CD" w:rsidRPr="002927CD" w14:paraId="45DF9EF2" w14:textId="77777777" w:rsidTr="00A957D4">
        <w:trPr>
          <w:trHeight w:val="288"/>
        </w:trPr>
        <w:tc>
          <w:tcPr>
            <w:tcW w:w="500" w:type="dxa"/>
            <w:tcBorders>
              <w:top w:val="nil"/>
              <w:left w:val="double" w:sz="6" w:space="0" w:color="auto"/>
              <w:bottom w:val="single" w:sz="4" w:space="0" w:color="auto"/>
              <w:right w:val="single" w:sz="4" w:space="0" w:color="auto"/>
            </w:tcBorders>
            <w:shd w:val="clear" w:color="auto" w:fill="auto"/>
            <w:noWrap/>
            <w:vAlign w:val="bottom"/>
            <w:hideMark/>
          </w:tcPr>
          <w:p w14:paraId="5D6E1F1A"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center"/>
              <w:rPr>
                <w:b/>
                <w:bCs/>
                <w:sz w:val="23"/>
                <w:szCs w:val="23"/>
              </w:rPr>
            </w:pPr>
            <w:r w:rsidRPr="002927CD">
              <w:rPr>
                <w:b/>
                <w:bCs/>
                <w:sz w:val="23"/>
                <w:szCs w:val="23"/>
              </w:rPr>
              <w:t>7</w:t>
            </w:r>
          </w:p>
        </w:tc>
        <w:tc>
          <w:tcPr>
            <w:tcW w:w="8167" w:type="dxa"/>
            <w:tcBorders>
              <w:top w:val="nil"/>
              <w:left w:val="single" w:sz="4" w:space="0" w:color="auto"/>
              <w:bottom w:val="single" w:sz="4" w:space="0" w:color="auto"/>
              <w:right w:val="single" w:sz="4" w:space="0" w:color="auto"/>
            </w:tcBorders>
            <w:shd w:val="clear" w:color="auto" w:fill="auto"/>
            <w:vAlign w:val="bottom"/>
            <w:hideMark/>
          </w:tcPr>
          <w:p w14:paraId="64AC213A"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rPr>
                <w:sz w:val="23"/>
                <w:szCs w:val="23"/>
              </w:rPr>
            </w:pPr>
            <w:r w:rsidRPr="002927CD">
              <w:rPr>
                <w:sz w:val="23"/>
                <w:szCs w:val="23"/>
              </w:rPr>
              <w:t>Level 2 Risk Assessment - permit attachment required</w:t>
            </w:r>
          </w:p>
        </w:tc>
        <w:tc>
          <w:tcPr>
            <w:tcW w:w="964" w:type="dxa"/>
            <w:tcBorders>
              <w:top w:val="nil"/>
              <w:left w:val="nil"/>
              <w:bottom w:val="single" w:sz="4" w:space="0" w:color="auto"/>
              <w:right w:val="single" w:sz="4" w:space="0" w:color="auto"/>
            </w:tcBorders>
            <w:shd w:val="clear" w:color="auto" w:fill="auto"/>
            <w:noWrap/>
            <w:vAlign w:val="bottom"/>
            <w:hideMark/>
          </w:tcPr>
          <w:p w14:paraId="3A83A6C8"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$3,000</w:t>
            </w:r>
          </w:p>
        </w:tc>
        <w:tc>
          <w:tcPr>
            <w:tcW w:w="1137" w:type="dxa"/>
            <w:tcBorders>
              <w:top w:val="nil"/>
              <w:left w:val="nil"/>
              <w:bottom w:val="single" w:sz="4" w:space="0" w:color="auto"/>
              <w:right w:val="single" w:sz="4" w:space="0" w:color="auto"/>
            </w:tcBorders>
            <w:shd w:val="clear" w:color="auto" w:fill="auto"/>
            <w:noWrap/>
            <w:vAlign w:val="bottom"/>
            <w:hideMark/>
          </w:tcPr>
          <w:p w14:paraId="67A21208"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$3,000</w:t>
            </w:r>
          </w:p>
        </w:tc>
        <w:tc>
          <w:tcPr>
            <w:tcW w:w="964" w:type="dxa"/>
            <w:tcBorders>
              <w:top w:val="nil"/>
              <w:left w:val="nil"/>
              <w:bottom w:val="single" w:sz="4" w:space="0" w:color="auto"/>
              <w:right w:val="single" w:sz="4" w:space="0" w:color="auto"/>
            </w:tcBorders>
            <w:shd w:val="clear" w:color="auto" w:fill="auto"/>
            <w:noWrap/>
            <w:vAlign w:val="bottom"/>
            <w:hideMark/>
          </w:tcPr>
          <w:p w14:paraId="4F9AB2C5"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$2,200</w:t>
            </w:r>
          </w:p>
        </w:tc>
        <w:tc>
          <w:tcPr>
            <w:tcW w:w="1708" w:type="dxa"/>
            <w:tcBorders>
              <w:top w:val="nil"/>
              <w:left w:val="single" w:sz="4" w:space="0" w:color="auto"/>
              <w:bottom w:val="single" w:sz="4" w:space="0" w:color="auto"/>
              <w:right w:val="double" w:sz="6" w:space="0" w:color="auto"/>
            </w:tcBorders>
            <w:shd w:val="clear" w:color="auto" w:fill="auto"/>
            <w:noWrap/>
            <w:vAlign w:val="bottom"/>
            <w:hideMark/>
          </w:tcPr>
          <w:p w14:paraId="7CC8FEB0"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$1,700</w:t>
            </w:r>
          </w:p>
        </w:tc>
      </w:tr>
      <w:tr w:rsidR="002927CD" w:rsidRPr="002927CD" w14:paraId="44C1D1E5" w14:textId="77777777" w:rsidTr="00B23F3E">
        <w:trPr>
          <w:trHeight w:val="288"/>
        </w:trPr>
        <w:tc>
          <w:tcPr>
            <w:tcW w:w="500" w:type="dxa"/>
            <w:tcBorders>
              <w:top w:val="nil"/>
              <w:left w:val="double" w:sz="6" w:space="0" w:color="auto"/>
              <w:bottom w:val="single" w:sz="4" w:space="0" w:color="auto"/>
              <w:right w:val="single" w:sz="4" w:space="0" w:color="auto"/>
            </w:tcBorders>
            <w:shd w:val="clear" w:color="auto" w:fill="auto"/>
            <w:noWrap/>
            <w:vAlign w:val="bottom"/>
            <w:hideMark/>
          </w:tcPr>
          <w:p w14:paraId="2EE1913E"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center"/>
              <w:rPr>
                <w:b/>
                <w:bCs/>
                <w:sz w:val="23"/>
                <w:szCs w:val="23"/>
              </w:rPr>
            </w:pPr>
            <w:r w:rsidRPr="002927CD">
              <w:rPr>
                <w:b/>
                <w:bCs/>
                <w:sz w:val="23"/>
                <w:szCs w:val="23"/>
              </w:rPr>
              <w:t>8</w:t>
            </w:r>
          </w:p>
        </w:tc>
        <w:tc>
          <w:tcPr>
            <w:tcW w:w="8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8DBD82"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rPr>
                <w:sz w:val="23"/>
                <w:szCs w:val="23"/>
              </w:rPr>
            </w:pPr>
            <w:r w:rsidRPr="002927CD">
              <w:rPr>
                <w:sz w:val="23"/>
                <w:szCs w:val="23"/>
              </w:rPr>
              <w:t>Level 3 Risk Assessment - de minimis (no permit attachment required)</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BF0BB"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$9,000</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EFADE"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$8,400</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AF4AF"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$5,500</w:t>
            </w:r>
          </w:p>
        </w:tc>
        <w:tc>
          <w:tcPr>
            <w:tcW w:w="1708" w:type="dxa"/>
            <w:tcBorders>
              <w:top w:val="single" w:sz="4" w:space="0" w:color="auto"/>
              <w:left w:val="single" w:sz="4" w:space="0" w:color="auto"/>
              <w:bottom w:val="single" w:sz="4" w:space="0" w:color="auto"/>
              <w:right w:val="double" w:sz="6" w:space="0" w:color="auto"/>
            </w:tcBorders>
            <w:shd w:val="clear" w:color="auto" w:fill="auto"/>
            <w:noWrap/>
            <w:vAlign w:val="bottom"/>
            <w:hideMark/>
          </w:tcPr>
          <w:p w14:paraId="56F9B5D7"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$4,700</w:t>
            </w:r>
          </w:p>
        </w:tc>
      </w:tr>
      <w:tr w:rsidR="002927CD" w:rsidRPr="002927CD" w14:paraId="74AC54BD" w14:textId="77777777" w:rsidTr="00A957D4">
        <w:trPr>
          <w:trHeight w:val="288"/>
        </w:trPr>
        <w:tc>
          <w:tcPr>
            <w:tcW w:w="500" w:type="dxa"/>
            <w:tcBorders>
              <w:top w:val="nil"/>
              <w:left w:val="double" w:sz="6" w:space="0" w:color="auto"/>
              <w:bottom w:val="single" w:sz="4" w:space="0" w:color="auto"/>
              <w:right w:val="single" w:sz="4" w:space="0" w:color="auto"/>
            </w:tcBorders>
            <w:shd w:val="clear" w:color="auto" w:fill="auto"/>
            <w:noWrap/>
            <w:vAlign w:val="bottom"/>
            <w:hideMark/>
          </w:tcPr>
          <w:p w14:paraId="5A9E2165"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center"/>
              <w:rPr>
                <w:b/>
                <w:bCs/>
                <w:sz w:val="23"/>
                <w:szCs w:val="23"/>
              </w:rPr>
            </w:pPr>
            <w:r w:rsidRPr="002927CD">
              <w:rPr>
                <w:b/>
                <w:bCs/>
                <w:sz w:val="23"/>
                <w:szCs w:val="23"/>
              </w:rPr>
              <w:t>9</w:t>
            </w:r>
          </w:p>
        </w:tc>
        <w:tc>
          <w:tcPr>
            <w:tcW w:w="8167" w:type="dxa"/>
            <w:tcBorders>
              <w:top w:val="nil"/>
              <w:left w:val="single" w:sz="4" w:space="0" w:color="auto"/>
              <w:bottom w:val="single" w:sz="4" w:space="0" w:color="auto"/>
              <w:right w:val="single" w:sz="4" w:space="0" w:color="auto"/>
            </w:tcBorders>
            <w:shd w:val="clear" w:color="auto" w:fill="auto"/>
            <w:vAlign w:val="bottom"/>
            <w:hideMark/>
          </w:tcPr>
          <w:p w14:paraId="7F740C69"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rPr>
                <w:sz w:val="23"/>
                <w:szCs w:val="23"/>
              </w:rPr>
            </w:pPr>
            <w:r w:rsidRPr="002927CD">
              <w:rPr>
                <w:sz w:val="23"/>
                <w:szCs w:val="23"/>
              </w:rPr>
              <w:t>Level 3 Risk Assessment - permit attachment required</w:t>
            </w:r>
          </w:p>
        </w:tc>
        <w:tc>
          <w:tcPr>
            <w:tcW w:w="964" w:type="dxa"/>
            <w:tcBorders>
              <w:top w:val="nil"/>
              <w:left w:val="nil"/>
              <w:bottom w:val="single" w:sz="4" w:space="0" w:color="auto"/>
              <w:right w:val="single" w:sz="4" w:space="0" w:color="auto"/>
            </w:tcBorders>
            <w:shd w:val="clear" w:color="auto" w:fill="auto"/>
            <w:noWrap/>
            <w:vAlign w:val="bottom"/>
            <w:hideMark/>
          </w:tcPr>
          <w:p w14:paraId="220D077D"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$13,300</w:t>
            </w:r>
          </w:p>
        </w:tc>
        <w:tc>
          <w:tcPr>
            <w:tcW w:w="1137" w:type="dxa"/>
            <w:tcBorders>
              <w:top w:val="nil"/>
              <w:left w:val="nil"/>
              <w:bottom w:val="single" w:sz="4" w:space="0" w:color="auto"/>
              <w:right w:val="single" w:sz="4" w:space="0" w:color="auto"/>
            </w:tcBorders>
            <w:shd w:val="clear" w:color="auto" w:fill="auto"/>
            <w:noWrap/>
            <w:vAlign w:val="bottom"/>
            <w:hideMark/>
          </w:tcPr>
          <w:p w14:paraId="68E51D40"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$10,900</w:t>
            </w:r>
          </w:p>
        </w:tc>
        <w:tc>
          <w:tcPr>
            <w:tcW w:w="964" w:type="dxa"/>
            <w:tcBorders>
              <w:top w:val="nil"/>
              <w:left w:val="nil"/>
              <w:bottom w:val="single" w:sz="4" w:space="0" w:color="auto"/>
              <w:right w:val="single" w:sz="4" w:space="0" w:color="auto"/>
            </w:tcBorders>
            <w:shd w:val="clear" w:color="auto" w:fill="auto"/>
            <w:noWrap/>
            <w:vAlign w:val="bottom"/>
            <w:hideMark/>
          </w:tcPr>
          <w:p w14:paraId="38A00E18"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$7,700</w:t>
            </w:r>
          </w:p>
        </w:tc>
        <w:tc>
          <w:tcPr>
            <w:tcW w:w="1708" w:type="dxa"/>
            <w:tcBorders>
              <w:top w:val="nil"/>
              <w:left w:val="single" w:sz="4" w:space="0" w:color="auto"/>
              <w:bottom w:val="single" w:sz="4" w:space="0" w:color="auto"/>
              <w:right w:val="double" w:sz="6" w:space="0" w:color="auto"/>
            </w:tcBorders>
            <w:shd w:val="clear" w:color="auto" w:fill="auto"/>
            <w:noWrap/>
            <w:vAlign w:val="bottom"/>
            <w:hideMark/>
          </w:tcPr>
          <w:p w14:paraId="6F49937F"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$6,800</w:t>
            </w:r>
          </w:p>
        </w:tc>
      </w:tr>
      <w:tr w:rsidR="002927CD" w:rsidRPr="002927CD" w14:paraId="6E9A9FBF" w14:textId="77777777" w:rsidTr="00B23F3E">
        <w:trPr>
          <w:trHeight w:val="288"/>
        </w:trPr>
        <w:tc>
          <w:tcPr>
            <w:tcW w:w="500" w:type="dxa"/>
            <w:tcBorders>
              <w:top w:val="nil"/>
              <w:left w:val="double" w:sz="6" w:space="0" w:color="auto"/>
              <w:bottom w:val="single" w:sz="4" w:space="0" w:color="auto"/>
              <w:right w:val="single" w:sz="4" w:space="0" w:color="auto"/>
            </w:tcBorders>
            <w:shd w:val="clear" w:color="auto" w:fill="auto"/>
            <w:noWrap/>
            <w:vAlign w:val="bottom"/>
            <w:hideMark/>
          </w:tcPr>
          <w:p w14:paraId="123BBC31"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center"/>
              <w:rPr>
                <w:b/>
                <w:bCs/>
                <w:sz w:val="23"/>
                <w:szCs w:val="23"/>
              </w:rPr>
            </w:pPr>
            <w:r w:rsidRPr="002927CD">
              <w:rPr>
                <w:b/>
                <w:bCs/>
                <w:sz w:val="23"/>
                <w:szCs w:val="23"/>
              </w:rPr>
              <w:t>10</w:t>
            </w:r>
          </w:p>
        </w:tc>
        <w:tc>
          <w:tcPr>
            <w:tcW w:w="8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AF5C13"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rPr>
                <w:sz w:val="23"/>
                <w:szCs w:val="23"/>
              </w:rPr>
            </w:pPr>
            <w:r w:rsidRPr="002927CD">
              <w:rPr>
                <w:sz w:val="23"/>
                <w:szCs w:val="23"/>
              </w:rPr>
              <w:t>Level 4 Risk Assessment - de minimis (no permit attachment required)</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C0831"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$25,100</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2F79F"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$21,500</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274F6"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$13,100</w:t>
            </w:r>
          </w:p>
        </w:tc>
        <w:tc>
          <w:tcPr>
            <w:tcW w:w="1708" w:type="dxa"/>
            <w:tcBorders>
              <w:top w:val="single" w:sz="4" w:space="0" w:color="auto"/>
              <w:left w:val="single" w:sz="4" w:space="0" w:color="auto"/>
              <w:bottom w:val="single" w:sz="4" w:space="0" w:color="auto"/>
              <w:right w:val="double" w:sz="6" w:space="0" w:color="auto"/>
            </w:tcBorders>
            <w:shd w:val="clear" w:color="auto" w:fill="auto"/>
            <w:noWrap/>
            <w:vAlign w:val="bottom"/>
            <w:hideMark/>
          </w:tcPr>
          <w:p w14:paraId="302DF848"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NA</w:t>
            </w:r>
          </w:p>
        </w:tc>
      </w:tr>
      <w:tr w:rsidR="002927CD" w:rsidRPr="002927CD" w14:paraId="2FBC4F1D" w14:textId="77777777" w:rsidTr="00A957D4">
        <w:trPr>
          <w:trHeight w:val="288"/>
        </w:trPr>
        <w:tc>
          <w:tcPr>
            <w:tcW w:w="500" w:type="dxa"/>
            <w:tcBorders>
              <w:top w:val="nil"/>
              <w:left w:val="double" w:sz="6" w:space="0" w:color="auto"/>
              <w:bottom w:val="single" w:sz="4" w:space="0" w:color="auto"/>
              <w:right w:val="single" w:sz="4" w:space="0" w:color="auto"/>
            </w:tcBorders>
            <w:shd w:val="clear" w:color="auto" w:fill="auto"/>
            <w:noWrap/>
            <w:vAlign w:val="bottom"/>
            <w:hideMark/>
          </w:tcPr>
          <w:p w14:paraId="3CEF4811"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center"/>
              <w:rPr>
                <w:b/>
                <w:bCs/>
                <w:sz w:val="23"/>
                <w:szCs w:val="23"/>
              </w:rPr>
            </w:pPr>
            <w:r w:rsidRPr="002927CD">
              <w:rPr>
                <w:b/>
                <w:bCs/>
                <w:sz w:val="23"/>
                <w:szCs w:val="23"/>
              </w:rPr>
              <w:t>11</w:t>
            </w:r>
          </w:p>
        </w:tc>
        <w:tc>
          <w:tcPr>
            <w:tcW w:w="8167" w:type="dxa"/>
            <w:tcBorders>
              <w:top w:val="nil"/>
              <w:left w:val="single" w:sz="4" w:space="0" w:color="auto"/>
              <w:bottom w:val="single" w:sz="4" w:space="0" w:color="auto"/>
              <w:right w:val="single" w:sz="4" w:space="0" w:color="auto"/>
            </w:tcBorders>
            <w:shd w:val="clear" w:color="auto" w:fill="auto"/>
            <w:vAlign w:val="bottom"/>
            <w:hideMark/>
          </w:tcPr>
          <w:p w14:paraId="42AC7A62"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rPr>
                <w:sz w:val="23"/>
                <w:szCs w:val="23"/>
              </w:rPr>
            </w:pPr>
            <w:r w:rsidRPr="002927CD">
              <w:rPr>
                <w:sz w:val="23"/>
                <w:szCs w:val="23"/>
              </w:rPr>
              <w:t>Level 4 Risk Assessment - permit attachment required</w:t>
            </w:r>
          </w:p>
        </w:tc>
        <w:tc>
          <w:tcPr>
            <w:tcW w:w="964" w:type="dxa"/>
            <w:tcBorders>
              <w:top w:val="nil"/>
              <w:left w:val="nil"/>
              <w:bottom w:val="single" w:sz="4" w:space="0" w:color="auto"/>
              <w:right w:val="single" w:sz="4" w:space="0" w:color="auto"/>
            </w:tcBorders>
            <w:shd w:val="clear" w:color="auto" w:fill="auto"/>
            <w:noWrap/>
            <w:vAlign w:val="bottom"/>
            <w:hideMark/>
          </w:tcPr>
          <w:p w14:paraId="6DDFE302"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$31,500</w:t>
            </w:r>
          </w:p>
        </w:tc>
        <w:tc>
          <w:tcPr>
            <w:tcW w:w="1137" w:type="dxa"/>
            <w:tcBorders>
              <w:top w:val="nil"/>
              <w:left w:val="nil"/>
              <w:bottom w:val="single" w:sz="4" w:space="0" w:color="auto"/>
              <w:right w:val="single" w:sz="4" w:space="0" w:color="auto"/>
            </w:tcBorders>
            <w:shd w:val="clear" w:color="auto" w:fill="auto"/>
            <w:noWrap/>
            <w:vAlign w:val="bottom"/>
            <w:hideMark/>
          </w:tcPr>
          <w:p w14:paraId="4114A2A9"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$25,500</w:t>
            </w:r>
          </w:p>
        </w:tc>
        <w:tc>
          <w:tcPr>
            <w:tcW w:w="964" w:type="dxa"/>
            <w:tcBorders>
              <w:top w:val="nil"/>
              <w:left w:val="nil"/>
              <w:bottom w:val="single" w:sz="4" w:space="0" w:color="auto"/>
              <w:right w:val="single" w:sz="4" w:space="0" w:color="auto"/>
            </w:tcBorders>
            <w:shd w:val="clear" w:color="auto" w:fill="auto"/>
            <w:noWrap/>
            <w:vAlign w:val="bottom"/>
            <w:hideMark/>
          </w:tcPr>
          <w:p w14:paraId="4FB10CA1"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$15,800</w:t>
            </w:r>
          </w:p>
        </w:tc>
        <w:tc>
          <w:tcPr>
            <w:tcW w:w="1708" w:type="dxa"/>
            <w:tcBorders>
              <w:top w:val="nil"/>
              <w:left w:val="single" w:sz="4" w:space="0" w:color="auto"/>
              <w:bottom w:val="single" w:sz="4" w:space="0" w:color="auto"/>
              <w:right w:val="double" w:sz="6" w:space="0" w:color="auto"/>
            </w:tcBorders>
            <w:shd w:val="clear" w:color="auto" w:fill="auto"/>
            <w:noWrap/>
            <w:vAlign w:val="bottom"/>
            <w:hideMark/>
          </w:tcPr>
          <w:p w14:paraId="563E5128"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NA</w:t>
            </w:r>
          </w:p>
        </w:tc>
      </w:tr>
      <w:tr w:rsidR="002927CD" w:rsidRPr="002927CD" w14:paraId="68DE5F59" w14:textId="77777777" w:rsidTr="00B23F3E">
        <w:trPr>
          <w:trHeight w:val="300"/>
        </w:trPr>
        <w:tc>
          <w:tcPr>
            <w:tcW w:w="500" w:type="dxa"/>
            <w:tcBorders>
              <w:top w:val="nil"/>
              <w:left w:val="double" w:sz="6" w:space="0" w:color="auto"/>
              <w:bottom w:val="single" w:sz="12" w:space="0" w:color="auto"/>
              <w:right w:val="single" w:sz="4" w:space="0" w:color="auto"/>
            </w:tcBorders>
            <w:shd w:val="clear" w:color="auto" w:fill="auto"/>
            <w:noWrap/>
            <w:vAlign w:val="bottom"/>
            <w:hideMark/>
          </w:tcPr>
          <w:p w14:paraId="6633CE5F"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center"/>
              <w:rPr>
                <w:b/>
                <w:bCs/>
                <w:sz w:val="23"/>
                <w:szCs w:val="23"/>
              </w:rPr>
            </w:pPr>
            <w:r w:rsidRPr="002927CD">
              <w:rPr>
                <w:b/>
                <w:bCs/>
                <w:sz w:val="23"/>
                <w:szCs w:val="23"/>
              </w:rPr>
              <w:t>12</w:t>
            </w:r>
          </w:p>
        </w:tc>
        <w:tc>
          <w:tcPr>
            <w:tcW w:w="8167" w:type="dxa"/>
            <w:tcBorders>
              <w:top w:val="single" w:sz="4" w:space="0" w:color="auto"/>
              <w:left w:val="single" w:sz="4" w:space="0" w:color="auto"/>
              <w:bottom w:val="single" w:sz="12" w:space="0" w:color="auto"/>
              <w:right w:val="single" w:sz="4" w:space="0" w:color="auto"/>
            </w:tcBorders>
            <w:shd w:val="clear" w:color="auto" w:fill="auto"/>
            <w:vAlign w:val="bottom"/>
            <w:hideMark/>
          </w:tcPr>
          <w:p w14:paraId="6C80ED3F"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rPr>
                <w:sz w:val="23"/>
                <w:szCs w:val="23"/>
              </w:rPr>
            </w:pPr>
            <w:r w:rsidRPr="002927CD">
              <w:rPr>
                <w:sz w:val="23"/>
                <w:szCs w:val="23"/>
              </w:rPr>
              <w:t>Risk Reduction Plan Application Fee</w:t>
            </w:r>
          </w:p>
        </w:tc>
        <w:tc>
          <w:tcPr>
            <w:tcW w:w="964"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14:paraId="291A88D1"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$47,900</w:t>
            </w:r>
          </w:p>
        </w:tc>
        <w:tc>
          <w:tcPr>
            <w:tcW w:w="1137"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14:paraId="79FF885F"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$46,000</w:t>
            </w:r>
          </w:p>
        </w:tc>
        <w:tc>
          <w:tcPr>
            <w:tcW w:w="964"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14:paraId="5B1FAB88"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color w:val="auto"/>
                <w:sz w:val="23"/>
                <w:szCs w:val="23"/>
              </w:rPr>
            </w:pPr>
            <w:r w:rsidRPr="002927CD">
              <w:rPr>
                <w:color w:val="auto"/>
                <w:sz w:val="23"/>
                <w:szCs w:val="23"/>
              </w:rPr>
              <w:t>$27,300</w:t>
            </w:r>
          </w:p>
        </w:tc>
        <w:tc>
          <w:tcPr>
            <w:tcW w:w="1708" w:type="dxa"/>
            <w:tcBorders>
              <w:top w:val="single" w:sz="4" w:space="0" w:color="auto"/>
              <w:left w:val="single" w:sz="4" w:space="0" w:color="auto"/>
              <w:bottom w:val="single" w:sz="12" w:space="0" w:color="auto"/>
              <w:right w:val="double" w:sz="6" w:space="0" w:color="auto"/>
            </w:tcBorders>
            <w:shd w:val="clear" w:color="auto" w:fill="auto"/>
            <w:noWrap/>
            <w:vAlign w:val="bottom"/>
            <w:hideMark/>
          </w:tcPr>
          <w:p w14:paraId="69046688"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color w:val="auto"/>
                <w:sz w:val="23"/>
                <w:szCs w:val="23"/>
              </w:rPr>
            </w:pPr>
            <w:r w:rsidRPr="002927CD">
              <w:rPr>
                <w:color w:val="auto"/>
                <w:sz w:val="23"/>
                <w:szCs w:val="23"/>
              </w:rPr>
              <w:t>$27,300</w:t>
            </w:r>
          </w:p>
        </w:tc>
      </w:tr>
      <w:tr w:rsidR="002927CD" w:rsidRPr="002927CD" w14:paraId="2B9B4DA6" w14:textId="77777777" w:rsidTr="002927CD">
        <w:trPr>
          <w:trHeight w:val="300"/>
        </w:trPr>
        <w:tc>
          <w:tcPr>
            <w:tcW w:w="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35FCC169"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center"/>
              <w:rPr>
                <w:b/>
                <w:bCs/>
                <w:sz w:val="23"/>
                <w:szCs w:val="23"/>
              </w:rPr>
            </w:pPr>
            <w:r w:rsidRPr="002927CD">
              <w:rPr>
                <w:b/>
                <w:bCs/>
                <w:sz w:val="23"/>
                <w:szCs w:val="23"/>
              </w:rPr>
              <w:t> </w:t>
            </w:r>
          </w:p>
        </w:tc>
        <w:tc>
          <w:tcPr>
            <w:tcW w:w="12940" w:type="dxa"/>
            <w:gridSpan w:val="5"/>
            <w:tcBorders>
              <w:top w:val="single" w:sz="4" w:space="0" w:color="auto"/>
              <w:left w:val="single" w:sz="4" w:space="0" w:color="auto"/>
              <w:bottom w:val="single" w:sz="4" w:space="0" w:color="auto"/>
              <w:right w:val="double" w:sz="6" w:space="0" w:color="000000"/>
            </w:tcBorders>
            <w:shd w:val="clear" w:color="auto" w:fill="auto"/>
            <w:vAlign w:val="bottom"/>
            <w:hideMark/>
          </w:tcPr>
          <w:p w14:paraId="3C949816"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rPr>
                <w:b/>
                <w:bCs/>
                <w:sz w:val="23"/>
                <w:szCs w:val="23"/>
              </w:rPr>
            </w:pPr>
            <w:r w:rsidRPr="002927CD">
              <w:rPr>
                <w:b/>
                <w:bCs/>
                <w:sz w:val="23"/>
                <w:szCs w:val="23"/>
              </w:rPr>
              <w:t>Risk Above Risk Action Levels</w:t>
            </w:r>
          </w:p>
        </w:tc>
      </w:tr>
      <w:tr w:rsidR="002927CD" w:rsidRPr="002927CD" w14:paraId="188A8ADC" w14:textId="77777777" w:rsidTr="00B23F3E">
        <w:trPr>
          <w:trHeight w:val="288"/>
        </w:trPr>
        <w:tc>
          <w:tcPr>
            <w:tcW w:w="500" w:type="dxa"/>
            <w:tcBorders>
              <w:top w:val="nil"/>
              <w:left w:val="double" w:sz="6" w:space="0" w:color="auto"/>
              <w:bottom w:val="single" w:sz="4" w:space="0" w:color="auto"/>
              <w:right w:val="single" w:sz="4" w:space="0" w:color="auto"/>
            </w:tcBorders>
            <w:shd w:val="clear" w:color="auto" w:fill="auto"/>
            <w:noWrap/>
            <w:vAlign w:val="bottom"/>
            <w:hideMark/>
          </w:tcPr>
          <w:p w14:paraId="7FFEA1FB"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center"/>
              <w:rPr>
                <w:b/>
                <w:bCs/>
                <w:sz w:val="23"/>
                <w:szCs w:val="23"/>
              </w:rPr>
            </w:pPr>
            <w:r w:rsidRPr="002927CD">
              <w:rPr>
                <w:b/>
                <w:bCs/>
                <w:sz w:val="23"/>
                <w:szCs w:val="23"/>
              </w:rPr>
              <w:t>13</w:t>
            </w:r>
          </w:p>
        </w:tc>
        <w:tc>
          <w:tcPr>
            <w:tcW w:w="8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9921BA"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rPr>
                <w:sz w:val="23"/>
                <w:szCs w:val="23"/>
              </w:rPr>
            </w:pPr>
            <w:r w:rsidRPr="002927CD">
              <w:rPr>
                <w:sz w:val="23"/>
                <w:szCs w:val="23"/>
              </w:rPr>
              <w:t>Conditional Risk Level Application Fee</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FCD0A"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$58,900</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9C4C3"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$58,900</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E354D"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color w:val="auto"/>
                <w:sz w:val="23"/>
                <w:szCs w:val="23"/>
              </w:rPr>
            </w:pPr>
            <w:r w:rsidRPr="002927CD">
              <w:rPr>
                <w:color w:val="auto"/>
                <w:sz w:val="23"/>
                <w:szCs w:val="23"/>
              </w:rPr>
              <w:t>$30,900</w:t>
            </w:r>
          </w:p>
        </w:tc>
        <w:tc>
          <w:tcPr>
            <w:tcW w:w="1708" w:type="dxa"/>
            <w:tcBorders>
              <w:top w:val="single" w:sz="4" w:space="0" w:color="auto"/>
              <w:left w:val="single" w:sz="4" w:space="0" w:color="auto"/>
              <w:bottom w:val="single" w:sz="4" w:space="0" w:color="auto"/>
              <w:right w:val="double" w:sz="6" w:space="0" w:color="auto"/>
            </w:tcBorders>
            <w:shd w:val="clear" w:color="auto" w:fill="auto"/>
            <w:noWrap/>
            <w:vAlign w:val="bottom"/>
            <w:hideMark/>
          </w:tcPr>
          <w:p w14:paraId="4FAF70E3"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color w:val="auto"/>
                <w:sz w:val="23"/>
                <w:szCs w:val="23"/>
              </w:rPr>
            </w:pPr>
            <w:r w:rsidRPr="002927CD">
              <w:rPr>
                <w:color w:val="auto"/>
                <w:sz w:val="23"/>
                <w:szCs w:val="23"/>
              </w:rPr>
              <w:t>$30,900</w:t>
            </w:r>
          </w:p>
        </w:tc>
      </w:tr>
      <w:tr w:rsidR="002927CD" w:rsidRPr="002927CD" w14:paraId="4766D957" w14:textId="77777777" w:rsidTr="00A957D4">
        <w:trPr>
          <w:trHeight w:val="288"/>
        </w:trPr>
        <w:tc>
          <w:tcPr>
            <w:tcW w:w="500" w:type="dxa"/>
            <w:tcBorders>
              <w:top w:val="nil"/>
              <w:left w:val="double" w:sz="6" w:space="0" w:color="auto"/>
              <w:bottom w:val="single" w:sz="4" w:space="0" w:color="auto"/>
              <w:right w:val="single" w:sz="4" w:space="0" w:color="auto"/>
            </w:tcBorders>
            <w:shd w:val="clear" w:color="auto" w:fill="auto"/>
            <w:noWrap/>
            <w:vAlign w:val="bottom"/>
            <w:hideMark/>
          </w:tcPr>
          <w:p w14:paraId="15FDDDF6"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center"/>
              <w:rPr>
                <w:b/>
                <w:bCs/>
                <w:sz w:val="23"/>
                <w:szCs w:val="23"/>
              </w:rPr>
            </w:pPr>
            <w:r w:rsidRPr="002927CD">
              <w:rPr>
                <w:b/>
                <w:bCs/>
                <w:sz w:val="23"/>
                <w:szCs w:val="23"/>
              </w:rPr>
              <w:t>14</w:t>
            </w:r>
          </w:p>
        </w:tc>
        <w:tc>
          <w:tcPr>
            <w:tcW w:w="8167" w:type="dxa"/>
            <w:tcBorders>
              <w:top w:val="nil"/>
              <w:left w:val="single" w:sz="4" w:space="0" w:color="auto"/>
              <w:bottom w:val="single" w:sz="4" w:space="0" w:color="auto"/>
              <w:right w:val="single" w:sz="4" w:space="0" w:color="auto"/>
            </w:tcBorders>
            <w:shd w:val="clear" w:color="auto" w:fill="auto"/>
            <w:vAlign w:val="bottom"/>
            <w:hideMark/>
          </w:tcPr>
          <w:p w14:paraId="4738D725" w14:textId="0938505D"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rPr>
                <w:sz w:val="23"/>
                <w:szCs w:val="23"/>
              </w:rPr>
            </w:pPr>
            <w:r w:rsidRPr="002927CD">
              <w:rPr>
                <w:sz w:val="23"/>
                <w:szCs w:val="23"/>
              </w:rPr>
              <w:t>Cleane</w:t>
            </w:r>
            <w:r w:rsidR="00BC0258">
              <w:rPr>
                <w:sz w:val="23"/>
                <w:szCs w:val="23"/>
              </w:rPr>
              <w:t>r Air Oregon Monitoring Plan</w:t>
            </w:r>
            <w:r w:rsidRPr="002927CD">
              <w:rPr>
                <w:sz w:val="23"/>
                <w:szCs w:val="23"/>
              </w:rPr>
              <w:t xml:space="preserve"> Fee</w:t>
            </w:r>
          </w:p>
        </w:tc>
        <w:tc>
          <w:tcPr>
            <w:tcW w:w="964" w:type="dxa"/>
            <w:tcBorders>
              <w:top w:val="nil"/>
              <w:left w:val="nil"/>
              <w:bottom w:val="single" w:sz="4" w:space="0" w:color="auto"/>
              <w:right w:val="single" w:sz="4" w:space="0" w:color="auto"/>
            </w:tcBorders>
            <w:shd w:val="clear" w:color="auto" w:fill="auto"/>
            <w:noWrap/>
            <w:vAlign w:val="bottom"/>
            <w:hideMark/>
          </w:tcPr>
          <w:p w14:paraId="6AA289CB"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$59,400</w:t>
            </w:r>
          </w:p>
        </w:tc>
        <w:tc>
          <w:tcPr>
            <w:tcW w:w="1137" w:type="dxa"/>
            <w:tcBorders>
              <w:top w:val="nil"/>
              <w:left w:val="nil"/>
              <w:bottom w:val="single" w:sz="4" w:space="0" w:color="auto"/>
              <w:right w:val="single" w:sz="4" w:space="0" w:color="auto"/>
            </w:tcBorders>
            <w:shd w:val="clear" w:color="auto" w:fill="auto"/>
            <w:noWrap/>
            <w:vAlign w:val="bottom"/>
            <w:hideMark/>
          </w:tcPr>
          <w:p w14:paraId="788D2B67"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$59,400</w:t>
            </w:r>
          </w:p>
        </w:tc>
        <w:tc>
          <w:tcPr>
            <w:tcW w:w="964" w:type="dxa"/>
            <w:tcBorders>
              <w:top w:val="nil"/>
              <w:left w:val="nil"/>
              <w:bottom w:val="single" w:sz="4" w:space="0" w:color="auto"/>
              <w:right w:val="single" w:sz="4" w:space="0" w:color="auto"/>
            </w:tcBorders>
            <w:shd w:val="clear" w:color="auto" w:fill="auto"/>
            <w:noWrap/>
            <w:vAlign w:val="bottom"/>
            <w:hideMark/>
          </w:tcPr>
          <w:p w14:paraId="5AC6F585"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NA</w:t>
            </w:r>
          </w:p>
        </w:tc>
        <w:tc>
          <w:tcPr>
            <w:tcW w:w="1708" w:type="dxa"/>
            <w:tcBorders>
              <w:top w:val="nil"/>
              <w:left w:val="single" w:sz="4" w:space="0" w:color="auto"/>
              <w:bottom w:val="single" w:sz="4" w:space="0" w:color="auto"/>
              <w:right w:val="double" w:sz="6" w:space="0" w:color="auto"/>
            </w:tcBorders>
            <w:shd w:val="clear" w:color="auto" w:fill="auto"/>
            <w:noWrap/>
            <w:vAlign w:val="bottom"/>
            <w:hideMark/>
          </w:tcPr>
          <w:p w14:paraId="1DC5C6C3"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NA</w:t>
            </w:r>
          </w:p>
        </w:tc>
      </w:tr>
      <w:tr w:rsidR="002927CD" w:rsidRPr="002927CD" w14:paraId="44735884" w14:textId="77777777" w:rsidTr="00B23F3E">
        <w:trPr>
          <w:trHeight w:val="288"/>
        </w:trPr>
        <w:tc>
          <w:tcPr>
            <w:tcW w:w="500" w:type="dxa"/>
            <w:tcBorders>
              <w:top w:val="nil"/>
              <w:left w:val="double" w:sz="6" w:space="0" w:color="auto"/>
              <w:bottom w:val="single" w:sz="4" w:space="0" w:color="auto"/>
              <w:right w:val="single" w:sz="4" w:space="0" w:color="auto"/>
            </w:tcBorders>
            <w:shd w:val="clear" w:color="auto" w:fill="auto"/>
            <w:noWrap/>
            <w:vAlign w:val="bottom"/>
            <w:hideMark/>
          </w:tcPr>
          <w:p w14:paraId="4FACC8C7"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center"/>
              <w:rPr>
                <w:b/>
                <w:bCs/>
                <w:sz w:val="23"/>
                <w:szCs w:val="23"/>
              </w:rPr>
            </w:pPr>
            <w:r w:rsidRPr="002927CD">
              <w:rPr>
                <w:b/>
                <w:bCs/>
                <w:sz w:val="23"/>
                <w:szCs w:val="23"/>
              </w:rPr>
              <w:t>15</w:t>
            </w:r>
          </w:p>
        </w:tc>
        <w:tc>
          <w:tcPr>
            <w:tcW w:w="8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9F62E5"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rPr>
                <w:sz w:val="23"/>
                <w:szCs w:val="23"/>
              </w:rPr>
            </w:pPr>
            <w:r w:rsidRPr="002927CD">
              <w:rPr>
                <w:sz w:val="23"/>
                <w:szCs w:val="23"/>
              </w:rPr>
              <w:t>Director Consultation Fee</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1B48C"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$10,000</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83209"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$10,000</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42836"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$7,700</w:t>
            </w:r>
          </w:p>
        </w:tc>
        <w:tc>
          <w:tcPr>
            <w:tcW w:w="1708" w:type="dxa"/>
            <w:tcBorders>
              <w:top w:val="single" w:sz="4" w:space="0" w:color="auto"/>
              <w:left w:val="single" w:sz="4" w:space="0" w:color="auto"/>
              <w:bottom w:val="single" w:sz="4" w:space="0" w:color="auto"/>
              <w:right w:val="double" w:sz="6" w:space="0" w:color="auto"/>
            </w:tcBorders>
            <w:shd w:val="clear" w:color="auto" w:fill="auto"/>
            <w:noWrap/>
            <w:vAlign w:val="bottom"/>
            <w:hideMark/>
          </w:tcPr>
          <w:p w14:paraId="6E476825"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$7,700</w:t>
            </w:r>
          </w:p>
        </w:tc>
      </w:tr>
      <w:tr w:rsidR="002927CD" w:rsidRPr="002927CD" w14:paraId="5CB0DCF1" w14:textId="77777777" w:rsidTr="00A957D4">
        <w:trPr>
          <w:trHeight w:val="300"/>
        </w:trPr>
        <w:tc>
          <w:tcPr>
            <w:tcW w:w="500" w:type="dxa"/>
            <w:tcBorders>
              <w:top w:val="nil"/>
              <w:left w:val="double" w:sz="6" w:space="0" w:color="auto"/>
              <w:bottom w:val="single" w:sz="12" w:space="0" w:color="auto"/>
              <w:right w:val="single" w:sz="4" w:space="0" w:color="auto"/>
            </w:tcBorders>
            <w:shd w:val="clear" w:color="auto" w:fill="auto"/>
            <w:noWrap/>
            <w:vAlign w:val="bottom"/>
            <w:hideMark/>
          </w:tcPr>
          <w:p w14:paraId="18178A36"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center"/>
              <w:rPr>
                <w:b/>
                <w:bCs/>
                <w:sz w:val="23"/>
                <w:szCs w:val="23"/>
              </w:rPr>
            </w:pPr>
            <w:r w:rsidRPr="002927CD">
              <w:rPr>
                <w:b/>
                <w:bCs/>
                <w:sz w:val="23"/>
                <w:szCs w:val="23"/>
              </w:rPr>
              <w:t>16</w:t>
            </w:r>
          </w:p>
        </w:tc>
        <w:tc>
          <w:tcPr>
            <w:tcW w:w="8167" w:type="dxa"/>
            <w:tcBorders>
              <w:top w:val="nil"/>
              <w:left w:val="single" w:sz="4" w:space="0" w:color="auto"/>
              <w:bottom w:val="single" w:sz="12" w:space="0" w:color="auto"/>
              <w:right w:val="single" w:sz="4" w:space="0" w:color="auto"/>
            </w:tcBorders>
            <w:shd w:val="clear" w:color="auto" w:fill="auto"/>
            <w:vAlign w:val="bottom"/>
            <w:hideMark/>
          </w:tcPr>
          <w:p w14:paraId="5A1DED51"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rPr>
                <w:sz w:val="23"/>
                <w:szCs w:val="23"/>
              </w:rPr>
            </w:pPr>
            <w:r w:rsidRPr="002927CD">
              <w:rPr>
                <w:sz w:val="23"/>
                <w:szCs w:val="23"/>
              </w:rPr>
              <w:t>Postponement of Risk Reduction Application Fee</w:t>
            </w:r>
          </w:p>
        </w:tc>
        <w:tc>
          <w:tcPr>
            <w:tcW w:w="964" w:type="dxa"/>
            <w:tcBorders>
              <w:top w:val="nil"/>
              <w:left w:val="nil"/>
              <w:bottom w:val="single" w:sz="12" w:space="0" w:color="auto"/>
              <w:right w:val="single" w:sz="4" w:space="0" w:color="auto"/>
            </w:tcBorders>
            <w:shd w:val="clear" w:color="auto" w:fill="auto"/>
            <w:noWrap/>
            <w:vAlign w:val="bottom"/>
            <w:hideMark/>
          </w:tcPr>
          <w:p w14:paraId="49262301"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$4,400</w:t>
            </w:r>
          </w:p>
        </w:tc>
        <w:tc>
          <w:tcPr>
            <w:tcW w:w="1137" w:type="dxa"/>
            <w:tcBorders>
              <w:top w:val="nil"/>
              <w:left w:val="nil"/>
              <w:bottom w:val="single" w:sz="12" w:space="0" w:color="auto"/>
              <w:right w:val="single" w:sz="4" w:space="0" w:color="auto"/>
            </w:tcBorders>
            <w:shd w:val="clear" w:color="auto" w:fill="auto"/>
            <w:noWrap/>
            <w:vAlign w:val="bottom"/>
            <w:hideMark/>
          </w:tcPr>
          <w:p w14:paraId="5719AA63"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$4,400</w:t>
            </w:r>
          </w:p>
        </w:tc>
        <w:tc>
          <w:tcPr>
            <w:tcW w:w="964" w:type="dxa"/>
            <w:tcBorders>
              <w:top w:val="nil"/>
              <w:left w:val="nil"/>
              <w:bottom w:val="single" w:sz="12" w:space="0" w:color="auto"/>
              <w:right w:val="single" w:sz="4" w:space="0" w:color="auto"/>
            </w:tcBorders>
            <w:shd w:val="clear" w:color="auto" w:fill="auto"/>
            <w:noWrap/>
            <w:vAlign w:val="bottom"/>
            <w:hideMark/>
          </w:tcPr>
          <w:p w14:paraId="0EAA8DAE"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$2,000</w:t>
            </w:r>
          </w:p>
        </w:tc>
        <w:tc>
          <w:tcPr>
            <w:tcW w:w="1708" w:type="dxa"/>
            <w:tcBorders>
              <w:top w:val="nil"/>
              <w:left w:val="single" w:sz="4" w:space="0" w:color="auto"/>
              <w:bottom w:val="single" w:sz="12" w:space="0" w:color="auto"/>
              <w:right w:val="double" w:sz="6" w:space="0" w:color="auto"/>
            </w:tcBorders>
            <w:shd w:val="clear" w:color="auto" w:fill="auto"/>
            <w:noWrap/>
            <w:vAlign w:val="bottom"/>
            <w:hideMark/>
          </w:tcPr>
          <w:p w14:paraId="400A0D66"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$2,000</w:t>
            </w:r>
          </w:p>
        </w:tc>
      </w:tr>
      <w:tr w:rsidR="002927CD" w:rsidRPr="002927CD" w14:paraId="7957D1E9" w14:textId="77777777" w:rsidTr="00B23F3E">
        <w:trPr>
          <w:trHeight w:val="300"/>
        </w:trPr>
        <w:tc>
          <w:tcPr>
            <w:tcW w:w="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0818F00E"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center"/>
              <w:rPr>
                <w:b/>
                <w:bCs/>
                <w:sz w:val="23"/>
                <w:szCs w:val="23"/>
              </w:rPr>
            </w:pPr>
            <w:r w:rsidRPr="002927CD">
              <w:rPr>
                <w:b/>
                <w:bCs/>
                <w:sz w:val="23"/>
                <w:szCs w:val="23"/>
              </w:rPr>
              <w:t> </w:t>
            </w:r>
          </w:p>
        </w:tc>
        <w:tc>
          <w:tcPr>
            <w:tcW w:w="1294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3FBE0F25"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rPr>
                <w:b/>
                <w:bCs/>
                <w:sz w:val="23"/>
                <w:szCs w:val="23"/>
              </w:rPr>
            </w:pPr>
            <w:r w:rsidRPr="002927CD">
              <w:rPr>
                <w:b/>
                <w:bCs/>
                <w:sz w:val="23"/>
                <w:szCs w:val="23"/>
              </w:rPr>
              <w:t>Other Fees</w:t>
            </w:r>
          </w:p>
        </w:tc>
      </w:tr>
      <w:tr w:rsidR="002927CD" w:rsidRPr="002927CD" w14:paraId="6119489A" w14:textId="77777777" w:rsidTr="00A957D4">
        <w:trPr>
          <w:trHeight w:val="288"/>
        </w:trPr>
        <w:tc>
          <w:tcPr>
            <w:tcW w:w="500" w:type="dxa"/>
            <w:tcBorders>
              <w:top w:val="nil"/>
              <w:left w:val="double" w:sz="6" w:space="0" w:color="auto"/>
              <w:bottom w:val="single" w:sz="4" w:space="0" w:color="auto"/>
              <w:right w:val="single" w:sz="4" w:space="0" w:color="auto"/>
            </w:tcBorders>
            <w:shd w:val="clear" w:color="auto" w:fill="auto"/>
            <w:noWrap/>
            <w:vAlign w:val="bottom"/>
            <w:hideMark/>
          </w:tcPr>
          <w:p w14:paraId="7E3BD3BE" w14:textId="0396F644" w:rsidR="002927CD" w:rsidRPr="002927CD" w:rsidRDefault="000E1E53" w:rsidP="002927CD">
            <w:pPr>
              <w:pBdr>
                <w:top w:val="none" w:sz="0" w:space="0" w:color="auto"/>
                <w:left w:val="none" w:sz="0" w:space="0" w:color="auto"/>
                <w:bottom w:val="none" w:sz="0" w:space="0" w:color="auto"/>
                <w:right w:val="none" w:sz="0" w:space="0" w:color="auto"/>
                <w:between w:val="none" w:sz="0" w:space="0" w:color="auto"/>
              </w:pBdr>
              <w:ind w:left="0" w:right="0"/>
              <w:jc w:val="center"/>
              <w:rPr>
                <w:b/>
                <w:bCs/>
                <w:sz w:val="23"/>
                <w:szCs w:val="23"/>
              </w:rPr>
            </w:pPr>
            <w:r>
              <w:rPr>
                <w:b/>
                <w:bCs/>
                <w:sz w:val="23"/>
                <w:szCs w:val="23"/>
              </w:rPr>
              <w:t>17</w:t>
            </w:r>
          </w:p>
        </w:tc>
        <w:tc>
          <w:tcPr>
            <w:tcW w:w="8167" w:type="dxa"/>
            <w:tcBorders>
              <w:top w:val="nil"/>
              <w:left w:val="single" w:sz="4" w:space="0" w:color="auto"/>
              <w:bottom w:val="single" w:sz="4" w:space="0" w:color="auto"/>
              <w:right w:val="single" w:sz="4" w:space="0" w:color="auto"/>
            </w:tcBorders>
            <w:shd w:val="clear" w:color="auto" w:fill="auto"/>
            <w:vAlign w:val="bottom"/>
            <w:hideMark/>
          </w:tcPr>
          <w:p w14:paraId="58371DE7"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rPr>
                <w:sz w:val="23"/>
                <w:szCs w:val="23"/>
              </w:rPr>
            </w:pPr>
            <w:r w:rsidRPr="002927CD">
              <w:rPr>
                <w:sz w:val="23"/>
                <w:szCs w:val="23"/>
              </w:rPr>
              <w:t xml:space="preserve">Level 2 Modeling review only </w:t>
            </w:r>
          </w:p>
        </w:tc>
        <w:tc>
          <w:tcPr>
            <w:tcW w:w="964" w:type="dxa"/>
            <w:tcBorders>
              <w:top w:val="nil"/>
              <w:left w:val="nil"/>
              <w:bottom w:val="single" w:sz="4" w:space="0" w:color="auto"/>
              <w:right w:val="single" w:sz="4" w:space="0" w:color="auto"/>
            </w:tcBorders>
            <w:shd w:val="clear" w:color="auto" w:fill="auto"/>
            <w:noWrap/>
            <w:vAlign w:val="bottom"/>
            <w:hideMark/>
          </w:tcPr>
          <w:p w14:paraId="558306C0"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$1,300</w:t>
            </w:r>
          </w:p>
        </w:tc>
        <w:tc>
          <w:tcPr>
            <w:tcW w:w="1137" w:type="dxa"/>
            <w:tcBorders>
              <w:top w:val="nil"/>
              <w:left w:val="nil"/>
              <w:bottom w:val="single" w:sz="4" w:space="0" w:color="auto"/>
              <w:right w:val="single" w:sz="4" w:space="0" w:color="auto"/>
            </w:tcBorders>
            <w:shd w:val="clear" w:color="auto" w:fill="auto"/>
            <w:noWrap/>
            <w:vAlign w:val="bottom"/>
            <w:hideMark/>
          </w:tcPr>
          <w:p w14:paraId="1EA6D9CE"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$1,300</w:t>
            </w:r>
          </w:p>
        </w:tc>
        <w:tc>
          <w:tcPr>
            <w:tcW w:w="964" w:type="dxa"/>
            <w:tcBorders>
              <w:top w:val="nil"/>
              <w:left w:val="nil"/>
              <w:bottom w:val="single" w:sz="4" w:space="0" w:color="auto"/>
              <w:right w:val="single" w:sz="4" w:space="0" w:color="auto"/>
            </w:tcBorders>
            <w:shd w:val="clear" w:color="auto" w:fill="auto"/>
            <w:noWrap/>
            <w:vAlign w:val="bottom"/>
            <w:hideMark/>
          </w:tcPr>
          <w:p w14:paraId="01FE7674"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$700</w:t>
            </w:r>
          </w:p>
        </w:tc>
        <w:tc>
          <w:tcPr>
            <w:tcW w:w="1708" w:type="dxa"/>
            <w:tcBorders>
              <w:top w:val="nil"/>
              <w:left w:val="single" w:sz="4" w:space="0" w:color="auto"/>
              <w:bottom w:val="single" w:sz="4" w:space="0" w:color="auto"/>
              <w:right w:val="double" w:sz="6" w:space="0" w:color="auto"/>
            </w:tcBorders>
            <w:shd w:val="clear" w:color="auto" w:fill="auto"/>
            <w:noWrap/>
            <w:vAlign w:val="bottom"/>
            <w:hideMark/>
          </w:tcPr>
          <w:p w14:paraId="1A12DF9D"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$700</w:t>
            </w:r>
          </w:p>
        </w:tc>
      </w:tr>
      <w:tr w:rsidR="002927CD" w:rsidRPr="002927CD" w14:paraId="4802C848" w14:textId="77777777" w:rsidTr="00B23F3E">
        <w:trPr>
          <w:trHeight w:val="288"/>
        </w:trPr>
        <w:tc>
          <w:tcPr>
            <w:tcW w:w="500" w:type="dxa"/>
            <w:tcBorders>
              <w:top w:val="nil"/>
              <w:left w:val="double" w:sz="6" w:space="0" w:color="auto"/>
              <w:bottom w:val="single" w:sz="4" w:space="0" w:color="auto"/>
              <w:right w:val="single" w:sz="4" w:space="0" w:color="auto"/>
            </w:tcBorders>
            <w:shd w:val="clear" w:color="auto" w:fill="auto"/>
            <w:noWrap/>
            <w:vAlign w:val="bottom"/>
            <w:hideMark/>
          </w:tcPr>
          <w:p w14:paraId="22032020" w14:textId="24F7AC31" w:rsidR="002927CD" w:rsidRPr="002927CD" w:rsidRDefault="000E1E53" w:rsidP="002927CD">
            <w:pPr>
              <w:pBdr>
                <w:top w:val="none" w:sz="0" w:space="0" w:color="auto"/>
                <w:left w:val="none" w:sz="0" w:space="0" w:color="auto"/>
                <w:bottom w:val="none" w:sz="0" w:space="0" w:color="auto"/>
                <w:right w:val="none" w:sz="0" w:space="0" w:color="auto"/>
                <w:between w:val="none" w:sz="0" w:space="0" w:color="auto"/>
              </w:pBdr>
              <w:ind w:left="0" w:right="0"/>
              <w:jc w:val="center"/>
              <w:rPr>
                <w:b/>
                <w:bCs/>
                <w:sz w:val="23"/>
                <w:szCs w:val="23"/>
              </w:rPr>
            </w:pPr>
            <w:r>
              <w:rPr>
                <w:b/>
                <w:bCs/>
                <w:sz w:val="23"/>
                <w:szCs w:val="23"/>
              </w:rPr>
              <w:t>18</w:t>
            </w:r>
          </w:p>
        </w:tc>
        <w:tc>
          <w:tcPr>
            <w:tcW w:w="8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F43FD8"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rPr>
                <w:sz w:val="23"/>
                <w:szCs w:val="23"/>
              </w:rPr>
            </w:pPr>
            <w:r w:rsidRPr="002927CD">
              <w:rPr>
                <w:sz w:val="23"/>
                <w:szCs w:val="23"/>
              </w:rPr>
              <w:t xml:space="preserve">Level 3 Modeling review only </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22199"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$5,300</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FEC96"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$5,300</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3EFAA"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$3,100</w:t>
            </w:r>
          </w:p>
        </w:tc>
        <w:tc>
          <w:tcPr>
            <w:tcW w:w="1708" w:type="dxa"/>
            <w:tcBorders>
              <w:top w:val="single" w:sz="4" w:space="0" w:color="auto"/>
              <w:left w:val="single" w:sz="4" w:space="0" w:color="auto"/>
              <w:bottom w:val="single" w:sz="4" w:space="0" w:color="auto"/>
              <w:right w:val="double" w:sz="6" w:space="0" w:color="auto"/>
            </w:tcBorders>
            <w:shd w:val="clear" w:color="auto" w:fill="auto"/>
            <w:noWrap/>
            <w:vAlign w:val="bottom"/>
            <w:hideMark/>
          </w:tcPr>
          <w:p w14:paraId="6B3E16EF"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$3,100</w:t>
            </w:r>
          </w:p>
        </w:tc>
      </w:tr>
      <w:tr w:rsidR="002927CD" w:rsidRPr="002927CD" w14:paraId="5A20470E" w14:textId="77777777" w:rsidTr="00A957D4">
        <w:trPr>
          <w:trHeight w:val="288"/>
        </w:trPr>
        <w:tc>
          <w:tcPr>
            <w:tcW w:w="500" w:type="dxa"/>
            <w:tcBorders>
              <w:top w:val="nil"/>
              <w:left w:val="double" w:sz="6" w:space="0" w:color="auto"/>
              <w:bottom w:val="single" w:sz="4" w:space="0" w:color="auto"/>
              <w:right w:val="single" w:sz="4" w:space="0" w:color="auto"/>
            </w:tcBorders>
            <w:shd w:val="clear" w:color="auto" w:fill="auto"/>
            <w:noWrap/>
            <w:vAlign w:val="bottom"/>
            <w:hideMark/>
          </w:tcPr>
          <w:p w14:paraId="2DCA5CEE" w14:textId="1FEF1AE8" w:rsidR="002927CD" w:rsidRPr="002927CD" w:rsidRDefault="000E1E53" w:rsidP="002927CD">
            <w:pPr>
              <w:pBdr>
                <w:top w:val="none" w:sz="0" w:space="0" w:color="auto"/>
                <w:left w:val="none" w:sz="0" w:space="0" w:color="auto"/>
                <w:bottom w:val="none" w:sz="0" w:space="0" w:color="auto"/>
                <w:right w:val="none" w:sz="0" w:space="0" w:color="auto"/>
                <w:between w:val="none" w:sz="0" w:space="0" w:color="auto"/>
              </w:pBdr>
              <w:ind w:left="0" w:right="0"/>
              <w:jc w:val="center"/>
              <w:rPr>
                <w:b/>
                <w:bCs/>
                <w:sz w:val="23"/>
                <w:szCs w:val="23"/>
              </w:rPr>
            </w:pPr>
            <w:r>
              <w:rPr>
                <w:b/>
                <w:bCs/>
                <w:sz w:val="23"/>
                <w:szCs w:val="23"/>
              </w:rPr>
              <w:t>19</w:t>
            </w:r>
          </w:p>
        </w:tc>
        <w:tc>
          <w:tcPr>
            <w:tcW w:w="8167" w:type="dxa"/>
            <w:tcBorders>
              <w:top w:val="nil"/>
              <w:left w:val="single" w:sz="4" w:space="0" w:color="auto"/>
              <w:bottom w:val="single" w:sz="4" w:space="0" w:color="auto"/>
              <w:right w:val="single" w:sz="4" w:space="0" w:color="auto"/>
            </w:tcBorders>
            <w:shd w:val="clear" w:color="auto" w:fill="auto"/>
            <w:vAlign w:val="bottom"/>
            <w:hideMark/>
          </w:tcPr>
          <w:p w14:paraId="475BEA15"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rPr>
                <w:sz w:val="23"/>
                <w:szCs w:val="23"/>
              </w:rPr>
            </w:pPr>
            <w:r w:rsidRPr="002927CD">
              <w:rPr>
                <w:sz w:val="23"/>
                <w:szCs w:val="23"/>
              </w:rPr>
              <w:t>TBACT Analysis (per Toxic Emissions Unit)</w:t>
            </w:r>
          </w:p>
        </w:tc>
        <w:tc>
          <w:tcPr>
            <w:tcW w:w="964" w:type="dxa"/>
            <w:tcBorders>
              <w:top w:val="nil"/>
              <w:left w:val="nil"/>
              <w:bottom w:val="single" w:sz="4" w:space="0" w:color="auto"/>
              <w:right w:val="single" w:sz="4" w:space="0" w:color="auto"/>
            </w:tcBorders>
            <w:shd w:val="clear" w:color="auto" w:fill="auto"/>
            <w:noWrap/>
            <w:vAlign w:val="bottom"/>
            <w:hideMark/>
          </w:tcPr>
          <w:p w14:paraId="2C2FF661"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$6,000</w:t>
            </w:r>
          </w:p>
        </w:tc>
        <w:tc>
          <w:tcPr>
            <w:tcW w:w="1137" w:type="dxa"/>
            <w:tcBorders>
              <w:top w:val="nil"/>
              <w:left w:val="nil"/>
              <w:bottom w:val="single" w:sz="4" w:space="0" w:color="auto"/>
              <w:right w:val="single" w:sz="4" w:space="0" w:color="auto"/>
            </w:tcBorders>
            <w:shd w:val="clear" w:color="auto" w:fill="auto"/>
            <w:noWrap/>
            <w:vAlign w:val="bottom"/>
            <w:hideMark/>
          </w:tcPr>
          <w:p w14:paraId="470BBD68"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$6,000</w:t>
            </w:r>
          </w:p>
        </w:tc>
        <w:tc>
          <w:tcPr>
            <w:tcW w:w="964" w:type="dxa"/>
            <w:tcBorders>
              <w:top w:val="nil"/>
              <w:left w:val="nil"/>
              <w:bottom w:val="single" w:sz="4" w:space="0" w:color="auto"/>
              <w:right w:val="single" w:sz="4" w:space="0" w:color="auto"/>
            </w:tcBorders>
            <w:shd w:val="clear" w:color="auto" w:fill="auto"/>
            <w:noWrap/>
            <w:vAlign w:val="bottom"/>
            <w:hideMark/>
          </w:tcPr>
          <w:p w14:paraId="286E1447"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$3,000</w:t>
            </w:r>
          </w:p>
        </w:tc>
        <w:tc>
          <w:tcPr>
            <w:tcW w:w="1708" w:type="dxa"/>
            <w:tcBorders>
              <w:top w:val="nil"/>
              <w:left w:val="single" w:sz="4" w:space="0" w:color="auto"/>
              <w:bottom w:val="single" w:sz="4" w:space="0" w:color="auto"/>
              <w:right w:val="double" w:sz="6" w:space="0" w:color="auto"/>
            </w:tcBorders>
            <w:shd w:val="clear" w:color="auto" w:fill="auto"/>
            <w:noWrap/>
            <w:vAlign w:val="bottom"/>
            <w:hideMark/>
          </w:tcPr>
          <w:p w14:paraId="220CA4F0"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$3,000</w:t>
            </w:r>
          </w:p>
        </w:tc>
      </w:tr>
      <w:tr w:rsidR="002927CD" w:rsidRPr="002927CD" w14:paraId="2E7C16D1" w14:textId="77777777" w:rsidTr="00B23F3E">
        <w:trPr>
          <w:trHeight w:val="288"/>
        </w:trPr>
        <w:tc>
          <w:tcPr>
            <w:tcW w:w="500" w:type="dxa"/>
            <w:tcBorders>
              <w:top w:val="nil"/>
              <w:left w:val="double" w:sz="6" w:space="0" w:color="auto"/>
              <w:bottom w:val="single" w:sz="4" w:space="0" w:color="auto"/>
              <w:right w:val="single" w:sz="4" w:space="0" w:color="auto"/>
            </w:tcBorders>
            <w:shd w:val="clear" w:color="auto" w:fill="auto"/>
            <w:noWrap/>
            <w:vAlign w:val="bottom"/>
            <w:hideMark/>
          </w:tcPr>
          <w:p w14:paraId="2352C2F2" w14:textId="081ED0B6" w:rsidR="002927CD" w:rsidRPr="002927CD" w:rsidRDefault="000E1E53" w:rsidP="002927CD">
            <w:pPr>
              <w:pBdr>
                <w:top w:val="none" w:sz="0" w:space="0" w:color="auto"/>
                <w:left w:val="none" w:sz="0" w:space="0" w:color="auto"/>
                <w:bottom w:val="none" w:sz="0" w:space="0" w:color="auto"/>
                <w:right w:val="none" w:sz="0" w:space="0" w:color="auto"/>
                <w:between w:val="none" w:sz="0" w:space="0" w:color="auto"/>
              </w:pBdr>
              <w:ind w:left="0" w:right="0"/>
              <w:jc w:val="center"/>
              <w:rPr>
                <w:b/>
                <w:bCs/>
                <w:sz w:val="23"/>
                <w:szCs w:val="23"/>
              </w:rPr>
            </w:pPr>
            <w:r>
              <w:rPr>
                <w:b/>
                <w:bCs/>
                <w:sz w:val="23"/>
                <w:szCs w:val="23"/>
              </w:rPr>
              <w:t>20</w:t>
            </w:r>
          </w:p>
        </w:tc>
        <w:tc>
          <w:tcPr>
            <w:tcW w:w="8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0D961B"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rPr>
                <w:sz w:val="23"/>
                <w:szCs w:val="23"/>
              </w:rPr>
            </w:pPr>
            <w:r w:rsidRPr="002927CD">
              <w:rPr>
                <w:sz w:val="23"/>
                <w:szCs w:val="23"/>
              </w:rPr>
              <w:t>Expedited Permit Attachment Fee</w:t>
            </w:r>
          </w:p>
        </w:tc>
        <w:tc>
          <w:tcPr>
            <w:tcW w:w="477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45BA1"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center"/>
              <w:rPr>
                <w:sz w:val="23"/>
                <w:szCs w:val="23"/>
              </w:rPr>
            </w:pPr>
            <w:r w:rsidRPr="002927CD">
              <w:rPr>
                <w:sz w:val="23"/>
                <w:szCs w:val="23"/>
              </w:rPr>
              <w:t>specific activity fee + 20%</w:t>
            </w:r>
          </w:p>
        </w:tc>
      </w:tr>
      <w:tr w:rsidR="002927CD" w:rsidRPr="002927CD" w14:paraId="56037374" w14:textId="77777777" w:rsidTr="00A957D4">
        <w:trPr>
          <w:trHeight w:val="288"/>
        </w:trPr>
        <w:tc>
          <w:tcPr>
            <w:tcW w:w="500" w:type="dxa"/>
            <w:tcBorders>
              <w:top w:val="nil"/>
              <w:left w:val="double" w:sz="6" w:space="0" w:color="auto"/>
              <w:bottom w:val="single" w:sz="4" w:space="0" w:color="auto"/>
              <w:right w:val="single" w:sz="4" w:space="0" w:color="auto"/>
            </w:tcBorders>
            <w:shd w:val="clear" w:color="auto" w:fill="auto"/>
            <w:noWrap/>
            <w:vAlign w:val="bottom"/>
            <w:hideMark/>
          </w:tcPr>
          <w:p w14:paraId="698415E8" w14:textId="359192B7" w:rsidR="002927CD" w:rsidRPr="002927CD" w:rsidRDefault="000E1E53" w:rsidP="002927CD">
            <w:pPr>
              <w:pBdr>
                <w:top w:val="none" w:sz="0" w:space="0" w:color="auto"/>
                <w:left w:val="none" w:sz="0" w:space="0" w:color="auto"/>
                <w:bottom w:val="none" w:sz="0" w:space="0" w:color="auto"/>
                <w:right w:val="none" w:sz="0" w:space="0" w:color="auto"/>
                <w:between w:val="none" w:sz="0" w:space="0" w:color="auto"/>
              </w:pBdr>
              <w:ind w:left="0" w:right="0"/>
              <w:jc w:val="center"/>
              <w:rPr>
                <w:b/>
                <w:bCs/>
                <w:sz w:val="23"/>
                <w:szCs w:val="23"/>
              </w:rPr>
            </w:pPr>
            <w:r>
              <w:rPr>
                <w:b/>
                <w:bCs/>
                <w:sz w:val="23"/>
                <w:szCs w:val="23"/>
              </w:rPr>
              <w:t>22</w:t>
            </w:r>
          </w:p>
        </w:tc>
        <w:tc>
          <w:tcPr>
            <w:tcW w:w="8167" w:type="dxa"/>
            <w:tcBorders>
              <w:top w:val="nil"/>
              <w:left w:val="single" w:sz="4" w:space="0" w:color="auto"/>
              <w:bottom w:val="single" w:sz="4" w:space="0" w:color="auto"/>
              <w:right w:val="single" w:sz="4" w:space="0" w:color="auto"/>
            </w:tcBorders>
            <w:shd w:val="clear" w:color="auto" w:fill="auto"/>
            <w:vAlign w:val="bottom"/>
            <w:hideMark/>
          </w:tcPr>
          <w:p w14:paraId="0B495826"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rPr>
                <w:sz w:val="23"/>
                <w:szCs w:val="23"/>
              </w:rPr>
            </w:pPr>
            <w:r w:rsidRPr="002927CD">
              <w:rPr>
                <w:sz w:val="23"/>
                <w:szCs w:val="23"/>
              </w:rPr>
              <w:t>DEQ Attendance at New Source Public Meeting ( &gt;5  &amp; &lt; 10 in 1 MM)</w:t>
            </w:r>
          </w:p>
        </w:tc>
        <w:tc>
          <w:tcPr>
            <w:tcW w:w="964" w:type="dxa"/>
            <w:tcBorders>
              <w:top w:val="nil"/>
              <w:left w:val="nil"/>
              <w:bottom w:val="single" w:sz="4" w:space="0" w:color="auto"/>
              <w:right w:val="single" w:sz="4" w:space="0" w:color="auto"/>
            </w:tcBorders>
            <w:shd w:val="clear" w:color="auto" w:fill="auto"/>
            <w:noWrap/>
            <w:vAlign w:val="bottom"/>
            <w:hideMark/>
          </w:tcPr>
          <w:p w14:paraId="17C76EBE"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$2,400</w:t>
            </w:r>
          </w:p>
        </w:tc>
        <w:tc>
          <w:tcPr>
            <w:tcW w:w="1137" w:type="dxa"/>
            <w:tcBorders>
              <w:top w:val="nil"/>
              <w:left w:val="nil"/>
              <w:bottom w:val="single" w:sz="4" w:space="0" w:color="auto"/>
              <w:right w:val="single" w:sz="4" w:space="0" w:color="auto"/>
            </w:tcBorders>
            <w:shd w:val="clear" w:color="auto" w:fill="auto"/>
            <w:noWrap/>
            <w:vAlign w:val="bottom"/>
            <w:hideMark/>
          </w:tcPr>
          <w:p w14:paraId="58F026B2"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$2,400</w:t>
            </w:r>
          </w:p>
        </w:tc>
        <w:tc>
          <w:tcPr>
            <w:tcW w:w="964" w:type="dxa"/>
            <w:tcBorders>
              <w:top w:val="nil"/>
              <w:left w:val="nil"/>
              <w:bottom w:val="single" w:sz="4" w:space="0" w:color="auto"/>
              <w:right w:val="single" w:sz="4" w:space="0" w:color="auto"/>
            </w:tcBorders>
            <w:shd w:val="clear" w:color="auto" w:fill="auto"/>
            <w:noWrap/>
            <w:vAlign w:val="bottom"/>
            <w:hideMark/>
          </w:tcPr>
          <w:p w14:paraId="100952EF"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$2,400</w:t>
            </w:r>
          </w:p>
        </w:tc>
        <w:tc>
          <w:tcPr>
            <w:tcW w:w="1708" w:type="dxa"/>
            <w:tcBorders>
              <w:top w:val="nil"/>
              <w:left w:val="single" w:sz="4" w:space="0" w:color="auto"/>
              <w:bottom w:val="single" w:sz="4" w:space="0" w:color="auto"/>
              <w:right w:val="double" w:sz="6" w:space="0" w:color="auto"/>
            </w:tcBorders>
            <w:shd w:val="clear" w:color="auto" w:fill="auto"/>
            <w:noWrap/>
            <w:vAlign w:val="bottom"/>
            <w:hideMark/>
          </w:tcPr>
          <w:p w14:paraId="50BF4D40"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$2,400</w:t>
            </w:r>
          </w:p>
        </w:tc>
      </w:tr>
      <w:tr w:rsidR="002927CD" w:rsidRPr="002927CD" w14:paraId="571F498D" w14:textId="77777777" w:rsidTr="00B23F3E">
        <w:trPr>
          <w:trHeight w:val="300"/>
        </w:trPr>
        <w:tc>
          <w:tcPr>
            <w:tcW w:w="500" w:type="dxa"/>
            <w:tcBorders>
              <w:top w:val="nil"/>
              <w:left w:val="double" w:sz="6" w:space="0" w:color="auto"/>
              <w:bottom w:val="double" w:sz="6" w:space="0" w:color="auto"/>
              <w:right w:val="single" w:sz="4" w:space="0" w:color="auto"/>
            </w:tcBorders>
            <w:shd w:val="clear" w:color="auto" w:fill="auto"/>
            <w:noWrap/>
            <w:vAlign w:val="bottom"/>
            <w:hideMark/>
          </w:tcPr>
          <w:p w14:paraId="5D7115DC" w14:textId="65153AEC" w:rsidR="002927CD" w:rsidRPr="002927CD" w:rsidRDefault="000E1E53" w:rsidP="002927CD">
            <w:pPr>
              <w:pBdr>
                <w:top w:val="none" w:sz="0" w:space="0" w:color="auto"/>
                <w:left w:val="none" w:sz="0" w:space="0" w:color="auto"/>
                <w:bottom w:val="none" w:sz="0" w:space="0" w:color="auto"/>
                <w:right w:val="none" w:sz="0" w:space="0" w:color="auto"/>
                <w:between w:val="none" w:sz="0" w:space="0" w:color="auto"/>
              </w:pBdr>
              <w:ind w:left="0" w:right="0"/>
              <w:jc w:val="center"/>
              <w:rPr>
                <w:b/>
                <w:bCs/>
                <w:sz w:val="23"/>
                <w:szCs w:val="23"/>
              </w:rPr>
            </w:pPr>
            <w:r>
              <w:rPr>
                <w:b/>
                <w:bCs/>
                <w:sz w:val="23"/>
                <w:szCs w:val="23"/>
              </w:rPr>
              <w:t>22</w:t>
            </w:r>
          </w:p>
        </w:tc>
        <w:tc>
          <w:tcPr>
            <w:tcW w:w="8167" w:type="dxa"/>
            <w:tcBorders>
              <w:top w:val="single" w:sz="4" w:space="0" w:color="auto"/>
              <w:left w:val="single" w:sz="4" w:space="0" w:color="auto"/>
              <w:bottom w:val="double" w:sz="6" w:space="0" w:color="auto"/>
              <w:right w:val="single" w:sz="4" w:space="0" w:color="auto"/>
            </w:tcBorders>
            <w:shd w:val="clear" w:color="auto" w:fill="auto"/>
            <w:vAlign w:val="bottom"/>
            <w:hideMark/>
          </w:tcPr>
          <w:p w14:paraId="56608844"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rPr>
                <w:sz w:val="23"/>
                <w:szCs w:val="23"/>
              </w:rPr>
            </w:pPr>
            <w:r w:rsidRPr="002927CD">
              <w:rPr>
                <w:sz w:val="23"/>
                <w:szCs w:val="23"/>
              </w:rPr>
              <w:t>Source Test Review Fee (plan and data review)</w:t>
            </w:r>
          </w:p>
        </w:tc>
        <w:tc>
          <w:tcPr>
            <w:tcW w:w="964"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50586F65"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$5,900</w:t>
            </w:r>
          </w:p>
        </w:tc>
        <w:tc>
          <w:tcPr>
            <w:tcW w:w="1137"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6BB65599"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$5,900</w:t>
            </w:r>
          </w:p>
        </w:tc>
        <w:tc>
          <w:tcPr>
            <w:tcW w:w="964"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4CFEBB9A"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$5,900</w:t>
            </w:r>
          </w:p>
        </w:tc>
        <w:tc>
          <w:tcPr>
            <w:tcW w:w="1708" w:type="dxa"/>
            <w:tcBorders>
              <w:top w:val="single" w:sz="4" w:space="0" w:color="auto"/>
              <w:left w:val="single" w:sz="4" w:space="0" w:color="auto"/>
              <w:bottom w:val="double" w:sz="6" w:space="0" w:color="auto"/>
              <w:right w:val="double" w:sz="6" w:space="0" w:color="auto"/>
            </w:tcBorders>
            <w:shd w:val="clear" w:color="auto" w:fill="auto"/>
            <w:noWrap/>
            <w:vAlign w:val="bottom"/>
            <w:hideMark/>
          </w:tcPr>
          <w:p w14:paraId="636FE7DF" w14:textId="77777777" w:rsidR="002927CD" w:rsidRPr="002927CD" w:rsidRDefault="002927CD" w:rsidP="002927CD">
            <w:pPr>
              <w:pBdr>
                <w:top w:val="none" w:sz="0" w:space="0" w:color="auto"/>
                <w:left w:val="none" w:sz="0" w:space="0" w:color="auto"/>
                <w:bottom w:val="none" w:sz="0" w:space="0" w:color="auto"/>
                <w:right w:val="none" w:sz="0" w:space="0" w:color="auto"/>
                <w:between w:val="none" w:sz="0" w:space="0" w:color="auto"/>
              </w:pBdr>
              <w:ind w:left="0" w:right="0"/>
              <w:jc w:val="right"/>
              <w:rPr>
                <w:sz w:val="23"/>
                <w:szCs w:val="23"/>
              </w:rPr>
            </w:pPr>
            <w:r w:rsidRPr="002927CD">
              <w:rPr>
                <w:sz w:val="23"/>
                <w:szCs w:val="23"/>
              </w:rPr>
              <w:t>$5,900</w:t>
            </w:r>
          </w:p>
        </w:tc>
      </w:tr>
    </w:tbl>
    <w:p w14:paraId="1B419078" w14:textId="77777777" w:rsidR="00083818" w:rsidRDefault="00083818">
      <w:pPr>
        <w:ind w:left="0" w:right="-432"/>
        <w:jc w:val="center"/>
        <w:rPr>
          <w:b/>
        </w:rPr>
      </w:pPr>
    </w:p>
    <w:p w14:paraId="22553387" w14:textId="77777777" w:rsidR="002927CD" w:rsidRDefault="002927CD">
      <w:pPr>
        <w:ind w:left="0" w:right="-432"/>
        <w:jc w:val="center"/>
        <w:rPr>
          <w:b/>
        </w:rPr>
        <w:sectPr w:rsidR="002927CD" w:rsidSect="002927CD">
          <w:pgSz w:w="15840" w:h="12240" w:orient="landscape"/>
          <w:pgMar w:top="288" w:right="720" w:bottom="245" w:left="720" w:header="0" w:footer="720" w:gutter="0"/>
          <w:cols w:space="720"/>
          <w:docGrid w:linePitch="326"/>
        </w:sectPr>
      </w:pPr>
    </w:p>
    <w:p w14:paraId="48CD204A" w14:textId="03615923" w:rsidR="00083818" w:rsidRDefault="00550C6B">
      <w:pPr>
        <w:ind w:left="0" w:right="-432"/>
      </w:pPr>
      <w:r>
        <w:t>Proposed f</w:t>
      </w:r>
      <w:r w:rsidR="00C142AF">
        <w:t>ees</w:t>
      </w:r>
    </w:p>
    <w:p w14:paraId="767A2190" w14:textId="77777777" w:rsidR="00C142AF" w:rsidRDefault="00C142AF">
      <w:pPr>
        <w:ind w:left="0" w:right="-432"/>
      </w:pPr>
    </w:p>
    <w:tbl>
      <w:tblPr>
        <w:tblStyle w:val="ad"/>
        <w:tblW w:w="8882" w:type="dxa"/>
        <w:jc w:val="center"/>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4654"/>
        <w:gridCol w:w="1794"/>
        <w:gridCol w:w="2434"/>
      </w:tblGrid>
      <w:tr w:rsidR="00083818" w14:paraId="7B28AF5E" w14:textId="77777777">
        <w:trPr>
          <w:jc w:val="center"/>
        </w:trPr>
        <w:tc>
          <w:tcPr>
            <w:tcW w:w="8882" w:type="dxa"/>
            <w:gridSpan w:val="3"/>
            <w:shd w:val="clear" w:color="auto" w:fill="E2EFD9"/>
          </w:tcPr>
          <w:p w14:paraId="02213471" w14:textId="4EE59656" w:rsidR="00A76896" w:rsidRDefault="00A76896" w:rsidP="00A76896">
            <w:pPr>
              <w:ind w:right="-432"/>
              <w:jc w:val="center"/>
              <w:rPr>
                <w:b/>
                <w:color w:val="auto"/>
              </w:rPr>
            </w:pPr>
            <w:r>
              <w:rPr>
                <w:b/>
                <w:color w:val="auto"/>
              </w:rPr>
              <w:t>Table 4</w:t>
            </w:r>
          </w:p>
          <w:p w14:paraId="005C9765" w14:textId="77777777" w:rsidR="00083818" w:rsidRPr="00C43B5F" w:rsidRDefault="00FC36AC" w:rsidP="00A76896">
            <w:pPr>
              <w:ind w:right="-432"/>
              <w:jc w:val="center"/>
              <w:rPr>
                <w:b/>
                <w:color w:val="auto"/>
              </w:rPr>
            </w:pPr>
            <w:r w:rsidRPr="00C43B5F">
              <w:rPr>
                <w:b/>
                <w:color w:val="auto"/>
              </w:rPr>
              <w:t>Proposed Fees</w:t>
            </w:r>
          </w:p>
        </w:tc>
      </w:tr>
      <w:tr w:rsidR="00083818" w14:paraId="647079F4" w14:textId="77777777">
        <w:trPr>
          <w:trHeight w:val="560"/>
          <w:jc w:val="center"/>
        </w:trPr>
        <w:tc>
          <w:tcPr>
            <w:tcW w:w="4654" w:type="dxa"/>
            <w:shd w:val="clear" w:color="auto" w:fill="C5E0B3"/>
            <w:vAlign w:val="center"/>
          </w:tcPr>
          <w:p w14:paraId="62DC9365" w14:textId="77777777" w:rsidR="00083818" w:rsidRPr="00C43B5F" w:rsidRDefault="00FC36AC">
            <w:pPr>
              <w:ind w:right="-432"/>
              <w:rPr>
                <w:color w:val="auto"/>
              </w:rPr>
            </w:pPr>
            <w:r w:rsidRPr="00C43B5F">
              <w:rPr>
                <w:color w:val="auto"/>
              </w:rPr>
              <w:t>Expected change in revenue (+/-)</w:t>
            </w:r>
          </w:p>
        </w:tc>
        <w:tc>
          <w:tcPr>
            <w:tcW w:w="1794" w:type="dxa"/>
            <w:vAlign w:val="center"/>
          </w:tcPr>
          <w:p w14:paraId="430F87A5" w14:textId="77777777" w:rsidR="00083818" w:rsidRPr="00C43B5F" w:rsidRDefault="00FC36AC">
            <w:pPr>
              <w:ind w:right="-432"/>
              <w:rPr>
                <w:color w:val="auto"/>
              </w:rPr>
            </w:pPr>
            <w:r w:rsidRPr="00C43B5F">
              <w:rPr>
                <w:color w:val="auto"/>
              </w:rPr>
              <w:t>$3,138,395</w:t>
            </w:r>
          </w:p>
        </w:tc>
        <w:tc>
          <w:tcPr>
            <w:tcW w:w="2434" w:type="dxa"/>
            <w:vAlign w:val="center"/>
          </w:tcPr>
          <w:p w14:paraId="45D3ABBE" w14:textId="77777777" w:rsidR="00083818" w:rsidRPr="00C43B5F" w:rsidRDefault="00FC36AC">
            <w:pPr>
              <w:ind w:right="-432"/>
              <w:rPr>
                <w:color w:val="auto"/>
              </w:rPr>
            </w:pPr>
            <w:r w:rsidRPr="00C43B5F">
              <w:rPr>
                <w:color w:val="auto"/>
              </w:rPr>
              <w:t>N/A (new fee/program)</w:t>
            </w:r>
          </w:p>
        </w:tc>
      </w:tr>
      <w:tr w:rsidR="00083818" w14:paraId="796DEFF5" w14:textId="77777777">
        <w:trPr>
          <w:trHeight w:val="780"/>
          <w:jc w:val="center"/>
        </w:trPr>
        <w:tc>
          <w:tcPr>
            <w:tcW w:w="4654" w:type="dxa"/>
            <w:shd w:val="clear" w:color="auto" w:fill="C5E0B3"/>
            <w:vAlign w:val="center"/>
          </w:tcPr>
          <w:p w14:paraId="4A036EFD" w14:textId="77777777" w:rsidR="00083818" w:rsidRPr="00C43B5F" w:rsidRDefault="00FC36AC">
            <w:pPr>
              <w:ind w:right="-432"/>
              <w:rPr>
                <w:color w:val="auto"/>
              </w:rPr>
            </w:pPr>
            <w:r w:rsidRPr="00C43B5F">
              <w:rPr>
                <w:color w:val="auto"/>
              </w:rPr>
              <w:t xml:space="preserve">Main GF required by statute/rule to fund </w:t>
            </w:r>
          </w:p>
          <w:p w14:paraId="00C5C897" w14:textId="77777777" w:rsidR="00083818" w:rsidRPr="00C43B5F" w:rsidRDefault="00FC36AC">
            <w:pPr>
              <w:ind w:right="-432"/>
              <w:rPr>
                <w:color w:val="auto"/>
              </w:rPr>
            </w:pPr>
            <w:r w:rsidRPr="00C43B5F">
              <w:rPr>
                <w:color w:val="auto"/>
              </w:rPr>
              <w:t>program</w:t>
            </w:r>
          </w:p>
        </w:tc>
        <w:tc>
          <w:tcPr>
            <w:tcW w:w="1794" w:type="dxa"/>
            <w:vAlign w:val="center"/>
          </w:tcPr>
          <w:p w14:paraId="3EACF2D1" w14:textId="77777777" w:rsidR="00083818" w:rsidRPr="00C43B5F" w:rsidRDefault="00FC36AC">
            <w:pPr>
              <w:ind w:right="-432"/>
              <w:rPr>
                <w:color w:val="auto"/>
              </w:rPr>
            </w:pPr>
            <w:r w:rsidRPr="00C43B5F">
              <w:rPr>
                <w:color w:val="auto"/>
              </w:rPr>
              <w:t>$0</w:t>
            </w:r>
          </w:p>
        </w:tc>
        <w:tc>
          <w:tcPr>
            <w:tcW w:w="2434" w:type="dxa"/>
            <w:vAlign w:val="center"/>
          </w:tcPr>
          <w:p w14:paraId="0BEC0AFB" w14:textId="77777777" w:rsidR="00083818" w:rsidRPr="00C43B5F" w:rsidRDefault="00FC36AC">
            <w:pPr>
              <w:ind w:right="-432"/>
              <w:rPr>
                <w:color w:val="auto"/>
              </w:rPr>
            </w:pPr>
            <w:r w:rsidRPr="00C43B5F">
              <w:rPr>
                <w:color w:val="auto"/>
              </w:rPr>
              <w:t>0%</w:t>
            </w:r>
          </w:p>
        </w:tc>
      </w:tr>
      <w:tr w:rsidR="00083818" w14:paraId="366EEF3C" w14:textId="77777777">
        <w:trPr>
          <w:trHeight w:val="760"/>
          <w:jc w:val="center"/>
        </w:trPr>
        <w:tc>
          <w:tcPr>
            <w:tcW w:w="4654" w:type="dxa"/>
            <w:shd w:val="clear" w:color="auto" w:fill="C5E0B3"/>
            <w:vAlign w:val="center"/>
          </w:tcPr>
          <w:p w14:paraId="099B93BA" w14:textId="77777777" w:rsidR="00083818" w:rsidRPr="00C43B5F" w:rsidRDefault="00FC36AC">
            <w:pPr>
              <w:ind w:right="-432"/>
              <w:rPr>
                <w:color w:val="auto"/>
              </w:rPr>
            </w:pPr>
            <w:r w:rsidRPr="00C43B5F">
              <w:rPr>
                <w:color w:val="auto"/>
              </w:rPr>
              <w:t xml:space="preserve">Proposed fee allows General Fund </w:t>
            </w:r>
          </w:p>
          <w:p w14:paraId="307EF4A7" w14:textId="77777777" w:rsidR="00083818" w:rsidRPr="00C43B5F" w:rsidRDefault="00FC36AC">
            <w:pPr>
              <w:ind w:right="-432"/>
              <w:rPr>
                <w:color w:val="auto"/>
              </w:rPr>
            </w:pPr>
            <w:r w:rsidRPr="00C43B5F">
              <w:rPr>
                <w:color w:val="auto"/>
              </w:rPr>
              <w:t>replacement</w:t>
            </w:r>
          </w:p>
        </w:tc>
        <w:tc>
          <w:tcPr>
            <w:tcW w:w="1794" w:type="dxa"/>
            <w:vAlign w:val="center"/>
          </w:tcPr>
          <w:p w14:paraId="117C7959" w14:textId="77777777" w:rsidR="00083818" w:rsidRPr="00C43B5F" w:rsidRDefault="00FC36AC">
            <w:pPr>
              <w:ind w:right="-432"/>
              <w:rPr>
                <w:color w:val="auto"/>
              </w:rPr>
            </w:pPr>
            <w:r w:rsidRPr="00C43B5F">
              <w:rPr>
                <w:color w:val="auto"/>
              </w:rPr>
              <w:t>$0</w:t>
            </w:r>
          </w:p>
        </w:tc>
        <w:tc>
          <w:tcPr>
            <w:tcW w:w="2434" w:type="dxa"/>
            <w:vAlign w:val="center"/>
          </w:tcPr>
          <w:p w14:paraId="6F47F42A" w14:textId="77777777" w:rsidR="00083818" w:rsidRPr="00C43B5F" w:rsidRDefault="00FC36AC">
            <w:pPr>
              <w:ind w:right="-432"/>
              <w:rPr>
                <w:color w:val="auto"/>
              </w:rPr>
            </w:pPr>
            <w:r w:rsidRPr="00C43B5F">
              <w:rPr>
                <w:color w:val="auto"/>
              </w:rPr>
              <w:t>0%</w:t>
            </w:r>
          </w:p>
        </w:tc>
      </w:tr>
      <w:tr w:rsidR="00083818" w14:paraId="6DC9284B" w14:textId="77777777">
        <w:trPr>
          <w:trHeight w:val="640"/>
          <w:jc w:val="center"/>
        </w:trPr>
        <w:tc>
          <w:tcPr>
            <w:tcW w:w="4654" w:type="dxa"/>
            <w:shd w:val="clear" w:color="auto" w:fill="C5E0B3"/>
            <w:vAlign w:val="center"/>
          </w:tcPr>
          <w:p w14:paraId="58DCB3ED" w14:textId="77777777" w:rsidR="00083818" w:rsidRPr="00C43B5F" w:rsidRDefault="00FC36AC">
            <w:pPr>
              <w:ind w:right="-432"/>
              <w:rPr>
                <w:color w:val="auto"/>
              </w:rPr>
            </w:pPr>
            <w:r w:rsidRPr="00C43B5F">
              <w:rPr>
                <w:color w:val="auto"/>
              </w:rPr>
              <w:t>Expected effective date</w:t>
            </w:r>
          </w:p>
        </w:tc>
        <w:tc>
          <w:tcPr>
            <w:tcW w:w="4228" w:type="dxa"/>
            <w:gridSpan w:val="2"/>
            <w:vAlign w:val="center"/>
          </w:tcPr>
          <w:p w14:paraId="25EF70DA" w14:textId="77777777" w:rsidR="00083818" w:rsidRPr="00C43B5F" w:rsidRDefault="00FC36AC">
            <w:pPr>
              <w:ind w:right="-432"/>
              <w:rPr>
                <w:color w:val="auto"/>
              </w:rPr>
            </w:pPr>
            <w:r w:rsidRPr="00C43B5F">
              <w:rPr>
                <w:color w:val="auto"/>
              </w:rPr>
              <w:t xml:space="preserve">Upon rule adoption </w:t>
            </w:r>
          </w:p>
        </w:tc>
      </w:tr>
    </w:tbl>
    <w:p w14:paraId="591BC1ED" w14:textId="77777777" w:rsidR="00083818" w:rsidRDefault="00083818">
      <w:pPr>
        <w:ind w:left="0" w:right="-432"/>
      </w:pPr>
    </w:p>
    <w:p w14:paraId="18EB8488" w14:textId="77777777" w:rsidR="00083818" w:rsidRDefault="00083818">
      <w:pPr>
        <w:ind w:left="0" w:right="-432"/>
      </w:pPr>
    </w:p>
    <w:p w14:paraId="1E480A4F" w14:textId="77777777" w:rsidR="00083818" w:rsidRDefault="00083818">
      <w:pPr>
        <w:ind w:left="0" w:right="-432"/>
      </w:pPr>
    </w:p>
    <w:p w14:paraId="4CC03551" w14:textId="77777777" w:rsidR="00083818" w:rsidRDefault="00FC36AC">
      <w:pPr>
        <w:ind w:left="0" w:right="-432"/>
      </w:pPr>
      <w:r>
        <w:t>Transactions and revenue</w:t>
      </w:r>
    </w:p>
    <w:p w14:paraId="04CA3C3F" w14:textId="77777777" w:rsidR="00083818" w:rsidRDefault="00083818">
      <w:pPr>
        <w:ind w:left="0" w:right="-432"/>
      </w:pPr>
    </w:p>
    <w:tbl>
      <w:tblPr>
        <w:tblStyle w:val="ae"/>
        <w:tblW w:w="8977" w:type="dxa"/>
        <w:jc w:val="center"/>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1618"/>
        <w:gridCol w:w="1622"/>
        <w:gridCol w:w="1890"/>
        <w:gridCol w:w="2160"/>
        <w:gridCol w:w="1687"/>
      </w:tblGrid>
      <w:tr w:rsidR="00083818" w14:paraId="0FE67938" w14:textId="77777777">
        <w:trPr>
          <w:jc w:val="center"/>
        </w:trPr>
        <w:tc>
          <w:tcPr>
            <w:tcW w:w="8977" w:type="dxa"/>
            <w:gridSpan w:val="5"/>
            <w:shd w:val="clear" w:color="auto" w:fill="E2EFD9"/>
          </w:tcPr>
          <w:p w14:paraId="225FE752" w14:textId="4E33F77E" w:rsidR="00A76896" w:rsidRDefault="00A76896" w:rsidP="00A76896">
            <w:pPr>
              <w:ind w:right="-432"/>
              <w:jc w:val="center"/>
              <w:rPr>
                <w:b/>
                <w:color w:val="auto"/>
              </w:rPr>
            </w:pPr>
            <w:r>
              <w:rPr>
                <w:b/>
                <w:color w:val="auto"/>
              </w:rPr>
              <w:t>Table 5</w:t>
            </w:r>
          </w:p>
          <w:p w14:paraId="5D75EBDE" w14:textId="77777777" w:rsidR="00083818" w:rsidRPr="00C43B5F" w:rsidRDefault="00FC36AC" w:rsidP="00A76896">
            <w:pPr>
              <w:ind w:right="-432"/>
              <w:jc w:val="center"/>
              <w:rPr>
                <w:b/>
                <w:color w:val="auto"/>
              </w:rPr>
            </w:pPr>
            <w:r w:rsidRPr="00C43B5F">
              <w:rPr>
                <w:b/>
                <w:color w:val="auto"/>
              </w:rPr>
              <w:t>Transactions and Revenue</w:t>
            </w:r>
          </w:p>
        </w:tc>
      </w:tr>
      <w:tr w:rsidR="00083818" w14:paraId="5DB368C5" w14:textId="77777777">
        <w:trPr>
          <w:jc w:val="center"/>
        </w:trPr>
        <w:tc>
          <w:tcPr>
            <w:tcW w:w="1618" w:type="dxa"/>
            <w:shd w:val="clear" w:color="auto" w:fill="C5E0B3"/>
            <w:vAlign w:val="center"/>
          </w:tcPr>
          <w:p w14:paraId="17C51D75" w14:textId="77777777" w:rsidR="00083818" w:rsidRPr="00C43B5F" w:rsidRDefault="00FC36AC">
            <w:pPr>
              <w:ind w:right="-432"/>
              <w:rPr>
                <w:b/>
                <w:color w:val="auto"/>
              </w:rPr>
            </w:pPr>
            <w:r w:rsidRPr="00C43B5F">
              <w:rPr>
                <w:b/>
                <w:color w:val="auto"/>
              </w:rPr>
              <w:t>Biennium</w:t>
            </w:r>
          </w:p>
        </w:tc>
        <w:tc>
          <w:tcPr>
            <w:tcW w:w="1622" w:type="dxa"/>
            <w:shd w:val="clear" w:color="auto" w:fill="C5E0B3"/>
            <w:vAlign w:val="center"/>
          </w:tcPr>
          <w:p w14:paraId="0007C941" w14:textId="77777777" w:rsidR="00083818" w:rsidRPr="00C43B5F" w:rsidRDefault="00FC36AC">
            <w:pPr>
              <w:ind w:right="-432"/>
              <w:rPr>
                <w:b/>
                <w:color w:val="auto"/>
              </w:rPr>
            </w:pPr>
            <w:r w:rsidRPr="00C43B5F">
              <w:rPr>
                <w:b/>
                <w:color w:val="auto"/>
              </w:rPr>
              <w:t>Number of transactions</w:t>
            </w:r>
          </w:p>
        </w:tc>
        <w:tc>
          <w:tcPr>
            <w:tcW w:w="1890" w:type="dxa"/>
            <w:shd w:val="clear" w:color="auto" w:fill="C5E0B3"/>
            <w:vAlign w:val="center"/>
          </w:tcPr>
          <w:p w14:paraId="45C07B7C" w14:textId="77777777" w:rsidR="00083818" w:rsidRPr="00C43B5F" w:rsidRDefault="00FC36AC">
            <w:pPr>
              <w:ind w:right="-432"/>
              <w:rPr>
                <w:b/>
                <w:color w:val="auto"/>
              </w:rPr>
            </w:pPr>
            <w:r w:rsidRPr="00C43B5F">
              <w:rPr>
                <w:b/>
                <w:color w:val="auto"/>
              </w:rPr>
              <w:t>Number of fee</w:t>
            </w:r>
          </w:p>
          <w:p w14:paraId="044E18B9" w14:textId="77777777" w:rsidR="00083818" w:rsidRPr="00C43B5F" w:rsidRDefault="00FC36AC">
            <w:pPr>
              <w:ind w:right="-432"/>
              <w:rPr>
                <w:b/>
                <w:color w:val="auto"/>
              </w:rPr>
            </w:pPr>
            <w:r w:rsidRPr="00C43B5F">
              <w:rPr>
                <w:b/>
                <w:color w:val="auto"/>
              </w:rPr>
              <w:t>payers</w:t>
            </w:r>
          </w:p>
        </w:tc>
        <w:tc>
          <w:tcPr>
            <w:tcW w:w="2160" w:type="dxa"/>
            <w:shd w:val="clear" w:color="auto" w:fill="C5E0B3"/>
            <w:vAlign w:val="center"/>
          </w:tcPr>
          <w:p w14:paraId="431715B2" w14:textId="77777777" w:rsidR="00083818" w:rsidRPr="00C43B5F" w:rsidRDefault="00FC36AC">
            <w:pPr>
              <w:ind w:right="-432"/>
              <w:rPr>
                <w:b/>
                <w:color w:val="auto"/>
              </w:rPr>
            </w:pPr>
            <w:r w:rsidRPr="00C43B5F">
              <w:rPr>
                <w:b/>
                <w:color w:val="auto"/>
              </w:rPr>
              <w:t>Impact on revenue</w:t>
            </w:r>
          </w:p>
          <w:p w14:paraId="67A8391C" w14:textId="77777777" w:rsidR="00083818" w:rsidRPr="00C43B5F" w:rsidRDefault="00FC36AC">
            <w:pPr>
              <w:ind w:right="-432"/>
              <w:rPr>
                <w:b/>
                <w:color w:val="auto"/>
              </w:rPr>
            </w:pPr>
            <w:r w:rsidRPr="00C43B5F">
              <w:rPr>
                <w:b/>
                <w:color w:val="auto"/>
              </w:rPr>
              <w:t xml:space="preserve"> (+/-)</w:t>
            </w:r>
          </w:p>
        </w:tc>
        <w:tc>
          <w:tcPr>
            <w:tcW w:w="1687" w:type="dxa"/>
            <w:shd w:val="clear" w:color="auto" w:fill="C5E0B3"/>
            <w:vAlign w:val="center"/>
          </w:tcPr>
          <w:p w14:paraId="3BA3D325" w14:textId="77777777" w:rsidR="00083818" w:rsidRPr="00C43B5F" w:rsidRDefault="00FC36AC">
            <w:pPr>
              <w:ind w:right="-432"/>
              <w:rPr>
                <w:b/>
                <w:color w:val="auto"/>
              </w:rPr>
            </w:pPr>
            <w:r w:rsidRPr="00C43B5F">
              <w:rPr>
                <w:b/>
                <w:color w:val="auto"/>
              </w:rPr>
              <w:t>Total revenue</w:t>
            </w:r>
          </w:p>
          <w:p w14:paraId="16E80278" w14:textId="77777777" w:rsidR="00083818" w:rsidRPr="00C43B5F" w:rsidRDefault="00FC36AC">
            <w:pPr>
              <w:ind w:right="-432"/>
              <w:rPr>
                <w:b/>
                <w:color w:val="auto"/>
              </w:rPr>
            </w:pPr>
            <w:r w:rsidRPr="00C43B5F">
              <w:rPr>
                <w:b/>
                <w:color w:val="auto"/>
              </w:rPr>
              <w:t xml:space="preserve"> (+/-)</w:t>
            </w:r>
          </w:p>
        </w:tc>
      </w:tr>
      <w:tr w:rsidR="00083818" w14:paraId="25D5A631" w14:textId="77777777" w:rsidTr="0036094D">
        <w:trPr>
          <w:jc w:val="center"/>
        </w:trPr>
        <w:tc>
          <w:tcPr>
            <w:tcW w:w="1618" w:type="dxa"/>
            <w:shd w:val="clear" w:color="auto" w:fill="C5E0B3"/>
            <w:vAlign w:val="center"/>
          </w:tcPr>
          <w:p w14:paraId="46C729BA" w14:textId="77777777" w:rsidR="00083818" w:rsidRPr="00C43B5F" w:rsidRDefault="00FC36AC">
            <w:pPr>
              <w:ind w:right="-432"/>
              <w:rPr>
                <w:b/>
                <w:color w:val="auto"/>
              </w:rPr>
            </w:pPr>
            <w:r w:rsidRPr="00C43B5F">
              <w:rPr>
                <w:b/>
                <w:color w:val="auto"/>
              </w:rPr>
              <w:t xml:space="preserve">Current </w:t>
            </w:r>
          </w:p>
          <w:p w14:paraId="6198AE71" w14:textId="77777777" w:rsidR="00083818" w:rsidRPr="00C43B5F" w:rsidRDefault="00FC36AC">
            <w:pPr>
              <w:ind w:right="-432"/>
              <w:rPr>
                <w:b/>
                <w:color w:val="auto"/>
              </w:rPr>
            </w:pPr>
            <w:r w:rsidRPr="00C43B5F">
              <w:rPr>
                <w:b/>
                <w:color w:val="auto"/>
              </w:rPr>
              <w:t>biennium</w:t>
            </w:r>
          </w:p>
        </w:tc>
        <w:tc>
          <w:tcPr>
            <w:tcW w:w="1622" w:type="dxa"/>
            <w:shd w:val="clear" w:color="auto" w:fill="auto"/>
            <w:vAlign w:val="center"/>
          </w:tcPr>
          <w:p w14:paraId="39691824" w14:textId="77777777" w:rsidR="00083818" w:rsidRPr="00C43B5F" w:rsidRDefault="00FC36AC">
            <w:pPr>
              <w:ind w:right="-432"/>
              <w:rPr>
                <w:color w:val="auto"/>
              </w:rPr>
            </w:pPr>
            <w:r w:rsidRPr="00C43B5F">
              <w:rPr>
                <w:color w:val="auto"/>
              </w:rPr>
              <w:t>2,493</w:t>
            </w:r>
          </w:p>
        </w:tc>
        <w:tc>
          <w:tcPr>
            <w:tcW w:w="1890" w:type="dxa"/>
            <w:shd w:val="clear" w:color="auto" w:fill="auto"/>
            <w:vAlign w:val="center"/>
          </w:tcPr>
          <w:p w14:paraId="0FCFF6EC" w14:textId="77777777" w:rsidR="00083818" w:rsidRPr="00C43B5F" w:rsidRDefault="00FC36AC">
            <w:pPr>
              <w:ind w:right="-432"/>
              <w:rPr>
                <w:color w:val="auto"/>
              </w:rPr>
            </w:pPr>
            <w:r w:rsidRPr="00C43B5F">
              <w:rPr>
                <w:color w:val="auto"/>
              </w:rPr>
              <w:t>2,473</w:t>
            </w:r>
          </w:p>
        </w:tc>
        <w:tc>
          <w:tcPr>
            <w:tcW w:w="2160" w:type="dxa"/>
            <w:shd w:val="clear" w:color="auto" w:fill="auto"/>
            <w:vAlign w:val="center"/>
          </w:tcPr>
          <w:p w14:paraId="3840670B" w14:textId="77777777" w:rsidR="00083818" w:rsidRPr="00C43B5F" w:rsidRDefault="00FC36AC">
            <w:pPr>
              <w:ind w:right="-432"/>
              <w:rPr>
                <w:color w:val="auto"/>
              </w:rPr>
            </w:pPr>
            <w:r w:rsidRPr="00C43B5F">
              <w:rPr>
                <w:color w:val="auto"/>
              </w:rPr>
              <w:t>$3,138,395</w:t>
            </w:r>
          </w:p>
        </w:tc>
        <w:tc>
          <w:tcPr>
            <w:tcW w:w="1687" w:type="dxa"/>
            <w:shd w:val="clear" w:color="auto" w:fill="auto"/>
            <w:vAlign w:val="center"/>
          </w:tcPr>
          <w:p w14:paraId="19BDEA63" w14:textId="77777777" w:rsidR="00083818" w:rsidRPr="00C43B5F" w:rsidRDefault="00FC36AC">
            <w:pPr>
              <w:ind w:right="-432"/>
              <w:rPr>
                <w:color w:val="auto"/>
              </w:rPr>
            </w:pPr>
            <w:r w:rsidRPr="00C43B5F">
              <w:rPr>
                <w:color w:val="auto"/>
              </w:rPr>
              <w:t>$3,138,395</w:t>
            </w:r>
          </w:p>
        </w:tc>
      </w:tr>
      <w:tr w:rsidR="00083818" w14:paraId="58DB8218" w14:textId="77777777" w:rsidTr="0036094D">
        <w:trPr>
          <w:jc w:val="center"/>
        </w:trPr>
        <w:tc>
          <w:tcPr>
            <w:tcW w:w="1618" w:type="dxa"/>
            <w:shd w:val="clear" w:color="auto" w:fill="C5E0B3"/>
            <w:vAlign w:val="center"/>
          </w:tcPr>
          <w:p w14:paraId="1055718E" w14:textId="77777777" w:rsidR="00083818" w:rsidRPr="00C43B5F" w:rsidRDefault="00FC36AC">
            <w:pPr>
              <w:ind w:right="-432"/>
              <w:rPr>
                <w:b/>
                <w:color w:val="auto"/>
              </w:rPr>
            </w:pPr>
            <w:r w:rsidRPr="00C43B5F">
              <w:rPr>
                <w:b/>
                <w:color w:val="auto"/>
              </w:rPr>
              <w:t xml:space="preserve">Next </w:t>
            </w:r>
          </w:p>
          <w:p w14:paraId="38F22090" w14:textId="77777777" w:rsidR="00083818" w:rsidRPr="00C43B5F" w:rsidRDefault="00FC36AC">
            <w:pPr>
              <w:ind w:right="-432"/>
              <w:rPr>
                <w:b/>
                <w:color w:val="auto"/>
              </w:rPr>
            </w:pPr>
            <w:r w:rsidRPr="00C43B5F">
              <w:rPr>
                <w:b/>
                <w:color w:val="auto"/>
              </w:rPr>
              <w:t>biennium</w:t>
            </w:r>
          </w:p>
        </w:tc>
        <w:tc>
          <w:tcPr>
            <w:tcW w:w="1622" w:type="dxa"/>
            <w:shd w:val="clear" w:color="auto" w:fill="auto"/>
            <w:vAlign w:val="center"/>
          </w:tcPr>
          <w:p w14:paraId="3BD81532" w14:textId="77777777" w:rsidR="00083818" w:rsidRPr="00C43B5F" w:rsidRDefault="00FC36AC">
            <w:pPr>
              <w:ind w:right="-432"/>
              <w:rPr>
                <w:color w:val="auto"/>
              </w:rPr>
            </w:pPr>
            <w:r w:rsidRPr="00C43B5F">
              <w:rPr>
                <w:color w:val="auto"/>
              </w:rPr>
              <w:t>5,026</w:t>
            </w:r>
          </w:p>
        </w:tc>
        <w:tc>
          <w:tcPr>
            <w:tcW w:w="1890" w:type="dxa"/>
            <w:shd w:val="clear" w:color="auto" w:fill="auto"/>
            <w:vAlign w:val="center"/>
          </w:tcPr>
          <w:p w14:paraId="6BB1F3AE" w14:textId="77777777" w:rsidR="00083818" w:rsidRPr="00C43B5F" w:rsidRDefault="00FC36AC">
            <w:pPr>
              <w:ind w:right="-432"/>
              <w:rPr>
                <w:color w:val="auto"/>
              </w:rPr>
            </w:pPr>
            <w:r w:rsidRPr="00C43B5F">
              <w:rPr>
                <w:color w:val="auto"/>
              </w:rPr>
              <w:t>2,473</w:t>
            </w:r>
          </w:p>
        </w:tc>
        <w:tc>
          <w:tcPr>
            <w:tcW w:w="2160" w:type="dxa"/>
            <w:shd w:val="clear" w:color="auto" w:fill="auto"/>
            <w:vAlign w:val="center"/>
          </w:tcPr>
          <w:p w14:paraId="24DE5638" w14:textId="77777777" w:rsidR="00083818" w:rsidRPr="00C43B5F" w:rsidRDefault="00FC36AC">
            <w:pPr>
              <w:ind w:right="-432"/>
              <w:rPr>
                <w:color w:val="auto"/>
              </w:rPr>
            </w:pPr>
            <w:r w:rsidRPr="00C43B5F">
              <w:rPr>
                <w:color w:val="auto"/>
              </w:rPr>
              <w:t>$5,345,789</w:t>
            </w:r>
          </w:p>
        </w:tc>
        <w:tc>
          <w:tcPr>
            <w:tcW w:w="1687" w:type="dxa"/>
            <w:shd w:val="clear" w:color="auto" w:fill="auto"/>
            <w:vAlign w:val="center"/>
          </w:tcPr>
          <w:p w14:paraId="009E6D80" w14:textId="77777777" w:rsidR="00083818" w:rsidRPr="00C43B5F" w:rsidRDefault="00FC36AC">
            <w:pPr>
              <w:ind w:right="-432"/>
              <w:rPr>
                <w:color w:val="auto"/>
              </w:rPr>
            </w:pPr>
            <w:r w:rsidRPr="00C43B5F">
              <w:rPr>
                <w:color w:val="auto"/>
              </w:rPr>
              <w:t>$5,345,789</w:t>
            </w:r>
          </w:p>
        </w:tc>
      </w:tr>
    </w:tbl>
    <w:p w14:paraId="781AAE34" w14:textId="77777777" w:rsidR="00083818" w:rsidRDefault="00083818">
      <w:pPr>
        <w:ind w:left="0" w:right="-432"/>
      </w:pPr>
    </w:p>
    <w:p w14:paraId="239D937A" w14:textId="77777777" w:rsidR="00083818" w:rsidRDefault="00083818">
      <w:pPr>
        <w:widowControl w:val="0"/>
        <w:spacing w:line="276" w:lineRule="auto"/>
        <w:ind w:left="0" w:right="0"/>
        <w:rPr>
          <w:color w:val="C55911"/>
        </w:rPr>
      </w:pPr>
    </w:p>
    <w:tbl>
      <w:tblPr>
        <w:tblStyle w:val="af"/>
        <w:tblW w:w="9270" w:type="dxa"/>
        <w:jc w:val="center"/>
        <w:tblLayout w:type="fixed"/>
        <w:tblLook w:val="0400" w:firstRow="0" w:lastRow="0" w:firstColumn="0" w:lastColumn="0" w:noHBand="0" w:noVBand="1"/>
      </w:tblPr>
      <w:tblGrid>
        <w:gridCol w:w="9270"/>
      </w:tblGrid>
      <w:tr w:rsidR="00083818" w14:paraId="69066D0E" w14:textId="77777777" w:rsidTr="00CB37B2">
        <w:trPr>
          <w:trHeight w:val="440"/>
          <w:jc w:val="center"/>
        </w:trPr>
        <w:tc>
          <w:tcPr>
            <w:tcW w:w="9270" w:type="dxa"/>
            <w:tcBorders>
              <w:top w:val="nil"/>
              <w:left w:val="nil"/>
              <w:bottom w:val="single" w:sz="6" w:space="0" w:color="7F7F7F"/>
              <w:right w:val="nil"/>
            </w:tcBorders>
            <w:shd w:val="clear" w:color="auto" w:fill="D5DCE4"/>
            <w:vAlign w:val="bottom"/>
          </w:tcPr>
          <w:p w14:paraId="6F2F80FD" w14:textId="029810D2" w:rsidR="00083818" w:rsidRDefault="00DF5063" w:rsidP="00DF5063">
            <w:pPr>
              <w:pStyle w:val="Heading1"/>
              <w:spacing w:after="0"/>
            </w:pPr>
            <w:bookmarkStart w:id="11" w:name="_Toc496011827"/>
            <w:r>
              <w:t>Statement of fiscal and economic i</w:t>
            </w:r>
            <w:r w:rsidR="00FC36AC">
              <w:t>mpact</w:t>
            </w:r>
            <w:bookmarkEnd w:id="11"/>
          </w:p>
          <w:p w14:paraId="0C7469AB" w14:textId="38F12F06" w:rsidR="00083818" w:rsidRDefault="00083818" w:rsidP="00CB37B2">
            <w:pPr>
              <w:pStyle w:val="Heading1"/>
              <w:rPr>
                <w:color w:val="0563C1"/>
                <w:u w:val="single"/>
              </w:rPr>
            </w:pPr>
          </w:p>
        </w:tc>
      </w:tr>
    </w:tbl>
    <w:p w14:paraId="1EC9EF7B" w14:textId="77777777" w:rsidR="00DF5063" w:rsidRDefault="00DF5063" w:rsidP="00CB37B2">
      <w:pPr>
        <w:ind w:left="0" w:right="940"/>
      </w:pPr>
    </w:p>
    <w:p w14:paraId="07B7DF5E" w14:textId="77777777" w:rsidR="00083818" w:rsidRDefault="00FC36AC" w:rsidP="00CB37B2">
      <w:pPr>
        <w:ind w:left="0" w:right="940"/>
      </w:pPr>
      <w:r>
        <w:t>The proposed rules would have fiscal and economic impacts on businesses, state and federal agencies, units of local governments and the public. Fiscal impacts can be positive or negative to those affected. As examples, reducing health costs to the public would be a positive impact, and increasing costs of regulatory compliance for businesses would be a negative impact.</w:t>
      </w:r>
    </w:p>
    <w:p w14:paraId="3400C3C9" w14:textId="4A14144C" w:rsidR="00083818" w:rsidRDefault="00FC36AC">
      <w:pPr>
        <w:spacing w:before="120" w:after="120"/>
        <w:ind w:left="0" w:right="940"/>
      </w:pPr>
      <w:r>
        <w:t xml:space="preserve">Owners </w:t>
      </w:r>
      <w:r w:rsidR="002173AB">
        <w:t xml:space="preserve">and operators </w:t>
      </w:r>
      <w:r>
        <w:t xml:space="preserve">of </w:t>
      </w:r>
      <w:r w:rsidR="002173AB">
        <w:t xml:space="preserve">facilities that currently require an air quality permit would </w:t>
      </w:r>
      <w:r>
        <w:t xml:space="preserve">incur costs of program permit fees, described above, and be required to analyze whether emissions from their operations are below Risk Action Levels set under the Cleaner Air Oregon rules. </w:t>
      </w:r>
      <w:r w:rsidR="002173AB">
        <w:t xml:space="preserve">This includes public entities who manage facilities or operations requiring an air quality permit. </w:t>
      </w:r>
      <w:r>
        <w:t xml:space="preserve">Cost estimates for these </w:t>
      </w:r>
      <w:r w:rsidR="00A76896">
        <w:t>analyses are included in Table 6</w:t>
      </w:r>
      <w:r>
        <w:t xml:space="preserve"> below, Emissions Analysis and Risk Assessment Costs. The owners and operators of some facilities that are required to go through a more complex permitting process would also incur costs to implement required community engagement steps. Some facilities with emissions resulting in health risks above Risk Action Levels would incur costs to reduce those emissions.</w:t>
      </w:r>
      <w:r>
        <w:tab/>
      </w:r>
    </w:p>
    <w:p w14:paraId="1C63B70F" w14:textId="77777777" w:rsidR="00083818" w:rsidRDefault="00FC36AC">
      <w:pPr>
        <w:spacing w:before="120" w:after="120"/>
        <w:ind w:left="0" w:right="940"/>
      </w:pPr>
      <w:r>
        <w:t>People who are exposed to air toxics at sufficient concentrations and durations have an increased chance of getting cancer or experiencing other serious health effects. These health effects can include damage to the immune system, as well as neurological, reproductive (e.g., reduced fertility), developmental, respiratory and other health problems. In addition to exposure from breathing air toxics, some air toxics, such as mercury, can deposit onto soils or surface waters, where they are taken up by plants and ingested by animals and are eventually magnified up through the food chain. The proposed rules may result in reduced air toxic emissions and less exposure to air toxics by people who live and work in proximity to facilities that emit air toxics. Less exposure to air toxics will result in fewer premature deaths and illnesses allowing Oregonians to experience longer lives, better quality of life, lower medical expenses, fewer work and school absences, and better worker productivity.</w:t>
      </w:r>
    </w:p>
    <w:p w14:paraId="38728767" w14:textId="77777777" w:rsidR="00083818" w:rsidRDefault="00083818">
      <w:pPr>
        <w:spacing w:before="120" w:after="120"/>
        <w:ind w:left="0" w:right="940"/>
      </w:pPr>
    </w:p>
    <w:p w14:paraId="1CC142CD" w14:textId="77777777" w:rsidR="00083818" w:rsidRDefault="00083818">
      <w:pPr>
        <w:widowControl w:val="0"/>
        <w:spacing w:line="276" w:lineRule="auto"/>
        <w:ind w:left="0" w:right="0"/>
      </w:pPr>
    </w:p>
    <w:tbl>
      <w:tblPr>
        <w:tblStyle w:val="af0"/>
        <w:tblW w:w="9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0"/>
        <w:gridCol w:w="1890"/>
        <w:gridCol w:w="2052"/>
      </w:tblGrid>
      <w:tr w:rsidR="00083818" w14:paraId="79B871A4" w14:textId="77777777" w:rsidTr="003A7FAC">
        <w:trPr>
          <w:trHeight w:val="340"/>
          <w:tblHeader/>
          <w:jc w:val="center"/>
        </w:trPr>
        <w:tc>
          <w:tcPr>
            <w:tcW w:w="9522"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3D2C77C8" w14:textId="3A55A288" w:rsidR="00083818" w:rsidRDefault="00A76896">
            <w:pPr>
              <w:ind w:left="0" w:right="-432"/>
              <w:jc w:val="center"/>
              <w:rPr>
                <w:b/>
              </w:rPr>
            </w:pPr>
            <w:r>
              <w:rPr>
                <w:b/>
              </w:rPr>
              <w:t>Table 6</w:t>
            </w:r>
          </w:p>
          <w:p w14:paraId="6DFC0E2B" w14:textId="420BB5E3" w:rsidR="00083818" w:rsidRDefault="00FC36AC">
            <w:pPr>
              <w:ind w:left="0" w:right="-432"/>
              <w:jc w:val="center"/>
              <w:rPr>
                <w:b/>
              </w:rPr>
            </w:pPr>
            <w:r>
              <w:rPr>
                <w:b/>
              </w:rPr>
              <w:t>Emissions</w:t>
            </w:r>
            <w:r w:rsidR="00550C6B">
              <w:rPr>
                <w:b/>
              </w:rPr>
              <w:t xml:space="preserve"> analysis and risk assessment c</w:t>
            </w:r>
            <w:r>
              <w:rPr>
                <w:b/>
              </w:rPr>
              <w:t xml:space="preserve">osts </w:t>
            </w:r>
          </w:p>
        </w:tc>
      </w:tr>
      <w:tr w:rsidR="00083818" w14:paraId="321ACBD5" w14:textId="77777777" w:rsidTr="003A7FAC">
        <w:trPr>
          <w:trHeight w:val="280"/>
          <w:tblHeader/>
          <w:jc w:val="center"/>
        </w:trPr>
        <w:tc>
          <w:tcPr>
            <w:tcW w:w="5580" w:type="dxa"/>
            <w:tcBorders>
              <w:top w:val="single" w:sz="4" w:space="0" w:color="auto"/>
              <w:left w:val="single" w:sz="4" w:space="0" w:color="auto"/>
              <w:bottom w:val="single" w:sz="4" w:space="0" w:color="auto"/>
              <w:right w:val="single" w:sz="4" w:space="0" w:color="auto"/>
            </w:tcBorders>
            <w:shd w:val="clear" w:color="auto" w:fill="C5E0B3"/>
            <w:vAlign w:val="center"/>
          </w:tcPr>
          <w:p w14:paraId="33ECA1AE" w14:textId="77777777" w:rsidR="00083818" w:rsidRDefault="00FC36AC">
            <w:pPr>
              <w:ind w:left="0" w:right="-432"/>
              <w:rPr>
                <w:b/>
              </w:rPr>
            </w:pPr>
            <w:r>
              <w:rPr>
                <w:b/>
              </w:rPr>
              <w:t>Task</w:t>
            </w:r>
          </w:p>
        </w:tc>
        <w:tc>
          <w:tcPr>
            <w:tcW w:w="1890" w:type="dxa"/>
            <w:tcBorders>
              <w:top w:val="single" w:sz="4" w:space="0" w:color="auto"/>
              <w:left w:val="single" w:sz="4" w:space="0" w:color="auto"/>
              <w:bottom w:val="single" w:sz="4" w:space="0" w:color="auto"/>
              <w:right w:val="single" w:sz="4" w:space="0" w:color="auto"/>
            </w:tcBorders>
            <w:shd w:val="clear" w:color="auto" w:fill="C5E0B3"/>
            <w:vAlign w:val="center"/>
          </w:tcPr>
          <w:p w14:paraId="180368DB" w14:textId="77777777" w:rsidR="00083818" w:rsidRDefault="00FC36AC">
            <w:pPr>
              <w:ind w:left="0" w:right="-432"/>
              <w:rPr>
                <w:b/>
              </w:rPr>
            </w:pPr>
            <w:r>
              <w:rPr>
                <w:b/>
              </w:rPr>
              <w:t>Simple</w:t>
            </w:r>
          </w:p>
        </w:tc>
        <w:tc>
          <w:tcPr>
            <w:tcW w:w="2052" w:type="dxa"/>
            <w:tcBorders>
              <w:top w:val="single" w:sz="4" w:space="0" w:color="auto"/>
              <w:left w:val="single" w:sz="4" w:space="0" w:color="auto"/>
              <w:bottom w:val="single" w:sz="4" w:space="0" w:color="auto"/>
              <w:right w:val="single" w:sz="4" w:space="0" w:color="auto"/>
            </w:tcBorders>
            <w:shd w:val="clear" w:color="auto" w:fill="C5E0B3"/>
            <w:vAlign w:val="center"/>
          </w:tcPr>
          <w:p w14:paraId="55DA4876" w14:textId="77777777" w:rsidR="00083818" w:rsidRDefault="00FC36AC">
            <w:pPr>
              <w:ind w:left="0" w:right="-432"/>
              <w:rPr>
                <w:b/>
              </w:rPr>
            </w:pPr>
            <w:r>
              <w:rPr>
                <w:b/>
              </w:rPr>
              <w:t>Complex</w:t>
            </w:r>
          </w:p>
        </w:tc>
      </w:tr>
      <w:tr w:rsidR="00083818" w14:paraId="0DC7F10C" w14:textId="77777777" w:rsidTr="003A7FAC">
        <w:trPr>
          <w:jc w:val="center"/>
        </w:trPr>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490A729C" w14:textId="77777777" w:rsidR="00083818" w:rsidRDefault="00FC36AC">
            <w:pPr>
              <w:ind w:left="0" w:right="-432"/>
            </w:pPr>
            <w:r>
              <w:t>Emissions inventory</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30DBA869" w14:textId="77777777" w:rsidR="00083818" w:rsidRDefault="00FC36AC">
            <w:pPr>
              <w:ind w:left="0" w:right="-432"/>
            </w:pPr>
            <w:r>
              <w:t>$0*-$5,000</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5D88089" w14:textId="77777777" w:rsidR="00083818" w:rsidRDefault="00FC36AC">
            <w:pPr>
              <w:ind w:left="0" w:right="-432"/>
            </w:pPr>
            <w:r>
              <w:t>$60,000</w:t>
            </w:r>
          </w:p>
        </w:tc>
      </w:tr>
      <w:tr w:rsidR="00083818" w14:paraId="44CBB334" w14:textId="77777777" w:rsidTr="003A7FAC">
        <w:trPr>
          <w:jc w:val="center"/>
        </w:trPr>
        <w:tc>
          <w:tcPr>
            <w:tcW w:w="5580" w:type="dxa"/>
            <w:tcBorders>
              <w:top w:val="single" w:sz="4" w:space="0" w:color="auto"/>
              <w:left w:val="single" w:sz="4" w:space="0" w:color="auto"/>
              <w:bottom w:val="single" w:sz="4" w:space="0" w:color="auto"/>
              <w:right w:val="single" w:sz="4" w:space="0" w:color="auto"/>
            </w:tcBorders>
            <w:vAlign w:val="center"/>
          </w:tcPr>
          <w:p w14:paraId="4A7714C7" w14:textId="77777777" w:rsidR="00083818" w:rsidRDefault="00FC36AC">
            <w:pPr>
              <w:ind w:left="0" w:right="-432"/>
            </w:pPr>
            <w:r>
              <w:t xml:space="preserve">Level 1 Assessment – Lookup Table Calculation </w:t>
            </w:r>
          </w:p>
          <w:p w14:paraId="5564F1B4" w14:textId="77777777" w:rsidR="00083818" w:rsidRDefault="00FC36AC">
            <w:pPr>
              <w:ind w:left="0" w:right="-432"/>
            </w:pPr>
            <w:r>
              <w:t xml:space="preserve">Using Stack Heights and Exposure Location </w:t>
            </w:r>
          </w:p>
          <w:p w14:paraId="1C99774F" w14:textId="77777777" w:rsidR="00083818" w:rsidRDefault="00FC36AC">
            <w:pPr>
              <w:ind w:left="0" w:right="-432"/>
            </w:pPr>
            <w:r>
              <w:t>Distance</w:t>
            </w:r>
          </w:p>
        </w:tc>
        <w:tc>
          <w:tcPr>
            <w:tcW w:w="1890" w:type="dxa"/>
            <w:tcBorders>
              <w:top w:val="single" w:sz="4" w:space="0" w:color="auto"/>
              <w:left w:val="single" w:sz="4" w:space="0" w:color="auto"/>
              <w:bottom w:val="single" w:sz="4" w:space="0" w:color="auto"/>
              <w:right w:val="single" w:sz="4" w:space="0" w:color="auto"/>
            </w:tcBorders>
            <w:vAlign w:val="center"/>
          </w:tcPr>
          <w:p w14:paraId="4682E146" w14:textId="77777777" w:rsidR="00083818" w:rsidRDefault="00FC36AC">
            <w:pPr>
              <w:ind w:left="0" w:right="-432"/>
            </w:pPr>
            <w:r>
              <w:t>$100</w:t>
            </w:r>
          </w:p>
        </w:tc>
        <w:tc>
          <w:tcPr>
            <w:tcW w:w="2052" w:type="dxa"/>
            <w:tcBorders>
              <w:top w:val="single" w:sz="4" w:space="0" w:color="auto"/>
              <w:left w:val="single" w:sz="4" w:space="0" w:color="auto"/>
              <w:bottom w:val="single" w:sz="4" w:space="0" w:color="auto"/>
              <w:right w:val="single" w:sz="4" w:space="0" w:color="auto"/>
            </w:tcBorders>
            <w:vAlign w:val="center"/>
          </w:tcPr>
          <w:p w14:paraId="26091086" w14:textId="77777777" w:rsidR="00083818" w:rsidRDefault="00FC36AC">
            <w:pPr>
              <w:ind w:left="0" w:right="-432"/>
            </w:pPr>
            <w:r>
              <w:t>$5,000</w:t>
            </w:r>
          </w:p>
        </w:tc>
      </w:tr>
      <w:tr w:rsidR="00083818" w14:paraId="669353A2" w14:textId="77777777" w:rsidTr="003A7FAC">
        <w:trPr>
          <w:jc w:val="center"/>
        </w:trPr>
        <w:tc>
          <w:tcPr>
            <w:tcW w:w="5580" w:type="dxa"/>
            <w:tcBorders>
              <w:top w:val="single" w:sz="4" w:space="0" w:color="auto"/>
              <w:left w:val="single" w:sz="4" w:space="0" w:color="auto"/>
              <w:bottom w:val="single" w:sz="4" w:space="0" w:color="auto"/>
              <w:right w:val="single" w:sz="4" w:space="0" w:color="auto"/>
            </w:tcBorders>
            <w:vAlign w:val="center"/>
          </w:tcPr>
          <w:p w14:paraId="55A6B984" w14:textId="77777777" w:rsidR="00083818" w:rsidRDefault="00FC36AC">
            <w:pPr>
              <w:ind w:left="0" w:right="-432"/>
            </w:pPr>
            <w:r>
              <w:t>Level 2 Assessment – Screening modeling</w:t>
            </w:r>
          </w:p>
        </w:tc>
        <w:tc>
          <w:tcPr>
            <w:tcW w:w="1890" w:type="dxa"/>
            <w:tcBorders>
              <w:top w:val="single" w:sz="4" w:space="0" w:color="auto"/>
              <w:left w:val="single" w:sz="4" w:space="0" w:color="auto"/>
              <w:bottom w:val="single" w:sz="4" w:space="0" w:color="auto"/>
              <w:right w:val="single" w:sz="4" w:space="0" w:color="auto"/>
            </w:tcBorders>
            <w:vAlign w:val="center"/>
          </w:tcPr>
          <w:p w14:paraId="7827DECE" w14:textId="77777777" w:rsidR="00083818" w:rsidRDefault="00FC36AC">
            <w:pPr>
              <w:ind w:left="0" w:right="-432"/>
            </w:pPr>
            <w:r>
              <w:t>$5,000</w:t>
            </w:r>
          </w:p>
        </w:tc>
        <w:tc>
          <w:tcPr>
            <w:tcW w:w="2052" w:type="dxa"/>
            <w:tcBorders>
              <w:top w:val="single" w:sz="4" w:space="0" w:color="auto"/>
              <w:left w:val="single" w:sz="4" w:space="0" w:color="auto"/>
              <w:bottom w:val="single" w:sz="4" w:space="0" w:color="auto"/>
              <w:right w:val="single" w:sz="4" w:space="0" w:color="auto"/>
            </w:tcBorders>
            <w:vAlign w:val="center"/>
          </w:tcPr>
          <w:p w14:paraId="2C9B8D95" w14:textId="77777777" w:rsidR="00083818" w:rsidRDefault="00FC36AC">
            <w:pPr>
              <w:ind w:left="0" w:right="-432"/>
            </w:pPr>
            <w:r>
              <w:t>$35,000</w:t>
            </w:r>
          </w:p>
        </w:tc>
      </w:tr>
      <w:tr w:rsidR="00083818" w14:paraId="1A0019F8" w14:textId="77777777" w:rsidTr="003A7FAC">
        <w:trPr>
          <w:jc w:val="center"/>
        </w:trPr>
        <w:tc>
          <w:tcPr>
            <w:tcW w:w="5580" w:type="dxa"/>
            <w:tcBorders>
              <w:top w:val="single" w:sz="4" w:space="0" w:color="auto"/>
              <w:left w:val="single" w:sz="4" w:space="0" w:color="auto"/>
              <w:bottom w:val="single" w:sz="4" w:space="0" w:color="auto"/>
              <w:right w:val="single" w:sz="4" w:space="0" w:color="auto"/>
            </w:tcBorders>
            <w:vAlign w:val="center"/>
          </w:tcPr>
          <w:p w14:paraId="3CFC6B22" w14:textId="77777777" w:rsidR="00083818" w:rsidRDefault="00FC36AC">
            <w:pPr>
              <w:ind w:left="0" w:right="-432"/>
            </w:pPr>
            <w:r>
              <w:t xml:space="preserve">Level 3 Assessment – Refined modeling </w:t>
            </w:r>
          </w:p>
        </w:tc>
        <w:tc>
          <w:tcPr>
            <w:tcW w:w="1890" w:type="dxa"/>
            <w:tcBorders>
              <w:top w:val="single" w:sz="4" w:space="0" w:color="auto"/>
              <w:left w:val="single" w:sz="4" w:space="0" w:color="auto"/>
              <w:bottom w:val="single" w:sz="4" w:space="0" w:color="auto"/>
              <w:right w:val="single" w:sz="4" w:space="0" w:color="auto"/>
            </w:tcBorders>
            <w:vAlign w:val="center"/>
          </w:tcPr>
          <w:p w14:paraId="3AA6C5CD" w14:textId="77777777" w:rsidR="00083818" w:rsidRDefault="00FC36AC">
            <w:pPr>
              <w:ind w:left="0" w:right="-432"/>
            </w:pPr>
            <w:r>
              <w:t>$5,000</w:t>
            </w:r>
          </w:p>
        </w:tc>
        <w:tc>
          <w:tcPr>
            <w:tcW w:w="2052" w:type="dxa"/>
            <w:tcBorders>
              <w:top w:val="single" w:sz="4" w:space="0" w:color="auto"/>
              <w:left w:val="single" w:sz="4" w:space="0" w:color="auto"/>
              <w:bottom w:val="single" w:sz="4" w:space="0" w:color="auto"/>
              <w:right w:val="single" w:sz="4" w:space="0" w:color="auto"/>
            </w:tcBorders>
            <w:vAlign w:val="center"/>
          </w:tcPr>
          <w:p w14:paraId="2AFF2A22" w14:textId="77777777" w:rsidR="00083818" w:rsidRDefault="00FC36AC">
            <w:pPr>
              <w:ind w:left="0" w:right="-432"/>
            </w:pPr>
            <w:r>
              <w:t>$100,000</w:t>
            </w:r>
          </w:p>
        </w:tc>
      </w:tr>
      <w:tr w:rsidR="00083818" w14:paraId="16382E8E" w14:textId="77777777" w:rsidTr="003A7FAC">
        <w:trPr>
          <w:jc w:val="center"/>
        </w:trPr>
        <w:tc>
          <w:tcPr>
            <w:tcW w:w="5580" w:type="dxa"/>
            <w:tcBorders>
              <w:top w:val="single" w:sz="4" w:space="0" w:color="auto"/>
              <w:left w:val="single" w:sz="4" w:space="0" w:color="auto"/>
              <w:bottom w:val="single" w:sz="4" w:space="0" w:color="auto"/>
              <w:right w:val="single" w:sz="4" w:space="0" w:color="auto"/>
            </w:tcBorders>
            <w:vAlign w:val="center"/>
          </w:tcPr>
          <w:p w14:paraId="10F0FABD" w14:textId="77777777" w:rsidR="00083818" w:rsidRDefault="00FC36AC">
            <w:pPr>
              <w:ind w:left="0" w:right="-432"/>
            </w:pPr>
            <w:r>
              <w:t>Level 4 Assessment – Health Risk Assessment</w:t>
            </w:r>
          </w:p>
        </w:tc>
        <w:tc>
          <w:tcPr>
            <w:tcW w:w="1890" w:type="dxa"/>
            <w:tcBorders>
              <w:top w:val="single" w:sz="4" w:space="0" w:color="auto"/>
              <w:left w:val="single" w:sz="4" w:space="0" w:color="auto"/>
              <w:bottom w:val="single" w:sz="4" w:space="0" w:color="auto"/>
              <w:right w:val="single" w:sz="4" w:space="0" w:color="auto"/>
            </w:tcBorders>
            <w:vAlign w:val="center"/>
          </w:tcPr>
          <w:p w14:paraId="07CFEE9E" w14:textId="77777777" w:rsidR="00083818" w:rsidRDefault="00FC36AC">
            <w:pPr>
              <w:ind w:left="0" w:right="-432"/>
            </w:pPr>
            <w:r>
              <w:t>$5,000</w:t>
            </w:r>
          </w:p>
        </w:tc>
        <w:tc>
          <w:tcPr>
            <w:tcW w:w="2052" w:type="dxa"/>
            <w:tcBorders>
              <w:top w:val="single" w:sz="4" w:space="0" w:color="auto"/>
              <w:left w:val="single" w:sz="4" w:space="0" w:color="auto"/>
              <w:bottom w:val="single" w:sz="4" w:space="0" w:color="auto"/>
              <w:right w:val="single" w:sz="4" w:space="0" w:color="auto"/>
            </w:tcBorders>
            <w:vAlign w:val="center"/>
          </w:tcPr>
          <w:p w14:paraId="4F01E197" w14:textId="77777777" w:rsidR="00083818" w:rsidRDefault="00FC36AC">
            <w:pPr>
              <w:ind w:left="0" w:right="-432"/>
            </w:pPr>
            <w:r>
              <w:t>$500,000</w:t>
            </w:r>
          </w:p>
        </w:tc>
      </w:tr>
    </w:tbl>
    <w:p w14:paraId="045EC91E" w14:textId="77777777" w:rsidR="00083818" w:rsidRDefault="00FC36AC">
      <w:pPr>
        <w:ind w:left="0" w:right="-432"/>
        <w:rPr>
          <w:sz w:val="18"/>
          <w:szCs w:val="18"/>
        </w:rPr>
      </w:pPr>
      <w:r>
        <w:rPr>
          <w:sz w:val="18"/>
          <w:szCs w:val="18"/>
        </w:rPr>
        <w:t>*DEQ is doing the emissions inventory for all of the approximately 2,200 sources that have Basic and General Air Contaminant Discharge Permits.</w:t>
      </w:r>
    </w:p>
    <w:p w14:paraId="43563AF9" w14:textId="77777777" w:rsidR="00083818" w:rsidRDefault="00083818">
      <w:pPr>
        <w:pStyle w:val="Heading2"/>
        <w:ind w:left="0" w:right="-432"/>
        <w:rPr>
          <w:sz w:val="28"/>
          <w:szCs w:val="28"/>
        </w:rPr>
      </w:pPr>
    </w:p>
    <w:p w14:paraId="5E212956" w14:textId="438F6896" w:rsidR="00083818" w:rsidRDefault="00DF5063" w:rsidP="00DF5063">
      <w:pPr>
        <w:pStyle w:val="Heading2"/>
        <w:ind w:left="0"/>
      </w:pPr>
      <w:r>
        <w:t>Statement of cost of c</w:t>
      </w:r>
      <w:r w:rsidR="00FC36AC">
        <w:t>ompliance</w:t>
      </w:r>
      <w:r w:rsidR="00FC36AC">
        <w:tab/>
      </w:r>
    </w:p>
    <w:p w14:paraId="393BC200" w14:textId="77777777" w:rsidR="00083818" w:rsidRDefault="00FC36AC" w:rsidP="00DF5063">
      <w:pPr>
        <w:pStyle w:val="Heading3"/>
        <w:ind w:left="0"/>
        <w:rPr>
          <w:rFonts w:ascii="Calibri" w:eastAsia="Calibri" w:hAnsi="Calibri" w:cs="Calibri"/>
        </w:rPr>
      </w:pPr>
      <w:r>
        <w:t>State agencies</w:t>
      </w:r>
      <w:r>
        <w:rPr>
          <w:rFonts w:ascii="Calibri" w:eastAsia="Calibri" w:hAnsi="Calibri" w:cs="Calibri"/>
        </w:rPr>
        <w:tab/>
      </w:r>
    </w:p>
    <w:p w14:paraId="448E5A35" w14:textId="764DECC2" w:rsidR="00083818" w:rsidRDefault="00FC36AC">
      <w:pPr>
        <w:spacing w:before="120" w:after="120"/>
        <w:ind w:left="0" w:right="200"/>
      </w:pPr>
      <w:r>
        <w:t>The majority of state agencies and local governments should be minimally or not directly impacted by the proposed rules because the rules predominantly regulate process emission sources, many of which are related to manufacturing. State agencies and local governments holding permits may be required to reduce air toxic emissions if the predicted risk exceeds Risk Action Levels. These permit holders would also incur public engagement costs. Costs for holding a public meeting could range from $1,400 to $6,400.  If owners or operators choose to install poll</w:t>
      </w:r>
      <w:r w:rsidR="00A76896">
        <w:t>ution control equipment, Table 7</w:t>
      </w:r>
      <w:r>
        <w:t xml:space="preserve"> below shows what the range of estimated costs could be. As of August 31, 2017, state agencies own 23 permitted facilities, federal agencies own 5 permitted facilities, and local governments own 62 permitted facilities. Currently there are no tribal owned permitted facilities. Cleaner Air Oregon base and activity fees would affect these permit holders directly. Changes to fees could affect these agencies indirectly if businesses change the price of goods and services to offset any increased costs from paying a permit fee.</w:t>
      </w:r>
    </w:p>
    <w:p w14:paraId="242785C9" w14:textId="77777777" w:rsidR="00083818" w:rsidRDefault="00FC36AC">
      <w:pPr>
        <w:spacing w:before="120" w:after="120"/>
        <w:ind w:left="0" w:right="200"/>
      </w:pPr>
      <w:r>
        <w:t>In instances where new or existing facility emissions cause potential risk above the applicable Risk Action Levels, local governments may be asked to consult with the DEQ Director and the Oregon Health Authority (OHA) to consider and weigh local factors prior to a DEQ decision whether to issue a permit. Local government may also be consulted in land use issues potentially affected by facilities emitting air toxics.</w:t>
      </w:r>
    </w:p>
    <w:p w14:paraId="1B444464" w14:textId="77777777" w:rsidR="00083818" w:rsidRDefault="00FC36AC">
      <w:pPr>
        <w:spacing w:before="120" w:after="120"/>
        <w:ind w:left="0" w:right="200"/>
      </w:pPr>
      <w:r>
        <w:t>DEQ and OHA will see an increase in workload as a result of the proposed rules. Implementation of a new permitting program will require additional resources. DEQ has completed a workload analysis to estimate the cost of different levels of risk assessment and the number of additional resources needed. DEQ will permit facilities subject to Cleaner Air Oregon with the aid of OHA staff in areas of health risk assessment and risk communication. DEQ and OHA workloads would initially increase as staff becomes familiar with the proposed rules and a new program and could level off after the first tier of implementation.</w:t>
      </w:r>
    </w:p>
    <w:p w14:paraId="25007809" w14:textId="77777777" w:rsidR="00083818" w:rsidRDefault="00FC36AC" w:rsidP="00A76896">
      <w:pPr>
        <w:ind w:left="0" w:right="0"/>
      </w:pPr>
      <w:r>
        <w:t>Having the Cleaner Air Oregon air toxics program in place may also reduce DEQ and OHA’s workload in some instances, by reducing the need for the agencies to respond on a facility by facility basis to public concerns about air toxics emissions that are not currently covered by a regulatory structure.</w:t>
      </w:r>
    </w:p>
    <w:tbl>
      <w:tblPr>
        <w:tblW w:w="10705"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0"/>
        <w:gridCol w:w="1980"/>
        <w:gridCol w:w="2465"/>
        <w:gridCol w:w="950"/>
        <w:gridCol w:w="1085"/>
        <w:gridCol w:w="1085"/>
        <w:gridCol w:w="1160"/>
      </w:tblGrid>
      <w:tr w:rsidR="00A957D4" w:rsidRPr="00F50D49" w14:paraId="1C4361DC" w14:textId="77777777" w:rsidTr="003A7FAC">
        <w:trPr>
          <w:trHeight w:val="20"/>
          <w:tblHeader/>
        </w:trPr>
        <w:tc>
          <w:tcPr>
            <w:tcW w:w="10705" w:type="dxa"/>
            <w:gridSpan w:val="7"/>
            <w:shd w:val="clear" w:color="auto" w:fill="E2EFD9"/>
            <w:tcMar>
              <w:top w:w="100" w:type="dxa"/>
              <w:left w:w="100" w:type="dxa"/>
              <w:bottom w:w="100" w:type="dxa"/>
              <w:right w:w="100" w:type="dxa"/>
            </w:tcMar>
          </w:tcPr>
          <w:p w14:paraId="42A23C53" w14:textId="340797AB" w:rsidR="00A957D4" w:rsidRDefault="00A76896" w:rsidP="00C43B5F">
            <w:pPr>
              <w:ind w:left="2160" w:right="2160"/>
              <w:jc w:val="center"/>
              <w:rPr>
                <w:b/>
                <w:sz w:val="23"/>
                <w:szCs w:val="23"/>
              </w:rPr>
            </w:pPr>
            <w:r>
              <w:rPr>
                <w:b/>
                <w:sz w:val="23"/>
                <w:szCs w:val="23"/>
              </w:rPr>
              <w:t>Table 7</w:t>
            </w:r>
          </w:p>
          <w:p w14:paraId="1C419D7C" w14:textId="34496C40" w:rsidR="00A957D4" w:rsidRPr="00F50D49" w:rsidRDefault="00550C6B" w:rsidP="003C1FFE">
            <w:pPr>
              <w:spacing w:before="20" w:line="254" w:lineRule="auto"/>
              <w:ind w:left="140"/>
              <w:jc w:val="center"/>
              <w:rPr>
                <w:b/>
                <w:sz w:val="23"/>
                <w:szCs w:val="23"/>
              </w:rPr>
            </w:pPr>
            <w:r>
              <w:rPr>
                <w:b/>
                <w:sz w:val="23"/>
                <w:szCs w:val="23"/>
              </w:rPr>
              <w:t>Pollution control equipment for air toxics e</w:t>
            </w:r>
            <w:r w:rsidR="00A957D4">
              <w:rPr>
                <w:b/>
                <w:sz w:val="23"/>
                <w:szCs w:val="23"/>
              </w:rPr>
              <w:t>missions*</w:t>
            </w:r>
          </w:p>
        </w:tc>
      </w:tr>
      <w:tr w:rsidR="00F50D49" w:rsidRPr="00F50D49" w14:paraId="3B7C958C" w14:textId="77777777" w:rsidTr="003A7FAC">
        <w:trPr>
          <w:trHeight w:val="20"/>
          <w:tblHeader/>
        </w:trPr>
        <w:tc>
          <w:tcPr>
            <w:tcW w:w="1980" w:type="dxa"/>
            <w:vMerge w:val="restart"/>
            <w:shd w:val="clear" w:color="auto" w:fill="C5E0B3"/>
            <w:tcMar>
              <w:top w:w="100" w:type="dxa"/>
              <w:left w:w="100" w:type="dxa"/>
              <w:bottom w:w="100" w:type="dxa"/>
              <w:right w:w="100" w:type="dxa"/>
            </w:tcMar>
          </w:tcPr>
          <w:p w14:paraId="309326F7" w14:textId="77777777" w:rsidR="00F50D49" w:rsidRPr="00F50D49" w:rsidRDefault="00F50D49" w:rsidP="00F50D49">
            <w:pPr>
              <w:spacing w:before="20"/>
              <w:ind w:left="100"/>
              <w:rPr>
                <w:b/>
                <w:sz w:val="25"/>
                <w:szCs w:val="25"/>
              </w:rPr>
            </w:pPr>
          </w:p>
          <w:p w14:paraId="184A922C" w14:textId="77777777" w:rsidR="00F50D49" w:rsidRPr="00F50D49" w:rsidRDefault="00F50D49" w:rsidP="00F50D49">
            <w:pPr>
              <w:spacing w:line="254" w:lineRule="auto"/>
              <w:ind w:left="140" w:right="240"/>
              <w:rPr>
                <w:b/>
                <w:sz w:val="23"/>
                <w:szCs w:val="23"/>
              </w:rPr>
            </w:pPr>
            <w:r w:rsidRPr="00F50D49">
              <w:rPr>
                <w:b/>
                <w:sz w:val="23"/>
                <w:szCs w:val="23"/>
              </w:rPr>
              <w:t>Control Device Type</w:t>
            </w:r>
          </w:p>
        </w:tc>
        <w:tc>
          <w:tcPr>
            <w:tcW w:w="1980" w:type="dxa"/>
            <w:vMerge w:val="restart"/>
            <w:shd w:val="clear" w:color="auto" w:fill="C5E0B3"/>
            <w:tcMar>
              <w:top w:w="100" w:type="dxa"/>
              <w:left w:w="100" w:type="dxa"/>
              <w:bottom w:w="100" w:type="dxa"/>
              <w:right w:w="100" w:type="dxa"/>
            </w:tcMar>
          </w:tcPr>
          <w:p w14:paraId="7FD65D8C" w14:textId="77777777" w:rsidR="00F50D49" w:rsidRPr="00F50D49" w:rsidRDefault="00F50D49" w:rsidP="00F50D49">
            <w:pPr>
              <w:spacing w:before="140" w:line="256" w:lineRule="auto"/>
              <w:ind w:left="140" w:right="400"/>
              <w:rPr>
                <w:b/>
                <w:sz w:val="23"/>
                <w:szCs w:val="23"/>
              </w:rPr>
            </w:pPr>
            <w:r w:rsidRPr="00F50D49">
              <w:rPr>
                <w:b/>
                <w:sz w:val="23"/>
                <w:szCs w:val="23"/>
              </w:rPr>
              <w:t>Types of Pollutants it can reduce</w:t>
            </w:r>
          </w:p>
        </w:tc>
        <w:tc>
          <w:tcPr>
            <w:tcW w:w="2465" w:type="dxa"/>
            <w:vMerge w:val="restart"/>
            <w:shd w:val="clear" w:color="auto" w:fill="C5E0B3"/>
            <w:tcMar>
              <w:top w:w="100" w:type="dxa"/>
              <w:left w:w="100" w:type="dxa"/>
              <w:bottom w:w="100" w:type="dxa"/>
              <w:right w:w="100" w:type="dxa"/>
            </w:tcMar>
          </w:tcPr>
          <w:p w14:paraId="5DCFD392" w14:textId="77777777" w:rsidR="00F50D49" w:rsidRPr="00F50D49" w:rsidRDefault="00F50D49" w:rsidP="00F50D49">
            <w:pPr>
              <w:spacing w:before="20"/>
              <w:ind w:left="100"/>
              <w:rPr>
                <w:b/>
                <w:sz w:val="25"/>
                <w:szCs w:val="25"/>
              </w:rPr>
            </w:pPr>
            <w:r w:rsidRPr="00F50D49">
              <w:rPr>
                <w:b/>
                <w:sz w:val="25"/>
                <w:szCs w:val="25"/>
              </w:rPr>
              <w:t xml:space="preserve"> </w:t>
            </w:r>
          </w:p>
          <w:p w14:paraId="08F470DE" w14:textId="77777777" w:rsidR="00F50D49" w:rsidRPr="00F50D49" w:rsidRDefault="00F50D49" w:rsidP="00F50D49">
            <w:pPr>
              <w:spacing w:line="254" w:lineRule="auto"/>
              <w:ind w:left="140" w:right="160"/>
              <w:rPr>
                <w:b/>
                <w:sz w:val="23"/>
                <w:szCs w:val="23"/>
              </w:rPr>
            </w:pPr>
            <w:r w:rsidRPr="00F50D49">
              <w:rPr>
                <w:b/>
                <w:sz w:val="23"/>
                <w:szCs w:val="23"/>
              </w:rPr>
              <w:t>Examples of facilities where this is used</w:t>
            </w:r>
          </w:p>
        </w:tc>
        <w:tc>
          <w:tcPr>
            <w:tcW w:w="2035" w:type="dxa"/>
            <w:gridSpan w:val="2"/>
            <w:shd w:val="clear" w:color="auto" w:fill="C5E0B3"/>
            <w:tcMar>
              <w:top w:w="100" w:type="dxa"/>
              <w:left w:w="100" w:type="dxa"/>
              <w:bottom w:w="100" w:type="dxa"/>
              <w:right w:w="100" w:type="dxa"/>
            </w:tcMar>
          </w:tcPr>
          <w:p w14:paraId="249AAC8C" w14:textId="77777777" w:rsidR="00F50D49" w:rsidRPr="00F50D49" w:rsidRDefault="00F50D49" w:rsidP="00F50D49">
            <w:pPr>
              <w:spacing w:before="160"/>
              <w:ind w:left="140"/>
              <w:jc w:val="center"/>
              <w:rPr>
                <w:b/>
                <w:sz w:val="23"/>
                <w:szCs w:val="23"/>
              </w:rPr>
            </w:pPr>
            <w:r w:rsidRPr="00F50D49">
              <w:rPr>
                <w:b/>
                <w:sz w:val="23"/>
                <w:szCs w:val="23"/>
              </w:rPr>
              <w:t>Initial costs</w:t>
            </w:r>
          </w:p>
        </w:tc>
        <w:tc>
          <w:tcPr>
            <w:tcW w:w="2245" w:type="dxa"/>
            <w:gridSpan w:val="2"/>
            <w:shd w:val="clear" w:color="auto" w:fill="C5E0B3"/>
            <w:tcMar>
              <w:top w:w="100" w:type="dxa"/>
              <w:left w:w="100" w:type="dxa"/>
              <w:bottom w:w="100" w:type="dxa"/>
              <w:right w:w="100" w:type="dxa"/>
            </w:tcMar>
          </w:tcPr>
          <w:p w14:paraId="5CDA3DAA" w14:textId="77777777" w:rsidR="00F50D49" w:rsidRPr="00F50D49" w:rsidRDefault="00F50D49" w:rsidP="00F50D49">
            <w:pPr>
              <w:spacing w:before="20" w:line="254" w:lineRule="auto"/>
              <w:ind w:left="140"/>
              <w:jc w:val="center"/>
              <w:rPr>
                <w:b/>
                <w:sz w:val="23"/>
                <w:szCs w:val="23"/>
              </w:rPr>
            </w:pPr>
            <w:r w:rsidRPr="00F50D49">
              <w:rPr>
                <w:b/>
                <w:sz w:val="23"/>
                <w:szCs w:val="23"/>
              </w:rPr>
              <w:t>Annual Operating Costs</w:t>
            </w:r>
          </w:p>
        </w:tc>
      </w:tr>
      <w:tr w:rsidR="00F50D49" w:rsidRPr="00F50D49" w14:paraId="697E2352" w14:textId="77777777" w:rsidTr="003A7FAC">
        <w:trPr>
          <w:trHeight w:val="20"/>
          <w:tblHeader/>
        </w:trPr>
        <w:tc>
          <w:tcPr>
            <w:tcW w:w="1980" w:type="dxa"/>
            <w:vMerge/>
            <w:shd w:val="clear" w:color="auto" w:fill="C5E0B3"/>
            <w:tcMar>
              <w:top w:w="100" w:type="dxa"/>
              <w:left w:w="100" w:type="dxa"/>
              <w:bottom w:w="100" w:type="dxa"/>
              <w:right w:w="100" w:type="dxa"/>
            </w:tcMar>
          </w:tcPr>
          <w:p w14:paraId="35820030" w14:textId="77777777" w:rsidR="00F50D49" w:rsidRPr="00F50D49" w:rsidRDefault="00F50D49" w:rsidP="00F50D49">
            <w:pPr>
              <w:ind w:left="100"/>
            </w:pPr>
          </w:p>
        </w:tc>
        <w:tc>
          <w:tcPr>
            <w:tcW w:w="1980" w:type="dxa"/>
            <w:vMerge/>
            <w:shd w:val="clear" w:color="auto" w:fill="C5E0B3"/>
            <w:tcMar>
              <w:top w:w="100" w:type="dxa"/>
              <w:left w:w="100" w:type="dxa"/>
              <w:bottom w:w="100" w:type="dxa"/>
              <w:right w:w="100" w:type="dxa"/>
            </w:tcMar>
          </w:tcPr>
          <w:p w14:paraId="574E1398" w14:textId="77777777" w:rsidR="00F50D49" w:rsidRPr="00F50D49" w:rsidRDefault="00F50D49" w:rsidP="00F50D49">
            <w:pPr>
              <w:ind w:left="100"/>
            </w:pPr>
          </w:p>
        </w:tc>
        <w:tc>
          <w:tcPr>
            <w:tcW w:w="2465" w:type="dxa"/>
            <w:vMerge/>
            <w:shd w:val="clear" w:color="auto" w:fill="C5E0B3"/>
            <w:tcMar>
              <w:top w:w="100" w:type="dxa"/>
              <w:left w:w="100" w:type="dxa"/>
              <w:bottom w:w="100" w:type="dxa"/>
              <w:right w:w="100" w:type="dxa"/>
            </w:tcMar>
          </w:tcPr>
          <w:p w14:paraId="6952861C" w14:textId="77777777" w:rsidR="00F50D49" w:rsidRPr="00F50D49" w:rsidRDefault="00F50D49" w:rsidP="00F50D49">
            <w:pPr>
              <w:ind w:left="100"/>
            </w:pPr>
          </w:p>
        </w:tc>
        <w:tc>
          <w:tcPr>
            <w:tcW w:w="950" w:type="dxa"/>
            <w:shd w:val="clear" w:color="auto" w:fill="C5E0B3"/>
            <w:tcMar>
              <w:top w:w="100" w:type="dxa"/>
              <w:left w:w="100" w:type="dxa"/>
              <w:bottom w:w="100" w:type="dxa"/>
              <w:right w:w="100" w:type="dxa"/>
            </w:tcMar>
          </w:tcPr>
          <w:p w14:paraId="1DEFBC7C" w14:textId="77777777" w:rsidR="00F50D49" w:rsidRPr="00F50D49" w:rsidRDefault="00F50D49" w:rsidP="00F50D49">
            <w:pPr>
              <w:spacing w:line="298" w:lineRule="auto"/>
              <w:ind w:left="140"/>
              <w:rPr>
                <w:b/>
                <w:sz w:val="23"/>
                <w:szCs w:val="23"/>
              </w:rPr>
            </w:pPr>
            <w:r w:rsidRPr="00F50D49">
              <w:rPr>
                <w:b/>
                <w:sz w:val="23"/>
                <w:szCs w:val="23"/>
              </w:rPr>
              <w:t>low</w:t>
            </w:r>
          </w:p>
        </w:tc>
        <w:tc>
          <w:tcPr>
            <w:tcW w:w="1085" w:type="dxa"/>
            <w:shd w:val="clear" w:color="auto" w:fill="C5E0B3"/>
            <w:tcMar>
              <w:top w:w="100" w:type="dxa"/>
              <w:left w:w="100" w:type="dxa"/>
              <w:bottom w:w="100" w:type="dxa"/>
              <w:right w:w="100" w:type="dxa"/>
            </w:tcMar>
          </w:tcPr>
          <w:p w14:paraId="111EB27F" w14:textId="77777777" w:rsidR="00F50D49" w:rsidRPr="00F50D49" w:rsidRDefault="00F50D49" w:rsidP="00F50D49">
            <w:pPr>
              <w:spacing w:line="298" w:lineRule="auto"/>
              <w:ind w:left="140"/>
              <w:rPr>
                <w:b/>
                <w:sz w:val="23"/>
                <w:szCs w:val="23"/>
              </w:rPr>
            </w:pPr>
            <w:r w:rsidRPr="00F50D49">
              <w:rPr>
                <w:b/>
                <w:sz w:val="23"/>
                <w:szCs w:val="23"/>
              </w:rPr>
              <w:t>high</w:t>
            </w:r>
          </w:p>
        </w:tc>
        <w:tc>
          <w:tcPr>
            <w:tcW w:w="1085" w:type="dxa"/>
            <w:shd w:val="clear" w:color="auto" w:fill="C5E0B3"/>
            <w:tcMar>
              <w:top w:w="100" w:type="dxa"/>
              <w:left w:w="100" w:type="dxa"/>
              <w:bottom w:w="100" w:type="dxa"/>
              <w:right w:w="100" w:type="dxa"/>
            </w:tcMar>
          </w:tcPr>
          <w:p w14:paraId="61B2769F" w14:textId="77777777" w:rsidR="00F50D49" w:rsidRPr="00F50D49" w:rsidRDefault="00F50D49" w:rsidP="00F50D49">
            <w:pPr>
              <w:spacing w:line="298" w:lineRule="auto"/>
              <w:ind w:left="140"/>
              <w:rPr>
                <w:b/>
                <w:sz w:val="23"/>
                <w:szCs w:val="23"/>
              </w:rPr>
            </w:pPr>
            <w:r w:rsidRPr="00F50D49">
              <w:rPr>
                <w:b/>
                <w:sz w:val="23"/>
                <w:szCs w:val="23"/>
              </w:rPr>
              <w:t>low</w:t>
            </w:r>
          </w:p>
        </w:tc>
        <w:tc>
          <w:tcPr>
            <w:tcW w:w="1160" w:type="dxa"/>
            <w:shd w:val="clear" w:color="auto" w:fill="C5E0B3"/>
            <w:tcMar>
              <w:top w:w="100" w:type="dxa"/>
              <w:left w:w="100" w:type="dxa"/>
              <w:bottom w:w="100" w:type="dxa"/>
              <w:right w:w="100" w:type="dxa"/>
            </w:tcMar>
          </w:tcPr>
          <w:p w14:paraId="167D8C5A" w14:textId="77777777" w:rsidR="00F50D49" w:rsidRPr="00F50D49" w:rsidRDefault="00F50D49" w:rsidP="00F50D49">
            <w:pPr>
              <w:spacing w:line="298" w:lineRule="auto"/>
              <w:ind w:left="140"/>
              <w:rPr>
                <w:b/>
                <w:sz w:val="23"/>
                <w:szCs w:val="23"/>
              </w:rPr>
            </w:pPr>
            <w:r w:rsidRPr="00F50D49">
              <w:rPr>
                <w:b/>
                <w:sz w:val="23"/>
                <w:szCs w:val="23"/>
              </w:rPr>
              <w:t>high</w:t>
            </w:r>
          </w:p>
        </w:tc>
      </w:tr>
      <w:tr w:rsidR="00F50D49" w:rsidRPr="00F50D49" w14:paraId="37B890A9" w14:textId="77777777" w:rsidTr="003A7FAC">
        <w:trPr>
          <w:trHeight w:val="2600"/>
          <w:tblHeader/>
        </w:trPr>
        <w:tc>
          <w:tcPr>
            <w:tcW w:w="1980" w:type="dxa"/>
            <w:shd w:val="clear" w:color="auto" w:fill="auto"/>
            <w:tcMar>
              <w:top w:w="100" w:type="dxa"/>
              <w:left w:w="100" w:type="dxa"/>
              <w:bottom w:w="100" w:type="dxa"/>
              <w:right w:w="100" w:type="dxa"/>
            </w:tcMar>
          </w:tcPr>
          <w:p w14:paraId="271DFDB2" w14:textId="77777777" w:rsidR="00F50D49" w:rsidRPr="00F50D49" w:rsidRDefault="00F50D49" w:rsidP="00F50D49">
            <w:pPr>
              <w:ind w:left="100"/>
              <w:rPr>
                <w:b/>
              </w:rPr>
            </w:pPr>
            <w:r w:rsidRPr="00F50D49">
              <w:rPr>
                <w:b/>
              </w:rPr>
              <w:t xml:space="preserve"> </w:t>
            </w:r>
          </w:p>
          <w:p w14:paraId="449A67A3" w14:textId="77777777" w:rsidR="00F50D49" w:rsidRPr="00F50D49" w:rsidRDefault="00F50D49" w:rsidP="00F50D49">
            <w:pPr>
              <w:spacing w:before="20"/>
              <w:ind w:left="100"/>
              <w:rPr>
                <w:b/>
                <w:sz w:val="28"/>
                <w:szCs w:val="28"/>
              </w:rPr>
            </w:pPr>
            <w:r w:rsidRPr="00F50D49">
              <w:rPr>
                <w:b/>
                <w:sz w:val="28"/>
                <w:szCs w:val="28"/>
              </w:rPr>
              <w:t xml:space="preserve"> </w:t>
            </w:r>
          </w:p>
          <w:p w14:paraId="7286A71D" w14:textId="77777777" w:rsidR="00F50D49" w:rsidRPr="00F50D49" w:rsidRDefault="00F50D49" w:rsidP="00F50D49">
            <w:pPr>
              <w:ind w:left="140" w:right="320"/>
              <w:rPr>
                <w:sz w:val="23"/>
                <w:szCs w:val="23"/>
              </w:rPr>
            </w:pPr>
            <w:r w:rsidRPr="00F50D49">
              <w:rPr>
                <w:sz w:val="23"/>
                <w:szCs w:val="23"/>
              </w:rPr>
              <w:t>Fabric filter (baghouse)</w:t>
            </w:r>
          </w:p>
        </w:tc>
        <w:tc>
          <w:tcPr>
            <w:tcW w:w="1980" w:type="dxa"/>
            <w:shd w:val="clear" w:color="auto" w:fill="auto"/>
            <w:tcMar>
              <w:top w:w="100" w:type="dxa"/>
              <w:left w:w="100" w:type="dxa"/>
              <w:bottom w:w="100" w:type="dxa"/>
              <w:right w:w="100" w:type="dxa"/>
            </w:tcMar>
          </w:tcPr>
          <w:p w14:paraId="32C5E7A4" w14:textId="77777777" w:rsidR="00F50D49" w:rsidRPr="00F50D49" w:rsidRDefault="00F50D49" w:rsidP="00F50D49">
            <w:pPr>
              <w:ind w:left="100"/>
              <w:rPr>
                <w:b/>
              </w:rPr>
            </w:pPr>
            <w:r w:rsidRPr="00F50D49">
              <w:rPr>
                <w:b/>
              </w:rPr>
              <w:t xml:space="preserve"> </w:t>
            </w:r>
          </w:p>
          <w:p w14:paraId="6D544BD4" w14:textId="77777777" w:rsidR="00F50D49" w:rsidRPr="00F50D49" w:rsidRDefault="00F50D49" w:rsidP="00F50D49">
            <w:pPr>
              <w:spacing w:before="200"/>
              <w:ind w:left="140" w:right="180"/>
              <w:rPr>
                <w:sz w:val="23"/>
                <w:szCs w:val="23"/>
              </w:rPr>
            </w:pPr>
            <w:r w:rsidRPr="00F50D49">
              <w:rPr>
                <w:sz w:val="23"/>
                <w:szCs w:val="23"/>
              </w:rPr>
              <w:t>Particulate matter (PM), hazardous air pollutant (HAP) PM</w:t>
            </w:r>
          </w:p>
        </w:tc>
        <w:tc>
          <w:tcPr>
            <w:tcW w:w="2465" w:type="dxa"/>
            <w:shd w:val="clear" w:color="auto" w:fill="auto"/>
            <w:tcMar>
              <w:top w:w="100" w:type="dxa"/>
              <w:left w:w="100" w:type="dxa"/>
              <w:bottom w:w="100" w:type="dxa"/>
              <w:right w:w="100" w:type="dxa"/>
            </w:tcMar>
          </w:tcPr>
          <w:p w14:paraId="55EDE845" w14:textId="77777777" w:rsidR="00F50D49" w:rsidRPr="00F50D49" w:rsidRDefault="00F50D49" w:rsidP="00F50D49">
            <w:pPr>
              <w:spacing w:before="20"/>
              <w:ind w:left="140" w:right="240"/>
              <w:rPr>
                <w:sz w:val="23"/>
                <w:szCs w:val="23"/>
              </w:rPr>
            </w:pPr>
            <w:r w:rsidRPr="00F50D49">
              <w:rPr>
                <w:sz w:val="23"/>
                <w:szCs w:val="23"/>
              </w:rPr>
              <w:t>Asphalt batch plants, concrete batch kilns, steel mills, foundries, fertilizer plants, and other industrial processes. Colored art glass manufacturers.</w:t>
            </w:r>
          </w:p>
        </w:tc>
        <w:tc>
          <w:tcPr>
            <w:tcW w:w="2035" w:type="dxa"/>
            <w:gridSpan w:val="2"/>
            <w:shd w:val="clear" w:color="auto" w:fill="auto"/>
            <w:tcMar>
              <w:top w:w="100" w:type="dxa"/>
              <w:left w:w="100" w:type="dxa"/>
              <w:bottom w:w="100" w:type="dxa"/>
              <w:right w:w="100" w:type="dxa"/>
            </w:tcMar>
          </w:tcPr>
          <w:p w14:paraId="22F47A68" w14:textId="77777777" w:rsidR="00F50D49" w:rsidRPr="00F50D49" w:rsidRDefault="00F50D49" w:rsidP="00F50D49">
            <w:pPr>
              <w:ind w:left="100"/>
              <w:rPr>
                <w:b/>
              </w:rPr>
            </w:pPr>
            <w:r w:rsidRPr="00F50D49">
              <w:rPr>
                <w:b/>
              </w:rPr>
              <w:t xml:space="preserve"> </w:t>
            </w:r>
          </w:p>
          <w:p w14:paraId="1808AB5F" w14:textId="77777777" w:rsidR="00F50D49" w:rsidRPr="00F50D49" w:rsidRDefault="00F50D49" w:rsidP="00F50D49">
            <w:pPr>
              <w:ind w:left="100"/>
              <w:rPr>
                <w:b/>
              </w:rPr>
            </w:pPr>
            <w:r w:rsidRPr="00F50D49">
              <w:rPr>
                <w:b/>
              </w:rPr>
              <w:t xml:space="preserve"> </w:t>
            </w:r>
          </w:p>
          <w:p w14:paraId="1FA308D8" w14:textId="77777777" w:rsidR="00F50D49" w:rsidRPr="00F50D49" w:rsidRDefault="00F50D49" w:rsidP="00F50D49">
            <w:pPr>
              <w:spacing w:before="20"/>
              <w:ind w:left="100"/>
              <w:rPr>
                <w:b/>
                <w:sz w:val="17"/>
                <w:szCs w:val="17"/>
              </w:rPr>
            </w:pPr>
            <w:r w:rsidRPr="00F50D49">
              <w:rPr>
                <w:b/>
                <w:sz w:val="17"/>
                <w:szCs w:val="17"/>
              </w:rPr>
              <w:t xml:space="preserve"> </w:t>
            </w:r>
          </w:p>
          <w:p w14:paraId="4C971C30" w14:textId="77777777" w:rsidR="00F50D49" w:rsidRPr="00F50D49" w:rsidRDefault="00F50D49" w:rsidP="00F50D49">
            <w:pPr>
              <w:ind w:left="140"/>
              <w:rPr>
                <w:sz w:val="23"/>
                <w:szCs w:val="23"/>
              </w:rPr>
            </w:pPr>
            <w:r w:rsidRPr="00F50D49">
              <w:rPr>
                <w:sz w:val="23"/>
                <w:szCs w:val="23"/>
              </w:rPr>
              <w:t>$360,000 - $18,500,000</w:t>
            </w:r>
          </w:p>
        </w:tc>
        <w:tc>
          <w:tcPr>
            <w:tcW w:w="2245" w:type="dxa"/>
            <w:gridSpan w:val="2"/>
            <w:shd w:val="clear" w:color="auto" w:fill="auto"/>
            <w:tcMar>
              <w:top w:w="100" w:type="dxa"/>
              <w:left w:w="100" w:type="dxa"/>
              <w:bottom w:w="100" w:type="dxa"/>
              <w:right w:w="100" w:type="dxa"/>
            </w:tcMar>
          </w:tcPr>
          <w:p w14:paraId="5C212F7C" w14:textId="77777777" w:rsidR="00F50D49" w:rsidRPr="00F50D49" w:rsidRDefault="00F50D49" w:rsidP="00F50D49">
            <w:pPr>
              <w:ind w:left="100"/>
              <w:rPr>
                <w:b/>
              </w:rPr>
            </w:pPr>
            <w:r w:rsidRPr="00F50D49">
              <w:rPr>
                <w:b/>
              </w:rPr>
              <w:t xml:space="preserve"> </w:t>
            </w:r>
          </w:p>
          <w:p w14:paraId="00277DEB" w14:textId="77777777" w:rsidR="00F50D49" w:rsidRPr="00F50D49" w:rsidRDefault="00F50D49" w:rsidP="00F50D49">
            <w:pPr>
              <w:ind w:left="100"/>
              <w:rPr>
                <w:b/>
              </w:rPr>
            </w:pPr>
            <w:r w:rsidRPr="00F50D49">
              <w:rPr>
                <w:b/>
              </w:rPr>
              <w:t xml:space="preserve"> </w:t>
            </w:r>
          </w:p>
          <w:p w14:paraId="061659FF" w14:textId="77777777" w:rsidR="00F50D49" w:rsidRPr="00F50D49" w:rsidRDefault="00F50D49" w:rsidP="00F50D49">
            <w:pPr>
              <w:spacing w:before="20"/>
              <w:ind w:left="100"/>
              <w:rPr>
                <w:b/>
                <w:sz w:val="17"/>
                <w:szCs w:val="17"/>
              </w:rPr>
            </w:pPr>
            <w:r w:rsidRPr="00F50D49">
              <w:rPr>
                <w:b/>
                <w:sz w:val="17"/>
                <w:szCs w:val="17"/>
              </w:rPr>
              <w:t xml:space="preserve"> </w:t>
            </w:r>
          </w:p>
          <w:p w14:paraId="228732E7" w14:textId="77777777" w:rsidR="00F50D49" w:rsidRPr="00F50D49" w:rsidRDefault="00F50D49" w:rsidP="00F50D49">
            <w:pPr>
              <w:ind w:left="140"/>
              <w:rPr>
                <w:sz w:val="23"/>
                <w:szCs w:val="23"/>
              </w:rPr>
            </w:pPr>
            <w:r w:rsidRPr="00F50D49">
              <w:rPr>
                <w:sz w:val="23"/>
                <w:szCs w:val="23"/>
              </w:rPr>
              <w:t>$180,000 - $6,200,000</w:t>
            </w:r>
          </w:p>
        </w:tc>
      </w:tr>
      <w:tr w:rsidR="00F50D49" w:rsidRPr="00F50D49" w14:paraId="2FAD35C5" w14:textId="77777777" w:rsidTr="003A7FAC">
        <w:trPr>
          <w:trHeight w:val="1280"/>
          <w:tblHeader/>
        </w:trPr>
        <w:tc>
          <w:tcPr>
            <w:tcW w:w="1980" w:type="dxa"/>
            <w:shd w:val="clear" w:color="auto" w:fill="auto"/>
            <w:tcMar>
              <w:top w:w="100" w:type="dxa"/>
              <w:left w:w="100" w:type="dxa"/>
              <w:bottom w:w="100" w:type="dxa"/>
              <w:right w:w="100" w:type="dxa"/>
            </w:tcMar>
          </w:tcPr>
          <w:p w14:paraId="3E9274A8" w14:textId="77777777" w:rsidR="00F50D49" w:rsidRPr="00F50D49" w:rsidRDefault="00F50D49" w:rsidP="00F50D49">
            <w:pPr>
              <w:spacing w:before="20"/>
              <w:ind w:left="140" w:right="220"/>
              <w:jc w:val="both"/>
              <w:rPr>
                <w:sz w:val="23"/>
                <w:szCs w:val="23"/>
              </w:rPr>
            </w:pPr>
            <w:r w:rsidRPr="00F50D49">
              <w:rPr>
                <w:sz w:val="23"/>
                <w:szCs w:val="23"/>
              </w:rPr>
              <w:t>Electrostatic precipitator (ESP)</w:t>
            </w:r>
          </w:p>
        </w:tc>
        <w:tc>
          <w:tcPr>
            <w:tcW w:w="1980" w:type="dxa"/>
            <w:shd w:val="clear" w:color="auto" w:fill="auto"/>
            <w:tcMar>
              <w:top w:w="100" w:type="dxa"/>
              <w:left w:w="100" w:type="dxa"/>
              <w:bottom w:w="100" w:type="dxa"/>
              <w:right w:w="100" w:type="dxa"/>
            </w:tcMar>
          </w:tcPr>
          <w:p w14:paraId="13921751" w14:textId="77777777" w:rsidR="00F50D49" w:rsidRPr="00F50D49" w:rsidRDefault="00F50D49" w:rsidP="00F50D49">
            <w:pPr>
              <w:ind w:left="100"/>
              <w:rPr>
                <w:b/>
                <w:sz w:val="26"/>
                <w:szCs w:val="26"/>
              </w:rPr>
            </w:pPr>
            <w:r w:rsidRPr="00F50D49">
              <w:rPr>
                <w:b/>
                <w:sz w:val="26"/>
                <w:szCs w:val="26"/>
              </w:rPr>
              <w:t xml:space="preserve"> </w:t>
            </w:r>
          </w:p>
          <w:p w14:paraId="66954070" w14:textId="77777777" w:rsidR="00F50D49" w:rsidRPr="00F50D49" w:rsidRDefault="00F50D49" w:rsidP="00F50D49">
            <w:pPr>
              <w:ind w:left="140"/>
              <w:rPr>
                <w:sz w:val="23"/>
                <w:szCs w:val="23"/>
              </w:rPr>
            </w:pPr>
            <w:r w:rsidRPr="00F50D49">
              <w:rPr>
                <w:sz w:val="23"/>
                <w:szCs w:val="23"/>
              </w:rPr>
              <w:t>PM, HAP PM</w:t>
            </w:r>
          </w:p>
        </w:tc>
        <w:tc>
          <w:tcPr>
            <w:tcW w:w="2465" w:type="dxa"/>
            <w:shd w:val="clear" w:color="auto" w:fill="auto"/>
            <w:tcMar>
              <w:top w:w="100" w:type="dxa"/>
              <w:left w:w="100" w:type="dxa"/>
              <w:bottom w:w="100" w:type="dxa"/>
              <w:right w:w="100" w:type="dxa"/>
            </w:tcMar>
          </w:tcPr>
          <w:p w14:paraId="06D5E381" w14:textId="77777777" w:rsidR="00F50D49" w:rsidRPr="00F50D49" w:rsidRDefault="00F50D49" w:rsidP="00F50D49">
            <w:pPr>
              <w:spacing w:before="20"/>
              <w:ind w:left="140" w:right="40"/>
              <w:rPr>
                <w:sz w:val="23"/>
                <w:szCs w:val="23"/>
              </w:rPr>
            </w:pPr>
            <w:r w:rsidRPr="00F50D49">
              <w:rPr>
                <w:sz w:val="23"/>
                <w:szCs w:val="23"/>
              </w:rPr>
              <w:t>Power plants, steel and paper mills, smelters, cement plants, oil refineries</w:t>
            </w:r>
          </w:p>
        </w:tc>
        <w:tc>
          <w:tcPr>
            <w:tcW w:w="2035" w:type="dxa"/>
            <w:gridSpan w:val="2"/>
            <w:shd w:val="clear" w:color="auto" w:fill="auto"/>
            <w:tcMar>
              <w:top w:w="100" w:type="dxa"/>
              <w:left w:w="100" w:type="dxa"/>
              <w:bottom w:w="100" w:type="dxa"/>
              <w:right w:w="100" w:type="dxa"/>
            </w:tcMar>
          </w:tcPr>
          <w:p w14:paraId="56858508" w14:textId="77777777" w:rsidR="00F50D49" w:rsidRPr="00F50D49" w:rsidRDefault="00F50D49" w:rsidP="00F50D49">
            <w:pPr>
              <w:ind w:left="100"/>
              <w:rPr>
                <w:b/>
                <w:sz w:val="26"/>
                <w:szCs w:val="26"/>
              </w:rPr>
            </w:pPr>
            <w:r w:rsidRPr="00F50D49">
              <w:rPr>
                <w:b/>
                <w:sz w:val="26"/>
                <w:szCs w:val="26"/>
              </w:rPr>
              <w:t xml:space="preserve"> </w:t>
            </w:r>
          </w:p>
          <w:p w14:paraId="5B4D7472" w14:textId="77777777" w:rsidR="00F50D49" w:rsidRPr="00F50D49" w:rsidRDefault="00F50D49" w:rsidP="00F50D49">
            <w:pPr>
              <w:ind w:left="140"/>
              <w:rPr>
                <w:sz w:val="23"/>
                <w:szCs w:val="23"/>
              </w:rPr>
            </w:pPr>
            <w:r w:rsidRPr="00F50D49">
              <w:rPr>
                <w:sz w:val="23"/>
                <w:szCs w:val="23"/>
              </w:rPr>
              <w:t>$320,000 - $7,100,000</w:t>
            </w:r>
          </w:p>
        </w:tc>
        <w:tc>
          <w:tcPr>
            <w:tcW w:w="2245" w:type="dxa"/>
            <w:gridSpan w:val="2"/>
            <w:shd w:val="clear" w:color="auto" w:fill="auto"/>
            <w:tcMar>
              <w:top w:w="100" w:type="dxa"/>
              <w:left w:w="100" w:type="dxa"/>
              <w:bottom w:w="100" w:type="dxa"/>
              <w:right w:w="100" w:type="dxa"/>
            </w:tcMar>
          </w:tcPr>
          <w:p w14:paraId="457932DF" w14:textId="77777777" w:rsidR="00F50D49" w:rsidRPr="00F50D49" w:rsidRDefault="00F50D49" w:rsidP="00F50D49">
            <w:pPr>
              <w:ind w:left="100"/>
              <w:rPr>
                <w:b/>
                <w:sz w:val="26"/>
                <w:szCs w:val="26"/>
              </w:rPr>
            </w:pPr>
            <w:r w:rsidRPr="00F50D49">
              <w:rPr>
                <w:b/>
                <w:sz w:val="26"/>
                <w:szCs w:val="26"/>
              </w:rPr>
              <w:t xml:space="preserve"> </w:t>
            </w:r>
          </w:p>
          <w:p w14:paraId="55A17FB5" w14:textId="77777777" w:rsidR="00F50D49" w:rsidRPr="00F50D49" w:rsidRDefault="00F50D49" w:rsidP="00F50D49">
            <w:pPr>
              <w:ind w:left="140"/>
              <w:rPr>
                <w:sz w:val="23"/>
                <w:szCs w:val="23"/>
              </w:rPr>
            </w:pPr>
            <w:r w:rsidRPr="00F50D49">
              <w:rPr>
                <w:sz w:val="23"/>
                <w:szCs w:val="23"/>
              </w:rPr>
              <w:t>$100,000 - $7,600,000</w:t>
            </w:r>
          </w:p>
        </w:tc>
      </w:tr>
      <w:tr w:rsidR="00F50D49" w:rsidRPr="00F50D49" w14:paraId="53A3F618" w14:textId="77777777" w:rsidTr="003A7FAC">
        <w:trPr>
          <w:trHeight w:val="1280"/>
          <w:tblHeader/>
        </w:trPr>
        <w:tc>
          <w:tcPr>
            <w:tcW w:w="1980" w:type="dxa"/>
            <w:shd w:val="clear" w:color="auto" w:fill="auto"/>
            <w:tcMar>
              <w:top w:w="100" w:type="dxa"/>
              <w:left w:w="100" w:type="dxa"/>
              <w:bottom w:w="100" w:type="dxa"/>
              <w:right w:w="100" w:type="dxa"/>
            </w:tcMar>
          </w:tcPr>
          <w:p w14:paraId="22F49970" w14:textId="77777777" w:rsidR="00F50D49" w:rsidRPr="00F50D49" w:rsidRDefault="00F50D49" w:rsidP="00F50D49">
            <w:pPr>
              <w:ind w:left="100"/>
            </w:pPr>
            <w:r w:rsidRPr="00F50D49">
              <w:t xml:space="preserve"> </w:t>
            </w:r>
          </w:p>
          <w:p w14:paraId="1CAF337C" w14:textId="77777777" w:rsidR="00F50D49" w:rsidRPr="00F50D49" w:rsidRDefault="00F50D49" w:rsidP="00F50D49">
            <w:pPr>
              <w:spacing w:before="200"/>
              <w:ind w:left="140"/>
              <w:rPr>
                <w:sz w:val="23"/>
                <w:szCs w:val="23"/>
              </w:rPr>
            </w:pPr>
            <w:r w:rsidRPr="00F50D49">
              <w:rPr>
                <w:sz w:val="23"/>
                <w:szCs w:val="23"/>
              </w:rPr>
              <w:t>Enclosure</w:t>
            </w:r>
          </w:p>
        </w:tc>
        <w:tc>
          <w:tcPr>
            <w:tcW w:w="1980" w:type="dxa"/>
            <w:shd w:val="clear" w:color="auto" w:fill="auto"/>
            <w:tcMar>
              <w:top w:w="100" w:type="dxa"/>
              <w:left w:w="100" w:type="dxa"/>
              <w:bottom w:w="100" w:type="dxa"/>
              <w:right w:w="100" w:type="dxa"/>
            </w:tcMar>
          </w:tcPr>
          <w:p w14:paraId="0856CEB4" w14:textId="77777777" w:rsidR="00F50D49" w:rsidRPr="00F50D49" w:rsidRDefault="00F50D49" w:rsidP="00F50D49">
            <w:pPr>
              <w:spacing w:before="20"/>
              <w:ind w:left="140" w:right="140"/>
              <w:rPr>
                <w:sz w:val="23"/>
                <w:szCs w:val="23"/>
              </w:rPr>
            </w:pPr>
            <w:r w:rsidRPr="00F50D49">
              <w:rPr>
                <w:sz w:val="23"/>
                <w:szCs w:val="23"/>
              </w:rPr>
              <w:t>Fugitive PM or volatile organic compounds (VOCs)</w:t>
            </w:r>
          </w:p>
        </w:tc>
        <w:tc>
          <w:tcPr>
            <w:tcW w:w="2465" w:type="dxa"/>
            <w:shd w:val="clear" w:color="auto" w:fill="auto"/>
            <w:tcMar>
              <w:top w:w="100" w:type="dxa"/>
              <w:left w:w="100" w:type="dxa"/>
              <w:bottom w:w="100" w:type="dxa"/>
              <w:right w:w="100" w:type="dxa"/>
            </w:tcMar>
          </w:tcPr>
          <w:p w14:paraId="05447AC7" w14:textId="77777777" w:rsidR="00F50D49" w:rsidRPr="00F50D49" w:rsidRDefault="00F50D49" w:rsidP="00F50D49">
            <w:pPr>
              <w:spacing w:before="20"/>
              <w:ind w:left="140" w:right="200"/>
              <w:rPr>
                <w:sz w:val="23"/>
                <w:szCs w:val="23"/>
              </w:rPr>
            </w:pPr>
            <w:r w:rsidRPr="00F50D49">
              <w:rPr>
                <w:sz w:val="23"/>
                <w:szCs w:val="23"/>
              </w:rPr>
              <w:t>Any process or operation where total emissions capture is required, i.e., printing, coating, laminating</w:t>
            </w:r>
          </w:p>
        </w:tc>
        <w:tc>
          <w:tcPr>
            <w:tcW w:w="2035" w:type="dxa"/>
            <w:gridSpan w:val="2"/>
            <w:shd w:val="clear" w:color="auto" w:fill="auto"/>
            <w:tcMar>
              <w:top w:w="100" w:type="dxa"/>
              <w:left w:w="100" w:type="dxa"/>
              <w:bottom w:w="100" w:type="dxa"/>
              <w:right w:w="100" w:type="dxa"/>
            </w:tcMar>
          </w:tcPr>
          <w:p w14:paraId="2F26DE4A" w14:textId="77777777" w:rsidR="00F50D49" w:rsidRPr="00F50D49" w:rsidRDefault="00F50D49" w:rsidP="00F50D49">
            <w:pPr>
              <w:ind w:left="100"/>
            </w:pPr>
            <w:r w:rsidRPr="00F50D49">
              <w:t xml:space="preserve"> </w:t>
            </w:r>
          </w:p>
          <w:p w14:paraId="012A86FE" w14:textId="77777777" w:rsidR="00F50D49" w:rsidRPr="00F50D49" w:rsidRDefault="00F50D49" w:rsidP="00F50D49">
            <w:pPr>
              <w:spacing w:before="180"/>
              <w:ind w:left="140"/>
              <w:rPr>
                <w:sz w:val="23"/>
                <w:szCs w:val="23"/>
              </w:rPr>
            </w:pPr>
            <w:r w:rsidRPr="00F50D49">
              <w:rPr>
                <w:sz w:val="23"/>
                <w:szCs w:val="23"/>
              </w:rPr>
              <w:t>$14,000 - $420,000</w:t>
            </w:r>
          </w:p>
        </w:tc>
        <w:tc>
          <w:tcPr>
            <w:tcW w:w="2245" w:type="dxa"/>
            <w:gridSpan w:val="2"/>
            <w:shd w:val="clear" w:color="auto" w:fill="auto"/>
            <w:tcMar>
              <w:top w:w="100" w:type="dxa"/>
              <w:left w:w="100" w:type="dxa"/>
              <w:bottom w:w="100" w:type="dxa"/>
              <w:right w:w="100" w:type="dxa"/>
            </w:tcMar>
          </w:tcPr>
          <w:p w14:paraId="57896409" w14:textId="77777777" w:rsidR="00F50D49" w:rsidRPr="00F50D49" w:rsidRDefault="00F50D49" w:rsidP="00F50D49">
            <w:pPr>
              <w:ind w:left="100"/>
            </w:pPr>
            <w:r w:rsidRPr="00F50D49">
              <w:t xml:space="preserve"> </w:t>
            </w:r>
          </w:p>
          <w:p w14:paraId="4CCF9C17" w14:textId="77777777" w:rsidR="00F50D49" w:rsidRPr="00F50D49" w:rsidRDefault="00F50D49" w:rsidP="00F50D49">
            <w:pPr>
              <w:spacing w:before="180"/>
              <w:ind w:left="140"/>
              <w:rPr>
                <w:sz w:val="23"/>
                <w:szCs w:val="23"/>
              </w:rPr>
            </w:pPr>
            <w:r w:rsidRPr="00F50D49">
              <w:rPr>
                <w:sz w:val="23"/>
                <w:szCs w:val="23"/>
              </w:rPr>
              <w:t>$400 - $10,000</w:t>
            </w:r>
          </w:p>
        </w:tc>
      </w:tr>
      <w:tr w:rsidR="00F50D49" w:rsidRPr="00F50D49" w14:paraId="6433E0F4" w14:textId="77777777" w:rsidTr="003A7FAC">
        <w:trPr>
          <w:trHeight w:val="1280"/>
          <w:tblHeader/>
        </w:trPr>
        <w:tc>
          <w:tcPr>
            <w:tcW w:w="1980" w:type="dxa"/>
            <w:shd w:val="clear" w:color="auto" w:fill="auto"/>
            <w:tcMar>
              <w:top w:w="100" w:type="dxa"/>
              <w:left w:w="100" w:type="dxa"/>
              <w:bottom w:w="100" w:type="dxa"/>
              <w:right w:w="100" w:type="dxa"/>
            </w:tcMar>
          </w:tcPr>
          <w:p w14:paraId="5424EB75" w14:textId="77777777" w:rsidR="00F50D49" w:rsidRPr="00F50D49" w:rsidRDefault="00F50D49" w:rsidP="00F50D49">
            <w:pPr>
              <w:spacing w:before="160"/>
              <w:ind w:left="140"/>
              <w:rPr>
                <w:sz w:val="23"/>
                <w:szCs w:val="23"/>
              </w:rPr>
            </w:pPr>
            <w:r w:rsidRPr="00F50D49">
              <w:rPr>
                <w:sz w:val="23"/>
                <w:szCs w:val="23"/>
              </w:rPr>
              <w:t>HEPA filter</w:t>
            </w:r>
          </w:p>
        </w:tc>
        <w:tc>
          <w:tcPr>
            <w:tcW w:w="1980" w:type="dxa"/>
            <w:shd w:val="clear" w:color="auto" w:fill="auto"/>
            <w:tcMar>
              <w:top w:w="100" w:type="dxa"/>
              <w:left w:w="100" w:type="dxa"/>
              <w:bottom w:w="100" w:type="dxa"/>
              <w:right w:w="100" w:type="dxa"/>
            </w:tcMar>
          </w:tcPr>
          <w:p w14:paraId="2769C132" w14:textId="77777777" w:rsidR="00F50D49" w:rsidRPr="00F50D49" w:rsidRDefault="00F50D49" w:rsidP="00F50D49">
            <w:pPr>
              <w:spacing w:before="20" w:line="303" w:lineRule="auto"/>
              <w:ind w:left="140"/>
              <w:rPr>
                <w:sz w:val="23"/>
                <w:szCs w:val="23"/>
              </w:rPr>
            </w:pPr>
            <w:r w:rsidRPr="00F50D49">
              <w:rPr>
                <w:sz w:val="23"/>
                <w:szCs w:val="23"/>
              </w:rPr>
              <w:t>Chrome emissions</w:t>
            </w:r>
          </w:p>
        </w:tc>
        <w:tc>
          <w:tcPr>
            <w:tcW w:w="2465" w:type="dxa"/>
            <w:shd w:val="clear" w:color="auto" w:fill="auto"/>
            <w:tcMar>
              <w:top w:w="100" w:type="dxa"/>
              <w:left w:w="100" w:type="dxa"/>
              <w:bottom w:w="100" w:type="dxa"/>
              <w:right w:w="100" w:type="dxa"/>
            </w:tcMar>
          </w:tcPr>
          <w:p w14:paraId="1F255EE7" w14:textId="77777777" w:rsidR="00F50D49" w:rsidRPr="00F50D49" w:rsidRDefault="00F50D49" w:rsidP="00F50D49">
            <w:pPr>
              <w:spacing w:before="160"/>
              <w:ind w:left="140"/>
              <w:rPr>
                <w:sz w:val="23"/>
                <w:szCs w:val="23"/>
              </w:rPr>
            </w:pPr>
            <w:r w:rsidRPr="00F50D49">
              <w:rPr>
                <w:sz w:val="23"/>
                <w:szCs w:val="23"/>
              </w:rPr>
              <w:t>chrome plating</w:t>
            </w:r>
          </w:p>
        </w:tc>
        <w:tc>
          <w:tcPr>
            <w:tcW w:w="2035" w:type="dxa"/>
            <w:gridSpan w:val="2"/>
            <w:shd w:val="clear" w:color="auto" w:fill="auto"/>
            <w:tcMar>
              <w:top w:w="100" w:type="dxa"/>
              <w:left w:w="100" w:type="dxa"/>
              <w:bottom w:w="100" w:type="dxa"/>
              <w:right w:w="100" w:type="dxa"/>
            </w:tcMar>
          </w:tcPr>
          <w:p w14:paraId="77B67F2F" w14:textId="77777777" w:rsidR="00F50D49" w:rsidRPr="00F50D49" w:rsidRDefault="00F50D49" w:rsidP="00F50D49">
            <w:pPr>
              <w:spacing w:before="160"/>
              <w:ind w:left="140"/>
              <w:rPr>
                <w:sz w:val="23"/>
                <w:szCs w:val="23"/>
              </w:rPr>
            </w:pPr>
            <w:r w:rsidRPr="00F50D49">
              <w:rPr>
                <w:sz w:val="23"/>
                <w:szCs w:val="23"/>
              </w:rPr>
              <w:t>$13,000 - $240,000</w:t>
            </w:r>
          </w:p>
        </w:tc>
        <w:tc>
          <w:tcPr>
            <w:tcW w:w="2245" w:type="dxa"/>
            <w:gridSpan w:val="2"/>
            <w:shd w:val="clear" w:color="auto" w:fill="auto"/>
            <w:tcMar>
              <w:top w:w="100" w:type="dxa"/>
              <w:left w:w="100" w:type="dxa"/>
              <w:bottom w:w="100" w:type="dxa"/>
              <w:right w:w="100" w:type="dxa"/>
            </w:tcMar>
          </w:tcPr>
          <w:p w14:paraId="2F3A21EA" w14:textId="77777777" w:rsidR="00F50D49" w:rsidRPr="00F50D49" w:rsidRDefault="00F50D49" w:rsidP="00F50D49">
            <w:pPr>
              <w:spacing w:before="160"/>
              <w:ind w:left="140"/>
              <w:rPr>
                <w:sz w:val="23"/>
                <w:szCs w:val="23"/>
              </w:rPr>
            </w:pPr>
            <w:r w:rsidRPr="00F50D49">
              <w:rPr>
                <w:sz w:val="23"/>
                <w:szCs w:val="23"/>
              </w:rPr>
              <w:t>Application specific</w:t>
            </w:r>
          </w:p>
        </w:tc>
      </w:tr>
    </w:tbl>
    <w:p w14:paraId="45F48219" w14:textId="77777777" w:rsidR="00830167" w:rsidRDefault="00830167">
      <w:r>
        <w:br w:type="page"/>
      </w:r>
    </w:p>
    <w:tbl>
      <w:tblPr>
        <w:tblW w:w="10705" w:type="dxa"/>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1980"/>
        <w:gridCol w:w="2465"/>
        <w:gridCol w:w="950"/>
        <w:gridCol w:w="1085"/>
        <w:gridCol w:w="1085"/>
        <w:gridCol w:w="1160"/>
      </w:tblGrid>
      <w:tr w:rsidR="00A957D4" w:rsidRPr="00F50D49" w14:paraId="139D342C" w14:textId="77777777" w:rsidTr="00A76896">
        <w:trPr>
          <w:trHeight w:val="20"/>
          <w:tblHeader/>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tcPr>
          <w:p w14:paraId="7582FF6F" w14:textId="6EB8E34A" w:rsidR="00A957D4" w:rsidRPr="00F50D49" w:rsidRDefault="00A957D4" w:rsidP="00001174">
            <w:pPr>
              <w:spacing w:before="20"/>
              <w:ind w:left="100"/>
              <w:rPr>
                <w:b/>
                <w:sz w:val="25"/>
                <w:szCs w:val="25"/>
              </w:rPr>
            </w:pPr>
          </w:p>
          <w:p w14:paraId="3D8E47ED" w14:textId="77777777" w:rsidR="00A957D4" w:rsidRPr="00F50D49" w:rsidRDefault="00A957D4" w:rsidP="00001174">
            <w:pPr>
              <w:spacing w:line="254" w:lineRule="auto"/>
              <w:ind w:left="140" w:right="240"/>
              <w:rPr>
                <w:b/>
                <w:sz w:val="23"/>
                <w:szCs w:val="23"/>
              </w:rPr>
            </w:pPr>
            <w:r w:rsidRPr="00F50D49">
              <w:rPr>
                <w:b/>
                <w:sz w:val="23"/>
                <w:szCs w:val="23"/>
              </w:rPr>
              <w:t>Control Device Type</w:t>
            </w:r>
          </w:p>
        </w:tc>
        <w:tc>
          <w:tcPr>
            <w:tcW w:w="1980" w:type="dxa"/>
            <w:vMerge w:val="restart"/>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tcPr>
          <w:p w14:paraId="166A19A7" w14:textId="77777777" w:rsidR="00A957D4" w:rsidRPr="00F50D49" w:rsidRDefault="00A957D4" w:rsidP="00001174">
            <w:pPr>
              <w:spacing w:before="140" w:line="256" w:lineRule="auto"/>
              <w:ind w:left="140" w:right="400"/>
              <w:rPr>
                <w:b/>
                <w:sz w:val="23"/>
                <w:szCs w:val="23"/>
              </w:rPr>
            </w:pPr>
            <w:r w:rsidRPr="00F50D49">
              <w:rPr>
                <w:b/>
                <w:sz w:val="23"/>
                <w:szCs w:val="23"/>
              </w:rPr>
              <w:t>Types of Pollutants it can reduce</w:t>
            </w:r>
          </w:p>
        </w:tc>
        <w:tc>
          <w:tcPr>
            <w:tcW w:w="2465" w:type="dxa"/>
            <w:vMerge w:val="restart"/>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tcPr>
          <w:p w14:paraId="7F66EB3D" w14:textId="77777777" w:rsidR="00A957D4" w:rsidRPr="00F50D49" w:rsidRDefault="00A957D4" w:rsidP="00001174">
            <w:pPr>
              <w:spacing w:before="20"/>
              <w:ind w:left="100"/>
              <w:rPr>
                <w:b/>
                <w:sz w:val="25"/>
                <w:szCs w:val="25"/>
              </w:rPr>
            </w:pPr>
            <w:r w:rsidRPr="00F50D49">
              <w:rPr>
                <w:b/>
                <w:sz w:val="25"/>
                <w:szCs w:val="25"/>
              </w:rPr>
              <w:t xml:space="preserve"> </w:t>
            </w:r>
          </w:p>
          <w:p w14:paraId="2A5B7F9E" w14:textId="77777777" w:rsidR="00A957D4" w:rsidRPr="00F50D49" w:rsidRDefault="00A957D4" w:rsidP="00001174">
            <w:pPr>
              <w:spacing w:line="254" w:lineRule="auto"/>
              <w:ind w:left="140" w:right="160"/>
              <w:rPr>
                <w:b/>
                <w:sz w:val="23"/>
                <w:szCs w:val="23"/>
              </w:rPr>
            </w:pPr>
            <w:r w:rsidRPr="00F50D49">
              <w:rPr>
                <w:b/>
                <w:sz w:val="23"/>
                <w:szCs w:val="23"/>
              </w:rPr>
              <w:t>Examples of facilities where this is used</w:t>
            </w:r>
          </w:p>
        </w:tc>
        <w:tc>
          <w:tcPr>
            <w:tcW w:w="2035" w:type="dxa"/>
            <w:gridSpan w:val="2"/>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tcPr>
          <w:p w14:paraId="133B9F00" w14:textId="77777777" w:rsidR="00A957D4" w:rsidRPr="00F50D49" w:rsidRDefault="00A957D4" w:rsidP="00001174">
            <w:pPr>
              <w:spacing w:before="160"/>
              <w:ind w:left="140"/>
              <w:jc w:val="center"/>
              <w:rPr>
                <w:b/>
                <w:sz w:val="23"/>
                <w:szCs w:val="23"/>
              </w:rPr>
            </w:pPr>
            <w:r w:rsidRPr="00F50D49">
              <w:rPr>
                <w:b/>
                <w:sz w:val="23"/>
                <w:szCs w:val="23"/>
              </w:rPr>
              <w:t>Initial costs</w:t>
            </w:r>
          </w:p>
        </w:tc>
        <w:tc>
          <w:tcPr>
            <w:tcW w:w="2245" w:type="dxa"/>
            <w:gridSpan w:val="2"/>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tcPr>
          <w:p w14:paraId="714F8B3A" w14:textId="77777777" w:rsidR="00A957D4" w:rsidRPr="00F50D49" w:rsidRDefault="00A957D4" w:rsidP="00001174">
            <w:pPr>
              <w:spacing w:before="20" w:line="254" w:lineRule="auto"/>
              <w:ind w:left="140"/>
              <w:jc w:val="center"/>
              <w:rPr>
                <w:b/>
                <w:sz w:val="23"/>
                <w:szCs w:val="23"/>
              </w:rPr>
            </w:pPr>
            <w:r w:rsidRPr="00F50D49">
              <w:rPr>
                <w:b/>
                <w:sz w:val="23"/>
                <w:szCs w:val="23"/>
              </w:rPr>
              <w:t>Annual Operating Costs</w:t>
            </w:r>
          </w:p>
        </w:tc>
      </w:tr>
      <w:tr w:rsidR="00A957D4" w:rsidRPr="00F50D49" w14:paraId="532BF4E6" w14:textId="77777777" w:rsidTr="00A76896">
        <w:trPr>
          <w:trHeight w:val="20"/>
          <w:tblHeader/>
        </w:trPr>
        <w:tc>
          <w:tcPr>
            <w:tcW w:w="1980" w:type="dxa"/>
            <w:vMerge/>
            <w:tcBorders>
              <w:bottom w:val="single" w:sz="8" w:space="0" w:color="000000"/>
              <w:right w:val="single" w:sz="8" w:space="0" w:color="000000"/>
            </w:tcBorders>
            <w:shd w:val="clear" w:color="auto" w:fill="C5E0B3"/>
            <w:tcMar>
              <w:top w:w="100" w:type="dxa"/>
              <w:left w:w="100" w:type="dxa"/>
              <w:bottom w:w="100" w:type="dxa"/>
              <w:right w:w="100" w:type="dxa"/>
            </w:tcMar>
          </w:tcPr>
          <w:p w14:paraId="10E73874" w14:textId="77777777" w:rsidR="00A957D4" w:rsidRPr="00F50D49" w:rsidRDefault="00A957D4" w:rsidP="00001174">
            <w:pPr>
              <w:ind w:left="100"/>
            </w:pPr>
          </w:p>
        </w:tc>
        <w:tc>
          <w:tcPr>
            <w:tcW w:w="1980" w:type="dxa"/>
            <w:vMerge/>
            <w:tcBorders>
              <w:bottom w:val="single" w:sz="8" w:space="0" w:color="000000"/>
              <w:right w:val="single" w:sz="8" w:space="0" w:color="000000"/>
            </w:tcBorders>
            <w:shd w:val="clear" w:color="auto" w:fill="C5E0B3"/>
            <w:tcMar>
              <w:top w:w="100" w:type="dxa"/>
              <w:left w:w="100" w:type="dxa"/>
              <w:bottom w:w="100" w:type="dxa"/>
              <w:right w:w="100" w:type="dxa"/>
            </w:tcMar>
          </w:tcPr>
          <w:p w14:paraId="116D8406" w14:textId="77777777" w:rsidR="00A957D4" w:rsidRPr="00F50D49" w:rsidRDefault="00A957D4" w:rsidP="00001174">
            <w:pPr>
              <w:ind w:left="100"/>
            </w:pPr>
          </w:p>
        </w:tc>
        <w:tc>
          <w:tcPr>
            <w:tcW w:w="2465" w:type="dxa"/>
            <w:vMerge/>
            <w:tcBorders>
              <w:bottom w:val="single" w:sz="8" w:space="0" w:color="000000"/>
              <w:right w:val="single" w:sz="8" w:space="0" w:color="000000"/>
            </w:tcBorders>
            <w:shd w:val="clear" w:color="auto" w:fill="C5E0B3"/>
            <w:tcMar>
              <w:top w:w="100" w:type="dxa"/>
              <w:left w:w="100" w:type="dxa"/>
              <w:bottom w:w="100" w:type="dxa"/>
              <w:right w:w="100" w:type="dxa"/>
            </w:tcMar>
          </w:tcPr>
          <w:p w14:paraId="316E9167" w14:textId="77777777" w:rsidR="00A957D4" w:rsidRPr="00F50D49" w:rsidRDefault="00A957D4" w:rsidP="00001174">
            <w:pPr>
              <w:ind w:left="100"/>
            </w:pPr>
          </w:p>
        </w:tc>
        <w:tc>
          <w:tcPr>
            <w:tcW w:w="950" w:type="dxa"/>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tcPr>
          <w:p w14:paraId="79CCF13C" w14:textId="77777777" w:rsidR="00A957D4" w:rsidRPr="00F50D49" w:rsidRDefault="00A957D4" w:rsidP="00001174">
            <w:pPr>
              <w:spacing w:line="298" w:lineRule="auto"/>
              <w:ind w:left="140"/>
              <w:rPr>
                <w:b/>
                <w:sz w:val="23"/>
                <w:szCs w:val="23"/>
              </w:rPr>
            </w:pPr>
            <w:r w:rsidRPr="00F50D49">
              <w:rPr>
                <w:b/>
                <w:sz w:val="23"/>
                <w:szCs w:val="23"/>
              </w:rPr>
              <w:t>low</w:t>
            </w:r>
          </w:p>
        </w:tc>
        <w:tc>
          <w:tcPr>
            <w:tcW w:w="1085" w:type="dxa"/>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tcPr>
          <w:p w14:paraId="464F7C50" w14:textId="77777777" w:rsidR="00A957D4" w:rsidRPr="00F50D49" w:rsidRDefault="00A957D4" w:rsidP="00001174">
            <w:pPr>
              <w:spacing w:line="298" w:lineRule="auto"/>
              <w:ind w:left="140"/>
              <w:rPr>
                <w:b/>
                <w:sz w:val="23"/>
                <w:szCs w:val="23"/>
              </w:rPr>
            </w:pPr>
            <w:r w:rsidRPr="00F50D49">
              <w:rPr>
                <w:b/>
                <w:sz w:val="23"/>
                <w:szCs w:val="23"/>
              </w:rPr>
              <w:t>high</w:t>
            </w:r>
          </w:p>
        </w:tc>
        <w:tc>
          <w:tcPr>
            <w:tcW w:w="1085" w:type="dxa"/>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tcPr>
          <w:p w14:paraId="7260EA18" w14:textId="77777777" w:rsidR="00A957D4" w:rsidRPr="00F50D49" w:rsidRDefault="00A957D4" w:rsidP="00001174">
            <w:pPr>
              <w:spacing w:line="298" w:lineRule="auto"/>
              <w:ind w:left="140"/>
              <w:rPr>
                <w:b/>
                <w:sz w:val="23"/>
                <w:szCs w:val="23"/>
              </w:rPr>
            </w:pPr>
            <w:r w:rsidRPr="00F50D49">
              <w:rPr>
                <w:b/>
                <w:sz w:val="23"/>
                <w:szCs w:val="23"/>
              </w:rPr>
              <w:t>low</w:t>
            </w:r>
          </w:p>
        </w:tc>
        <w:tc>
          <w:tcPr>
            <w:tcW w:w="1160" w:type="dxa"/>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tcPr>
          <w:p w14:paraId="0B017D2E" w14:textId="77777777" w:rsidR="00A957D4" w:rsidRPr="00F50D49" w:rsidRDefault="00A957D4" w:rsidP="00001174">
            <w:pPr>
              <w:spacing w:line="298" w:lineRule="auto"/>
              <w:ind w:left="140"/>
              <w:rPr>
                <w:b/>
                <w:sz w:val="23"/>
                <w:szCs w:val="23"/>
              </w:rPr>
            </w:pPr>
            <w:r w:rsidRPr="00F50D49">
              <w:rPr>
                <w:b/>
                <w:sz w:val="23"/>
                <w:szCs w:val="23"/>
              </w:rPr>
              <w:t>high</w:t>
            </w:r>
          </w:p>
        </w:tc>
      </w:tr>
      <w:tr w:rsidR="00F50D49" w:rsidRPr="00F50D49" w14:paraId="0118A129" w14:textId="77777777" w:rsidTr="00A76896">
        <w:trPr>
          <w:trHeight w:val="1280"/>
          <w:tblHeader/>
        </w:trPr>
        <w:tc>
          <w:tcPr>
            <w:tcW w:w="198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549CD67" w14:textId="77777777" w:rsidR="00F50D49" w:rsidRPr="00F50D49" w:rsidRDefault="00F50D49" w:rsidP="00F50D49">
            <w:pPr>
              <w:ind w:left="100"/>
            </w:pPr>
            <w:r w:rsidRPr="00F50D49">
              <w:t xml:space="preserve"> </w:t>
            </w:r>
          </w:p>
          <w:p w14:paraId="6B59BD4F" w14:textId="77777777" w:rsidR="00F50D49" w:rsidRPr="00F50D49" w:rsidRDefault="00F50D49" w:rsidP="00F50D49">
            <w:pPr>
              <w:spacing w:before="200"/>
              <w:ind w:left="140" w:right="120"/>
              <w:rPr>
                <w:sz w:val="23"/>
                <w:szCs w:val="23"/>
              </w:rPr>
            </w:pPr>
            <w:r w:rsidRPr="00F50D49">
              <w:rPr>
                <w:sz w:val="23"/>
                <w:szCs w:val="23"/>
              </w:rPr>
              <w:t>Wet scrubber (packed towers, spray chambers, Venturi scrubbers)</w:t>
            </w:r>
          </w:p>
        </w:tc>
        <w:tc>
          <w:tcPr>
            <w:tcW w:w="198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6CC0782E" w14:textId="77777777" w:rsidR="00F50D49" w:rsidRPr="00F50D49" w:rsidRDefault="00F50D49" w:rsidP="00F50D49">
            <w:pPr>
              <w:ind w:left="100"/>
              <w:rPr>
                <w:sz w:val="26"/>
                <w:szCs w:val="26"/>
              </w:rPr>
            </w:pPr>
            <w:r w:rsidRPr="00F50D49">
              <w:rPr>
                <w:sz w:val="26"/>
                <w:szCs w:val="26"/>
              </w:rPr>
              <w:t xml:space="preserve"> </w:t>
            </w:r>
          </w:p>
          <w:p w14:paraId="2ECF7FE9" w14:textId="77777777" w:rsidR="00F50D49" w:rsidRPr="00F50D49" w:rsidRDefault="00F50D49" w:rsidP="00F50D49">
            <w:pPr>
              <w:ind w:left="140" w:right="120"/>
              <w:rPr>
                <w:sz w:val="23"/>
                <w:szCs w:val="23"/>
              </w:rPr>
            </w:pPr>
            <w:r w:rsidRPr="00F50D49">
              <w:rPr>
                <w:sz w:val="23"/>
                <w:szCs w:val="23"/>
              </w:rPr>
              <w:t>Gases, vapors, sulfur oxides, corrosive acidic or basic gas streams, solid particles, liquid droplets</w:t>
            </w:r>
          </w:p>
        </w:tc>
        <w:tc>
          <w:tcPr>
            <w:tcW w:w="24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696AE994" w14:textId="77777777" w:rsidR="00F50D49" w:rsidRPr="00F50D49" w:rsidRDefault="00F50D49" w:rsidP="00F50D49">
            <w:pPr>
              <w:spacing w:before="20"/>
              <w:ind w:left="140" w:right="260"/>
              <w:rPr>
                <w:sz w:val="23"/>
                <w:szCs w:val="23"/>
              </w:rPr>
            </w:pPr>
            <w:r w:rsidRPr="00F50D49">
              <w:rPr>
                <w:sz w:val="23"/>
                <w:szCs w:val="23"/>
              </w:rPr>
              <w:t>Asphalt and concrete batch plants; coal-burning power plants; facilities that emit sulfur oxides, hydrogen sulfide, hydrogen chloride, ammonia, and other gases that can be absorbed into water and neutralized with the appropriate reagent.</w:t>
            </w:r>
          </w:p>
        </w:tc>
        <w:tc>
          <w:tcPr>
            <w:tcW w:w="2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458FCE19" w14:textId="77777777" w:rsidR="00F50D49" w:rsidRPr="00F50D49" w:rsidRDefault="00F50D49" w:rsidP="00F50D49">
            <w:pPr>
              <w:ind w:left="100"/>
            </w:pPr>
            <w:r w:rsidRPr="00F50D49">
              <w:t xml:space="preserve"> </w:t>
            </w:r>
          </w:p>
          <w:p w14:paraId="38E26E2C" w14:textId="77777777" w:rsidR="00F50D49" w:rsidRPr="00F50D49" w:rsidRDefault="00F50D49" w:rsidP="00F50D49">
            <w:pPr>
              <w:ind w:left="100"/>
            </w:pPr>
            <w:r w:rsidRPr="00F50D49">
              <w:t xml:space="preserve"> </w:t>
            </w:r>
          </w:p>
          <w:p w14:paraId="61A966B3" w14:textId="77777777" w:rsidR="00F50D49" w:rsidRPr="00F50D49" w:rsidRDefault="00F50D49" w:rsidP="00F50D49">
            <w:pPr>
              <w:ind w:left="100"/>
            </w:pPr>
            <w:r w:rsidRPr="00F50D49">
              <w:t xml:space="preserve"> </w:t>
            </w:r>
          </w:p>
          <w:p w14:paraId="3AD5BD44" w14:textId="77777777" w:rsidR="00F50D49" w:rsidRPr="00F50D49" w:rsidRDefault="00F50D49" w:rsidP="00F50D49">
            <w:pPr>
              <w:ind w:left="100"/>
            </w:pPr>
            <w:r w:rsidRPr="00F50D49">
              <w:t xml:space="preserve"> </w:t>
            </w:r>
          </w:p>
          <w:p w14:paraId="34CAA42F" w14:textId="77777777" w:rsidR="00F50D49" w:rsidRPr="00F50D49" w:rsidRDefault="00F50D49" w:rsidP="00F50D49">
            <w:pPr>
              <w:spacing w:before="140"/>
              <w:ind w:left="140"/>
              <w:rPr>
                <w:sz w:val="23"/>
                <w:szCs w:val="23"/>
              </w:rPr>
            </w:pPr>
            <w:r w:rsidRPr="00F50D49">
              <w:rPr>
                <w:sz w:val="23"/>
                <w:szCs w:val="23"/>
              </w:rPr>
              <w:t>$25,000 - $170,000</w:t>
            </w:r>
          </w:p>
        </w:tc>
        <w:tc>
          <w:tcPr>
            <w:tcW w:w="224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5D0967AE" w14:textId="77777777" w:rsidR="00F50D49" w:rsidRPr="00F50D49" w:rsidRDefault="00F50D49" w:rsidP="00F50D49">
            <w:pPr>
              <w:ind w:left="100"/>
            </w:pPr>
            <w:r w:rsidRPr="00F50D49">
              <w:t xml:space="preserve"> </w:t>
            </w:r>
          </w:p>
          <w:p w14:paraId="4CDB586D" w14:textId="77777777" w:rsidR="00F50D49" w:rsidRPr="00F50D49" w:rsidRDefault="00F50D49" w:rsidP="00F50D49">
            <w:pPr>
              <w:ind w:left="100"/>
            </w:pPr>
            <w:r w:rsidRPr="00F50D49">
              <w:t xml:space="preserve"> </w:t>
            </w:r>
          </w:p>
          <w:p w14:paraId="15DC1BC0" w14:textId="77777777" w:rsidR="00F50D49" w:rsidRPr="00F50D49" w:rsidRDefault="00F50D49" w:rsidP="00F50D49">
            <w:pPr>
              <w:ind w:left="100"/>
            </w:pPr>
            <w:r w:rsidRPr="00F50D49">
              <w:t xml:space="preserve"> </w:t>
            </w:r>
          </w:p>
          <w:p w14:paraId="38215989" w14:textId="77777777" w:rsidR="00F50D49" w:rsidRPr="00F50D49" w:rsidRDefault="00F50D49" w:rsidP="00F50D49">
            <w:pPr>
              <w:ind w:left="100"/>
            </w:pPr>
            <w:r w:rsidRPr="00F50D49">
              <w:t xml:space="preserve"> </w:t>
            </w:r>
          </w:p>
          <w:p w14:paraId="7274ACDD" w14:textId="77777777" w:rsidR="00F50D49" w:rsidRPr="00F50D49" w:rsidRDefault="00F50D49" w:rsidP="00F50D49">
            <w:pPr>
              <w:spacing w:before="140"/>
              <w:ind w:left="140"/>
              <w:rPr>
                <w:sz w:val="23"/>
                <w:szCs w:val="23"/>
              </w:rPr>
            </w:pPr>
            <w:r w:rsidRPr="00F50D49">
              <w:rPr>
                <w:sz w:val="23"/>
                <w:szCs w:val="23"/>
              </w:rPr>
              <w:t>$19,000 - $830,000</w:t>
            </w:r>
          </w:p>
        </w:tc>
      </w:tr>
      <w:tr w:rsidR="00F50D49" w:rsidRPr="00F50D49" w14:paraId="1A18AB43" w14:textId="77777777" w:rsidTr="00A76896">
        <w:trPr>
          <w:trHeight w:val="1280"/>
          <w:tblHeader/>
        </w:trPr>
        <w:tc>
          <w:tcPr>
            <w:tcW w:w="198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8EB5393" w14:textId="77777777" w:rsidR="00F50D49" w:rsidRPr="00F50D49" w:rsidRDefault="00F50D49" w:rsidP="00F50D49">
            <w:pPr>
              <w:ind w:left="100"/>
            </w:pPr>
            <w:r w:rsidRPr="00F50D49">
              <w:t xml:space="preserve"> </w:t>
            </w:r>
          </w:p>
          <w:p w14:paraId="66F1F249" w14:textId="77777777" w:rsidR="00F50D49" w:rsidRPr="00F50D49" w:rsidRDefault="00F50D49" w:rsidP="00F50D49">
            <w:pPr>
              <w:ind w:left="100"/>
              <w:rPr>
                <w:sz w:val="29"/>
                <w:szCs w:val="29"/>
              </w:rPr>
            </w:pPr>
            <w:r w:rsidRPr="00F50D49">
              <w:rPr>
                <w:sz w:val="29"/>
                <w:szCs w:val="29"/>
              </w:rPr>
              <w:t xml:space="preserve"> </w:t>
            </w:r>
          </w:p>
          <w:p w14:paraId="6AE8D596" w14:textId="77777777" w:rsidR="00F50D49" w:rsidRPr="00F50D49" w:rsidRDefault="00F50D49" w:rsidP="00F50D49">
            <w:pPr>
              <w:ind w:left="140" w:right="620"/>
              <w:rPr>
                <w:sz w:val="23"/>
                <w:szCs w:val="23"/>
              </w:rPr>
            </w:pPr>
            <w:r w:rsidRPr="00F50D49">
              <w:rPr>
                <w:sz w:val="23"/>
                <w:szCs w:val="23"/>
              </w:rPr>
              <w:t>Thermal oxidizer</w:t>
            </w:r>
          </w:p>
        </w:tc>
        <w:tc>
          <w:tcPr>
            <w:tcW w:w="198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0156D5C8" w14:textId="77777777" w:rsidR="00F50D49" w:rsidRPr="00F50D49" w:rsidRDefault="00F50D49" w:rsidP="00F50D49">
            <w:pPr>
              <w:spacing w:before="160"/>
              <w:ind w:left="140" w:right="80"/>
              <w:rPr>
                <w:sz w:val="23"/>
                <w:szCs w:val="23"/>
              </w:rPr>
            </w:pPr>
            <w:r w:rsidRPr="00F50D49">
              <w:rPr>
                <w:sz w:val="23"/>
                <w:szCs w:val="23"/>
              </w:rPr>
              <w:t>VOCs, gases, fumes, hazardous organics, odors, PM</w:t>
            </w:r>
          </w:p>
        </w:tc>
        <w:tc>
          <w:tcPr>
            <w:tcW w:w="24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7B53F78D" w14:textId="77777777" w:rsidR="00F50D49" w:rsidRPr="00F50D49" w:rsidRDefault="00F50D49" w:rsidP="00F50D49">
            <w:pPr>
              <w:spacing w:before="20"/>
              <w:ind w:left="140" w:right="140"/>
              <w:rPr>
                <w:sz w:val="23"/>
                <w:szCs w:val="23"/>
              </w:rPr>
            </w:pPr>
            <w:r w:rsidRPr="00F50D49">
              <w:rPr>
                <w:sz w:val="23"/>
                <w:szCs w:val="23"/>
              </w:rPr>
              <w:t>Landfills, crematories, inks from graphic arts production and printing, can and coil plants, hazardous waste disposal. semiconductor manufacturing</w:t>
            </w:r>
          </w:p>
        </w:tc>
        <w:tc>
          <w:tcPr>
            <w:tcW w:w="2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5F4CC845" w14:textId="77777777" w:rsidR="00F50D49" w:rsidRPr="00F50D49" w:rsidRDefault="00F50D49" w:rsidP="00F50D49">
            <w:pPr>
              <w:ind w:left="100"/>
            </w:pPr>
            <w:r w:rsidRPr="00F50D49">
              <w:t xml:space="preserve"> </w:t>
            </w:r>
          </w:p>
          <w:p w14:paraId="1FABE199" w14:textId="77777777" w:rsidR="00F50D49" w:rsidRPr="00F50D49" w:rsidRDefault="00F50D49" w:rsidP="00F50D49">
            <w:pPr>
              <w:ind w:left="100"/>
            </w:pPr>
            <w:r w:rsidRPr="00F50D49">
              <w:t xml:space="preserve"> </w:t>
            </w:r>
          </w:p>
          <w:p w14:paraId="1FFA7EF4" w14:textId="77777777" w:rsidR="00F50D49" w:rsidRPr="00F50D49" w:rsidRDefault="00F50D49" w:rsidP="00F50D49">
            <w:pPr>
              <w:ind w:left="100"/>
              <w:rPr>
                <w:sz w:val="19"/>
                <w:szCs w:val="19"/>
              </w:rPr>
            </w:pPr>
            <w:r w:rsidRPr="00F50D49">
              <w:rPr>
                <w:sz w:val="19"/>
                <w:szCs w:val="19"/>
              </w:rPr>
              <w:t xml:space="preserve"> </w:t>
            </w:r>
          </w:p>
          <w:p w14:paraId="67E51E58" w14:textId="77777777" w:rsidR="00F50D49" w:rsidRPr="00F50D49" w:rsidRDefault="00F50D49" w:rsidP="00F50D49">
            <w:pPr>
              <w:ind w:left="140"/>
              <w:rPr>
                <w:sz w:val="23"/>
                <w:szCs w:val="23"/>
              </w:rPr>
            </w:pPr>
            <w:r w:rsidRPr="00F50D49">
              <w:rPr>
                <w:sz w:val="23"/>
                <w:szCs w:val="23"/>
              </w:rPr>
              <w:t>$17,000 - $6,200,000</w:t>
            </w:r>
          </w:p>
        </w:tc>
        <w:tc>
          <w:tcPr>
            <w:tcW w:w="224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5BCA0FA7" w14:textId="77777777" w:rsidR="00F50D49" w:rsidRPr="00F50D49" w:rsidRDefault="00F50D49" w:rsidP="00F50D49">
            <w:pPr>
              <w:ind w:left="100"/>
            </w:pPr>
            <w:r w:rsidRPr="00F50D49">
              <w:t xml:space="preserve"> </w:t>
            </w:r>
          </w:p>
          <w:p w14:paraId="71C752E8" w14:textId="77777777" w:rsidR="00F50D49" w:rsidRPr="00F50D49" w:rsidRDefault="00F50D49" w:rsidP="00F50D49">
            <w:pPr>
              <w:ind w:left="100"/>
            </w:pPr>
            <w:r w:rsidRPr="00F50D49">
              <w:t xml:space="preserve"> </w:t>
            </w:r>
          </w:p>
          <w:p w14:paraId="06C474F0" w14:textId="77777777" w:rsidR="00F50D49" w:rsidRPr="00F50D49" w:rsidRDefault="00F50D49" w:rsidP="00F50D49">
            <w:pPr>
              <w:ind w:left="100"/>
              <w:rPr>
                <w:sz w:val="19"/>
                <w:szCs w:val="19"/>
              </w:rPr>
            </w:pPr>
            <w:r w:rsidRPr="00F50D49">
              <w:rPr>
                <w:sz w:val="19"/>
                <w:szCs w:val="19"/>
              </w:rPr>
              <w:t xml:space="preserve"> </w:t>
            </w:r>
          </w:p>
          <w:p w14:paraId="39C6C8F8" w14:textId="77777777" w:rsidR="00F50D49" w:rsidRPr="00F50D49" w:rsidRDefault="00F50D49" w:rsidP="00F50D49">
            <w:pPr>
              <w:ind w:left="140"/>
              <w:rPr>
                <w:sz w:val="23"/>
                <w:szCs w:val="23"/>
              </w:rPr>
            </w:pPr>
            <w:r w:rsidRPr="00F50D49">
              <w:rPr>
                <w:sz w:val="23"/>
                <w:szCs w:val="23"/>
              </w:rPr>
              <w:t>$3,500 - $5,200,000</w:t>
            </w:r>
          </w:p>
        </w:tc>
      </w:tr>
      <w:tr w:rsidR="00F50D49" w:rsidRPr="00F50D49" w14:paraId="6D98FF09" w14:textId="77777777" w:rsidTr="00A76896">
        <w:trPr>
          <w:trHeight w:val="1280"/>
          <w:tblHeader/>
        </w:trPr>
        <w:tc>
          <w:tcPr>
            <w:tcW w:w="198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F6EE2A9" w14:textId="77777777" w:rsidR="00F50D49" w:rsidRPr="00F50D49" w:rsidRDefault="00F50D49" w:rsidP="00F50D49">
            <w:pPr>
              <w:spacing w:before="40"/>
              <w:ind w:left="140" w:right="160"/>
              <w:rPr>
                <w:sz w:val="23"/>
                <w:szCs w:val="23"/>
              </w:rPr>
            </w:pPr>
            <w:r w:rsidRPr="00F50D49">
              <w:rPr>
                <w:sz w:val="23"/>
                <w:szCs w:val="23"/>
              </w:rPr>
              <w:t>Regenerative thermal oxidizer</w:t>
            </w:r>
          </w:p>
        </w:tc>
        <w:tc>
          <w:tcPr>
            <w:tcW w:w="198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1BFA4583" w14:textId="77777777" w:rsidR="00F50D49" w:rsidRPr="00F50D49" w:rsidRDefault="00F50D49" w:rsidP="00F50D49">
            <w:pPr>
              <w:ind w:left="100"/>
              <w:rPr>
                <w:sz w:val="28"/>
                <w:szCs w:val="28"/>
              </w:rPr>
            </w:pPr>
            <w:r w:rsidRPr="00F50D49">
              <w:rPr>
                <w:sz w:val="28"/>
                <w:szCs w:val="28"/>
              </w:rPr>
              <w:t xml:space="preserve"> </w:t>
            </w:r>
          </w:p>
          <w:p w14:paraId="6B497D71" w14:textId="77777777" w:rsidR="00F50D49" w:rsidRPr="00F50D49" w:rsidRDefault="00F50D49" w:rsidP="00F50D49">
            <w:pPr>
              <w:ind w:left="140"/>
              <w:rPr>
                <w:sz w:val="23"/>
                <w:szCs w:val="23"/>
              </w:rPr>
            </w:pPr>
            <w:r w:rsidRPr="00F50D49">
              <w:rPr>
                <w:sz w:val="23"/>
                <w:szCs w:val="23"/>
              </w:rPr>
              <w:t>VOCs</w:t>
            </w:r>
          </w:p>
        </w:tc>
        <w:tc>
          <w:tcPr>
            <w:tcW w:w="24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7D5E437F" w14:textId="77777777" w:rsidR="00F50D49" w:rsidRPr="00F50D49" w:rsidRDefault="00F50D49" w:rsidP="00F50D49">
            <w:pPr>
              <w:spacing w:before="20"/>
              <w:ind w:left="140" w:right="60"/>
            </w:pPr>
            <w:r w:rsidRPr="00F50D49">
              <w:t>Paint booths, printing, paper mills, municipal waste treatment facilities</w:t>
            </w:r>
          </w:p>
        </w:tc>
        <w:tc>
          <w:tcPr>
            <w:tcW w:w="2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24504B43" w14:textId="77777777" w:rsidR="00F50D49" w:rsidRPr="00F50D49" w:rsidRDefault="00F50D49" w:rsidP="00F50D49">
            <w:pPr>
              <w:ind w:left="100"/>
              <w:rPr>
                <w:sz w:val="28"/>
                <w:szCs w:val="28"/>
              </w:rPr>
            </w:pPr>
            <w:r w:rsidRPr="00F50D49">
              <w:rPr>
                <w:sz w:val="28"/>
                <w:szCs w:val="28"/>
              </w:rPr>
              <w:t xml:space="preserve"> </w:t>
            </w:r>
          </w:p>
          <w:p w14:paraId="37640103" w14:textId="77777777" w:rsidR="00F50D49" w:rsidRPr="00F50D49" w:rsidRDefault="00F50D49" w:rsidP="00F50D49">
            <w:pPr>
              <w:ind w:left="140"/>
              <w:rPr>
                <w:sz w:val="23"/>
                <w:szCs w:val="23"/>
              </w:rPr>
            </w:pPr>
            <w:r w:rsidRPr="00F50D49">
              <w:rPr>
                <w:sz w:val="23"/>
                <w:szCs w:val="23"/>
              </w:rPr>
              <w:t>$940,000 - $7,700,000</w:t>
            </w:r>
          </w:p>
        </w:tc>
        <w:tc>
          <w:tcPr>
            <w:tcW w:w="224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1287A85C" w14:textId="77777777" w:rsidR="00F50D49" w:rsidRPr="00F50D49" w:rsidRDefault="00F50D49" w:rsidP="00F50D49">
            <w:pPr>
              <w:ind w:left="100"/>
              <w:rPr>
                <w:sz w:val="28"/>
                <w:szCs w:val="28"/>
              </w:rPr>
            </w:pPr>
            <w:r w:rsidRPr="00F50D49">
              <w:rPr>
                <w:sz w:val="28"/>
                <w:szCs w:val="28"/>
              </w:rPr>
              <w:t xml:space="preserve"> </w:t>
            </w:r>
          </w:p>
          <w:p w14:paraId="795283D8" w14:textId="77777777" w:rsidR="00F50D49" w:rsidRPr="00F50D49" w:rsidRDefault="00F50D49" w:rsidP="00F50D49">
            <w:pPr>
              <w:ind w:left="140"/>
              <w:rPr>
                <w:sz w:val="23"/>
                <w:szCs w:val="23"/>
              </w:rPr>
            </w:pPr>
            <w:r w:rsidRPr="00F50D49">
              <w:rPr>
                <w:sz w:val="23"/>
                <w:szCs w:val="23"/>
              </w:rPr>
              <w:t>$110,000 - $550,000</w:t>
            </w:r>
          </w:p>
        </w:tc>
      </w:tr>
      <w:tr w:rsidR="00F50D49" w:rsidRPr="00F50D49" w14:paraId="797D70B7" w14:textId="77777777" w:rsidTr="00A76896">
        <w:trPr>
          <w:trHeight w:val="1280"/>
          <w:tblHeader/>
        </w:trPr>
        <w:tc>
          <w:tcPr>
            <w:tcW w:w="198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17CE8FE" w14:textId="77777777" w:rsidR="00F50D49" w:rsidRPr="00F50D49" w:rsidRDefault="00F50D49" w:rsidP="00F50D49">
            <w:pPr>
              <w:spacing w:before="20"/>
              <w:ind w:left="140" w:right="580"/>
              <w:rPr>
                <w:sz w:val="23"/>
                <w:szCs w:val="23"/>
              </w:rPr>
            </w:pPr>
            <w:r w:rsidRPr="00F50D49">
              <w:rPr>
                <w:sz w:val="23"/>
                <w:szCs w:val="23"/>
              </w:rPr>
              <w:t>Catalytic reactor</w:t>
            </w:r>
          </w:p>
        </w:tc>
        <w:tc>
          <w:tcPr>
            <w:tcW w:w="198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50032154" w14:textId="77777777" w:rsidR="00F50D49" w:rsidRPr="00F50D49" w:rsidRDefault="00F50D49" w:rsidP="00F50D49">
            <w:pPr>
              <w:spacing w:before="160"/>
              <w:ind w:left="140"/>
              <w:rPr>
                <w:sz w:val="23"/>
                <w:szCs w:val="23"/>
              </w:rPr>
            </w:pPr>
            <w:r w:rsidRPr="00F50D49">
              <w:rPr>
                <w:sz w:val="23"/>
                <w:szCs w:val="23"/>
              </w:rPr>
              <w:t>VOCs, gases</w:t>
            </w:r>
          </w:p>
        </w:tc>
        <w:tc>
          <w:tcPr>
            <w:tcW w:w="24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2322712E" w14:textId="77777777" w:rsidR="00F50D49" w:rsidRPr="00F50D49" w:rsidRDefault="00F50D49" w:rsidP="00F50D49">
            <w:pPr>
              <w:spacing w:before="20"/>
              <w:ind w:left="140" w:right="720"/>
              <w:rPr>
                <w:sz w:val="23"/>
                <w:szCs w:val="23"/>
              </w:rPr>
            </w:pPr>
            <w:r w:rsidRPr="00F50D49">
              <w:rPr>
                <w:sz w:val="23"/>
                <w:szCs w:val="23"/>
              </w:rPr>
              <w:t>Landfills, oil refineries, printing or paint shops</w:t>
            </w:r>
          </w:p>
        </w:tc>
        <w:tc>
          <w:tcPr>
            <w:tcW w:w="2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7B5CA722" w14:textId="77777777" w:rsidR="00F50D49" w:rsidRPr="00F50D49" w:rsidRDefault="00F50D49" w:rsidP="00F50D49">
            <w:pPr>
              <w:spacing w:before="160"/>
              <w:ind w:left="140"/>
              <w:rPr>
                <w:sz w:val="23"/>
                <w:szCs w:val="23"/>
              </w:rPr>
            </w:pPr>
            <w:r w:rsidRPr="00F50D49">
              <w:rPr>
                <w:sz w:val="23"/>
                <w:szCs w:val="23"/>
              </w:rPr>
              <w:t>$21,000 - $6,200,000</w:t>
            </w:r>
          </w:p>
        </w:tc>
        <w:tc>
          <w:tcPr>
            <w:tcW w:w="224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2C84B0C0" w14:textId="77777777" w:rsidR="00F50D49" w:rsidRPr="00F50D49" w:rsidRDefault="00F50D49" w:rsidP="00F50D49">
            <w:pPr>
              <w:spacing w:before="160"/>
              <w:ind w:left="140"/>
              <w:rPr>
                <w:sz w:val="23"/>
                <w:szCs w:val="23"/>
              </w:rPr>
            </w:pPr>
            <w:r w:rsidRPr="00F50D49">
              <w:rPr>
                <w:sz w:val="23"/>
                <w:szCs w:val="23"/>
              </w:rPr>
              <w:t>$3,900 - $1,700,000</w:t>
            </w:r>
          </w:p>
        </w:tc>
      </w:tr>
      <w:tr w:rsidR="00F50D49" w:rsidRPr="00F50D49" w14:paraId="64740E3A" w14:textId="77777777" w:rsidTr="00A76896">
        <w:trPr>
          <w:trHeight w:val="1280"/>
          <w:tblHeader/>
        </w:trPr>
        <w:tc>
          <w:tcPr>
            <w:tcW w:w="198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C5A1ACF" w14:textId="77777777" w:rsidR="00F50D49" w:rsidRPr="00F50D49" w:rsidRDefault="00F50D49" w:rsidP="00F50D49">
            <w:pPr>
              <w:ind w:left="100"/>
            </w:pPr>
            <w:r w:rsidRPr="00F50D49">
              <w:t xml:space="preserve"> </w:t>
            </w:r>
          </w:p>
          <w:p w14:paraId="07C35AA2" w14:textId="77777777" w:rsidR="00F50D49" w:rsidRPr="00F50D49" w:rsidRDefault="00F50D49" w:rsidP="00F50D49">
            <w:pPr>
              <w:spacing w:before="200"/>
              <w:ind w:left="140" w:right="540"/>
              <w:rPr>
                <w:sz w:val="23"/>
                <w:szCs w:val="23"/>
              </w:rPr>
            </w:pPr>
            <w:r w:rsidRPr="00F50D49">
              <w:rPr>
                <w:sz w:val="23"/>
                <w:szCs w:val="23"/>
              </w:rPr>
              <w:t>Carbon adsorber</w:t>
            </w:r>
          </w:p>
        </w:tc>
        <w:tc>
          <w:tcPr>
            <w:tcW w:w="198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6C78ADC0" w14:textId="77777777" w:rsidR="00F50D49" w:rsidRPr="00F50D49" w:rsidRDefault="00F50D49" w:rsidP="00F50D49">
            <w:pPr>
              <w:spacing w:before="20"/>
              <w:ind w:left="140" w:right="380"/>
              <w:rPr>
                <w:sz w:val="23"/>
                <w:szCs w:val="23"/>
              </w:rPr>
            </w:pPr>
            <w:r w:rsidRPr="00F50D49">
              <w:rPr>
                <w:sz w:val="23"/>
                <w:szCs w:val="23"/>
              </w:rPr>
              <w:t>Vapor-phase VOCs,</w:t>
            </w:r>
          </w:p>
          <w:p w14:paraId="6CAE81BA" w14:textId="77777777" w:rsidR="00F50D49" w:rsidRPr="00F50D49" w:rsidRDefault="00F50D49" w:rsidP="00F50D49">
            <w:pPr>
              <w:ind w:left="140" w:right="300"/>
              <w:rPr>
                <w:sz w:val="23"/>
                <w:szCs w:val="23"/>
              </w:rPr>
            </w:pPr>
            <w:r w:rsidRPr="00F50D49">
              <w:rPr>
                <w:sz w:val="23"/>
                <w:szCs w:val="23"/>
              </w:rPr>
              <w:t>hazardous air pollutants (HAPs)</w:t>
            </w:r>
          </w:p>
        </w:tc>
        <w:tc>
          <w:tcPr>
            <w:tcW w:w="24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7DB3BAD2" w14:textId="77777777" w:rsidR="00F50D49" w:rsidRPr="00F50D49" w:rsidRDefault="00F50D49" w:rsidP="00F50D49">
            <w:pPr>
              <w:spacing w:before="160"/>
              <w:ind w:left="140" w:right="140"/>
              <w:rPr>
                <w:sz w:val="23"/>
                <w:szCs w:val="23"/>
              </w:rPr>
            </w:pPr>
            <w:r w:rsidRPr="00F50D49">
              <w:rPr>
                <w:sz w:val="23"/>
                <w:szCs w:val="23"/>
              </w:rPr>
              <w:t>Soil remediation facilities, oil refineries, steel mills, printers, wastewater treatment plants</w:t>
            </w:r>
          </w:p>
        </w:tc>
        <w:tc>
          <w:tcPr>
            <w:tcW w:w="2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73130D09" w14:textId="77777777" w:rsidR="00F50D49" w:rsidRPr="00F50D49" w:rsidRDefault="00F50D49" w:rsidP="00F50D49">
            <w:pPr>
              <w:ind w:left="100"/>
            </w:pPr>
            <w:r w:rsidRPr="00F50D49">
              <w:t xml:space="preserve"> </w:t>
            </w:r>
          </w:p>
          <w:p w14:paraId="3CE81120" w14:textId="77777777" w:rsidR="00F50D49" w:rsidRPr="00F50D49" w:rsidRDefault="00F50D49" w:rsidP="00F50D49">
            <w:pPr>
              <w:ind w:left="100"/>
              <w:rPr>
                <w:sz w:val="29"/>
                <w:szCs w:val="29"/>
              </w:rPr>
            </w:pPr>
            <w:r w:rsidRPr="00F50D49">
              <w:rPr>
                <w:sz w:val="29"/>
                <w:szCs w:val="29"/>
              </w:rPr>
              <w:t xml:space="preserve"> </w:t>
            </w:r>
          </w:p>
          <w:p w14:paraId="2DE5C008" w14:textId="77777777" w:rsidR="00F50D49" w:rsidRPr="00F50D49" w:rsidRDefault="00F50D49" w:rsidP="00F50D49">
            <w:pPr>
              <w:ind w:left="140"/>
              <w:rPr>
                <w:sz w:val="23"/>
                <w:szCs w:val="23"/>
              </w:rPr>
            </w:pPr>
            <w:r w:rsidRPr="00F50D49">
              <w:rPr>
                <w:sz w:val="23"/>
                <w:szCs w:val="23"/>
              </w:rPr>
              <w:t>$360,000 - $2,500,000</w:t>
            </w:r>
          </w:p>
        </w:tc>
        <w:tc>
          <w:tcPr>
            <w:tcW w:w="224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6204D0B7" w14:textId="77777777" w:rsidR="00F50D49" w:rsidRPr="00F50D49" w:rsidRDefault="00F50D49" w:rsidP="00F50D49">
            <w:pPr>
              <w:ind w:left="100"/>
            </w:pPr>
            <w:r w:rsidRPr="00F50D49">
              <w:t xml:space="preserve"> </w:t>
            </w:r>
          </w:p>
          <w:p w14:paraId="6DC7E634" w14:textId="77777777" w:rsidR="00F50D49" w:rsidRPr="00F50D49" w:rsidRDefault="00F50D49" w:rsidP="00F50D49">
            <w:pPr>
              <w:ind w:left="100"/>
              <w:rPr>
                <w:sz w:val="29"/>
                <w:szCs w:val="29"/>
              </w:rPr>
            </w:pPr>
            <w:r w:rsidRPr="00F50D49">
              <w:rPr>
                <w:sz w:val="29"/>
                <w:szCs w:val="29"/>
              </w:rPr>
              <w:t xml:space="preserve"> </w:t>
            </w:r>
          </w:p>
          <w:p w14:paraId="28D73E0C" w14:textId="77777777" w:rsidR="00F50D49" w:rsidRPr="00F50D49" w:rsidRDefault="00F50D49" w:rsidP="00F50D49">
            <w:pPr>
              <w:ind w:left="140"/>
              <w:rPr>
                <w:sz w:val="23"/>
                <w:szCs w:val="23"/>
              </w:rPr>
            </w:pPr>
            <w:r w:rsidRPr="00F50D49">
              <w:rPr>
                <w:sz w:val="23"/>
                <w:szCs w:val="23"/>
              </w:rPr>
              <w:t>Not available</w:t>
            </w:r>
          </w:p>
        </w:tc>
      </w:tr>
    </w:tbl>
    <w:p w14:paraId="17E5718F" w14:textId="77777777" w:rsidR="00830167" w:rsidRDefault="00830167">
      <w:r>
        <w:br w:type="page"/>
      </w:r>
    </w:p>
    <w:tbl>
      <w:tblPr>
        <w:tblW w:w="10705" w:type="dxa"/>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1980"/>
        <w:gridCol w:w="2465"/>
        <w:gridCol w:w="950"/>
        <w:gridCol w:w="1085"/>
        <w:gridCol w:w="1085"/>
        <w:gridCol w:w="1160"/>
      </w:tblGrid>
      <w:tr w:rsidR="00830167" w:rsidRPr="00F50D49" w14:paraId="126994F6" w14:textId="77777777" w:rsidTr="00A76896">
        <w:trPr>
          <w:trHeight w:val="20"/>
          <w:tblHeader/>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tcPr>
          <w:p w14:paraId="08F2B690" w14:textId="4079B36F" w:rsidR="00830167" w:rsidRPr="00F50D49" w:rsidRDefault="00830167" w:rsidP="00001174">
            <w:pPr>
              <w:spacing w:before="20"/>
              <w:ind w:left="100"/>
              <w:rPr>
                <w:b/>
                <w:sz w:val="25"/>
                <w:szCs w:val="25"/>
              </w:rPr>
            </w:pPr>
          </w:p>
          <w:p w14:paraId="625263D7" w14:textId="77777777" w:rsidR="00830167" w:rsidRPr="00F50D49" w:rsidRDefault="00830167" w:rsidP="00001174">
            <w:pPr>
              <w:spacing w:line="254" w:lineRule="auto"/>
              <w:ind w:left="140" w:right="240"/>
              <w:rPr>
                <w:b/>
                <w:sz w:val="23"/>
                <w:szCs w:val="23"/>
              </w:rPr>
            </w:pPr>
            <w:r w:rsidRPr="00F50D49">
              <w:rPr>
                <w:b/>
                <w:sz w:val="23"/>
                <w:szCs w:val="23"/>
              </w:rPr>
              <w:t>Control Device Type</w:t>
            </w:r>
          </w:p>
        </w:tc>
        <w:tc>
          <w:tcPr>
            <w:tcW w:w="1980" w:type="dxa"/>
            <w:vMerge w:val="restart"/>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tcPr>
          <w:p w14:paraId="0DCD0B6C" w14:textId="77777777" w:rsidR="00830167" w:rsidRPr="00F50D49" w:rsidRDefault="00830167" w:rsidP="00001174">
            <w:pPr>
              <w:spacing w:before="140" w:line="256" w:lineRule="auto"/>
              <w:ind w:left="140" w:right="400"/>
              <w:rPr>
                <w:b/>
                <w:sz w:val="23"/>
                <w:szCs w:val="23"/>
              </w:rPr>
            </w:pPr>
            <w:r w:rsidRPr="00F50D49">
              <w:rPr>
                <w:b/>
                <w:sz w:val="23"/>
                <w:szCs w:val="23"/>
              </w:rPr>
              <w:t>Types of Pollutants it can reduce</w:t>
            </w:r>
          </w:p>
        </w:tc>
        <w:tc>
          <w:tcPr>
            <w:tcW w:w="2465" w:type="dxa"/>
            <w:vMerge w:val="restart"/>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tcPr>
          <w:p w14:paraId="0E3BD952" w14:textId="77777777" w:rsidR="00830167" w:rsidRPr="00F50D49" w:rsidRDefault="00830167" w:rsidP="00001174">
            <w:pPr>
              <w:spacing w:before="20"/>
              <w:ind w:left="100"/>
              <w:rPr>
                <w:b/>
                <w:sz w:val="25"/>
                <w:szCs w:val="25"/>
              </w:rPr>
            </w:pPr>
            <w:r w:rsidRPr="00F50D49">
              <w:rPr>
                <w:b/>
                <w:sz w:val="25"/>
                <w:szCs w:val="25"/>
              </w:rPr>
              <w:t xml:space="preserve"> </w:t>
            </w:r>
          </w:p>
          <w:p w14:paraId="290CE346" w14:textId="77777777" w:rsidR="00830167" w:rsidRPr="00F50D49" w:rsidRDefault="00830167" w:rsidP="00001174">
            <w:pPr>
              <w:spacing w:line="254" w:lineRule="auto"/>
              <w:ind w:left="140" w:right="160"/>
              <w:rPr>
                <w:b/>
                <w:sz w:val="23"/>
                <w:szCs w:val="23"/>
              </w:rPr>
            </w:pPr>
            <w:r w:rsidRPr="00F50D49">
              <w:rPr>
                <w:b/>
                <w:sz w:val="23"/>
                <w:szCs w:val="23"/>
              </w:rPr>
              <w:t>Examples of facilities where this is used</w:t>
            </w:r>
          </w:p>
        </w:tc>
        <w:tc>
          <w:tcPr>
            <w:tcW w:w="2035" w:type="dxa"/>
            <w:gridSpan w:val="2"/>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tcPr>
          <w:p w14:paraId="6E77CF04" w14:textId="77777777" w:rsidR="00830167" w:rsidRPr="00F50D49" w:rsidRDefault="00830167" w:rsidP="00001174">
            <w:pPr>
              <w:spacing w:before="160"/>
              <w:ind w:left="140"/>
              <w:jc w:val="center"/>
              <w:rPr>
                <w:b/>
                <w:sz w:val="23"/>
                <w:szCs w:val="23"/>
              </w:rPr>
            </w:pPr>
            <w:r w:rsidRPr="00F50D49">
              <w:rPr>
                <w:b/>
                <w:sz w:val="23"/>
                <w:szCs w:val="23"/>
              </w:rPr>
              <w:t>Initial costs</w:t>
            </w:r>
          </w:p>
        </w:tc>
        <w:tc>
          <w:tcPr>
            <w:tcW w:w="2245" w:type="dxa"/>
            <w:gridSpan w:val="2"/>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tcPr>
          <w:p w14:paraId="054DBD73" w14:textId="77777777" w:rsidR="00830167" w:rsidRPr="00F50D49" w:rsidRDefault="00830167" w:rsidP="00001174">
            <w:pPr>
              <w:spacing w:before="20" w:line="254" w:lineRule="auto"/>
              <w:ind w:left="140"/>
              <w:jc w:val="center"/>
              <w:rPr>
                <w:b/>
                <w:sz w:val="23"/>
                <w:szCs w:val="23"/>
              </w:rPr>
            </w:pPr>
            <w:r w:rsidRPr="00F50D49">
              <w:rPr>
                <w:b/>
                <w:sz w:val="23"/>
                <w:szCs w:val="23"/>
              </w:rPr>
              <w:t>Annual Operating Costs</w:t>
            </w:r>
          </w:p>
        </w:tc>
      </w:tr>
      <w:tr w:rsidR="00830167" w:rsidRPr="00F50D49" w14:paraId="00F7E0DA" w14:textId="77777777" w:rsidTr="00A76896">
        <w:trPr>
          <w:trHeight w:val="20"/>
          <w:tblHeader/>
        </w:trPr>
        <w:tc>
          <w:tcPr>
            <w:tcW w:w="1980" w:type="dxa"/>
            <w:vMerge/>
            <w:tcBorders>
              <w:bottom w:val="single" w:sz="8" w:space="0" w:color="000000"/>
              <w:right w:val="single" w:sz="8" w:space="0" w:color="000000"/>
            </w:tcBorders>
            <w:shd w:val="clear" w:color="auto" w:fill="C5E0B3"/>
            <w:tcMar>
              <w:top w:w="100" w:type="dxa"/>
              <w:left w:w="100" w:type="dxa"/>
              <w:bottom w:w="100" w:type="dxa"/>
              <w:right w:w="100" w:type="dxa"/>
            </w:tcMar>
          </w:tcPr>
          <w:p w14:paraId="77844CF9" w14:textId="77777777" w:rsidR="00830167" w:rsidRPr="00F50D49" w:rsidRDefault="00830167" w:rsidP="00001174">
            <w:pPr>
              <w:ind w:left="100"/>
            </w:pPr>
          </w:p>
        </w:tc>
        <w:tc>
          <w:tcPr>
            <w:tcW w:w="1980" w:type="dxa"/>
            <w:vMerge/>
            <w:tcBorders>
              <w:bottom w:val="single" w:sz="8" w:space="0" w:color="000000"/>
              <w:right w:val="single" w:sz="8" w:space="0" w:color="000000"/>
            </w:tcBorders>
            <w:shd w:val="clear" w:color="auto" w:fill="C5E0B3"/>
            <w:tcMar>
              <w:top w:w="100" w:type="dxa"/>
              <w:left w:w="100" w:type="dxa"/>
              <w:bottom w:w="100" w:type="dxa"/>
              <w:right w:w="100" w:type="dxa"/>
            </w:tcMar>
          </w:tcPr>
          <w:p w14:paraId="2989E1B9" w14:textId="77777777" w:rsidR="00830167" w:rsidRPr="00F50D49" w:rsidRDefault="00830167" w:rsidP="00001174">
            <w:pPr>
              <w:ind w:left="100"/>
            </w:pPr>
          </w:p>
        </w:tc>
        <w:tc>
          <w:tcPr>
            <w:tcW w:w="2465" w:type="dxa"/>
            <w:vMerge/>
            <w:tcBorders>
              <w:bottom w:val="single" w:sz="8" w:space="0" w:color="000000"/>
              <w:right w:val="single" w:sz="8" w:space="0" w:color="000000"/>
            </w:tcBorders>
            <w:shd w:val="clear" w:color="auto" w:fill="C5E0B3"/>
            <w:tcMar>
              <w:top w:w="100" w:type="dxa"/>
              <w:left w:w="100" w:type="dxa"/>
              <w:bottom w:w="100" w:type="dxa"/>
              <w:right w:w="100" w:type="dxa"/>
            </w:tcMar>
          </w:tcPr>
          <w:p w14:paraId="29A53406" w14:textId="77777777" w:rsidR="00830167" w:rsidRPr="00F50D49" w:rsidRDefault="00830167" w:rsidP="00001174">
            <w:pPr>
              <w:ind w:left="100"/>
            </w:pPr>
          </w:p>
        </w:tc>
        <w:tc>
          <w:tcPr>
            <w:tcW w:w="950" w:type="dxa"/>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tcPr>
          <w:p w14:paraId="41C99E66" w14:textId="77777777" w:rsidR="00830167" w:rsidRPr="00F50D49" w:rsidRDefault="00830167" w:rsidP="00001174">
            <w:pPr>
              <w:spacing w:line="298" w:lineRule="auto"/>
              <w:ind w:left="140"/>
              <w:rPr>
                <w:b/>
                <w:sz w:val="23"/>
                <w:szCs w:val="23"/>
              </w:rPr>
            </w:pPr>
            <w:r w:rsidRPr="00F50D49">
              <w:rPr>
                <w:b/>
                <w:sz w:val="23"/>
                <w:szCs w:val="23"/>
              </w:rPr>
              <w:t>low</w:t>
            </w:r>
          </w:p>
        </w:tc>
        <w:tc>
          <w:tcPr>
            <w:tcW w:w="1085" w:type="dxa"/>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tcPr>
          <w:p w14:paraId="6ECE8F2F" w14:textId="77777777" w:rsidR="00830167" w:rsidRPr="00F50D49" w:rsidRDefault="00830167" w:rsidP="00001174">
            <w:pPr>
              <w:spacing w:line="298" w:lineRule="auto"/>
              <w:ind w:left="140"/>
              <w:rPr>
                <w:b/>
                <w:sz w:val="23"/>
                <w:szCs w:val="23"/>
              </w:rPr>
            </w:pPr>
            <w:r w:rsidRPr="00F50D49">
              <w:rPr>
                <w:b/>
                <w:sz w:val="23"/>
                <w:szCs w:val="23"/>
              </w:rPr>
              <w:t>high</w:t>
            </w:r>
          </w:p>
        </w:tc>
        <w:tc>
          <w:tcPr>
            <w:tcW w:w="1085" w:type="dxa"/>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tcPr>
          <w:p w14:paraId="05580001" w14:textId="77777777" w:rsidR="00830167" w:rsidRPr="00F50D49" w:rsidRDefault="00830167" w:rsidP="00001174">
            <w:pPr>
              <w:spacing w:line="298" w:lineRule="auto"/>
              <w:ind w:left="140"/>
              <w:rPr>
                <w:b/>
                <w:sz w:val="23"/>
                <w:szCs w:val="23"/>
              </w:rPr>
            </w:pPr>
            <w:r w:rsidRPr="00F50D49">
              <w:rPr>
                <w:b/>
                <w:sz w:val="23"/>
                <w:szCs w:val="23"/>
              </w:rPr>
              <w:t>low</w:t>
            </w:r>
          </w:p>
        </w:tc>
        <w:tc>
          <w:tcPr>
            <w:tcW w:w="1160" w:type="dxa"/>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tcPr>
          <w:p w14:paraId="1C04D8A5" w14:textId="77777777" w:rsidR="00830167" w:rsidRPr="00F50D49" w:rsidRDefault="00830167" w:rsidP="00001174">
            <w:pPr>
              <w:spacing w:line="298" w:lineRule="auto"/>
              <w:ind w:left="140"/>
              <w:rPr>
                <w:b/>
                <w:sz w:val="23"/>
                <w:szCs w:val="23"/>
              </w:rPr>
            </w:pPr>
            <w:r w:rsidRPr="00F50D49">
              <w:rPr>
                <w:b/>
                <w:sz w:val="23"/>
                <w:szCs w:val="23"/>
              </w:rPr>
              <w:t>high</w:t>
            </w:r>
          </w:p>
        </w:tc>
      </w:tr>
      <w:tr w:rsidR="00F50D49" w:rsidRPr="00F50D49" w14:paraId="1426DD77" w14:textId="77777777" w:rsidTr="00A76896">
        <w:trPr>
          <w:trHeight w:val="1280"/>
          <w:tblHeader/>
        </w:trPr>
        <w:tc>
          <w:tcPr>
            <w:tcW w:w="198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352A5EE" w14:textId="77777777" w:rsidR="00F50D49" w:rsidRPr="00F50D49" w:rsidRDefault="00F50D49" w:rsidP="00F50D49">
            <w:pPr>
              <w:ind w:left="100"/>
            </w:pPr>
            <w:r w:rsidRPr="00F50D49">
              <w:t xml:space="preserve"> </w:t>
            </w:r>
          </w:p>
          <w:p w14:paraId="24B473A7" w14:textId="77777777" w:rsidR="00F50D49" w:rsidRPr="00F50D49" w:rsidRDefault="00F50D49" w:rsidP="00F50D49">
            <w:pPr>
              <w:ind w:left="100"/>
            </w:pPr>
            <w:r w:rsidRPr="00F50D49">
              <w:t xml:space="preserve"> </w:t>
            </w:r>
          </w:p>
          <w:p w14:paraId="39C59F7E" w14:textId="77777777" w:rsidR="00F50D49" w:rsidRPr="00F50D49" w:rsidRDefault="00F50D49" w:rsidP="00F50D49">
            <w:pPr>
              <w:ind w:left="100"/>
              <w:rPr>
                <w:sz w:val="19"/>
                <w:szCs w:val="19"/>
              </w:rPr>
            </w:pPr>
            <w:r w:rsidRPr="00F50D49">
              <w:rPr>
                <w:sz w:val="19"/>
                <w:szCs w:val="19"/>
              </w:rPr>
              <w:t xml:space="preserve"> </w:t>
            </w:r>
          </w:p>
          <w:p w14:paraId="6D8465BC" w14:textId="77777777" w:rsidR="00F50D49" w:rsidRPr="00F50D49" w:rsidRDefault="00F50D49" w:rsidP="00F50D49">
            <w:pPr>
              <w:ind w:left="140"/>
              <w:rPr>
                <w:sz w:val="23"/>
                <w:szCs w:val="23"/>
              </w:rPr>
            </w:pPr>
            <w:r w:rsidRPr="00F50D49">
              <w:rPr>
                <w:sz w:val="23"/>
                <w:szCs w:val="23"/>
              </w:rPr>
              <w:t>Biofilter</w:t>
            </w:r>
          </w:p>
        </w:tc>
        <w:tc>
          <w:tcPr>
            <w:tcW w:w="198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0B3FC9A6" w14:textId="77777777" w:rsidR="00F50D49" w:rsidRPr="00F50D49" w:rsidRDefault="00F50D49" w:rsidP="00F50D49">
            <w:pPr>
              <w:spacing w:before="20"/>
              <w:ind w:left="140" w:right="360"/>
              <w:rPr>
                <w:sz w:val="23"/>
                <w:szCs w:val="23"/>
              </w:rPr>
            </w:pPr>
            <w:r w:rsidRPr="00F50D49">
              <w:rPr>
                <w:sz w:val="23"/>
                <w:szCs w:val="23"/>
              </w:rPr>
              <w:t>VOCs, odors, hydrogen sulfide (H</w:t>
            </w:r>
            <w:r w:rsidRPr="00F50D49">
              <w:rPr>
                <w:sz w:val="15"/>
                <w:szCs w:val="15"/>
              </w:rPr>
              <w:t>2</w:t>
            </w:r>
            <w:r w:rsidRPr="00F50D49">
              <w:rPr>
                <w:sz w:val="23"/>
                <w:szCs w:val="23"/>
              </w:rPr>
              <w:t>S), mercaptans (organic sulfides)</w:t>
            </w:r>
          </w:p>
        </w:tc>
        <w:tc>
          <w:tcPr>
            <w:tcW w:w="24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29278B98" w14:textId="77777777" w:rsidR="00F50D49" w:rsidRPr="00F50D49" w:rsidRDefault="00F50D49" w:rsidP="00F50D49">
            <w:pPr>
              <w:ind w:left="100"/>
            </w:pPr>
            <w:r w:rsidRPr="00F50D49">
              <w:t xml:space="preserve"> </w:t>
            </w:r>
          </w:p>
          <w:p w14:paraId="6D231916" w14:textId="77777777" w:rsidR="00F50D49" w:rsidRPr="00F50D49" w:rsidRDefault="00F50D49" w:rsidP="00F50D49">
            <w:pPr>
              <w:spacing w:before="200"/>
              <w:ind w:left="140" w:right="100"/>
              <w:rPr>
                <w:sz w:val="23"/>
                <w:szCs w:val="23"/>
              </w:rPr>
            </w:pPr>
            <w:r w:rsidRPr="00F50D49">
              <w:rPr>
                <w:sz w:val="23"/>
                <w:szCs w:val="23"/>
              </w:rPr>
              <w:t>Wastewater treatment plants, wood products facilities, industrial processes</w:t>
            </w:r>
          </w:p>
        </w:tc>
        <w:tc>
          <w:tcPr>
            <w:tcW w:w="2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76865D25" w14:textId="77777777" w:rsidR="00F50D49" w:rsidRPr="00F50D49" w:rsidRDefault="00F50D49" w:rsidP="00F50D49">
            <w:pPr>
              <w:ind w:left="100"/>
            </w:pPr>
            <w:r w:rsidRPr="00F50D49">
              <w:t xml:space="preserve"> </w:t>
            </w:r>
          </w:p>
          <w:p w14:paraId="1BB053E6" w14:textId="77777777" w:rsidR="00F50D49" w:rsidRPr="00F50D49" w:rsidRDefault="00F50D49" w:rsidP="00F50D49">
            <w:pPr>
              <w:ind w:left="100"/>
              <w:rPr>
                <w:sz w:val="27"/>
                <w:szCs w:val="27"/>
              </w:rPr>
            </w:pPr>
            <w:r w:rsidRPr="00F50D49">
              <w:rPr>
                <w:sz w:val="27"/>
                <w:szCs w:val="27"/>
              </w:rPr>
              <w:t xml:space="preserve"> </w:t>
            </w:r>
          </w:p>
          <w:p w14:paraId="568F50FB" w14:textId="77777777" w:rsidR="00F50D49" w:rsidRPr="00F50D49" w:rsidRDefault="00F50D49" w:rsidP="00F50D49">
            <w:pPr>
              <w:ind w:left="140" w:right="260"/>
              <w:rPr>
                <w:sz w:val="23"/>
                <w:szCs w:val="23"/>
              </w:rPr>
            </w:pPr>
            <w:r w:rsidRPr="00F50D49">
              <w:rPr>
                <w:sz w:val="23"/>
                <w:szCs w:val="23"/>
              </w:rPr>
              <w:t>$360,0000 - high end not available</w:t>
            </w:r>
          </w:p>
        </w:tc>
        <w:tc>
          <w:tcPr>
            <w:tcW w:w="224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53229063" w14:textId="77777777" w:rsidR="00F50D49" w:rsidRPr="00F50D49" w:rsidRDefault="00F50D49" w:rsidP="00F50D49">
            <w:pPr>
              <w:ind w:left="100"/>
            </w:pPr>
            <w:r w:rsidRPr="00F50D49">
              <w:t xml:space="preserve"> </w:t>
            </w:r>
          </w:p>
          <w:p w14:paraId="700A12AF" w14:textId="77777777" w:rsidR="00F50D49" w:rsidRPr="00F50D49" w:rsidRDefault="00F50D49" w:rsidP="00F50D49">
            <w:pPr>
              <w:ind w:left="100"/>
            </w:pPr>
            <w:r w:rsidRPr="00F50D49">
              <w:t xml:space="preserve"> </w:t>
            </w:r>
          </w:p>
          <w:p w14:paraId="4D7BB2EB" w14:textId="77777777" w:rsidR="00F50D49" w:rsidRPr="00F50D49" w:rsidRDefault="00F50D49" w:rsidP="00F50D49">
            <w:pPr>
              <w:spacing w:before="20"/>
              <w:ind w:left="100"/>
              <w:rPr>
                <w:sz w:val="17"/>
                <w:szCs w:val="17"/>
              </w:rPr>
            </w:pPr>
            <w:r w:rsidRPr="00F50D49">
              <w:rPr>
                <w:sz w:val="17"/>
                <w:szCs w:val="17"/>
              </w:rPr>
              <w:t xml:space="preserve"> </w:t>
            </w:r>
          </w:p>
          <w:p w14:paraId="1D8BB837" w14:textId="77777777" w:rsidR="00F50D49" w:rsidRPr="00F50D49" w:rsidRDefault="00F50D49" w:rsidP="00F50D49">
            <w:pPr>
              <w:ind w:left="180"/>
              <w:rPr>
                <w:sz w:val="23"/>
                <w:szCs w:val="23"/>
              </w:rPr>
            </w:pPr>
            <w:r w:rsidRPr="00F50D49">
              <w:rPr>
                <w:sz w:val="23"/>
                <w:szCs w:val="23"/>
              </w:rPr>
              <w:t>Not available</w:t>
            </w:r>
          </w:p>
        </w:tc>
      </w:tr>
      <w:tr w:rsidR="00F50D49" w:rsidRPr="00F50D49" w14:paraId="066B204E" w14:textId="77777777" w:rsidTr="00A76896">
        <w:trPr>
          <w:trHeight w:val="1280"/>
          <w:tblHeader/>
        </w:trPr>
        <w:tc>
          <w:tcPr>
            <w:tcW w:w="198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20ADCA6" w14:textId="77777777" w:rsidR="00F50D49" w:rsidRPr="00F50D49" w:rsidRDefault="00F50D49" w:rsidP="00F50D49">
            <w:pPr>
              <w:ind w:left="100"/>
            </w:pPr>
            <w:r w:rsidRPr="00F50D49">
              <w:t xml:space="preserve"> </w:t>
            </w:r>
          </w:p>
          <w:p w14:paraId="65BF8B8B" w14:textId="77777777" w:rsidR="00F50D49" w:rsidRPr="00F50D49" w:rsidRDefault="00F50D49" w:rsidP="00F50D49">
            <w:pPr>
              <w:spacing w:before="200"/>
              <w:ind w:left="140" w:right="160"/>
              <w:rPr>
                <w:sz w:val="23"/>
                <w:szCs w:val="23"/>
              </w:rPr>
            </w:pPr>
            <w:r w:rsidRPr="00F50D49">
              <w:rPr>
                <w:sz w:val="23"/>
                <w:szCs w:val="23"/>
              </w:rPr>
              <w:t>Fume suppressants</w:t>
            </w:r>
          </w:p>
        </w:tc>
        <w:tc>
          <w:tcPr>
            <w:tcW w:w="198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00593907" w14:textId="77777777" w:rsidR="00F50D49" w:rsidRPr="00F50D49" w:rsidRDefault="00F50D49" w:rsidP="00F50D49">
            <w:pPr>
              <w:spacing w:before="20"/>
              <w:ind w:left="140" w:right="300"/>
              <w:rPr>
                <w:sz w:val="23"/>
                <w:szCs w:val="23"/>
              </w:rPr>
            </w:pPr>
            <w:r w:rsidRPr="00F50D49">
              <w:rPr>
                <w:sz w:val="23"/>
                <w:szCs w:val="23"/>
              </w:rPr>
              <w:t>Chromic acid mist, chromium, cadmium and other plating metals</w:t>
            </w:r>
          </w:p>
        </w:tc>
        <w:tc>
          <w:tcPr>
            <w:tcW w:w="24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79ED79BC" w14:textId="77777777" w:rsidR="00F50D49" w:rsidRPr="00F50D49" w:rsidRDefault="00F50D49" w:rsidP="00F50D49">
            <w:pPr>
              <w:ind w:left="100"/>
              <w:rPr>
                <w:sz w:val="23"/>
                <w:szCs w:val="23"/>
              </w:rPr>
            </w:pPr>
            <w:r w:rsidRPr="00F50D49">
              <w:t xml:space="preserve"> </w:t>
            </w:r>
            <w:r w:rsidRPr="00F50D49">
              <w:rPr>
                <w:sz w:val="23"/>
                <w:szCs w:val="23"/>
              </w:rPr>
              <w:t>Chromic acid anodizing and chrome plating operations</w:t>
            </w:r>
          </w:p>
        </w:tc>
        <w:tc>
          <w:tcPr>
            <w:tcW w:w="2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26642A58" w14:textId="77777777" w:rsidR="00F50D49" w:rsidRPr="00F50D49" w:rsidRDefault="00F50D49" w:rsidP="00F50D49">
            <w:pPr>
              <w:ind w:left="100"/>
            </w:pPr>
            <w:r w:rsidRPr="00F50D49">
              <w:t xml:space="preserve"> </w:t>
            </w:r>
          </w:p>
          <w:p w14:paraId="6BB93C5F" w14:textId="77777777" w:rsidR="00F50D49" w:rsidRPr="00F50D49" w:rsidRDefault="00F50D49" w:rsidP="00F50D49">
            <w:pPr>
              <w:ind w:left="100"/>
            </w:pPr>
            <w:r w:rsidRPr="00F50D49">
              <w:t xml:space="preserve"> </w:t>
            </w:r>
          </w:p>
          <w:p w14:paraId="3C4DF083" w14:textId="77777777" w:rsidR="00F50D49" w:rsidRPr="00F50D49" w:rsidRDefault="00F50D49" w:rsidP="00F50D49">
            <w:pPr>
              <w:ind w:left="100"/>
              <w:rPr>
                <w:sz w:val="19"/>
                <w:szCs w:val="19"/>
              </w:rPr>
            </w:pPr>
            <w:r w:rsidRPr="00F50D49">
              <w:rPr>
                <w:sz w:val="19"/>
                <w:szCs w:val="19"/>
              </w:rPr>
              <w:t xml:space="preserve"> </w:t>
            </w:r>
          </w:p>
          <w:p w14:paraId="1510AFED" w14:textId="77777777" w:rsidR="00F50D49" w:rsidRPr="00F50D49" w:rsidRDefault="00F50D49" w:rsidP="00F50D49">
            <w:pPr>
              <w:ind w:left="180"/>
              <w:rPr>
                <w:sz w:val="23"/>
                <w:szCs w:val="23"/>
              </w:rPr>
            </w:pPr>
            <w:r w:rsidRPr="00F50D49">
              <w:rPr>
                <w:sz w:val="23"/>
                <w:szCs w:val="23"/>
              </w:rPr>
              <w:t>Up to $122,000</w:t>
            </w:r>
          </w:p>
        </w:tc>
        <w:tc>
          <w:tcPr>
            <w:tcW w:w="224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3C39E4E0" w14:textId="77777777" w:rsidR="00F50D49" w:rsidRPr="00F50D49" w:rsidRDefault="00F50D49" w:rsidP="00F50D49">
            <w:pPr>
              <w:ind w:left="100"/>
            </w:pPr>
            <w:r w:rsidRPr="00F50D49">
              <w:t xml:space="preserve"> </w:t>
            </w:r>
          </w:p>
          <w:p w14:paraId="140E2DAF" w14:textId="77777777" w:rsidR="00F50D49" w:rsidRPr="00F50D49" w:rsidRDefault="00F50D49" w:rsidP="00F50D49">
            <w:pPr>
              <w:ind w:left="100"/>
            </w:pPr>
            <w:r w:rsidRPr="00F50D49">
              <w:t xml:space="preserve"> </w:t>
            </w:r>
          </w:p>
          <w:p w14:paraId="7EFB50E9" w14:textId="77777777" w:rsidR="00F50D49" w:rsidRPr="00F50D49" w:rsidRDefault="00F50D49" w:rsidP="00F50D49">
            <w:pPr>
              <w:ind w:left="100"/>
              <w:rPr>
                <w:sz w:val="19"/>
                <w:szCs w:val="19"/>
              </w:rPr>
            </w:pPr>
            <w:r w:rsidRPr="00F50D49">
              <w:rPr>
                <w:sz w:val="19"/>
                <w:szCs w:val="19"/>
              </w:rPr>
              <w:t xml:space="preserve"> </w:t>
            </w:r>
          </w:p>
          <w:p w14:paraId="0A5BFFA5" w14:textId="77777777" w:rsidR="00F50D49" w:rsidRPr="00F50D49" w:rsidRDefault="00F50D49" w:rsidP="00F50D49">
            <w:pPr>
              <w:ind w:left="140"/>
              <w:rPr>
                <w:sz w:val="23"/>
                <w:szCs w:val="23"/>
              </w:rPr>
            </w:pPr>
            <w:r w:rsidRPr="00F50D49">
              <w:rPr>
                <w:sz w:val="23"/>
                <w:szCs w:val="23"/>
              </w:rPr>
              <w:t>Not available</w:t>
            </w:r>
          </w:p>
        </w:tc>
      </w:tr>
    </w:tbl>
    <w:p w14:paraId="4F541C3A" w14:textId="2061CA5E" w:rsidR="00083818" w:rsidRDefault="00083818" w:rsidP="0036094D">
      <w:pPr>
        <w:spacing w:line="254" w:lineRule="auto"/>
        <w:ind w:left="0"/>
        <w:rPr>
          <w:sz w:val="6"/>
          <w:szCs w:val="6"/>
        </w:rPr>
      </w:pPr>
    </w:p>
    <w:p w14:paraId="1F6113A4" w14:textId="77777777" w:rsidR="00083818" w:rsidRDefault="00FC36AC">
      <w:pPr>
        <w:spacing w:line="254" w:lineRule="auto"/>
        <w:ind w:left="380"/>
        <w:rPr>
          <w:sz w:val="18"/>
          <w:szCs w:val="18"/>
        </w:rPr>
      </w:pPr>
      <w:r>
        <w:rPr>
          <w:sz w:val="18"/>
          <w:szCs w:val="18"/>
        </w:rPr>
        <w:t>*Costs are from examples in the EPA Air Pollution Control Cost Manual, Report No. 452/B-02-001, EPA Air Pollution Control Technology Fact Sheets, and information provided by permitted facilities</w:t>
      </w:r>
    </w:p>
    <w:p w14:paraId="6A3B3F96" w14:textId="77777777" w:rsidR="00083818" w:rsidRDefault="00083818">
      <w:pPr>
        <w:spacing w:before="120" w:after="120"/>
        <w:ind w:left="0" w:right="200"/>
      </w:pPr>
    </w:p>
    <w:p w14:paraId="7E03427E" w14:textId="77777777" w:rsidR="00083818" w:rsidRDefault="00FC36AC" w:rsidP="00DF5063">
      <w:pPr>
        <w:pStyle w:val="Heading3"/>
        <w:ind w:left="0"/>
      </w:pPr>
      <w:r>
        <w:t>Local governments</w:t>
      </w:r>
    </w:p>
    <w:p w14:paraId="5BF01029" w14:textId="3D5FF90D" w:rsidR="00BC0258" w:rsidRDefault="00BC0258" w:rsidP="00BC0258">
      <w:pPr>
        <w:ind w:left="0"/>
      </w:pPr>
      <w:r>
        <w:t xml:space="preserve">As noted above, local governments own or operate 62 facilities currently requiring an air quality permit. Minimally, those local government agencies would be impacted by the proposed fee structure for Cleaner Air Oregon which includes an annual base fee assessed on all current air quality permit holders. In addition, local governments who operate these facilities would be required to assess the risk that the facility’s emissions pose and in some cases may be required to reduce that risk. </w:t>
      </w:r>
    </w:p>
    <w:p w14:paraId="63663A7F" w14:textId="77777777" w:rsidR="00BC0258" w:rsidRDefault="00BC0258" w:rsidP="00BC0258"/>
    <w:p w14:paraId="51F44658" w14:textId="29EA3BF4" w:rsidR="00083818" w:rsidRDefault="00FC36AC" w:rsidP="001B6065">
      <w:pPr>
        <w:pStyle w:val="Heading3"/>
        <w:spacing w:before="0"/>
        <w:ind w:left="0"/>
      </w:pPr>
      <w:r>
        <w:t>Large businesses</w:t>
      </w:r>
    </w:p>
    <w:p w14:paraId="233B71F7" w14:textId="4169C290" w:rsidR="00083818" w:rsidRDefault="00FC36AC" w:rsidP="001B6065">
      <w:pPr>
        <w:ind w:left="0" w:right="200"/>
      </w:pPr>
      <w:r>
        <w:t>DEQ anticipates the proposed rules, when fully implemented, could have fiscal and economic impacts on approximately 1,360 large businesses holding air quality permits and an unknown number of businesses that are not currently required to have air permits. If the cancer or noncancer risk from a facility exceeds the Risk Action Levels, the facility would be required to take action to reduce air toxics emissions or show that the best available control technology for air toxics (TBACT) is already being achieved. The proposed rules would allow facilities flexibility in choosing a method to reduce emissions through the application of pollution prevention or pollution control equipment. If owners or operators choose to install poll</w:t>
      </w:r>
      <w:r w:rsidR="00A76896">
        <w:t>ution control equipment, Table 7</w:t>
      </w:r>
      <w:r>
        <w:t xml:space="preserve"> above</w:t>
      </w:r>
      <w:r w:rsidR="00A76896">
        <w:t xml:space="preserve"> shows</w:t>
      </w:r>
      <w:r>
        <w:t xml:space="preserve"> what the range of estimated costs could be. Small businesses may also incur these costs if required to install pollution control equipment. </w:t>
      </w:r>
    </w:p>
    <w:p w14:paraId="7C02F907" w14:textId="77777777" w:rsidR="003C1FFE" w:rsidRDefault="003C1FFE">
      <w:pPr>
        <w:spacing w:before="120" w:after="120"/>
        <w:ind w:left="0" w:right="200"/>
      </w:pPr>
    </w:p>
    <w:p w14:paraId="3A8FDBF6" w14:textId="189119CD" w:rsidR="00083818" w:rsidRDefault="00DF5063" w:rsidP="001B6065">
      <w:pPr>
        <w:pStyle w:val="Heading2"/>
        <w:spacing w:after="0"/>
        <w:ind w:left="0"/>
      </w:pPr>
      <w:r>
        <w:t>Pollution p</w:t>
      </w:r>
      <w:r w:rsidR="00FC36AC">
        <w:t>revention</w:t>
      </w:r>
    </w:p>
    <w:p w14:paraId="3BF62DEE" w14:textId="77777777" w:rsidR="00083818" w:rsidRDefault="00FC36AC" w:rsidP="001B6065">
      <w:pPr>
        <w:ind w:left="0"/>
      </w:pPr>
      <w:r>
        <w:t>In EPA’s and DEQ’s hierarchy of pollution management strategies (acceptable ways to reduce pollution), pollution prevention, also known as source reduction, is preferred over the addition of pollution controls and treatment whenever feasible (see Pollution Prevention Act of 1990,</w:t>
      </w:r>
      <w:hyperlink r:id="rId29">
        <w:r>
          <w:rPr>
            <w:u w:val="single"/>
          </w:rPr>
          <w:t xml:space="preserve"> https://www.epa.gov/p2/pollution-prevention-act-1990</w:t>
        </w:r>
      </w:hyperlink>
      <w:r>
        <w:t>)</w:t>
      </w:r>
      <w:r>
        <w:rPr>
          <w:vertAlign w:val="superscript"/>
        </w:rPr>
        <w:footnoteReference w:id="1"/>
      </w:r>
      <w:r>
        <w:t xml:space="preserve"> Pollution prevention has been implemented successfully for cleaning operations (e.g., metal parts), coating and painting (e.g., marine anti-fouling, wood preservation), lubricants and process fluids (e.g., loss lubrication, mold release agents), and dry cleaning of clothes. In evaluating the costs of pollution prevention, DEQ considers not only the cost of replacing one solvent for another, but also capital costs, energy differences, labor costs, waste disposal and quality control considerations. In many instances involving both large and small businesses, DEQ has found that pollution prevention can decrease costs for a facility owner, rather than increase them. Short-term investments in pollution prevention measures can result in savings that can pay for the initial investments over time.</w:t>
      </w:r>
    </w:p>
    <w:p w14:paraId="19186E6B" w14:textId="77777777" w:rsidR="003C1FFE" w:rsidRDefault="003C1FFE">
      <w:pPr>
        <w:ind w:left="0"/>
      </w:pPr>
    </w:p>
    <w:p w14:paraId="6E4CDAD3" w14:textId="77777777" w:rsidR="00083818" w:rsidRDefault="00FC36AC" w:rsidP="001B6065">
      <w:pPr>
        <w:pStyle w:val="Heading2"/>
        <w:spacing w:after="0"/>
        <w:ind w:left="0"/>
      </w:pPr>
      <w:r>
        <w:t>Reporting</w:t>
      </w:r>
    </w:p>
    <w:p w14:paraId="1573C8EA" w14:textId="77777777" w:rsidR="00083818" w:rsidRDefault="00FC36AC" w:rsidP="001B6065">
      <w:pPr>
        <w:ind w:left="0"/>
      </w:pPr>
      <w:r>
        <w:t>All currently permitted sources report to DEQ annually so their reporting requirements for Cleaner Air Oregon will be in addition to existing reporting requirements. Some facilities that aren’t required to have air permits under current regulations require may be required to have them under Cleaner Air Oregon, and in that case the requirement to report annually would be new. Some facilities already report emissions of Hazardous Air Pollutants (187 pollutants out of approximately 600 air toxics) annually. Under the proposed regulations, all facilities that emit air toxics must report emissions to DEQ a minimum of every three years. Facilities that have permit requirements to limit air toxics emissions must report compliance annually or semi-annually. The initial emissions inventory created the greatest workload for facilities, so updating this inventory should involve minimal costs. DEQ anticipates that the additional reporting requirements for Cleaner Air Oregon cost facilities approximately $120 to $1,200 per year.</w:t>
      </w:r>
    </w:p>
    <w:p w14:paraId="5253E6C1" w14:textId="77777777" w:rsidR="003C1FFE" w:rsidRDefault="003C1FFE">
      <w:pPr>
        <w:ind w:left="0"/>
      </w:pPr>
    </w:p>
    <w:p w14:paraId="20353F49" w14:textId="209F0293" w:rsidR="00083818" w:rsidRDefault="00DF5063" w:rsidP="00DF5063">
      <w:pPr>
        <w:pStyle w:val="Heading2"/>
        <w:spacing w:after="0"/>
        <w:ind w:left="0"/>
      </w:pPr>
      <w:r>
        <w:t>Source t</w:t>
      </w:r>
      <w:r w:rsidR="00FC36AC">
        <w:t>esting</w:t>
      </w:r>
    </w:p>
    <w:p w14:paraId="35C99C47" w14:textId="77777777" w:rsidR="00083818" w:rsidRDefault="00FC36AC" w:rsidP="00DF5063">
      <w:pPr>
        <w:ind w:left="0"/>
      </w:pPr>
      <w:r>
        <w:t>Source testing is currently not required as a part of Cleaner Air Oregon, but some facilities may choose to do source testing to more accurately estimate emissions. Source testing may be required to determine compliance with Cleaner Air Oregon permit conditions but DEQ anticipates that will be the case for very few sources. Cost for source testing for air toxics depends on the air toxic to be tested. Source testing for some air toxics, such as hexavalent chromium, is relatively complex and therefore expensive. Source test costs range from $7,500 for a single air toxic that is easy to test to $35,000 for multiple air toxics that are more difficult to test. Businesses already required to perform periodic compliance source testing could save money if the air toxics and criteria pollutant tests could be aligned.</w:t>
      </w:r>
    </w:p>
    <w:p w14:paraId="52D83F9F" w14:textId="77777777" w:rsidR="003C1FFE" w:rsidRDefault="003C1FFE" w:rsidP="00DF5063">
      <w:pPr>
        <w:ind w:left="0"/>
      </w:pPr>
    </w:p>
    <w:p w14:paraId="127D1195" w14:textId="1D789063" w:rsidR="00083818" w:rsidRDefault="00DF5063" w:rsidP="00DF5063">
      <w:pPr>
        <w:pStyle w:val="Heading2"/>
        <w:spacing w:after="0"/>
        <w:ind w:left="0"/>
      </w:pPr>
      <w:r>
        <w:t>Community e</w:t>
      </w:r>
      <w:r w:rsidR="00FC36AC">
        <w:t>ngagement</w:t>
      </w:r>
    </w:p>
    <w:p w14:paraId="63184709" w14:textId="77777777" w:rsidR="00083818" w:rsidRDefault="00FC36AC" w:rsidP="00DF5063">
      <w:pPr>
        <w:ind w:left="0"/>
      </w:pPr>
      <w:r>
        <w:t xml:space="preserve">If the risk from a facility is greater than any Risk Action Level, a Community Engagement Plan is required. Under a Community Engagement Plan, the owner or operator of the facility will be required to notify the community within the area of impact, hold two public meetings to describe the risks and solicit input on ways to reduce the risks, provide translation services if necessary, report back to DEQ the results of the public meetings, and hold ongoing annual meetings to keep the community updated on ongoing activities to reduce risk, if necessary. Costs for holding a public meeting range from $1,400 to $6,400. If a new facility seeks a permit to construct and their risk is estimated to be over 5 in 1 million but less than 10 in 1 million, the owner or operator of the facility is required to notify the community within 7 days of permit application submittal and hold one public meeting if requested by ten or more individuals. Costs for holding a public meeting range from $1,400 to $6,400. </w:t>
      </w:r>
    </w:p>
    <w:p w14:paraId="1C363FFB" w14:textId="77777777" w:rsidR="00F4588B" w:rsidRDefault="00F4588B" w:rsidP="00CB37B2">
      <w:pPr>
        <w:pStyle w:val="Heading3"/>
        <w:spacing w:before="0"/>
        <w:ind w:left="0"/>
      </w:pPr>
    </w:p>
    <w:p w14:paraId="40FB0AAD" w14:textId="77777777" w:rsidR="00083818" w:rsidRDefault="00FC36AC" w:rsidP="00CB37B2">
      <w:pPr>
        <w:pStyle w:val="Heading3"/>
        <w:spacing w:before="0"/>
        <w:ind w:left="0"/>
      </w:pPr>
      <w:r>
        <w:t xml:space="preserve">Small businesses  </w:t>
      </w:r>
    </w:p>
    <w:p w14:paraId="79D56C81" w14:textId="77777777" w:rsidR="00083818" w:rsidRDefault="00FC36AC" w:rsidP="00CB37B2">
      <w:pPr>
        <w:spacing w:after="120"/>
        <w:ind w:left="0" w:right="60"/>
      </w:pPr>
      <w:r>
        <w:t>The proposed rules would require that the facility owner or operator of a small business demonstrate that the risk posed by the facility's air emissions would not exceed the proposed Risk Action Levels. This compliance demonstration can be accomplished using any of the levels of risk assessment, 1 through 4.</w:t>
      </w:r>
    </w:p>
    <w:p w14:paraId="0BB09304" w14:textId="77777777" w:rsidR="00083818" w:rsidRDefault="00FC36AC">
      <w:pPr>
        <w:spacing w:before="160" w:after="120"/>
        <w:ind w:left="0" w:right="60"/>
      </w:pPr>
      <w:r>
        <w:t>In addition to the fiscal and economic impact described under the section above “Large businesses - businesses with more than 50 employees,” the proposed rules could have the following impacts on small business:</w:t>
      </w:r>
    </w:p>
    <w:p w14:paraId="1004C790" w14:textId="4DFE919A" w:rsidR="00083818" w:rsidRDefault="00FC36AC" w:rsidP="00CB37B2">
      <w:pPr>
        <w:pStyle w:val="Heading4"/>
        <w:spacing w:before="0"/>
        <w:ind w:right="-432"/>
      </w:pPr>
      <w:r>
        <w:t>Estimated number of small businesses and types of businesses and industries with small busi</w:t>
      </w:r>
      <w:r w:rsidR="00CB37B2">
        <w:t>nesses subject to proposed rule</w:t>
      </w:r>
    </w:p>
    <w:p w14:paraId="22FEE819" w14:textId="77777777" w:rsidR="00083818" w:rsidRDefault="00FC36AC" w:rsidP="00CB37B2">
      <w:pPr>
        <w:ind w:left="0" w:right="-432"/>
      </w:pPr>
      <w:r>
        <w:t>The proposed rules could affect approximately 1,090 small businesses. These businesses include asphalt plants, auto body shops, chromium electroplaters, dry cleaners, ethylene oxide sterilizers, grain elevators, gas stations, lumber mills, metal fabricators, metal foundries, and surface coaters. If any of these businesses had Cleaner Air Oregon permit conditions, they would have additional compliance requirements over existing permit requirements. In addition there may be an unknown number of additional facilities that are currently not required to get permits under the existing air quality permitting program but may be subject to Cleaner Air Oregon rules and would have to pay fees.</w:t>
      </w:r>
    </w:p>
    <w:p w14:paraId="2957536F" w14:textId="77777777" w:rsidR="00C43B5F" w:rsidRDefault="00C43B5F" w:rsidP="00CB37B2">
      <w:pPr>
        <w:ind w:left="0" w:right="-432"/>
      </w:pPr>
    </w:p>
    <w:p w14:paraId="281AC460" w14:textId="77777777" w:rsidR="00083818" w:rsidRDefault="00FC36AC" w:rsidP="00CB37B2">
      <w:pPr>
        <w:spacing w:after="120"/>
        <w:ind w:left="0"/>
      </w:pPr>
      <w:r>
        <w:t>Many of the small businesses subject to the Cleaner Air Oregon rules would only be required to submit triennial reports of air toxics emissions. Some small businesses may be required to reduce air toxics emissions through either permit limits, pollution prevention or pollution control equipment if cancer risk, chronic non cancer risk or acute non cancer risk is above Risk Action Levels.</w:t>
      </w:r>
    </w:p>
    <w:p w14:paraId="25EC60AE" w14:textId="2941A378" w:rsidR="00083818" w:rsidRDefault="00FC36AC" w:rsidP="00DF5063">
      <w:pPr>
        <w:pStyle w:val="Heading4"/>
        <w:spacing w:before="0"/>
        <w:ind w:right="-432"/>
      </w:pPr>
      <w:r>
        <w:t>Projected reporting, recordkeeping and other administrative activities, including costs of professional services, required for small businesses t</w:t>
      </w:r>
      <w:r w:rsidR="00CB37B2">
        <w:t>o comply with the proposed rule</w:t>
      </w:r>
    </w:p>
    <w:p w14:paraId="7845C9D3" w14:textId="77777777" w:rsidR="00083818" w:rsidRDefault="00FC36AC" w:rsidP="00DF5063">
      <w:pPr>
        <w:spacing w:after="120"/>
        <w:ind w:left="0" w:right="120"/>
        <w:rPr>
          <w:b/>
        </w:rPr>
      </w:pPr>
      <w:r>
        <w:t>Small businesses that must meet Cleaner Air Oregon permit requirements would have increased recordkeeping and reporting requirements. Administrative activities, including costs of professional services, required for small businesses to comply with the proposed rule may increase in a range from $100 to $500,000 above current costs if the small business is required to perform computer modeling or a health risk assessment if cancer risk, chronic non cancer risk or acute non cancer risk is above Risk Action Levels.</w:t>
      </w:r>
    </w:p>
    <w:p w14:paraId="285CA2F5" w14:textId="7DB2684E" w:rsidR="00083818" w:rsidRDefault="00FC36AC" w:rsidP="007F3674">
      <w:pPr>
        <w:pStyle w:val="Heading4"/>
        <w:spacing w:before="0"/>
        <w:ind w:right="-432"/>
      </w:pPr>
      <w:r>
        <w:t>Projected equipment, supplies, labor and increased administration required for small businesses t</w:t>
      </w:r>
      <w:r w:rsidR="00CB37B2">
        <w:t>o comply with the proposed rule</w:t>
      </w:r>
    </w:p>
    <w:p w14:paraId="04E45BDC" w14:textId="319C05EB" w:rsidR="00083818" w:rsidRDefault="00FC36AC" w:rsidP="007F3674">
      <w:pPr>
        <w:spacing w:after="120"/>
        <w:ind w:left="0" w:right="120"/>
      </w:pPr>
      <w:r>
        <w:t xml:space="preserve">Depending on the size and nature of a small business's’ operation, pollution control costs could be much less than, or in some cases the same as, the cost ranges for different types of control </w:t>
      </w:r>
      <w:r w:rsidR="00A76896">
        <w:t>equipment found in Table 7</w:t>
      </w:r>
      <w:r>
        <w:t>,</w:t>
      </w:r>
      <w:r w:rsidR="00A76896">
        <w:t xml:space="preserve"> above. Summarizing from Table 7</w:t>
      </w:r>
      <w:r>
        <w:t>, if a small business's’ cancer risk, chronic non cancer risk or acute non cancer risk were above Risk Action Levels, the proposed rules could result in additional costs ranging from approximately $13,000 to $18,500,000 for initial equipment including purchase and labor, and ranging from approximately $400 to $7,600,000 in annual operating costs.</w:t>
      </w:r>
    </w:p>
    <w:p w14:paraId="47A4CC01" w14:textId="77777777" w:rsidR="00083818" w:rsidRDefault="00FC36AC">
      <w:pPr>
        <w:spacing w:before="120" w:after="120"/>
        <w:ind w:left="0" w:right="120"/>
        <w:rPr>
          <w:rFonts w:ascii="Arial" w:eastAsia="Arial" w:hAnsi="Arial" w:cs="Arial"/>
          <w:color w:val="C55911"/>
        </w:rPr>
      </w:pPr>
      <w:r>
        <w:t>Because of existing regulatory coverage and generally low risk estimates for gas stations and dry cleaners, DEQ proposes to exclude them from risk screening, risk assessment and risk reduction requirements. These facilities would need to pay small fees to be tracked and evaluated by DEQ, but generally would not bear the costs of additional reporting, risk analysis or emission reductions. Gas stations and drycleaners may be evaluated as part of a multi-source area assessment or if DEQ determines that individual facilities pose higher risk.</w:t>
      </w:r>
    </w:p>
    <w:p w14:paraId="18332E56" w14:textId="773B49F8" w:rsidR="00083818" w:rsidRDefault="007F3674" w:rsidP="007F3674">
      <w:pPr>
        <w:pStyle w:val="Heading4"/>
        <w:spacing w:before="0"/>
        <w:ind w:right="-432"/>
      </w:pPr>
      <w:r>
        <w:t>H</w:t>
      </w:r>
      <w:r w:rsidR="00FC36AC">
        <w:t>ow DEQ involved small businesses i</w:t>
      </w:r>
      <w:r>
        <w:t>n developing this proposed rule</w:t>
      </w:r>
    </w:p>
    <w:p w14:paraId="7E856943" w14:textId="2B99B789" w:rsidR="00083818" w:rsidRDefault="00FC36AC" w:rsidP="007F3674">
      <w:pPr>
        <w:spacing w:after="120"/>
        <w:ind w:left="0"/>
      </w:pPr>
      <w:r>
        <w:t>DEQ notified small businesses during rule development by email, announcements on the DEQ website, advisory committee meetings, and through Twitter and Facebook. Small business representatives were on the rules advisory committee during rule development. At the onset of the public comment period, DEQ notified small</w:t>
      </w:r>
      <w:r w:rsidR="002E77BC">
        <w:t xml:space="preserve"> businesses by</w:t>
      </w:r>
      <w:r>
        <w:t xml:space="preserve"> email, and notices in the Secretary of State Bulletin.</w:t>
      </w:r>
    </w:p>
    <w:p w14:paraId="499BDC4A" w14:textId="77777777" w:rsidR="00A76896" w:rsidRDefault="00A76896" w:rsidP="00C9121A">
      <w:pPr>
        <w:pStyle w:val="Heading2"/>
        <w:spacing w:before="0" w:after="0"/>
        <w:ind w:left="0"/>
      </w:pPr>
      <w:bookmarkStart w:id="12" w:name="_5h86a7aumru1" w:colFirst="0" w:colLast="0"/>
      <w:bookmarkEnd w:id="12"/>
    </w:p>
    <w:p w14:paraId="2D340B89" w14:textId="0F966F6B" w:rsidR="00083818" w:rsidRDefault="00DF5063" w:rsidP="00C9121A">
      <w:pPr>
        <w:pStyle w:val="Heading2"/>
        <w:spacing w:before="0" w:after="0"/>
        <w:ind w:left="0"/>
      </w:pPr>
      <w:r>
        <w:t>Impacts on the p</w:t>
      </w:r>
      <w:r w:rsidR="00FC36AC">
        <w:t>ublic</w:t>
      </w:r>
    </w:p>
    <w:p w14:paraId="40AB4736" w14:textId="77777777" w:rsidR="00083818" w:rsidRDefault="00FC36AC" w:rsidP="00C9121A">
      <w:pPr>
        <w:ind w:left="0"/>
      </w:pPr>
      <w:r>
        <w:t>The proposed Cleaner Air Oregon rules are intended to assess and decrease risk above Risk Action Levels for people living nearby industrial and commercial facilities. The Risk Action Level analysis would be based on many factors, including the best available science regarding toxicity of regulated air toxics, as proposed in the risk-based concentrations. Cleaner Air Oregon air toxics reductions that decrease cancer risk, chronic non cancer risk or acute non cancer risk could create positive economic benefits and improvements in public health and welfare statewide. The rules could also have negative economic effects on the public. In analyzing potential positive and negative effects on the public of the proposed Cleaner Air Oregon rules, DEQ has consulted with OHA and relied upon information provided by them.</w:t>
      </w:r>
    </w:p>
    <w:p w14:paraId="05D7A9B1" w14:textId="77777777" w:rsidR="00083818" w:rsidRDefault="00083818">
      <w:pPr>
        <w:ind w:left="0"/>
      </w:pPr>
    </w:p>
    <w:p w14:paraId="3D95969C" w14:textId="62BB5939" w:rsidR="00083818" w:rsidRDefault="00DF5063" w:rsidP="00C9121A">
      <w:pPr>
        <w:pStyle w:val="Heading3"/>
        <w:ind w:left="0"/>
      </w:pPr>
      <w:r>
        <w:t>Positive impacts on the p</w:t>
      </w:r>
      <w:r w:rsidR="00FC36AC">
        <w:t>ublic</w:t>
      </w:r>
    </w:p>
    <w:p w14:paraId="2EBFB810" w14:textId="44E72FAD" w:rsidR="00083818" w:rsidRDefault="00FC36AC" w:rsidP="00FC36AC">
      <w:pPr>
        <w:ind w:left="0" w:right="120"/>
      </w:pPr>
      <w:r>
        <w:t xml:space="preserve">The proposed Cleaner Air Oregon rules have the potential to meaningfully impact public health in the state by reducing air toxics emissions. The air toxics that would be regulated by Cleaner Air Oregon rules are known to increase risk of a wide range of health outcomes </w:t>
      </w:r>
      <w:r w:rsidR="000C73F2">
        <w:t>including cardiovascular</w:t>
      </w:r>
      <w:r>
        <w:t xml:space="preserve"> and respiratory illness, lung disease, cancers, birth defects, premature births, developmental disorders, central nervous system damage, intellectual disability, and premature death.</w:t>
      </w:r>
    </w:p>
    <w:p w14:paraId="0C050C0B" w14:textId="77777777" w:rsidR="00083818" w:rsidRDefault="00FC36AC">
      <w:pPr>
        <w:spacing w:before="120" w:after="120"/>
        <w:ind w:left="0" w:right="200"/>
      </w:pPr>
      <w:r>
        <w:t>Based on a preliminary analysis of a subset of emissions inventory data using proposed screening tools and Risk Action Levels, DEQ and OHA have determined that a number of air toxics are most likely emitted at concentrations whose risk exceeds the proposed Risk Action Levels. Information from EPA’s National Air Toxics Assessment supports this initial analysis. The impact of air toxics on health depends on people’s exposure. DEQ and OHA do not currently have enough information about how many people are exposed to specific concentrations of industrial and commercial air toxics emissions or about the relative actual contribution of air toxics to disease to know how reducing emissions will translate to improved public health in quantitative terms. As Cleaner Air Oregon regulations are implemented, the emissions inventory and the permitting process will improve DEQ and OHA’s understanding of Oregonians air toxics exposures.</w:t>
      </w:r>
    </w:p>
    <w:p w14:paraId="38ABA763" w14:textId="77777777" w:rsidR="00083818" w:rsidRDefault="00FC36AC">
      <w:pPr>
        <w:spacing w:before="120" w:after="120"/>
        <w:ind w:left="0" w:right="200"/>
      </w:pPr>
      <w:r>
        <w:t>In this analysis it is not possible to predict the total reduced medical costs that would result from the proposed rules. However, it is possible to describe the range of health outcomes associated with air toxics currently emitted in Oregon and to describe the economic burden of medical treatment for a subset of those health effects. This section also points to national analyses that estimate the fraction of certain diseases that are due to environmental exposures.</w:t>
      </w:r>
    </w:p>
    <w:p w14:paraId="60319A6E" w14:textId="77777777" w:rsidR="00083818" w:rsidRDefault="00FC36AC" w:rsidP="002D18F2">
      <w:pPr>
        <w:pStyle w:val="Heading4"/>
        <w:spacing w:before="0"/>
      </w:pPr>
      <w:r>
        <w:t xml:space="preserve">Health effects caused by air toxics commonly emitted by facilities in Oregon </w:t>
      </w:r>
    </w:p>
    <w:p w14:paraId="69FE68D7" w14:textId="02F76346" w:rsidR="00083818" w:rsidRDefault="00FC36AC" w:rsidP="002D18F2">
      <w:pPr>
        <w:spacing w:after="120"/>
        <w:ind w:left="0" w:right="200"/>
      </w:pPr>
      <w:r>
        <w:t>DEQ and OHA summarized the health effects associated with 15 of the air toxics to be regulated under Cleaner Air Oregon. This info</w:t>
      </w:r>
      <w:r w:rsidR="001D0E96">
        <w:t>rmation is summarized in Table 8</w:t>
      </w:r>
      <w:r>
        <w:t xml:space="preserve"> below. This summary illustrates the range of health effects that may be caused by this small subset of 15 air toxics. Many more of the air toxics to be regulated under Cleaner Air Oregon are associated with these and other health effects.</w:t>
      </w:r>
    </w:p>
    <w:p w14:paraId="7AA55605" w14:textId="77777777" w:rsidR="002D18F2" w:rsidRDefault="002D18F2" w:rsidP="002D18F2">
      <w:pPr>
        <w:spacing w:after="120"/>
        <w:ind w:left="0" w:right="200"/>
      </w:pPr>
    </w:p>
    <w:tbl>
      <w:tblPr>
        <w:tblStyle w:val="af5"/>
        <w:tblW w:w="999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539"/>
        <w:gridCol w:w="4451"/>
      </w:tblGrid>
      <w:tr w:rsidR="0036094D" w14:paraId="059472B2" w14:textId="77777777" w:rsidTr="003A7FAC">
        <w:trPr>
          <w:trHeight w:val="860"/>
        </w:trPr>
        <w:tc>
          <w:tcPr>
            <w:tcW w:w="9990" w:type="dxa"/>
            <w:gridSpan w:val="2"/>
            <w:shd w:val="clear" w:color="auto" w:fill="E2EFD9"/>
            <w:tcMar>
              <w:top w:w="100" w:type="dxa"/>
              <w:left w:w="100" w:type="dxa"/>
              <w:bottom w:w="100" w:type="dxa"/>
              <w:right w:w="100" w:type="dxa"/>
            </w:tcMar>
          </w:tcPr>
          <w:p w14:paraId="7C09AD92" w14:textId="2AE944AF" w:rsidR="0036094D" w:rsidRPr="00C43B5F" w:rsidRDefault="002E77BC" w:rsidP="001D0E96">
            <w:pPr>
              <w:pStyle w:val="Heading2"/>
              <w:ind w:left="0"/>
              <w:jc w:val="center"/>
              <w:rPr>
                <w:rFonts w:ascii="Times New Roman" w:hAnsi="Times New Roman" w:cs="Times New Roman"/>
                <w:sz w:val="24"/>
                <w:szCs w:val="24"/>
              </w:rPr>
            </w:pPr>
            <w:bookmarkStart w:id="13" w:name="_js65cfco4ohe" w:colFirst="0" w:colLast="0"/>
            <w:bookmarkEnd w:id="13"/>
            <w:r>
              <w:rPr>
                <w:rFonts w:ascii="Times New Roman" w:hAnsi="Times New Roman" w:cs="Times New Roman"/>
                <w:sz w:val="24"/>
                <w:szCs w:val="24"/>
              </w:rPr>
              <w:t>Table 8</w:t>
            </w:r>
          </w:p>
          <w:p w14:paraId="6C07E2CB" w14:textId="1A54B141" w:rsidR="0036094D" w:rsidRPr="005E2A99" w:rsidRDefault="0036094D" w:rsidP="001D0E96">
            <w:pPr>
              <w:spacing w:before="40"/>
              <w:ind w:left="0" w:right="180"/>
              <w:jc w:val="center"/>
              <w:rPr>
                <w:b/>
                <w:sz w:val="23"/>
                <w:szCs w:val="23"/>
              </w:rPr>
            </w:pPr>
            <w:r w:rsidRPr="005E2A99">
              <w:rPr>
                <w:b/>
              </w:rPr>
              <w:t>Examples of health effects associated with a subset of 15 air toxics</w:t>
            </w:r>
          </w:p>
        </w:tc>
      </w:tr>
      <w:tr w:rsidR="00083818" w14:paraId="4CFE3B88" w14:textId="77777777" w:rsidTr="003A7FAC">
        <w:trPr>
          <w:trHeight w:val="666"/>
        </w:trPr>
        <w:tc>
          <w:tcPr>
            <w:tcW w:w="5539" w:type="dxa"/>
            <w:shd w:val="clear" w:color="auto" w:fill="C5E0B3"/>
            <w:tcMar>
              <w:top w:w="100" w:type="dxa"/>
              <w:left w:w="100" w:type="dxa"/>
              <w:bottom w:w="100" w:type="dxa"/>
              <w:right w:w="100" w:type="dxa"/>
            </w:tcMar>
          </w:tcPr>
          <w:p w14:paraId="08A9F407" w14:textId="77777777" w:rsidR="00083818" w:rsidRDefault="00FC36AC" w:rsidP="001D0E96">
            <w:pPr>
              <w:spacing w:before="40"/>
              <w:ind w:left="100"/>
              <w:jc w:val="center"/>
              <w:rPr>
                <w:sz w:val="23"/>
                <w:szCs w:val="23"/>
              </w:rPr>
            </w:pPr>
            <w:r>
              <w:rPr>
                <w:sz w:val="23"/>
                <w:szCs w:val="23"/>
              </w:rPr>
              <w:t>Type of Toxicity</w:t>
            </w:r>
          </w:p>
        </w:tc>
        <w:tc>
          <w:tcPr>
            <w:tcW w:w="4451" w:type="dxa"/>
            <w:shd w:val="clear" w:color="auto" w:fill="C5E0B3"/>
            <w:tcMar>
              <w:top w:w="100" w:type="dxa"/>
              <w:left w:w="100" w:type="dxa"/>
              <w:bottom w:w="100" w:type="dxa"/>
              <w:right w:w="100" w:type="dxa"/>
            </w:tcMar>
          </w:tcPr>
          <w:p w14:paraId="7B0369C9" w14:textId="77777777" w:rsidR="00083818" w:rsidRDefault="00FC36AC" w:rsidP="001D0E96">
            <w:pPr>
              <w:spacing w:before="40"/>
              <w:ind w:left="0" w:right="180"/>
              <w:rPr>
                <w:sz w:val="23"/>
                <w:szCs w:val="23"/>
              </w:rPr>
            </w:pPr>
            <w:r>
              <w:rPr>
                <w:sz w:val="23"/>
                <w:szCs w:val="23"/>
              </w:rPr>
              <w:t>Air toxics associated with these health outcomes</w:t>
            </w:r>
          </w:p>
        </w:tc>
      </w:tr>
      <w:tr w:rsidR="00083818" w14:paraId="4767A9A2" w14:textId="77777777" w:rsidTr="003A7FAC">
        <w:trPr>
          <w:trHeight w:val="1393"/>
        </w:trPr>
        <w:tc>
          <w:tcPr>
            <w:tcW w:w="5539" w:type="dxa"/>
            <w:tcMar>
              <w:top w:w="100" w:type="dxa"/>
              <w:left w:w="100" w:type="dxa"/>
              <w:bottom w:w="100" w:type="dxa"/>
              <w:right w:w="100" w:type="dxa"/>
            </w:tcMar>
          </w:tcPr>
          <w:p w14:paraId="503E9F74" w14:textId="77777777" w:rsidR="00083818" w:rsidRDefault="00FC36AC" w:rsidP="001D0E96">
            <w:pPr>
              <w:ind w:left="140" w:right="20"/>
              <w:rPr>
                <w:sz w:val="23"/>
                <w:szCs w:val="23"/>
              </w:rPr>
            </w:pPr>
            <w:r>
              <w:rPr>
                <w:sz w:val="23"/>
                <w:szCs w:val="23"/>
              </w:rPr>
              <w:t>Respiratory Effects</w:t>
            </w:r>
          </w:p>
          <w:p w14:paraId="0D78172F" w14:textId="77777777" w:rsidR="00083818" w:rsidRDefault="00FC36AC" w:rsidP="001D0E96">
            <w:pPr>
              <w:ind w:left="140" w:right="40"/>
              <w:rPr>
                <w:sz w:val="23"/>
                <w:szCs w:val="23"/>
              </w:rPr>
            </w:pPr>
            <w:r>
              <w:rPr>
                <w:sz w:val="23"/>
                <w:szCs w:val="23"/>
              </w:rPr>
              <w:t>Includes asthma and asthma symptoms (difficulty breathing, shortness of breath, coughing, wheezing, chest pain), reduced lung function, respiratory irritation, and other respiratory conditions</w:t>
            </w:r>
          </w:p>
        </w:tc>
        <w:tc>
          <w:tcPr>
            <w:tcW w:w="4451" w:type="dxa"/>
            <w:tcMar>
              <w:top w:w="100" w:type="dxa"/>
              <w:left w:w="100" w:type="dxa"/>
              <w:bottom w:w="100" w:type="dxa"/>
              <w:right w:w="100" w:type="dxa"/>
            </w:tcMar>
          </w:tcPr>
          <w:p w14:paraId="531E2B15" w14:textId="77777777" w:rsidR="00083818" w:rsidRDefault="00FC36AC" w:rsidP="001D0E96">
            <w:pPr>
              <w:ind w:left="140" w:right="160"/>
              <w:rPr>
                <w:sz w:val="23"/>
                <w:szCs w:val="23"/>
              </w:rPr>
            </w:pPr>
            <w:r>
              <w:rPr>
                <w:sz w:val="23"/>
                <w:szCs w:val="23"/>
              </w:rPr>
              <w:t>formaldehyde*, cobalt*, hexavalent chromium*, cadmium*, chlorine*, acrolein*, hydrogen fluoride*, naphthalene*, PAHs, manganese, arsenic</w:t>
            </w:r>
          </w:p>
        </w:tc>
      </w:tr>
      <w:tr w:rsidR="00083818" w14:paraId="43521063" w14:textId="77777777" w:rsidTr="003A7FAC">
        <w:trPr>
          <w:trHeight w:val="1069"/>
        </w:trPr>
        <w:tc>
          <w:tcPr>
            <w:tcW w:w="5539" w:type="dxa"/>
            <w:tcMar>
              <w:top w:w="100" w:type="dxa"/>
              <w:left w:w="100" w:type="dxa"/>
              <w:bottom w:w="100" w:type="dxa"/>
              <w:right w:w="100" w:type="dxa"/>
            </w:tcMar>
          </w:tcPr>
          <w:p w14:paraId="6EE37FFE" w14:textId="77777777" w:rsidR="00083818" w:rsidRDefault="00FC36AC" w:rsidP="001D0E96">
            <w:pPr>
              <w:ind w:left="140" w:right="20"/>
              <w:rPr>
                <w:sz w:val="23"/>
                <w:szCs w:val="23"/>
              </w:rPr>
            </w:pPr>
            <w:r>
              <w:rPr>
                <w:sz w:val="23"/>
                <w:szCs w:val="23"/>
              </w:rPr>
              <w:t>Cancer</w:t>
            </w:r>
          </w:p>
          <w:p w14:paraId="28B232CE" w14:textId="77777777" w:rsidR="00083818" w:rsidRDefault="00FC36AC" w:rsidP="001D0E96">
            <w:pPr>
              <w:ind w:left="140" w:right="440"/>
              <w:rPr>
                <w:sz w:val="23"/>
                <w:szCs w:val="23"/>
              </w:rPr>
            </w:pPr>
            <w:r>
              <w:rPr>
                <w:sz w:val="23"/>
                <w:szCs w:val="23"/>
              </w:rPr>
              <w:t>includes lung, respiratory, leukemia, lymphoma, liver, kidney and gastrointestinal cancers</w:t>
            </w:r>
          </w:p>
        </w:tc>
        <w:tc>
          <w:tcPr>
            <w:tcW w:w="4451" w:type="dxa"/>
            <w:tcMar>
              <w:top w:w="100" w:type="dxa"/>
              <w:left w:w="100" w:type="dxa"/>
              <w:bottom w:w="100" w:type="dxa"/>
              <w:right w:w="100" w:type="dxa"/>
            </w:tcMar>
          </w:tcPr>
          <w:p w14:paraId="5753C24E" w14:textId="77777777" w:rsidR="00083818" w:rsidRDefault="00FC36AC" w:rsidP="001D0E96">
            <w:pPr>
              <w:ind w:left="140" w:right="560"/>
              <w:rPr>
                <w:sz w:val="23"/>
                <w:szCs w:val="23"/>
              </w:rPr>
            </w:pPr>
            <w:r>
              <w:rPr>
                <w:sz w:val="23"/>
                <w:szCs w:val="23"/>
              </w:rPr>
              <w:t>arsenic*, hexavalent chromium*, cadmium*, formaldehyde*, PAHs*, benzene*, trichloroethylene*, lead*, dioxins*, naphthalene*</w:t>
            </w:r>
          </w:p>
        </w:tc>
      </w:tr>
      <w:tr w:rsidR="00083818" w14:paraId="2280F3A9" w14:textId="77777777" w:rsidTr="003A7FAC">
        <w:trPr>
          <w:trHeight w:val="601"/>
        </w:trPr>
        <w:tc>
          <w:tcPr>
            <w:tcW w:w="5539" w:type="dxa"/>
            <w:tcMar>
              <w:top w:w="100" w:type="dxa"/>
              <w:left w:w="100" w:type="dxa"/>
              <w:bottom w:w="100" w:type="dxa"/>
              <w:right w:w="100" w:type="dxa"/>
            </w:tcMar>
          </w:tcPr>
          <w:p w14:paraId="3E4B8EF1" w14:textId="77777777" w:rsidR="00083818" w:rsidRDefault="00FC36AC" w:rsidP="001D0E96">
            <w:pPr>
              <w:ind w:left="140" w:right="20"/>
              <w:rPr>
                <w:sz w:val="23"/>
                <w:szCs w:val="23"/>
              </w:rPr>
            </w:pPr>
            <w:r>
              <w:rPr>
                <w:sz w:val="23"/>
                <w:szCs w:val="23"/>
              </w:rPr>
              <w:t>Heart Disease</w:t>
            </w:r>
          </w:p>
          <w:p w14:paraId="73B77962" w14:textId="77777777" w:rsidR="00083818" w:rsidRDefault="00FC36AC" w:rsidP="001D0E96">
            <w:pPr>
              <w:ind w:left="140" w:right="20"/>
              <w:rPr>
                <w:sz w:val="23"/>
                <w:szCs w:val="23"/>
              </w:rPr>
            </w:pPr>
            <w:r>
              <w:rPr>
                <w:sz w:val="23"/>
                <w:szCs w:val="23"/>
              </w:rPr>
              <w:t>includes hypertension, arrhythmia, heart attack</w:t>
            </w:r>
          </w:p>
        </w:tc>
        <w:tc>
          <w:tcPr>
            <w:tcW w:w="4451" w:type="dxa"/>
            <w:tcMar>
              <w:top w:w="100" w:type="dxa"/>
              <w:left w:w="100" w:type="dxa"/>
              <w:bottom w:w="100" w:type="dxa"/>
              <w:right w:w="100" w:type="dxa"/>
            </w:tcMar>
          </w:tcPr>
          <w:p w14:paraId="60B88987" w14:textId="77777777" w:rsidR="00083818" w:rsidRDefault="00FC36AC" w:rsidP="001D0E96">
            <w:pPr>
              <w:ind w:left="140" w:right="380"/>
              <w:rPr>
                <w:sz w:val="23"/>
                <w:szCs w:val="23"/>
              </w:rPr>
            </w:pPr>
            <w:r>
              <w:rPr>
                <w:sz w:val="23"/>
                <w:szCs w:val="23"/>
              </w:rPr>
              <w:t>arsenic, PAHs, lead, acrolein, hydrogen fluoride</w:t>
            </w:r>
          </w:p>
        </w:tc>
      </w:tr>
      <w:tr w:rsidR="00083818" w14:paraId="68918523" w14:textId="77777777" w:rsidTr="003A7FAC">
        <w:trPr>
          <w:trHeight w:val="684"/>
        </w:trPr>
        <w:tc>
          <w:tcPr>
            <w:tcW w:w="5539" w:type="dxa"/>
            <w:tcMar>
              <w:top w:w="100" w:type="dxa"/>
              <w:left w:w="100" w:type="dxa"/>
              <w:bottom w:w="100" w:type="dxa"/>
              <w:right w:w="100" w:type="dxa"/>
            </w:tcMar>
          </w:tcPr>
          <w:p w14:paraId="48105849" w14:textId="77777777" w:rsidR="00083818" w:rsidRDefault="00FC36AC" w:rsidP="001D0E96">
            <w:pPr>
              <w:spacing w:before="40"/>
              <w:ind w:left="140" w:right="20"/>
              <w:rPr>
                <w:sz w:val="23"/>
                <w:szCs w:val="23"/>
              </w:rPr>
            </w:pPr>
            <w:r>
              <w:rPr>
                <w:sz w:val="23"/>
                <w:szCs w:val="23"/>
              </w:rPr>
              <w:t>Kidney Function</w:t>
            </w:r>
          </w:p>
          <w:p w14:paraId="3617C3B5" w14:textId="77777777" w:rsidR="00083818" w:rsidRDefault="00FC36AC" w:rsidP="001D0E96">
            <w:pPr>
              <w:ind w:left="140" w:right="20"/>
              <w:rPr>
                <w:sz w:val="23"/>
                <w:szCs w:val="23"/>
              </w:rPr>
            </w:pPr>
            <w:r>
              <w:rPr>
                <w:sz w:val="23"/>
                <w:szCs w:val="23"/>
              </w:rPr>
              <w:t>includes reduced kidney function, kidney stones</w:t>
            </w:r>
          </w:p>
        </w:tc>
        <w:tc>
          <w:tcPr>
            <w:tcW w:w="4451" w:type="dxa"/>
            <w:tcMar>
              <w:top w:w="100" w:type="dxa"/>
              <w:left w:w="100" w:type="dxa"/>
              <w:bottom w:w="100" w:type="dxa"/>
              <w:right w:w="100" w:type="dxa"/>
            </w:tcMar>
          </w:tcPr>
          <w:p w14:paraId="48BBD2C4" w14:textId="77777777" w:rsidR="00083818" w:rsidRDefault="00FC36AC" w:rsidP="001D0E96">
            <w:pPr>
              <w:spacing w:before="40"/>
              <w:ind w:left="140" w:right="720"/>
              <w:rPr>
                <w:sz w:val="23"/>
                <w:szCs w:val="23"/>
              </w:rPr>
            </w:pPr>
            <w:r>
              <w:rPr>
                <w:sz w:val="23"/>
                <w:szCs w:val="23"/>
              </w:rPr>
              <w:t>cadmium*, lead, trichloroethylene, hydrogen fluoride</w:t>
            </w:r>
          </w:p>
        </w:tc>
      </w:tr>
      <w:tr w:rsidR="00083818" w14:paraId="33514603" w14:textId="77777777" w:rsidTr="003A7FAC">
        <w:trPr>
          <w:trHeight w:val="774"/>
        </w:trPr>
        <w:tc>
          <w:tcPr>
            <w:tcW w:w="5539" w:type="dxa"/>
            <w:tcMar>
              <w:top w:w="100" w:type="dxa"/>
              <w:left w:w="100" w:type="dxa"/>
              <w:bottom w:w="100" w:type="dxa"/>
              <w:right w:w="100" w:type="dxa"/>
            </w:tcMar>
          </w:tcPr>
          <w:p w14:paraId="31AD8B0C" w14:textId="77777777" w:rsidR="00083818" w:rsidRDefault="00FC36AC" w:rsidP="001D0E96">
            <w:pPr>
              <w:spacing w:before="40"/>
              <w:ind w:left="140" w:right="20"/>
              <w:rPr>
                <w:sz w:val="23"/>
                <w:szCs w:val="23"/>
              </w:rPr>
            </w:pPr>
            <w:r>
              <w:rPr>
                <w:sz w:val="23"/>
                <w:szCs w:val="23"/>
              </w:rPr>
              <w:t>Liver Disease</w:t>
            </w:r>
          </w:p>
          <w:p w14:paraId="69BC2472" w14:textId="77777777" w:rsidR="00083818" w:rsidRDefault="00FC36AC" w:rsidP="001D0E96">
            <w:pPr>
              <w:ind w:left="140" w:right="20"/>
              <w:rPr>
                <w:sz w:val="23"/>
                <w:szCs w:val="23"/>
              </w:rPr>
            </w:pPr>
            <w:r>
              <w:rPr>
                <w:sz w:val="23"/>
                <w:szCs w:val="23"/>
              </w:rPr>
              <w:t>includes reduced liver function, fatty liver disease</w:t>
            </w:r>
          </w:p>
        </w:tc>
        <w:tc>
          <w:tcPr>
            <w:tcW w:w="4451" w:type="dxa"/>
            <w:tcMar>
              <w:top w:w="100" w:type="dxa"/>
              <w:left w:w="100" w:type="dxa"/>
              <w:bottom w:w="100" w:type="dxa"/>
              <w:right w:w="100" w:type="dxa"/>
            </w:tcMar>
          </w:tcPr>
          <w:p w14:paraId="00E59E61" w14:textId="77777777" w:rsidR="00083818" w:rsidRDefault="00FC36AC" w:rsidP="001D0E96">
            <w:pPr>
              <w:spacing w:before="40"/>
              <w:ind w:left="140" w:right="580"/>
              <w:rPr>
                <w:sz w:val="23"/>
                <w:szCs w:val="23"/>
              </w:rPr>
            </w:pPr>
            <w:r>
              <w:rPr>
                <w:sz w:val="23"/>
                <w:szCs w:val="23"/>
              </w:rPr>
              <w:t>dioxin*, trichloroethylene, hydrogen fluoride</w:t>
            </w:r>
          </w:p>
          <w:p w14:paraId="03F99455" w14:textId="77777777" w:rsidR="001D0E96" w:rsidRDefault="001D0E96" w:rsidP="001D0E96">
            <w:pPr>
              <w:spacing w:before="40"/>
              <w:ind w:left="140" w:right="580"/>
              <w:rPr>
                <w:sz w:val="23"/>
                <w:szCs w:val="23"/>
              </w:rPr>
            </w:pPr>
          </w:p>
          <w:p w14:paraId="18BC30FD" w14:textId="77777777" w:rsidR="001D0E96" w:rsidRDefault="001D0E96" w:rsidP="001D0E96">
            <w:pPr>
              <w:spacing w:before="40"/>
              <w:ind w:left="140" w:right="580"/>
              <w:rPr>
                <w:sz w:val="23"/>
                <w:szCs w:val="23"/>
              </w:rPr>
            </w:pPr>
          </w:p>
          <w:p w14:paraId="71CF287D" w14:textId="77777777" w:rsidR="001D0E96" w:rsidRDefault="001D0E96" w:rsidP="001D0E96">
            <w:pPr>
              <w:spacing w:before="40"/>
              <w:ind w:left="140" w:right="580"/>
              <w:rPr>
                <w:sz w:val="23"/>
                <w:szCs w:val="23"/>
              </w:rPr>
            </w:pPr>
          </w:p>
        </w:tc>
      </w:tr>
      <w:tr w:rsidR="0036094D" w14:paraId="2F59D158" w14:textId="77777777" w:rsidTr="003A7FAC">
        <w:trPr>
          <w:trHeight w:val="860"/>
        </w:trPr>
        <w:tc>
          <w:tcPr>
            <w:tcW w:w="5539" w:type="dxa"/>
            <w:shd w:val="clear" w:color="auto" w:fill="C5E0B3"/>
            <w:tcMar>
              <w:top w:w="100" w:type="dxa"/>
              <w:left w:w="100" w:type="dxa"/>
              <w:bottom w:w="100" w:type="dxa"/>
              <w:right w:w="100" w:type="dxa"/>
            </w:tcMar>
          </w:tcPr>
          <w:p w14:paraId="6DB0AF1F" w14:textId="77777777" w:rsidR="0036094D" w:rsidRDefault="0036094D" w:rsidP="001D0E96">
            <w:pPr>
              <w:spacing w:before="40"/>
              <w:ind w:left="100"/>
              <w:jc w:val="center"/>
              <w:rPr>
                <w:sz w:val="23"/>
                <w:szCs w:val="23"/>
              </w:rPr>
            </w:pPr>
            <w:r>
              <w:rPr>
                <w:sz w:val="23"/>
                <w:szCs w:val="23"/>
              </w:rPr>
              <w:t>Type of Toxicity</w:t>
            </w:r>
          </w:p>
        </w:tc>
        <w:tc>
          <w:tcPr>
            <w:tcW w:w="4451" w:type="dxa"/>
            <w:shd w:val="clear" w:color="auto" w:fill="C5E0B3"/>
            <w:tcMar>
              <w:top w:w="100" w:type="dxa"/>
              <w:left w:w="100" w:type="dxa"/>
              <w:bottom w:w="100" w:type="dxa"/>
              <w:right w:w="100" w:type="dxa"/>
            </w:tcMar>
          </w:tcPr>
          <w:p w14:paraId="2E3B2DD3" w14:textId="77777777" w:rsidR="0036094D" w:rsidRDefault="0036094D" w:rsidP="001D0E96">
            <w:pPr>
              <w:spacing w:before="40"/>
              <w:ind w:left="0" w:right="180"/>
              <w:rPr>
                <w:sz w:val="23"/>
                <w:szCs w:val="23"/>
              </w:rPr>
            </w:pPr>
            <w:r>
              <w:rPr>
                <w:sz w:val="23"/>
                <w:szCs w:val="23"/>
              </w:rPr>
              <w:t>Air toxics associated with these health outcomes</w:t>
            </w:r>
          </w:p>
        </w:tc>
      </w:tr>
      <w:tr w:rsidR="00083818" w14:paraId="0967E8F6" w14:textId="77777777" w:rsidTr="003A7FAC">
        <w:trPr>
          <w:trHeight w:val="1413"/>
        </w:trPr>
        <w:tc>
          <w:tcPr>
            <w:tcW w:w="5539" w:type="dxa"/>
            <w:tcMar>
              <w:top w:w="100" w:type="dxa"/>
              <w:left w:w="100" w:type="dxa"/>
              <w:bottom w:w="100" w:type="dxa"/>
              <w:right w:w="100" w:type="dxa"/>
            </w:tcMar>
          </w:tcPr>
          <w:p w14:paraId="4FF7ABA5" w14:textId="77777777" w:rsidR="00083818" w:rsidRDefault="00FC36AC" w:rsidP="001D0E96">
            <w:pPr>
              <w:spacing w:before="40"/>
              <w:ind w:left="140" w:right="20"/>
              <w:rPr>
                <w:sz w:val="23"/>
                <w:szCs w:val="23"/>
              </w:rPr>
            </w:pPr>
            <w:r>
              <w:rPr>
                <w:sz w:val="23"/>
                <w:szCs w:val="23"/>
              </w:rPr>
              <w:t>Neurological Effects</w:t>
            </w:r>
          </w:p>
          <w:p w14:paraId="6B80A883" w14:textId="77777777" w:rsidR="00083818" w:rsidRDefault="00FC36AC" w:rsidP="001D0E96">
            <w:pPr>
              <w:ind w:left="140" w:right="320"/>
              <w:rPr>
                <w:sz w:val="23"/>
                <w:szCs w:val="23"/>
              </w:rPr>
            </w:pPr>
            <w:r>
              <w:rPr>
                <w:sz w:val="23"/>
                <w:szCs w:val="23"/>
              </w:rPr>
              <w:t>includes effects on motor function, balance, vision, hearing, cognition, memory, anxiety, focus or behavior following exposure as an adult or during brain development</w:t>
            </w:r>
          </w:p>
        </w:tc>
        <w:tc>
          <w:tcPr>
            <w:tcW w:w="4451" w:type="dxa"/>
            <w:tcMar>
              <w:top w:w="100" w:type="dxa"/>
              <w:left w:w="100" w:type="dxa"/>
              <w:bottom w:w="100" w:type="dxa"/>
              <w:right w:w="100" w:type="dxa"/>
            </w:tcMar>
          </w:tcPr>
          <w:p w14:paraId="41CDA60C" w14:textId="77777777" w:rsidR="00083818" w:rsidRDefault="00FC36AC" w:rsidP="001D0E96">
            <w:pPr>
              <w:spacing w:before="40"/>
              <w:ind w:left="140" w:right="260"/>
              <w:rPr>
                <w:sz w:val="23"/>
                <w:szCs w:val="23"/>
              </w:rPr>
            </w:pPr>
            <w:r>
              <w:rPr>
                <w:sz w:val="23"/>
                <w:szCs w:val="23"/>
              </w:rPr>
              <w:t>lead*, arsenic*, manganese*, cadmium, PAHs, benzene, trichloroethylene, formaldehyde, cobalt</w:t>
            </w:r>
          </w:p>
        </w:tc>
      </w:tr>
      <w:tr w:rsidR="00083818" w14:paraId="2717DFDC" w14:textId="77777777" w:rsidTr="003A7FAC">
        <w:trPr>
          <w:trHeight w:val="1141"/>
        </w:trPr>
        <w:tc>
          <w:tcPr>
            <w:tcW w:w="5539" w:type="dxa"/>
            <w:tcMar>
              <w:top w:w="100" w:type="dxa"/>
              <w:left w:w="100" w:type="dxa"/>
              <w:bottom w:w="100" w:type="dxa"/>
              <w:right w:w="100" w:type="dxa"/>
            </w:tcMar>
          </w:tcPr>
          <w:p w14:paraId="7260ED98" w14:textId="77777777" w:rsidR="00083818" w:rsidRDefault="00FC36AC" w:rsidP="001D0E96">
            <w:pPr>
              <w:ind w:left="140" w:right="20"/>
              <w:rPr>
                <w:sz w:val="23"/>
                <w:szCs w:val="23"/>
              </w:rPr>
            </w:pPr>
            <w:r>
              <w:rPr>
                <w:sz w:val="23"/>
                <w:szCs w:val="23"/>
              </w:rPr>
              <w:t>Fetal Development</w:t>
            </w:r>
          </w:p>
          <w:p w14:paraId="0B87E452" w14:textId="77777777" w:rsidR="00083818" w:rsidRDefault="00FC36AC" w:rsidP="001D0E96">
            <w:pPr>
              <w:ind w:left="140" w:right="280"/>
              <w:rPr>
                <w:sz w:val="23"/>
                <w:szCs w:val="23"/>
              </w:rPr>
            </w:pPr>
            <w:r>
              <w:rPr>
                <w:sz w:val="23"/>
                <w:szCs w:val="23"/>
              </w:rPr>
              <w:t>includes low birth weight, pre-term birth, miscarriage, and birth defects following exposure to mothers during pregnancy</w:t>
            </w:r>
          </w:p>
        </w:tc>
        <w:tc>
          <w:tcPr>
            <w:tcW w:w="4451" w:type="dxa"/>
            <w:tcMar>
              <w:top w:w="100" w:type="dxa"/>
              <w:left w:w="100" w:type="dxa"/>
              <w:bottom w:w="100" w:type="dxa"/>
              <w:right w:w="100" w:type="dxa"/>
            </w:tcMar>
          </w:tcPr>
          <w:p w14:paraId="774EDA41" w14:textId="77777777" w:rsidR="00083818" w:rsidRDefault="00FC36AC" w:rsidP="001D0E96">
            <w:pPr>
              <w:ind w:left="140" w:right="600"/>
              <w:rPr>
                <w:sz w:val="23"/>
                <w:szCs w:val="23"/>
              </w:rPr>
            </w:pPr>
            <w:r>
              <w:rPr>
                <w:sz w:val="23"/>
                <w:szCs w:val="23"/>
              </w:rPr>
              <w:t>arsenic*, PAHs*, trichloroethylene*, formaldehyde, cadmium, benzene, trichloroethylene, lead, dioxins</w:t>
            </w:r>
          </w:p>
        </w:tc>
      </w:tr>
      <w:tr w:rsidR="00083818" w14:paraId="29C19E36" w14:textId="77777777" w:rsidTr="003A7FAC">
        <w:trPr>
          <w:trHeight w:val="1224"/>
        </w:trPr>
        <w:tc>
          <w:tcPr>
            <w:tcW w:w="5539" w:type="dxa"/>
            <w:tcMar>
              <w:top w:w="100" w:type="dxa"/>
              <w:left w:w="100" w:type="dxa"/>
              <w:bottom w:w="100" w:type="dxa"/>
              <w:right w:w="100" w:type="dxa"/>
            </w:tcMar>
          </w:tcPr>
          <w:p w14:paraId="59F3B24B" w14:textId="77777777" w:rsidR="00083818" w:rsidRDefault="00FC36AC" w:rsidP="001D0E96">
            <w:pPr>
              <w:spacing w:before="40"/>
              <w:ind w:left="140" w:right="20"/>
              <w:rPr>
                <w:sz w:val="23"/>
                <w:szCs w:val="23"/>
              </w:rPr>
            </w:pPr>
            <w:r>
              <w:rPr>
                <w:sz w:val="23"/>
                <w:szCs w:val="23"/>
              </w:rPr>
              <w:t>Impaired Fertility</w:t>
            </w:r>
          </w:p>
          <w:p w14:paraId="750BCA00" w14:textId="77777777" w:rsidR="00083818" w:rsidRDefault="00FC36AC" w:rsidP="001D0E96">
            <w:pPr>
              <w:ind w:left="140" w:right="160"/>
              <w:rPr>
                <w:sz w:val="23"/>
                <w:szCs w:val="23"/>
              </w:rPr>
            </w:pPr>
            <w:r>
              <w:rPr>
                <w:sz w:val="23"/>
                <w:szCs w:val="23"/>
              </w:rPr>
              <w:t>includes damage to male or female reproductive organs, reduced sperm counts, altered sex hormones, and infertility</w:t>
            </w:r>
          </w:p>
        </w:tc>
        <w:tc>
          <w:tcPr>
            <w:tcW w:w="4451" w:type="dxa"/>
            <w:tcMar>
              <w:top w:w="100" w:type="dxa"/>
              <w:left w:w="100" w:type="dxa"/>
              <w:bottom w:w="100" w:type="dxa"/>
              <w:right w:w="100" w:type="dxa"/>
            </w:tcMar>
          </w:tcPr>
          <w:p w14:paraId="60514B46" w14:textId="77777777" w:rsidR="00083818" w:rsidRDefault="00FC36AC" w:rsidP="001D0E96">
            <w:pPr>
              <w:spacing w:before="40"/>
              <w:ind w:left="140" w:right="120"/>
              <w:rPr>
                <w:sz w:val="23"/>
                <w:szCs w:val="23"/>
              </w:rPr>
            </w:pPr>
            <w:r>
              <w:rPr>
                <w:sz w:val="23"/>
                <w:szCs w:val="23"/>
              </w:rPr>
              <w:t>manganese, PAHs, hexavalent chromium, dioxins, trichloroethylene</w:t>
            </w:r>
          </w:p>
        </w:tc>
      </w:tr>
      <w:tr w:rsidR="00083818" w14:paraId="3C8EED25" w14:textId="77777777" w:rsidTr="003A7FAC">
        <w:trPr>
          <w:trHeight w:val="684"/>
        </w:trPr>
        <w:tc>
          <w:tcPr>
            <w:tcW w:w="5539" w:type="dxa"/>
            <w:tcMar>
              <w:top w:w="100" w:type="dxa"/>
              <w:left w:w="100" w:type="dxa"/>
              <w:bottom w:w="100" w:type="dxa"/>
              <w:right w:w="100" w:type="dxa"/>
            </w:tcMar>
          </w:tcPr>
          <w:p w14:paraId="03DF5909" w14:textId="77777777" w:rsidR="00083818" w:rsidRDefault="00FC36AC" w:rsidP="001D0E96">
            <w:pPr>
              <w:spacing w:before="40"/>
              <w:ind w:left="140" w:right="20"/>
              <w:rPr>
                <w:sz w:val="23"/>
                <w:szCs w:val="23"/>
              </w:rPr>
            </w:pPr>
            <w:r>
              <w:rPr>
                <w:sz w:val="23"/>
                <w:szCs w:val="23"/>
              </w:rPr>
              <w:t>Blood Regulation</w:t>
            </w:r>
          </w:p>
          <w:p w14:paraId="2A675276" w14:textId="77777777" w:rsidR="00083818" w:rsidRDefault="00FC36AC" w:rsidP="001D0E96">
            <w:pPr>
              <w:ind w:left="140" w:right="20"/>
              <w:rPr>
                <w:sz w:val="23"/>
                <w:szCs w:val="23"/>
              </w:rPr>
            </w:pPr>
            <w:r>
              <w:rPr>
                <w:sz w:val="23"/>
                <w:szCs w:val="23"/>
              </w:rPr>
              <w:t>includes impaired bone marrow function, anemia</w:t>
            </w:r>
          </w:p>
        </w:tc>
        <w:tc>
          <w:tcPr>
            <w:tcW w:w="4451" w:type="dxa"/>
            <w:tcMar>
              <w:top w:w="100" w:type="dxa"/>
              <w:left w:w="100" w:type="dxa"/>
              <w:bottom w:w="100" w:type="dxa"/>
              <w:right w:w="100" w:type="dxa"/>
            </w:tcMar>
          </w:tcPr>
          <w:p w14:paraId="58D34871" w14:textId="77777777" w:rsidR="00083818" w:rsidRDefault="00FC36AC" w:rsidP="001D0E96">
            <w:pPr>
              <w:spacing w:before="40"/>
              <w:ind w:left="140" w:right="20"/>
              <w:rPr>
                <w:sz w:val="23"/>
                <w:szCs w:val="23"/>
              </w:rPr>
            </w:pPr>
            <w:r>
              <w:rPr>
                <w:sz w:val="23"/>
                <w:szCs w:val="23"/>
              </w:rPr>
              <w:t>benzene*, lead, naphthalene, cobalt</w:t>
            </w:r>
          </w:p>
        </w:tc>
      </w:tr>
      <w:tr w:rsidR="00083818" w14:paraId="3708A464" w14:textId="77777777" w:rsidTr="003A7FAC">
        <w:trPr>
          <w:trHeight w:val="774"/>
        </w:trPr>
        <w:tc>
          <w:tcPr>
            <w:tcW w:w="5539" w:type="dxa"/>
            <w:tcMar>
              <w:top w:w="100" w:type="dxa"/>
              <w:left w:w="100" w:type="dxa"/>
              <w:bottom w:w="100" w:type="dxa"/>
              <w:right w:w="100" w:type="dxa"/>
            </w:tcMar>
          </w:tcPr>
          <w:p w14:paraId="522C72F7" w14:textId="77777777" w:rsidR="00083818" w:rsidRDefault="00FC36AC" w:rsidP="001D0E96">
            <w:pPr>
              <w:spacing w:before="40"/>
              <w:ind w:left="140" w:right="20"/>
              <w:rPr>
                <w:sz w:val="23"/>
                <w:szCs w:val="23"/>
              </w:rPr>
            </w:pPr>
            <w:r>
              <w:rPr>
                <w:sz w:val="23"/>
                <w:szCs w:val="23"/>
              </w:rPr>
              <w:t>Immune Function</w:t>
            </w:r>
          </w:p>
          <w:p w14:paraId="0E43555C" w14:textId="77777777" w:rsidR="00083818" w:rsidRDefault="00FC36AC" w:rsidP="001D0E96">
            <w:pPr>
              <w:ind w:left="140" w:right="20"/>
              <w:rPr>
                <w:sz w:val="23"/>
                <w:szCs w:val="23"/>
              </w:rPr>
            </w:pPr>
            <w:r>
              <w:rPr>
                <w:sz w:val="23"/>
                <w:szCs w:val="23"/>
              </w:rPr>
              <w:t>includes allergic responses, reduced immune function</w:t>
            </w:r>
          </w:p>
        </w:tc>
        <w:tc>
          <w:tcPr>
            <w:tcW w:w="4451" w:type="dxa"/>
            <w:tcMar>
              <w:top w:w="100" w:type="dxa"/>
              <w:left w:w="100" w:type="dxa"/>
              <w:bottom w:w="100" w:type="dxa"/>
              <w:right w:w="100" w:type="dxa"/>
            </w:tcMar>
          </w:tcPr>
          <w:p w14:paraId="482E65EA" w14:textId="77777777" w:rsidR="00083818" w:rsidRDefault="00FC36AC" w:rsidP="001D0E96">
            <w:pPr>
              <w:spacing w:before="40"/>
              <w:ind w:left="140" w:right="420"/>
              <w:rPr>
                <w:sz w:val="23"/>
                <w:szCs w:val="23"/>
              </w:rPr>
            </w:pPr>
            <w:r>
              <w:rPr>
                <w:sz w:val="23"/>
                <w:szCs w:val="23"/>
              </w:rPr>
              <w:t>trichloroethylene*, benzene*, dioxins, PAHs</w:t>
            </w:r>
          </w:p>
        </w:tc>
      </w:tr>
    </w:tbl>
    <w:p w14:paraId="619756C2" w14:textId="77777777" w:rsidR="00083818" w:rsidRPr="0036094D" w:rsidRDefault="00083818" w:rsidP="005E2A99">
      <w:pPr>
        <w:ind w:left="460" w:right="20"/>
        <w:rPr>
          <w:sz w:val="13"/>
          <w:szCs w:val="13"/>
        </w:rPr>
      </w:pPr>
    </w:p>
    <w:p w14:paraId="05E846CB" w14:textId="545210ED" w:rsidR="00083818" w:rsidRDefault="00FC36AC" w:rsidP="005E2A99">
      <w:pPr>
        <w:ind w:left="460" w:right="20"/>
        <w:rPr>
          <w:sz w:val="13"/>
          <w:szCs w:val="13"/>
        </w:rPr>
      </w:pPr>
      <w:r>
        <w:rPr>
          <w:sz w:val="13"/>
          <w:szCs w:val="13"/>
        </w:rPr>
        <w:t>*</w:t>
      </w:r>
      <w:r>
        <w:rPr>
          <w:sz w:val="20"/>
          <w:szCs w:val="20"/>
        </w:rPr>
        <w:t>For these chemicals, the associated health effect serves as the basis for Risk Action Levels proposed in Cleaner Air Oregon. Inclusion of all other chemicals is based on studies referenced in EPA, ATSDR, or OEHHA documents. The magnitude of and certainty around these associations varies.</w:t>
      </w:r>
      <w:r w:rsidR="00004783">
        <w:rPr>
          <w:rStyle w:val="FootnoteReference"/>
          <w:sz w:val="20"/>
          <w:szCs w:val="20"/>
        </w:rPr>
        <w:footnoteReference w:id="2"/>
      </w:r>
    </w:p>
    <w:p w14:paraId="3AF085F4" w14:textId="77777777" w:rsidR="00083818" w:rsidRDefault="00083818" w:rsidP="005E2A99">
      <w:pPr>
        <w:ind w:left="460" w:right="20"/>
        <w:rPr>
          <w:sz w:val="13"/>
          <w:szCs w:val="13"/>
        </w:rPr>
      </w:pPr>
    </w:p>
    <w:p w14:paraId="33E1E751" w14:textId="77777777" w:rsidR="002D18F2" w:rsidRDefault="002D18F2">
      <w:pPr>
        <w:ind w:left="0" w:right="20"/>
        <w:rPr>
          <w:rFonts w:ascii="Arial" w:eastAsia="Arial" w:hAnsi="Arial" w:cs="Arial"/>
          <w:b/>
        </w:rPr>
      </w:pPr>
    </w:p>
    <w:p w14:paraId="384FC1ED" w14:textId="2F8DBD8C" w:rsidR="00083818" w:rsidRDefault="00DF5063" w:rsidP="002D18F2">
      <w:pPr>
        <w:pStyle w:val="Heading4"/>
      </w:pPr>
      <w:r>
        <w:t>Information needed to quantify economic impact of health i</w:t>
      </w:r>
      <w:r w:rsidR="00FC36AC">
        <w:t>mprovements</w:t>
      </w:r>
    </w:p>
    <w:p w14:paraId="66CF643B" w14:textId="26729703" w:rsidR="00083818" w:rsidRDefault="00FC36AC" w:rsidP="002D18F2">
      <w:pPr>
        <w:ind w:left="0" w:right="540"/>
      </w:pPr>
      <w:r>
        <w:t xml:space="preserve">Oregon currently lacks the data necessary to quantify total potential health cost savings from Cleaner Air Oregon because of the lack of information about how many people are exposed to specific concentrations of industrial and commercial air toxics emissions and the relative actual contribution of air toxics to disease. Just as a lack of information about individual facility risk assessment and emission reduction outcomes prevents DEQ from quantifying specific fiscal impacts to businesses, a lack of health information also prevents DEQ from quantifying specific positive fiscal impacts from potential Cleaner Air Oregon emission reductions. The health impact of reducing emissions depends on the specific chemicals that are being reduced, the health risks those chemicals </w:t>
      </w:r>
      <w:r w:rsidR="000C73F2">
        <w:t>influence,</w:t>
      </w:r>
      <w:r>
        <w:t xml:space="preserve"> the relationship between exposure and </w:t>
      </w:r>
      <w:r w:rsidR="000C73F2">
        <w:t>health,</w:t>
      </w:r>
      <w:r>
        <w:t xml:space="preserve"> and the extent to which emissions are </w:t>
      </w:r>
      <w:r w:rsidR="000C73F2">
        <w:t xml:space="preserve">reduced. </w:t>
      </w:r>
      <w:r>
        <w:t xml:space="preserve">Defining the economic impact of improved health further requires knowledge of the portion of cases that are related to air toxics exposures, prevalence of health outcomes in the state, and the cost of medical treatment for each case. </w:t>
      </w:r>
    </w:p>
    <w:p w14:paraId="37CFD48B" w14:textId="6E98569B" w:rsidR="00083818" w:rsidRDefault="00083818">
      <w:pPr>
        <w:ind w:left="0" w:right="20"/>
      </w:pPr>
    </w:p>
    <w:p w14:paraId="3B199AE2" w14:textId="41DC6CA2" w:rsidR="00083818" w:rsidRDefault="00DF5063" w:rsidP="002D18F2">
      <w:pPr>
        <w:pStyle w:val="Heading4"/>
      </w:pPr>
      <w:r>
        <w:t>Costs of chronic d</w:t>
      </w:r>
      <w:r w:rsidR="00FC36AC">
        <w:t>iseases in Oregon</w:t>
      </w:r>
    </w:p>
    <w:p w14:paraId="6057A764" w14:textId="4FC7D242" w:rsidR="00083818" w:rsidRDefault="00FC36AC">
      <w:pPr>
        <w:ind w:left="0" w:right="20"/>
      </w:pPr>
      <w:r>
        <w:t>Air toxics included in Cleaner Air Oregon are associated with increased risk of four of the top five leading causes of death in Oregon (heart disease, stroke, respiratory disease, and cancer).</w:t>
      </w:r>
      <w:r w:rsidR="00E51F29">
        <w:rPr>
          <w:rStyle w:val="FootnoteReference"/>
        </w:rPr>
        <w:footnoteReference w:id="3"/>
      </w:r>
      <w:r w:rsidR="00E51F29">
        <w:t xml:space="preserve"> </w:t>
      </w:r>
      <w:r>
        <w:t xml:space="preserve">DEQ and OHA don’t know what portion of these may be attributable to industrial and commercial air toxics, but data clearly show that chronic diseases have a substantial social and economic impact in Oregon. OHA uses Center for Disease Control and Prevention data to estimate the cost of certain chronic diseases in Oregon. If even a small fraction of these chronic health outcomes is attributable to air toxics, reducing emissions could prevent substantial health costs. The total estimated costs of chronic diseases tracked in </w:t>
      </w:r>
      <w:r w:rsidR="001D0E96">
        <w:t>Oregon are summarized in Table 9</w:t>
      </w:r>
      <w:r>
        <w:t>.</w:t>
      </w:r>
    </w:p>
    <w:p w14:paraId="3EC43ADF" w14:textId="77777777" w:rsidR="002D18F2" w:rsidRDefault="002D18F2">
      <w:pPr>
        <w:ind w:left="0" w:right="20"/>
      </w:pPr>
    </w:p>
    <w:tbl>
      <w:tblPr>
        <w:tblStyle w:val="af6"/>
        <w:tblW w:w="9626" w:type="dxa"/>
        <w:tblInd w:w="-9" w:type="dxa"/>
        <w:tblBorders>
          <w:top w:val="nil"/>
          <w:left w:val="nil"/>
          <w:bottom w:val="nil"/>
          <w:right w:val="nil"/>
          <w:insideH w:val="nil"/>
          <w:insideV w:val="nil"/>
        </w:tblBorders>
        <w:tblLayout w:type="fixed"/>
        <w:tblLook w:val="0600" w:firstRow="0" w:lastRow="0" w:firstColumn="0" w:lastColumn="0" w:noHBand="1" w:noVBand="1"/>
      </w:tblPr>
      <w:tblGrid>
        <w:gridCol w:w="1710"/>
        <w:gridCol w:w="2175"/>
        <w:gridCol w:w="1275"/>
        <w:gridCol w:w="1560"/>
        <w:gridCol w:w="2906"/>
      </w:tblGrid>
      <w:tr w:rsidR="00830167" w14:paraId="0EE1B779" w14:textId="77777777" w:rsidTr="001D0E96">
        <w:trPr>
          <w:trHeight w:val="1224"/>
        </w:trPr>
        <w:tc>
          <w:tcPr>
            <w:tcW w:w="9626" w:type="dxa"/>
            <w:gridSpan w:val="5"/>
            <w:tcBorders>
              <w:top w:val="single" w:sz="7" w:space="0" w:color="000000"/>
              <w:left w:val="single" w:sz="7" w:space="0" w:color="000000"/>
              <w:bottom w:val="single" w:sz="7" w:space="0" w:color="000000"/>
              <w:right w:val="single" w:sz="7" w:space="0" w:color="000000"/>
            </w:tcBorders>
            <w:shd w:val="clear" w:color="auto" w:fill="E2EFD9"/>
            <w:tcMar>
              <w:top w:w="100" w:type="dxa"/>
              <w:left w:w="100" w:type="dxa"/>
              <w:bottom w:w="100" w:type="dxa"/>
              <w:right w:w="100" w:type="dxa"/>
            </w:tcMar>
          </w:tcPr>
          <w:p w14:paraId="1A2E3AD7" w14:textId="1F0161EA" w:rsidR="00830167" w:rsidRPr="005E2A99" w:rsidRDefault="001D0E96" w:rsidP="001D0E96">
            <w:pPr>
              <w:pStyle w:val="Heading2"/>
              <w:ind w:left="-100"/>
              <w:jc w:val="center"/>
              <w:rPr>
                <w:rFonts w:ascii="Times New Roman" w:hAnsi="Times New Roman" w:cs="Times New Roman"/>
                <w:sz w:val="24"/>
                <w:szCs w:val="24"/>
              </w:rPr>
            </w:pPr>
            <w:bookmarkStart w:id="14" w:name="_966zo5343ybx" w:colFirst="0" w:colLast="0"/>
            <w:bookmarkEnd w:id="14"/>
            <w:r>
              <w:rPr>
                <w:rFonts w:ascii="Times New Roman" w:hAnsi="Times New Roman" w:cs="Times New Roman"/>
                <w:sz w:val="24"/>
                <w:szCs w:val="24"/>
              </w:rPr>
              <w:t>Table 9</w:t>
            </w:r>
          </w:p>
          <w:p w14:paraId="03AFEB47" w14:textId="580DBDF7" w:rsidR="00830167" w:rsidRPr="005E2A99" w:rsidRDefault="00830167" w:rsidP="001D0E96">
            <w:pPr>
              <w:spacing w:before="180" w:line="288" w:lineRule="auto"/>
              <w:ind w:left="620" w:right="616"/>
              <w:jc w:val="center"/>
              <w:rPr>
                <w:b/>
              </w:rPr>
            </w:pPr>
            <w:r w:rsidRPr="005E2A99">
              <w:rPr>
                <w:b/>
              </w:rPr>
              <w:t>Total Estimated Cost of Chronic Diseases that are Tracked in Oregon</w:t>
            </w:r>
          </w:p>
        </w:tc>
      </w:tr>
      <w:tr w:rsidR="00083818" w:rsidRPr="001D0E96" w14:paraId="040277DE" w14:textId="77777777" w:rsidTr="001D0E96">
        <w:trPr>
          <w:trHeight w:val="1800"/>
        </w:trPr>
        <w:tc>
          <w:tcPr>
            <w:tcW w:w="1710" w:type="dxa"/>
            <w:tcBorders>
              <w:top w:val="single" w:sz="7" w:space="0" w:color="000000"/>
              <w:left w:val="single" w:sz="7" w:space="0" w:color="000000"/>
              <w:bottom w:val="single" w:sz="7" w:space="0" w:color="000000"/>
              <w:right w:val="single" w:sz="7" w:space="0" w:color="000000"/>
            </w:tcBorders>
            <w:shd w:val="clear" w:color="auto" w:fill="C5E0B3"/>
            <w:tcMar>
              <w:top w:w="100" w:type="dxa"/>
              <w:left w:w="100" w:type="dxa"/>
              <w:bottom w:w="100" w:type="dxa"/>
              <w:right w:w="100" w:type="dxa"/>
            </w:tcMar>
          </w:tcPr>
          <w:p w14:paraId="22282E6A" w14:textId="77777777" w:rsidR="00083818" w:rsidRPr="001D0E96" w:rsidRDefault="00FC36AC" w:rsidP="001D0E96">
            <w:pPr>
              <w:ind w:left="80" w:right="20"/>
              <w:jc w:val="center"/>
              <w:rPr>
                <w:rFonts w:eastAsia="Arial"/>
              </w:rPr>
            </w:pPr>
            <w:r w:rsidRPr="001D0E96">
              <w:rPr>
                <w:rFonts w:eastAsia="Arial"/>
              </w:rPr>
              <w:t>Health Outcome</w:t>
            </w:r>
          </w:p>
        </w:tc>
        <w:tc>
          <w:tcPr>
            <w:tcW w:w="2175" w:type="dxa"/>
            <w:tcBorders>
              <w:top w:val="single" w:sz="7" w:space="0" w:color="000000"/>
              <w:left w:val="single" w:sz="7" w:space="0" w:color="000000"/>
              <w:bottom w:val="single" w:sz="7" w:space="0" w:color="000000"/>
              <w:right w:val="single" w:sz="7" w:space="0" w:color="000000"/>
            </w:tcBorders>
            <w:shd w:val="clear" w:color="auto" w:fill="C5E0B3"/>
            <w:tcMar>
              <w:top w:w="100" w:type="dxa"/>
              <w:left w:w="100" w:type="dxa"/>
              <w:bottom w:w="100" w:type="dxa"/>
              <w:right w:w="100" w:type="dxa"/>
            </w:tcMar>
          </w:tcPr>
          <w:p w14:paraId="7A8968E7" w14:textId="171C96AC" w:rsidR="00083818" w:rsidRPr="001D0E96" w:rsidRDefault="001D0E96" w:rsidP="001D0E96">
            <w:pPr>
              <w:ind w:left="80" w:right="20"/>
              <w:rPr>
                <w:rFonts w:eastAsia="Arial"/>
              </w:rPr>
            </w:pPr>
            <w:r>
              <w:rPr>
                <w:rFonts w:eastAsia="Arial"/>
              </w:rPr>
              <w:t xml:space="preserve">      </w:t>
            </w:r>
            <w:r w:rsidR="00FC36AC" w:rsidRPr="001D0E96">
              <w:rPr>
                <w:rFonts w:eastAsia="Arial"/>
              </w:rPr>
              <w:t>Description</w:t>
            </w:r>
          </w:p>
        </w:tc>
        <w:tc>
          <w:tcPr>
            <w:tcW w:w="1275" w:type="dxa"/>
            <w:tcBorders>
              <w:top w:val="single" w:sz="7" w:space="0" w:color="000000"/>
              <w:left w:val="single" w:sz="7" w:space="0" w:color="000000"/>
              <w:bottom w:val="single" w:sz="7" w:space="0" w:color="000000"/>
              <w:right w:val="single" w:sz="7" w:space="0" w:color="000000"/>
            </w:tcBorders>
            <w:shd w:val="clear" w:color="auto" w:fill="C5E0B3"/>
            <w:tcMar>
              <w:top w:w="100" w:type="dxa"/>
              <w:left w:w="100" w:type="dxa"/>
              <w:bottom w:w="100" w:type="dxa"/>
              <w:right w:w="100" w:type="dxa"/>
            </w:tcMar>
          </w:tcPr>
          <w:p w14:paraId="048A624E" w14:textId="77777777" w:rsidR="00083818" w:rsidRPr="001D0E96" w:rsidRDefault="00FC36AC" w:rsidP="001D0E96">
            <w:pPr>
              <w:ind w:left="80" w:right="40"/>
              <w:jc w:val="center"/>
              <w:rPr>
                <w:rFonts w:eastAsia="Arial"/>
              </w:rPr>
            </w:pPr>
            <w:r w:rsidRPr="001D0E96">
              <w:rPr>
                <w:rFonts w:eastAsia="Arial"/>
              </w:rPr>
              <w:t>Average Annual Cost of Each Case</w:t>
            </w:r>
          </w:p>
        </w:tc>
        <w:tc>
          <w:tcPr>
            <w:tcW w:w="1560" w:type="dxa"/>
            <w:tcBorders>
              <w:top w:val="single" w:sz="7" w:space="0" w:color="000000"/>
              <w:left w:val="single" w:sz="7" w:space="0" w:color="000000"/>
              <w:bottom w:val="single" w:sz="7" w:space="0" w:color="000000"/>
              <w:right w:val="single" w:sz="7" w:space="0" w:color="000000"/>
            </w:tcBorders>
            <w:shd w:val="clear" w:color="auto" w:fill="C5E0B3"/>
            <w:tcMar>
              <w:top w:w="100" w:type="dxa"/>
              <w:left w:w="100" w:type="dxa"/>
              <w:bottom w:w="100" w:type="dxa"/>
              <w:right w:w="100" w:type="dxa"/>
            </w:tcMar>
          </w:tcPr>
          <w:p w14:paraId="4BE9EB87" w14:textId="77777777" w:rsidR="00083818" w:rsidRPr="001D0E96" w:rsidRDefault="00FC36AC" w:rsidP="001D0E96">
            <w:pPr>
              <w:spacing w:before="100"/>
              <w:ind w:left="80" w:right="120"/>
              <w:jc w:val="center"/>
              <w:rPr>
                <w:rFonts w:eastAsia="Arial"/>
              </w:rPr>
            </w:pPr>
            <w:r w:rsidRPr="001D0E96">
              <w:rPr>
                <w:rFonts w:eastAsia="Arial"/>
              </w:rPr>
              <w:t>Estimated Annual Medical Costs in Oregon</w:t>
            </w:r>
            <w:r w:rsidRPr="001D0E96">
              <w:rPr>
                <w:rFonts w:eastAsia="Arial"/>
                <w:vertAlign w:val="superscript"/>
              </w:rPr>
              <w:t>A</w:t>
            </w:r>
          </w:p>
        </w:tc>
        <w:tc>
          <w:tcPr>
            <w:tcW w:w="2906" w:type="dxa"/>
            <w:tcBorders>
              <w:top w:val="single" w:sz="7" w:space="0" w:color="000000"/>
              <w:left w:val="single" w:sz="7" w:space="0" w:color="000000"/>
              <w:bottom w:val="single" w:sz="7" w:space="0" w:color="000000"/>
              <w:right w:val="single" w:sz="7" w:space="0" w:color="000000"/>
            </w:tcBorders>
            <w:shd w:val="clear" w:color="auto" w:fill="C5E0B3"/>
            <w:tcMar>
              <w:top w:w="100" w:type="dxa"/>
              <w:left w:w="100" w:type="dxa"/>
              <w:bottom w:w="100" w:type="dxa"/>
              <w:right w:w="100" w:type="dxa"/>
            </w:tcMar>
          </w:tcPr>
          <w:p w14:paraId="1B57FA82" w14:textId="1562F9AF" w:rsidR="00083818" w:rsidRPr="001D0E96" w:rsidRDefault="002D18F2" w:rsidP="001D0E96">
            <w:pPr>
              <w:spacing w:before="100"/>
              <w:ind w:left="80" w:right="120"/>
              <w:jc w:val="center"/>
              <w:rPr>
                <w:rFonts w:eastAsia="Arial"/>
              </w:rPr>
            </w:pPr>
            <w:r w:rsidRPr="001D0E96">
              <w:rPr>
                <w:rFonts w:eastAsia="Arial"/>
              </w:rPr>
              <w:t>Examples of air toxics that may contribute to health risk</w:t>
            </w:r>
          </w:p>
        </w:tc>
      </w:tr>
      <w:tr w:rsidR="00083818" w:rsidRPr="001D0E96" w14:paraId="526C2DC5" w14:textId="77777777" w:rsidTr="001D0E96">
        <w:trPr>
          <w:trHeight w:val="1620"/>
        </w:trPr>
        <w:tc>
          <w:tcPr>
            <w:tcW w:w="171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DBD3F2F" w14:textId="77777777" w:rsidR="00083818" w:rsidRPr="001D0E96" w:rsidRDefault="00FC36AC" w:rsidP="001D0E96">
            <w:pPr>
              <w:spacing w:before="100"/>
              <w:ind w:left="0" w:right="20"/>
              <w:rPr>
                <w:rFonts w:eastAsia="Arial"/>
              </w:rPr>
            </w:pPr>
            <w:r w:rsidRPr="001D0E96">
              <w:rPr>
                <w:rFonts w:eastAsia="Arial"/>
              </w:rPr>
              <w:t>Asthma</w:t>
            </w:r>
          </w:p>
        </w:tc>
        <w:tc>
          <w:tcPr>
            <w:tcW w:w="217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02DEF7B" w14:textId="643B2D96" w:rsidR="00083818" w:rsidRPr="001D0E96" w:rsidRDefault="001D0E96" w:rsidP="001D0E96">
            <w:pPr>
              <w:spacing w:before="100"/>
              <w:ind w:left="0" w:right="240"/>
              <w:rPr>
                <w:rFonts w:eastAsia="Arial"/>
              </w:rPr>
            </w:pPr>
            <w:r>
              <w:rPr>
                <w:rFonts w:eastAsia="Arial"/>
              </w:rPr>
              <w:t>E</w:t>
            </w:r>
            <w:r w:rsidR="00FC36AC" w:rsidRPr="001D0E96">
              <w:rPr>
                <w:rFonts w:eastAsia="Arial"/>
              </w:rPr>
              <w:t>stimates include adults and children</w:t>
            </w:r>
          </w:p>
        </w:tc>
        <w:tc>
          <w:tcPr>
            <w:tcW w:w="127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D48E978" w14:textId="77777777" w:rsidR="00083818" w:rsidRPr="001D0E96" w:rsidRDefault="00FC36AC" w:rsidP="001D0E96">
            <w:pPr>
              <w:spacing w:before="100"/>
              <w:ind w:left="0" w:right="20"/>
              <w:rPr>
                <w:rFonts w:eastAsia="Arial"/>
              </w:rPr>
            </w:pPr>
            <w:r w:rsidRPr="001D0E96">
              <w:rPr>
                <w:rFonts w:eastAsia="Arial"/>
              </w:rPr>
              <w:t>$2,740</w:t>
            </w:r>
          </w:p>
        </w:tc>
        <w:tc>
          <w:tcPr>
            <w:tcW w:w="156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1318BBF" w14:textId="77777777" w:rsidR="00083818" w:rsidRPr="001D0E96" w:rsidRDefault="00FC36AC" w:rsidP="001D0E96">
            <w:pPr>
              <w:spacing w:before="100"/>
              <w:ind w:left="0" w:right="20"/>
              <w:rPr>
                <w:rFonts w:eastAsia="Arial"/>
              </w:rPr>
            </w:pPr>
            <w:r w:rsidRPr="001D0E96">
              <w:rPr>
                <w:rFonts w:eastAsia="Arial"/>
              </w:rPr>
              <w:t>$411 million</w:t>
            </w:r>
          </w:p>
        </w:tc>
        <w:tc>
          <w:tcPr>
            <w:tcW w:w="2906"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FDA1A79" w14:textId="77777777" w:rsidR="00083818" w:rsidRPr="001D0E96" w:rsidRDefault="00FC36AC" w:rsidP="001D0E96">
            <w:pPr>
              <w:spacing w:before="100"/>
              <w:ind w:left="0" w:right="200"/>
              <w:rPr>
                <w:rFonts w:eastAsia="Arial"/>
              </w:rPr>
            </w:pPr>
            <w:r w:rsidRPr="001D0E96">
              <w:rPr>
                <w:rFonts w:eastAsia="Arial"/>
              </w:rPr>
              <w:t>formaldehyde, cobalt, hexavalent chromium, cadmium, PAHs, manganese, arsenic</w:t>
            </w:r>
          </w:p>
          <w:p w14:paraId="2D366E66" w14:textId="77777777" w:rsidR="001D0E96" w:rsidRPr="001D0E96" w:rsidRDefault="001D0E96" w:rsidP="001D0E96">
            <w:pPr>
              <w:spacing w:before="100"/>
              <w:ind w:left="0" w:right="200"/>
              <w:rPr>
                <w:rFonts w:eastAsia="Arial"/>
              </w:rPr>
            </w:pPr>
          </w:p>
          <w:p w14:paraId="64CAC81F" w14:textId="77777777" w:rsidR="001D0E96" w:rsidRPr="001D0E96" w:rsidRDefault="001D0E96" w:rsidP="001D0E96">
            <w:pPr>
              <w:spacing w:before="100"/>
              <w:ind w:left="0" w:right="200"/>
              <w:rPr>
                <w:rFonts w:eastAsia="Arial"/>
              </w:rPr>
            </w:pPr>
          </w:p>
        </w:tc>
      </w:tr>
    </w:tbl>
    <w:tbl>
      <w:tblPr>
        <w:tblStyle w:val="af7"/>
        <w:tblW w:w="9469" w:type="dxa"/>
        <w:tblInd w:w="-9" w:type="dxa"/>
        <w:tblBorders>
          <w:top w:val="nil"/>
          <w:left w:val="nil"/>
          <w:bottom w:val="nil"/>
          <w:right w:val="nil"/>
          <w:insideH w:val="nil"/>
          <w:insideV w:val="nil"/>
        </w:tblBorders>
        <w:tblLayout w:type="fixed"/>
        <w:tblLook w:val="0600" w:firstRow="0" w:lastRow="0" w:firstColumn="0" w:lastColumn="0" w:noHBand="1" w:noVBand="1"/>
      </w:tblPr>
      <w:tblGrid>
        <w:gridCol w:w="2121"/>
        <w:gridCol w:w="1999"/>
        <w:gridCol w:w="1640"/>
        <w:gridCol w:w="1552"/>
        <w:gridCol w:w="2157"/>
      </w:tblGrid>
      <w:tr w:rsidR="00083818" w:rsidRPr="001D0E96" w14:paraId="284F87F6" w14:textId="77777777" w:rsidTr="001D0E96">
        <w:trPr>
          <w:trHeight w:val="1920"/>
        </w:trPr>
        <w:tc>
          <w:tcPr>
            <w:tcW w:w="2121" w:type="dxa"/>
            <w:tcBorders>
              <w:top w:val="single" w:sz="7" w:space="0" w:color="000000"/>
              <w:left w:val="single" w:sz="7" w:space="0" w:color="000000"/>
              <w:bottom w:val="single" w:sz="7" w:space="0" w:color="000000"/>
              <w:right w:val="single" w:sz="7" w:space="0" w:color="000000"/>
            </w:tcBorders>
            <w:shd w:val="clear" w:color="auto" w:fill="C5E0B3"/>
            <w:tcMar>
              <w:top w:w="100" w:type="dxa"/>
              <w:left w:w="100" w:type="dxa"/>
              <w:bottom w:w="100" w:type="dxa"/>
              <w:right w:w="100" w:type="dxa"/>
            </w:tcMar>
          </w:tcPr>
          <w:p w14:paraId="70E17A6C" w14:textId="77777777" w:rsidR="00083818" w:rsidRPr="001D0E96" w:rsidRDefault="00FC36AC" w:rsidP="001D0E96">
            <w:pPr>
              <w:ind w:left="151" w:right="20"/>
            </w:pPr>
            <w:r w:rsidRPr="001D0E96">
              <w:rPr>
                <w:rFonts w:eastAsia="Arial"/>
              </w:rPr>
              <w:t>Health Outcome</w:t>
            </w:r>
          </w:p>
        </w:tc>
        <w:tc>
          <w:tcPr>
            <w:tcW w:w="1999" w:type="dxa"/>
            <w:tcBorders>
              <w:top w:val="single" w:sz="7" w:space="0" w:color="000000"/>
              <w:left w:val="single" w:sz="7" w:space="0" w:color="000000"/>
              <w:bottom w:val="single" w:sz="7" w:space="0" w:color="000000"/>
              <w:right w:val="single" w:sz="7" w:space="0" w:color="000000"/>
            </w:tcBorders>
            <w:shd w:val="clear" w:color="auto" w:fill="C5E0B3"/>
            <w:tcMar>
              <w:top w:w="100" w:type="dxa"/>
              <w:left w:w="100" w:type="dxa"/>
              <w:bottom w:w="100" w:type="dxa"/>
              <w:right w:w="100" w:type="dxa"/>
            </w:tcMar>
          </w:tcPr>
          <w:p w14:paraId="15227FF1" w14:textId="77777777" w:rsidR="00083818" w:rsidRPr="001D0E96" w:rsidRDefault="00FC36AC" w:rsidP="001D0E96">
            <w:pPr>
              <w:ind w:left="209" w:right="20"/>
              <w:rPr>
                <w:rFonts w:eastAsia="Arial"/>
              </w:rPr>
            </w:pPr>
            <w:r w:rsidRPr="001D0E96">
              <w:rPr>
                <w:rFonts w:eastAsia="Arial"/>
              </w:rPr>
              <w:t>Description</w:t>
            </w:r>
          </w:p>
        </w:tc>
        <w:tc>
          <w:tcPr>
            <w:tcW w:w="1640" w:type="dxa"/>
            <w:tcBorders>
              <w:top w:val="single" w:sz="7" w:space="0" w:color="000000"/>
              <w:left w:val="single" w:sz="7" w:space="0" w:color="000000"/>
              <w:bottom w:val="single" w:sz="7" w:space="0" w:color="000000"/>
              <w:right w:val="single" w:sz="7" w:space="0" w:color="000000"/>
            </w:tcBorders>
            <w:shd w:val="clear" w:color="auto" w:fill="C5E0B3"/>
            <w:tcMar>
              <w:top w:w="100" w:type="dxa"/>
              <w:left w:w="100" w:type="dxa"/>
              <w:bottom w:w="100" w:type="dxa"/>
              <w:right w:w="100" w:type="dxa"/>
            </w:tcMar>
          </w:tcPr>
          <w:p w14:paraId="6792FA05" w14:textId="77777777" w:rsidR="00083818" w:rsidRPr="001D0E96" w:rsidRDefault="00FC36AC" w:rsidP="001D0E96">
            <w:pPr>
              <w:ind w:left="140" w:right="40"/>
              <w:rPr>
                <w:rFonts w:eastAsia="Arial"/>
              </w:rPr>
            </w:pPr>
            <w:r w:rsidRPr="001D0E96">
              <w:rPr>
                <w:rFonts w:eastAsia="Arial"/>
              </w:rPr>
              <w:t>Average Annual Cost of Each Case</w:t>
            </w:r>
          </w:p>
        </w:tc>
        <w:tc>
          <w:tcPr>
            <w:tcW w:w="1552" w:type="dxa"/>
            <w:tcBorders>
              <w:top w:val="single" w:sz="7" w:space="0" w:color="000000"/>
              <w:left w:val="single" w:sz="7" w:space="0" w:color="000000"/>
              <w:bottom w:val="single" w:sz="7" w:space="0" w:color="000000"/>
              <w:right w:val="single" w:sz="7" w:space="0" w:color="000000"/>
            </w:tcBorders>
            <w:shd w:val="clear" w:color="auto" w:fill="C5E0B3"/>
            <w:tcMar>
              <w:top w:w="100" w:type="dxa"/>
              <w:left w:w="100" w:type="dxa"/>
              <w:bottom w:w="100" w:type="dxa"/>
              <w:right w:w="100" w:type="dxa"/>
            </w:tcMar>
          </w:tcPr>
          <w:p w14:paraId="0C8E77DF" w14:textId="77777777" w:rsidR="00083818" w:rsidRPr="001D0E96" w:rsidRDefault="00FC36AC" w:rsidP="001D0E96">
            <w:pPr>
              <w:spacing w:before="100"/>
              <w:ind w:left="220" w:right="120"/>
              <w:rPr>
                <w:rFonts w:eastAsia="Arial"/>
              </w:rPr>
            </w:pPr>
            <w:r w:rsidRPr="001D0E96">
              <w:rPr>
                <w:rFonts w:eastAsia="Arial"/>
              </w:rPr>
              <w:t>Estimated Annual Medical Costs in Oregon</w:t>
            </w:r>
            <w:r w:rsidRPr="001D0E96">
              <w:rPr>
                <w:rFonts w:eastAsia="Arial"/>
                <w:vertAlign w:val="superscript"/>
              </w:rPr>
              <w:t>A</w:t>
            </w:r>
          </w:p>
        </w:tc>
        <w:tc>
          <w:tcPr>
            <w:tcW w:w="2157" w:type="dxa"/>
            <w:tcBorders>
              <w:top w:val="single" w:sz="7" w:space="0" w:color="000000"/>
              <w:left w:val="single" w:sz="7" w:space="0" w:color="000000"/>
              <w:bottom w:val="single" w:sz="7" w:space="0" w:color="000000"/>
              <w:right w:val="single" w:sz="7" w:space="0" w:color="000000"/>
            </w:tcBorders>
            <w:shd w:val="clear" w:color="auto" w:fill="C5E0B3"/>
            <w:tcMar>
              <w:top w:w="100" w:type="dxa"/>
              <w:left w:w="100" w:type="dxa"/>
              <w:bottom w:w="100" w:type="dxa"/>
              <w:right w:w="100" w:type="dxa"/>
            </w:tcMar>
          </w:tcPr>
          <w:p w14:paraId="3DD0C29D" w14:textId="77777777" w:rsidR="002D18F2" w:rsidRPr="001D0E96" w:rsidRDefault="002D18F2" w:rsidP="001D0E96">
            <w:pPr>
              <w:spacing w:before="100"/>
              <w:ind w:left="220" w:right="120"/>
              <w:rPr>
                <w:rFonts w:eastAsia="Arial"/>
              </w:rPr>
            </w:pPr>
            <w:r w:rsidRPr="001D0E96">
              <w:rPr>
                <w:rFonts w:eastAsia="Arial"/>
              </w:rPr>
              <w:t>Examples of air toxics that may contribute to health risk</w:t>
            </w:r>
          </w:p>
          <w:p w14:paraId="5099689F" w14:textId="0974AC8E" w:rsidR="00083818" w:rsidRPr="001D0E96" w:rsidRDefault="00083818" w:rsidP="001D0E96">
            <w:pPr>
              <w:rPr>
                <w:rFonts w:eastAsia="Arial"/>
              </w:rPr>
            </w:pPr>
          </w:p>
        </w:tc>
      </w:tr>
      <w:tr w:rsidR="00083818" w:rsidRPr="001D0E96" w14:paraId="3546FF7B" w14:textId="77777777" w:rsidTr="001D0E96">
        <w:trPr>
          <w:trHeight w:val="2660"/>
        </w:trPr>
        <w:tc>
          <w:tcPr>
            <w:tcW w:w="2121"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E1FA6F0" w14:textId="77777777" w:rsidR="00083818" w:rsidRPr="001D0E96" w:rsidRDefault="00FC36AC" w:rsidP="001D0E96">
            <w:pPr>
              <w:spacing w:before="100"/>
              <w:ind w:left="-10" w:right="20"/>
              <w:rPr>
                <w:rFonts w:eastAsia="Arial"/>
              </w:rPr>
            </w:pPr>
            <w:r w:rsidRPr="001D0E96">
              <w:rPr>
                <w:rFonts w:eastAsia="Arial"/>
              </w:rPr>
              <w:t>Cancer</w:t>
            </w:r>
          </w:p>
        </w:tc>
        <w:tc>
          <w:tcPr>
            <w:tcW w:w="1999"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F53EBFF" w14:textId="5C35CE8C" w:rsidR="00083818" w:rsidRPr="001D0E96" w:rsidRDefault="001D0E96" w:rsidP="001D0E96">
            <w:pPr>
              <w:spacing w:before="100"/>
              <w:ind w:left="-10" w:right="300"/>
              <w:rPr>
                <w:rFonts w:eastAsia="Arial"/>
              </w:rPr>
            </w:pPr>
            <w:r>
              <w:rPr>
                <w:rFonts w:eastAsia="Arial"/>
              </w:rPr>
              <w:t>E</w:t>
            </w:r>
            <w:r w:rsidR="00FC36AC" w:rsidRPr="001D0E96">
              <w:rPr>
                <w:rFonts w:eastAsia="Arial"/>
              </w:rPr>
              <w:t>stimates are based on adult cancer treatment only</w:t>
            </w:r>
          </w:p>
        </w:tc>
        <w:tc>
          <w:tcPr>
            <w:tcW w:w="164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191994A" w14:textId="77777777" w:rsidR="00083818" w:rsidRPr="001D0E96" w:rsidRDefault="00FC36AC" w:rsidP="001D0E96">
            <w:pPr>
              <w:spacing w:before="100"/>
              <w:ind w:left="-10" w:right="20"/>
              <w:rPr>
                <w:rFonts w:eastAsia="Arial"/>
              </w:rPr>
            </w:pPr>
            <w:r w:rsidRPr="001D0E96">
              <w:rPr>
                <w:rFonts w:eastAsia="Arial"/>
              </w:rPr>
              <w:t>$11,410</w:t>
            </w:r>
          </w:p>
        </w:tc>
        <w:tc>
          <w:tcPr>
            <w:tcW w:w="1552"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9B264E7" w14:textId="77777777" w:rsidR="00083818" w:rsidRPr="001D0E96" w:rsidRDefault="00FC36AC" w:rsidP="001D0E96">
            <w:pPr>
              <w:spacing w:before="100"/>
              <w:ind w:left="-10" w:right="20"/>
              <w:rPr>
                <w:rFonts w:eastAsia="Arial"/>
              </w:rPr>
            </w:pPr>
            <w:r w:rsidRPr="001D0E96">
              <w:rPr>
                <w:rFonts w:eastAsia="Arial"/>
              </w:rPr>
              <w:t>$1.9 billion</w:t>
            </w:r>
          </w:p>
        </w:tc>
        <w:tc>
          <w:tcPr>
            <w:tcW w:w="2157"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BD5D486" w14:textId="77777777" w:rsidR="00083818" w:rsidRPr="001D0E96" w:rsidRDefault="00FC36AC" w:rsidP="001D0E96">
            <w:pPr>
              <w:spacing w:before="100"/>
              <w:ind w:left="-10" w:right="240"/>
              <w:rPr>
                <w:rFonts w:eastAsia="Arial"/>
              </w:rPr>
            </w:pPr>
            <w:r w:rsidRPr="001D0E96">
              <w:rPr>
                <w:rFonts w:eastAsia="Arial"/>
              </w:rPr>
              <w:t>arsenic, hexavalent chromium, cadmium, formaldehyde, PAHs, benzene, trichloroethylene, lead, dioxins, naphthalene</w:t>
            </w:r>
          </w:p>
        </w:tc>
      </w:tr>
      <w:tr w:rsidR="00083818" w:rsidRPr="001D0E96" w14:paraId="3F1A52E8" w14:textId="77777777" w:rsidTr="001D0E96">
        <w:trPr>
          <w:trHeight w:val="2940"/>
        </w:trPr>
        <w:tc>
          <w:tcPr>
            <w:tcW w:w="2121"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FC3F39C" w14:textId="77777777" w:rsidR="00083818" w:rsidRPr="001D0E96" w:rsidRDefault="00FC36AC" w:rsidP="001D0E96">
            <w:pPr>
              <w:spacing w:before="100"/>
              <w:ind w:left="-10" w:right="300"/>
              <w:rPr>
                <w:rFonts w:eastAsia="Arial"/>
              </w:rPr>
            </w:pPr>
            <w:r w:rsidRPr="001D0E96">
              <w:rPr>
                <w:rFonts w:eastAsia="Arial"/>
              </w:rPr>
              <w:t>Cardiovascular disease</w:t>
            </w:r>
          </w:p>
        </w:tc>
        <w:tc>
          <w:tcPr>
            <w:tcW w:w="1999"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B65B763" w14:textId="4EBF955E" w:rsidR="00083818" w:rsidRPr="001D0E96" w:rsidRDefault="001D0E96" w:rsidP="001D0E96">
            <w:pPr>
              <w:spacing w:before="100"/>
              <w:ind w:left="-10" w:right="260"/>
              <w:rPr>
                <w:rFonts w:eastAsia="Arial"/>
              </w:rPr>
            </w:pPr>
            <w:r>
              <w:rPr>
                <w:rFonts w:eastAsia="Arial"/>
              </w:rPr>
              <w:t>E</w:t>
            </w:r>
            <w:r w:rsidR="00FC36AC" w:rsidRPr="001D0E96">
              <w:rPr>
                <w:rFonts w:eastAsia="Arial"/>
              </w:rPr>
              <w:t>stimates are for adults only and include hypertension, stroke, coronary heart disease, congestive heart failure, and other heart disease</w:t>
            </w:r>
          </w:p>
        </w:tc>
        <w:tc>
          <w:tcPr>
            <w:tcW w:w="164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839136E" w14:textId="77777777" w:rsidR="00083818" w:rsidRPr="001D0E96" w:rsidRDefault="00FC36AC" w:rsidP="001D0E96">
            <w:pPr>
              <w:spacing w:before="100"/>
              <w:ind w:left="-10" w:right="-190"/>
              <w:rPr>
                <w:rFonts w:eastAsia="Arial"/>
              </w:rPr>
            </w:pPr>
            <w:r w:rsidRPr="001D0E96">
              <w:rPr>
                <w:rFonts w:eastAsia="Arial"/>
              </w:rPr>
              <w:t>$2,220-</w:t>
            </w:r>
          </w:p>
          <w:p w14:paraId="30AB1ADC" w14:textId="77777777" w:rsidR="00083818" w:rsidRPr="001D0E96" w:rsidRDefault="00FC36AC" w:rsidP="001D0E96">
            <w:pPr>
              <w:spacing w:before="40"/>
              <w:ind w:left="-10" w:right="-190"/>
              <w:rPr>
                <w:rFonts w:eastAsia="Arial"/>
              </w:rPr>
            </w:pPr>
            <w:r w:rsidRPr="001D0E96">
              <w:rPr>
                <w:rFonts w:eastAsia="Arial"/>
              </w:rPr>
              <w:t>$16,760</w:t>
            </w:r>
          </w:p>
          <w:p w14:paraId="2F3230BB" w14:textId="77777777" w:rsidR="00083818" w:rsidRPr="001D0E96" w:rsidRDefault="00FC36AC" w:rsidP="001D0E96">
            <w:pPr>
              <w:spacing w:before="40"/>
              <w:ind w:left="-10" w:right="-190"/>
              <w:rPr>
                <w:rFonts w:eastAsia="Arial"/>
              </w:rPr>
            </w:pPr>
            <w:r w:rsidRPr="001D0E96">
              <w:rPr>
                <w:rFonts w:eastAsia="Arial"/>
              </w:rPr>
              <w:t>(disease- specific)</w:t>
            </w:r>
          </w:p>
        </w:tc>
        <w:tc>
          <w:tcPr>
            <w:tcW w:w="1552"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384425D" w14:textId="77777777" w:rsidR="00083818" w:rsidRPr="001D0E96" w:rsidRDefault="00FC36AC" w:rsidP="001D0E96">
            <w:pPr>
              <w:spacing w:before="100"/>
              <w:ind w:left="-10" w:right="20"/>
              <w:rPr>
                <w:rFonts w:eastAsia="Arial"/>
              </w:rPr>
            </w:pPr>
            <w:r w:rsidRPr="001D0E96">
              <w:rPr>
                <w:rFonts w:eastAsia="Arial"/>
              </w:rPr>
              <w:t>$3.6 billion</w:t>
            </w:r>
            <w:r w:rsidRPr="001D0E96">
              <w:rPr>
                <w:rFonts w:eastAsia="Arial"/>
                <w:vertAlign w:val="superscript"/>
              </w:rPr>
              <w:t>B</w:t>
            </w:r>
          </w:p>
        </w:tc>
        <w:tc>
          <w:tcPr>
            <w:tcW w:w="2157"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3F2A7BF" w14:textId="77777777" w:rsidR="00083818" w:rsidRPr="001D0E96" w:rsidRDefault="00FC36AC" w:rsidP="001D0E96">
            <w:pPr>
              <w:spacing w:before="100"/>
              <w:ind w:left="-10" w:right="520"/>
              <w:rPr>
                <w:rFonts w:eastAsia="Arial"/>
              </w:rPr>
            </w:pPr>
            <w:r w:rsidRPr="001D0E96">
              <w:rPr>
                <w:rFonts w:eastAsia="Arial"/>
              </w:rPr>
              <w:t>arsenic, PAHs, lead, acrolein, hydrogen fluoride</w:t>
            </w:r>
          </w:p>
        </w:tc>
      </w:tr>
    </w:tbl>
    <w:p w14:paraId="3E886F66" w14:textId="77777777" w:rsidR="00830167" w:rsidRPr="001D0E96" w:rsidRDefault="00830167" w:rsidP="001D0E96">
      <w:pPr>
        <w:ind w:left="480" w:right="20"/>
      </w:pPr>
    </w:p>
    <w:p w14:paraId="6FEB6652" w14:textId="31BF4C9F" w:rsidR="00083818" w:rsidRPr="00EC03E9" w:rsidRDefault="00FC36AC" w:rsidP="001D0E96">
      <w:pPr>
        <w:ind w:left="480" w:right="20"/>
        <w:rPr>
          <w:sz w:val="22"/>
          <w:szCs w:val="22"/>
        </w:rPr>
      </w:pPr>
      <w:r w:rsidRPr="00EC03E9">
        <w:rPr>
          <w:sz w:val="22"/>
          <w:szCs w:val="22"/>
          <w:vertAlign w:val="superscript"/>
        </w:rPr>
        <w:t>A</w:t>
      </w:r>
      <w:r w:rsidRPr="00EC03E9">
        <w:rPr>
          <w:sz w:val="22"/>
          <w:szCs w:val="22"/>
        </w:rPr>
        <w:t xml:space="preserve"> Calculated using the CDC Chronic Disease Cost Calculator</w:t>
      </w:r>
      <w:r w:rsidR="00E51F29" w:rsidRPr="00EC03E9">
        <w:rPr>
          <w:sz w:val="22"/>
          <w:szCs w:val="22"/>
        </w:rPr>
        <w:t xml:space="preserve"> </w:t>
      </w:r>
      <w:r w:rsidR="00E51F29" w:rsidRPr="00EC03E9">
        <w:rPr>
          <w:rStyle w:val="FootnoteReference"/>
          <w:sz w:val="22"/>
          <w:szCs w:val="22"/>
        </w:rPr>
        <w:footnoteReference w:id="4"/>
      </w:r>
      <w:r w:rsidR="00E51F29" w:rsidRPr="00EC03E9">
        <w:rPr>
          <w:sz w:val="22"/>
          <w:szCs w:val="22"/>
        </w:rPr>
        <w:t xml:space="preserve"> </w:t>
      </w:r>
      <w:r w:rsidRPr="00EC03E9">
        <w:rPr>
          <w:sz w:val="22"/>
          <w:szCs w:val="22"/>
        </w:rPr>
        <w:t>based on 2008 prevalence and cost statistics and 2010 census data. Estimates are limited to medical expenditures and do not include indirect costs such as missed days of work and school.</w:t>
      </w:r>
    </w:p>
    <w:p w14:paraId="34C1420A" w14:textId="77777777" w:rsidR="00083818" w:rsidRPr="00EC03E9" w:rsidRDefault="00FC36AC" w:rsidP="001D0E96">
      <w:pPr>
        <w:ind w:left="480" w:right="620"/>
        <w:rPr>
          <w:sz w:val="22"/>
          <w:szCs w:val="22"/>
        </w:rPr>
      </w:pPr>
      <w:r w:rsidRPr="00EC03E9">
        <w:rPr>
          <w:sz w:val="22"/>
          <w:szCs w:val="22"/>
          <w:vertAlign w:val="superscript"/>
        </w:rPr>
        <w:t xml:space="preserve">B </w:t>
      </w:r>
      <w:r w:rsidRPr="00EC03E9">
        <w:rPr>
          <w:sz w:val="22"/>
          <w:szCs w:val="22"/>
        </w:rPr>
        <w:t>This cost estimate integrates costs of all cardiovascular disease without double counting costs of treatments for comorbid cardiovascular conditions.</w:t>
      </w:r>
    </w:p>
    <w:p w14:paraId="750F42FC" w14:textId="77777777" w:rsidR="00083818" w:rsidRPr="001D0E96" w:rsidRDefault="00083818" w:rsidP="001D0E96">
      <w:pPr>
        <w:ind w:left="480" w:right="440"/>
      </w:pPr>
    </w:p>
    <w:p w14:paraId="6589B714" w14:textId="0EBC58BB" w:rsidR="00083818" w:rsidRDefault="00FC36AC">
      <w:pPr>
        <w:ind w:left="0" w:right="440"/>
      </w:pPr>
      <w:r>
        <w:t xml:space="preserve">Oregon Health Authority also tracks cases of pre-term birth, low birth weight, miscarriage, and some birth defects. There are no existing estimates of the direct medical costs associated with these adverse birth outcomes in Oregon, but there is potential for substantial economic and social impact. The total incidence of selected adverse birth outcomes in </w:t>
      </w:r>
      <w:r w:rsidR="00695382">
        <w:t>Oregon are summarized in Table 10</w:t>
      </w:r>
      <w:r>
        <w:t>. While several air toxics are associated with increased risk for these adverse birth outcomes, the portion of cases attributable to exposure to air toxics is unknown.</w:t>
      </w:r>
    </w:p>
    <w:p w14:paraId="41D3F8C1" w14:textId="0C1380CF" w:rsidR="00083818" w:rsidRPr="005E2A99" w:rsidRDefault="00083818">
      <w:pPr>
        <w:spacing w:line="288" w:lineRule="auto"/>
        <w:ind w:left="1380" w:right="1560"/>
        <w:jc w:val="center"/>
        <w:rPr>
          <w:b/>
        </w:rPr>
      </w:pPr>
    </w:p>
    <w:tbl>
      <w:tblPr>
        <w:tblStyle w:val="af8"/>
        <w:tblW w:w="885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665"/>
        <w:gridCol w:w="1815"/>
        <w:gridCol w:w="3045"/>
        <w:gridCol w:w="2325"/>
      </w:tblGrid>
      <w:tr w:rsidR="00830167" w:rsidRPr="005E2A99" w14:paraId="40228498" w14:textId="77777777" w:rsidTr="00830167">
        <w:trPr>
          <w:trHeight w:val="1143"/>
        </w:trPr>
        <w:tc>
          <w:tcPr>
            <w:tcW w:w="8850" w:type="dxa"/>
            <w:gridSpan w:val="4"/>
            <w:tcBorders>
              <w:top w:val="single" w:sz="7" w:space="0" w:color="000000"/>
              <w:left w:val="single" w:sz="7" w:space="0" w:color="000000"/>
              <w:bottom w:val="single" w:sz="7" w:space="0" w:color="000000"/>
              <w:right w:val="single" w:sz="7" w:space="0" w:color="000000"/>
            </w:tcBorders>
            <w:shd w:val="clear" w:color="auto" w:fill="E2EFD9"/>
            <w:tcMar>
              <w:top w:w="100" w:type="dxa"/>
              <w:left w:w="100" w:type="dxa"/>
              <w:bottom w:w="100" w:type="dxa"/>
              <w:right w:w="100" w:type="dxa"/>
            </w:tcMar>
          </w:tcPr>
          <w:p w14:paraId="4DCBE687" w14:textId="4DC07D97" w:rsidR="00830167" w:rsidRPr="005E2A99" w:rsidRDefault="00695382" w:rsidP="005E2A99">
            <w:pPr>
              <w:pStyle w:val="Heading2"/>
              <w:ind w:left="0"/>
              <w:jc w:val="center"/>
              <w:rPr>
                <w:rFonts w:ascii="Times New Roman" w:hAnsi="Times New Roman" w:cs="Times New Roman"/>
                <w:sz w:val="24"/>
                <w:szCs w:val="24"/>
              </w:rPr>
            </w:pPr>
            <w:r>
              <w:rPr>
                <w:rFonts w:ascii="Times New Roman" w:hAnsi="Times New Roman" w:cs="Times New Roman"/>
                <w:sz w:val="24"/>
                <w:szCs w:val="24"/>
              </w:rPr>
              <w:t>Table 10</w:t>
            </w:r>
          </w:p>
          <w:p w14:paraId="0EC895AB" w14:textId="2257AC8D" w:rsidR="00830167" w:rsidRPr="005E2A99" w:rsidRDefault="00830167" w:rsidP="00830167">
            <w:pPr>
              <w:spacing w:before="180" w:line="288" w:lineRule="auto"/>
              <w:ind w:left="1860" w:right="1960"/>
              <w:jc w:val="center"/>
              <w:rPr>
                <w:rFonts w:ascii="Arial" w:eastAsia="Arial" w:hAnsi="Arial" w:cs="Arial"/>
                <w:b/>
                <w:sz w:val="32"/>
                <w:szCs w:val="32"/>
              </w:rPr>
            </w:pPr>
            <w:r w:rsidRPr="005E2A99">
              <w:rPr>
                <w:b/>
              </w:rPr>
              <w:t>Adverse Birth Outcomes in Oregon</w:t>
            </w:r>
          </w:p>
        </w:tc>
      </w:tr>
      <w:tr w:rsidR="00083818" w:rsidRPr="001D0E96" w14:paraId="71C33104" w14:textId="77777777" w:rsidTr="00830167">
        <w:trPr>
          <w:trHeight w:val="2025"/>
        </w:trPr>
        <w:tc>
          <w:tcPr>
            <w:tcW w:w="1665" w:type="dxa"/>
            <w:tcBorders>
              <w:top w:val="single" w:sz="7" w:space="0" w:color="000000"/>
              <w:left w:val="single" w:sz="7" w:space="0" w:color="000000"/>
              <w:bottom w:val="single" w:sz="7" w:space="0" w:color="000000"/>
              <w:right w:val="single" w:sz="7" w:space="0" w:color="000000"/>
            </w:tcBorders>
            <w:shd w:val="clear" w:color="auto" w:fill="C5E0B3"/>
            <w:tcMar>
              <w:top w:w="100" w:type="dxa"/>
              <w:left w:w="100" w:type="dxa"/>
              <w:bottom w:w="100" w:type="dxa"/>
              <w:right w:w="100" w:type="dxa"/>
            </w:tcMar>
          </w:tcPr>
          <w:p w14:paraId="7BFADF99" w14:textId="77777777" w:rsidR="00083818" w:rsidRPr="001D0E96" w:rsidRDefault="00FC36AC" w:rsidP="001D0E96">
            <w:pPr>
              <w:spacing w:before="100"/>
              <w:ind w:left="200" w:right="20"/>
              <w:rPr>
                <w:rFonts w:eastAsia="Arial"/>
              </w:rPr>
            </w:pPr>
            <w:r w:rsidRPr="001D0E96">
              <w:rPr>
                <w:rFonts w:eastAsia="Arial"/>
              </w:rPr>
              <w:t>Health outcome</w:t>
            </w:r>
          </w:p>
        </w:tc>
        <w:tc>
          <w:tcPr>
            <w:tcW w:w="1815" w:type="dxa"/>
            <w:tcBorders>
              <w:top w:val="single" w:sz="7" w:space="0" w:color="000000"/>
              <w:left w:val="single" w:sz="7" w:space="0" w:color="000000"/>
              <w:bottom w:val="single" w:sz="7" w:space="0" w:color="000000"/>
              <w:right w:val="single" w:sz="7" w:space="0" w:color="000000"/>
            </w:tcBorders>
            <w:shd w:val="clear" w:color="auto" w:fill="C5E0B3"/>
            <w:tcMar>
              <w:top w:w="100" w:type="dxa"/>
              <w:left w:w="100" w:type="dxa"/>
              <w:bottom w:w="100" w:type="dxa"/>
              <w:right w:w="100" w:type="dxa"/>
            </w:tcMar>
          </w:tcPr>
          <w:p w14:paraId="6260E877" w14:textId="77777777" w:rsidR="00083818" w:rsidRPr="001D0E96" w:rsidRDefault="00FC36AC" w:rsidP="001D0E96">
            <w:pPr>
              <w:spacing w:before="100"/>
              <w:ind w:left="180" w:right="100"/>
              <w:rPr>
                <w:rFonts w:eastAsia="Arial"/>
              </w:rPr>
            </w:pPr>
            <w:r w:rsidRPr="001D0E96">
              <w:rPr>
                <w:rFonts w:eastAsia="Arial"/>
              </w:rPr>
              <w:t>Total number of pregnancies impacted by each health outcome in OR 2009-2013</w:t>
            </w:r>
            <w:r w:rsidRPr="00EC03E9">
              <w:rPr>
                <w:rFonts w:eastAsia="Arial"/>
                <w:vertAlign w:val="superscript"/>
              </w:rPr>
              <w:t>A</w:t>
            </w:r>
          </w:p>
        </w:tc>
        <w:tc>
          <w:tcPr>
            <w:tcW w:w="3045" w:type="dxa"/>
            <w:tcBorders>
              <w:top w:val="single" w:sz="7" w:space="0" w:color="000000"/>
              <w:left w:val="single" w:sz="7" w:space="0" w:color="000000"/>
              <w:bottom w:val="single" w:sz="7" w:space="0" w:color="000000"/>
              <w:right w:val="single" w:sz="7" w:space="0" w:color="000000"/>
            </w:tcBorders>
            <w:shd w:val="clear" w:color="auto" w:fill="C5E0B3"/>
            <w:tcMar>
              <w:top w:w="100" w:type="dxa"/>
              <w:left w:w="100" w:type="dxa"/>
              <w:bottom w:w="100" w:type="dxa"/>
              <w:right w:w="100" w:type="dxa"/>
            </w:tcMar>
          </w:tcPr>
          <w:p w14:paraId="3AC30F0C" w14:textId="77777777" w:rsidR="00083818" w:rsidRPr="001D0E96" w:rsidRDefault="00FC36AC" w:rsidP="001D0E96">
            <w:pPr>
              <w:spacing w:before="100"/>
              <w:ind w:left="200" w:right="20"/>
              <w:rPr>
                <w:rFonts w:eastAsia="Arial"/>
              </w:rPr>
            </w:pPr>
            <w:r w:rsidRPr="001D0E96">
              <w:rPr>
                <w:rFonts w:eastAsia="Arial"/>
              </w:rPr>
              <w:t>Potential Economic and Social Costs</w:t>
            </w:r>
          </w:p>
        </w:tc>
        <w:tc>
          <w:tcPr>
            <w:tcW w:w="2325" w:type="dxa"/>
            <w:tcBorders>
              <w:top w:val="single" w:sz="7" w:space="0" w:color="000000"/>
              <w:left w:val="single" w:sz="7" w:space="0" w:color="000000"/>
              <w:bottom w:val="single" w:sz="7" w:space="0" w:color="000000"/>
              <w:right w:val="single" w:sz="7" w:space="0" w:color="000000"/>
            </w:tcBorders>
            <w:shd w:val="clear" w:color="auto" w:fill="C5E0B3"/>
            <w:tcMar>
              <w:top w:w="100" w:type="dxa"/>
              <w:left w:w="100" w:type="dxa"/>
              <w:bottom w:w="100" w:type="dxa"/>
              <w:right w:w="100" w:type="dxa"/>
            </w:tcMar>
          </w:tcPr>
          <w:p w14:paraId="682515D3" w14:textId="77777777" w:rsidR="00083818" w:rsidRPr="001D0E96" w:rsidRDefault="00FC36AC" w:rsidP="001D0E96">
            <w:pPr>
              <w:spacing w:before="100"/>
              <w:ind w:left="340" w:right="240"/>
              <w:jc w:val="center"/>
              <w:rPr>
                <w:rFonts w:eastAsia="Arial"/>
              </w:rPr>
            </w:pPr>
            <w:r w:rsidRPr="001D0E96">
              <w:rPr>
                <w:rFonts w:eastAsia="Arial"/>
              </w:rPr>
              <w:t>Examples of air toxics that may contribute to health risk</w:t>
            </w:r>
          </w:p>
        </w:tc>
      </w:tr>
      <w:tr w:rsidR="00083818" w:rsidRPr="001D0E96" w14:paraId="14CAE718" w14:textId="77777777">
        <w:trPr>
          <w:trHeight w:val="3460"/>
        </w:trPr>
        <w:tc>
          <w:tcPr>
            <w:tcW w:w="166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83C5FD6" w14:textId="77777777" w:rsidR="00083818" w:rsidRPr="001D0E96" w:rsidRDefault="00FC36AC" w:rsidP="001D0E96">
            <w:pPr>
              <w:spacing w:before="100"/>
              <w:ind w:left="200" w:right="20"/>
              <w:rPr>
                <w:rFonts w:eastAsia="Arial"/>
              </w:rPr>
            </w:pPr>
            <w:r w:rsidRPr="001D0E96">
              <w:rPr>
                <w:rFonts w:eastAsia="Arial"/>
              </w:rPr>
              <w:t>Low birth weight</w:t>
            </w:r>
            <w:r w:rsidRPr="001D0E96">
              <w:rPr>
                <w:rFonts w:eastAsia="Arial"/>
                <w:vertAlign w:val="superscript"/>
              </w:rPr>
              <w:t>B</w:t>
            </w:r>
          </w:p>
        </w:tc>
        <w:tc>
          <w:tcPr>
            <w:tcW w:w="181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F357878" w14:textId="77777777" w:rsidR="00083818" w:rsidRPr="001D0E96" w:rsidRDefault="00FC36AC" w:rsidP="001D0E96">
            <w:pPr>
              <w:spacing w:before="100"/>
              <w:ind w:left="180" w:right="20"/>
              <w:rPr>
                <w:rFonts w:eastAsia="Arial"/>
              </w:rPr>
            </w:pPr>
            <w:r w:rsidRPr="001D0E96">
              <w:rPr>
                <w:rFonts w:eastAsia="Arial"/>
              </w:rPr>
              <w:t>14,239</w:t>
            </w:r>
          </w:p>
        </w:tc>
        <w:tc>
          <w:tcPr>
            <w:tcW w:w="304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15B8ABA" w14:textId="77777777" w:rsidR="00083818" w:rsidRPr="001D0E96" w:rsidRDefault="00FC36AC" w:rsidP="001D0E96">
            <w:pPr>
              <w:spacing w:before="100"/>
              <w:ind w:left="200" w:right="100"/>
              <w:rPr>
                <w:rFonts w:eastAsia="Arial"/>
              </w:rPr>
            </w:pPr>
            <w:r w:rsidRPr="001D0E96">
              <w:rPr>
                <w:rFonts w:eastAsia="Arial"/>
              </w:rPr>
              <w:t>Costs depend on degree of prematurity/weight but can include direct medical costs associated with neonatal ICU treatment, increased risk of neonatal infections, increased risk of developmental disabilities, predisposition to disease later in life, parental stress, and costs of parents’ missed days of work.</w:t>
            </w:r>
          </w:p>
        </w:tc>
        <w:tc>
          <w:tcPr>
            <w:tcW w:w="232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FE5FA94" w14:textId="77777777" w:rsidR="00083818" w:rsidRPr="001D0E96" w:rsidRDefault="00FC36AC" w:rsidP="001D0E96">
            <w:pPr>
              <w:spacing w:before="100"/>
              <w:ind w:left="200" w:right="140"/>
              <w:rPr>
                <w:rFonts w:eastAsia="Arial"/>
              </w:rPr>
            </w:pPr>
            <w:r w:rsidRPr="001D0E96">
              <w:rPr>
                <w:rFonts w:eastAsia="Arial"/>
              </w:rPr>
              <w:t>arsenic, PAHs, formaldehyde, cadmium, benzene, trichloroethylene</w:t>
            </w:r>
          </w:p>
        </w:tc>
      </w:tr>
    </w:tbl>
    <w:p w14:paraId="32CDB736" w14:textId="77777777" w:rsidR="00830167" w:rsidRPr="001D0E96" w:rsidRDefault="00830167" w:rsidP="001D0E96">
      <w:r w:rsidRPr="001D0E96">
        <w:br w:type="page"/>
      </w:r>
    </w:p>
    <w:tbl>
      <w:tblPr>
        <w:tblStyle w:val="af8"/>
        <w:tblW w:w="885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665"/>
        <w:gridCol w:w="1815"/>
        <w:gridCol w:w="3045"/>
        <w:gridCol w:w="2325"/>
      </w:tblGrid>
      <w:tr w:rsidR="00830167" w:rsidRPr="001D0E96" w14:paraId="265F4B12" w14:textId="77777777" w:rsidTr="00830167">
        <w:trPr>
          <w:trHeight w:val="2030"/>
        </w:trPr>
        <w:tc>
          <w:tcPr>
            <w:tcW w:w="1665" w:type="dxa"/>
            <w:tcBorders>
              <w:top w:val="single" w:sz="7" w:space="0" w:color="000000"/>
              <w:left w:val="single" w:sz="7" w:space="0" w:color="000000"/>
              <w:bottom w:val="single" w:sz="7" w:space="0" w:color="000000"/>
              <w:right w:val="single" w:sz="7" w:space="0" w:color="000000"/>
            </w:tcBorders>
            <w:shd w:val="clear" w:color="auto" w:fill="C5E0B3"/>
            <w:tcMar>
              <w:top w:w="100" w:type="dxa"/>
              <w:left w:w="100" w:type="dxa"/>
              <w:bottom w:w="100" w:type="dxa"/>
              <w:right w:w="100" w:type="dxa"/>
            </w:tcMar>
          </w:tcPr>
          <w:p w14:paraId="1C8EB146" w14:textId="6F51DE65" w:rsidR="00830167" w:rsidRPr="001D0E96" w:rsidRDefault="00830167" w:rsidP="001D0E96">
            <w:pPr>
              <w:spacing w:before="100"/>
              <w:ind w:left="200" w:right="20"/>
              <w:rPr>
                <w:rFonts w:eastAsia="Arial"/>
              </w:rPr>
            </w:pPr>
            <w:r w:rsidRPr="001D0E96">
              <w:rPr>
                <w:rFonts w:eastAsia="Arial"/>
              </w:rPr>
              <w:t>Health outcome</w:t>
            </w:r>
          </w:p>
        </w:tc>
        <w:tc>
          <w:tcPr>
            <w:tcW w:w="1815" w:type="dxa"/>
            <w:tcBorders>
              <w:top w:val="single" w:sz="7" w:space="0" w:color="000000"/>
              <w:left w:val="single" w:sz="7" w:space="0" w:color="000000"/>
              <w:bottom w:val="single" w:sz="7" w:space="0" w:color="000000"/>
              <w:right w:val="single" w:sz="7" w:space="0" w:color="000000"/>
            </w:tcBorders>
            <w:shd w:val="clear" w:color="auto" w:fill="C5E0B3"/>
            <w:tcMar>
              <w:top w:w="100" w:type="dxa"/>
              <w:left w:w="100" w:type="dxa"/>
              <w:bottom w:w="100" w:type="dxa"/>
              <w:right w:w="100" w:type="dxa"/>
            </w:tcMar>
          </w:tcPr>
          <w:p w14:paraId="29338194" w14:textId="5700B071" w:rsidR="00830167" w:rsidRPr="001D0E96" w:rsidRDefault="00830167" w:rsidP="001D0E96">
            <w:pPr>
              <w:spacing w:before="100"/>
              <w:ind w:left="180" w:right="20"/>
              <w:rPr>
                <w:rFonts w:eastAsia="Arial"/>
              </w:rPr>
            </w:pPr>
            <w:r w:rsidRPr="001D0E96">
              <w:rPr>
                <w:rFonts w:eastAsia="Arial"/>
              </w:rPr>
              <w:t>Total number of pregnancies impacted by each health outcome in OR 2009-2013</w:t>
            </w:r>
            <w:r w:rsidRPr="00EC03E9">
              <w:rPr>
                <w:rFonts w:eastAsia="Arial"/>
                <w:vertAlign w:val="superscript"/>
              </w:rPr>
              <w:t>A</w:t>
            </w:r>
          </w:p>
        </w:tc>
        <w:tc>
          <w:tcPr>
            <w:tcW w:w="3045" w:type="dxa"/>
            <w:tcBorders>
              <w:top w:val="single" w:sz="7" w:space="0" w:color="000000"/>
              <w:left w:val="single" w:sz="7" w:space="0" w:color="000000"/>
              <w:bottom w:val="single" w:sz="7" w:space="0" w:color="000000"/>
              <w:right w:val="single" w:sz="7" w:space="0" w:color="000000"/>
            </w:tcBorders>
            <w:shd w:val="clear" w:color="auto" w:fill="C5E0B3"/>
            <w:tcMar>
              <w:top w:w="100" w:type="dxa"/>
              <w:left w:w="100" w:type="dxa"/>
              <w:bottom w:w="100" w:type="dxa"/>
              <w:right w:w="100" w:type="dxa"/>
            </w:tcMar>
          </w:tcPr>
          <w:p w14:paraId="37FED89E" w14:textId="507DC999" w:rsidR="00830167" w:rsidRPr="001D0E96" w:rsidRDefault="00830167" w:rsidP="001D0E96">
            <w:pPr>
              <w:spacing w:before="100"/>
              <w:ind w:left="200" w:right="100"/>
              <w:rPr>
                <w:rFonts w:eastAsia="Arial"/>
              </w:rPr>
            </w:pPr>
            <w:r w:rsidRPr="001D0E96">
              <w:rPr>
                <w:rFonts w:eastAsia="Arial"/>
              </w:rPr>
              <w:t>Potential Economic and Social Costs</w:t>
            </w:r>
          </w:p>
        </w:tc>
        <w:tc>
          <w:tcPr>
            <w:tcW w:w="2325" w:type="dxa"/>
            <w:tcBorders>
              <w:top w:val="single" w:sz="7" w:space="0" w:color="000000"/>
              <w:left w:val="single" w:sz="7" w:space="0" w:color="000000"/>
              <w:bottom w:val="single" w:sz="7" w:space="0" w:color="000000"/>
              <w:right w:val="single" w:sz="7" w:space="0" w:color="000000"/>
            </w:tcBorders>
            <w:shd w:val="clear" w:color="auto" w:fill="C5E0B3"/>
            <w:tcMar>
              <w:top w:w="100" w:type="dxa"/>
              <w:left w:w="100" w:type="dxa"/>
              <w:bottom w:w="100" w:type="dxa"/>
              <w:right w:w="100" w:type="dxa"/>
            </w:tcMar>
          </w:tcPr>
          <w:p w14:paraId="46C8F4AC" w14:textId="04ABD7AA" w:rsidR="00830167" w:rsidRPr="001D0E96" w:rsidRDefault="00830167" w:rsidP="001D0E96">
            <w:pPr>
              <w:spacing w:before="100"/>
              <w:ind w:left="200" w:right="20"/>
              <w:rPr>
                <w:rFonts w:eastAsia="Arial"/>
              </w:rPr>
            </w:pPr>
            <w:r w:rsidRPr="001D0E96">
              <w:rPr>
                <w:rFonts w:eastAsia="Arial"/>
              </w:rPr>
              <w:t>Examples of air toxics that may contribute to health risk</w:t>
            </w:r>
          </w:p>
        </w:tc>
      </w:tr>
      <w:tr w:rsidR="00083818" w:rsidRPr="001D0E96" w14:paraId="3F3648A9" w14:textId="77777777">
        <w:trPr>
          <w:trHeight w:val="3460"/>
        </w:trPr>
        <w:tc>
          <w:tcPr>
            <w:tcW w:w="166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71049B4" w14:textId="77777777" w:rsidR="00083818" w:rsidRPr="001D0E96" w:rsidRDefault="00FC36AC" w:rsidP="001D0E96">
            <w:pPr>
              <w:spacing w:before="100"/>
              <w:ind w:left="200" w:right="20"/>
              <w:rPr>
                <w:rFonts w:eastAsia="Arial"/>
              </w:rPr>
            </w:pPr>
            <w:r w:rsidRPr="001D0E96">
              <w:rPr>
                <w:rFonts w:eastAsia="Arial"/>
              </w:rPr>
              <w:t>Pre-term birth</w:t>
            </w:r>
            <w:r w:rsidRPr="00EC03E9">
              <w:rPr>
                <w:rFonts w:eastAsia="Arial"/>
                <w:vertAlign w:val="superscript"/>
              </w:rPr>
              <w:t>C</w:t>
            </w:r>
          </w:p>
        </w:tc>
        <w:tc>
          <w:tcPr>
            <w:tcW w:w="181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6E84AE4" w14:textId="77777777" w:rsidR="00083818" w:rsidRPr="001D0E96" w:rsidRDefault="00FC36AC" w:rsidP="001D0E96">
            <w:pPr>
              <w:spacing w:before="100"/>
              <w:ind w:left="180" w:right="20"/>
              <w:rPr>
                <w:rFonts w:eastAsia="Arial"/>
              </w:rPr>
            </w:pPr>
            <w:r w:rsidRPr="001D0E96">
              <w:rPr>
                <w:rFonts w:eastAsia="Arial"/>
              </w:rPr>
              <w:t>17,442</w:t>
            </w:r>
          </w:p>
        </w:tc>
        <w:tc>
          <w:tcPr>
            <w:tcW w:w="304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88DF821" w14:textId="77777777" w:rsidR="00083818" w:rsidRPr="001D0E96" w:rsidRDefault="00FC36AC" w:rsidP="001D0E96">
            <w:pPr>
              <w:spacing w:before="100"/>
              <w:ind w:left="200" w:right="100"/>
              <w:rPr>
                <w:rFonts w:eastAsia="Arial"/>
              </w:rPr>
            </w:pPr>
            <w:r w:rsidRPr="001D0E96">
              <w:rPr>
                <w:rFonts w:eastAsia="Arial"/>
              </w:rPr>
              <w:t>Costs depend on degree of prematurity/weight but can include direct medical costs associated with neonatal ICU treatment, increased risk of neonatal infections, increased risk of developmental disabilities, predisposition to disease later in life, parental stress, and costs of parents’ missed days of work.</w:t>
            </w:r>
          </w:p>
        </w:tc>
        <w:tc>
          <w:tcPr>
            <w:tcW w:w="232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974C1A8" w14:textId="77777777" w:rsidR="00083818" w:rsidRPr="001D0E96" w:rsidRDefault="00FC36AC" w:rsidP="001D0E96">
            <w:pPr>
              <w:spacing w:before="100"/>
              <w:ind w:left="200" w:right="20"/>
              <w:rPr>
                <w:rFonts w:eastAsia="Arial"/>
              </w:rPr>
            </w:pPr>
            <w:r w:rsidRPr="001D0E96">
              <w:rPr>
                <w:rFonts w:eastAsia="Arial"/>
              </w:rPr>
              <w:t>lead, formaldehyde</w:t>
            </w:r>
          </w:p>
        </w:tc>
      </w:tr>
      <w:tr w:rsidR="00083818" w:rsidRPr="001D0E96" w14:paraId="01874185" w14:textId="77777777">
        <w:trPr>
          <w:trHeight w:val="2140"/>
        </w:trPr>
        <w:tc>
          <w:tcPr>
            <w:tcW w:w="166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08E5430" w14:textId="77777777" w:rsidR="00083818" w:rsidRPr="001D0E96" w:rsidRDefault="00FC36AC" w:rsidP="00EC03E9">
            <w:pPr>
              <w:spacing w:before="100"/>
              <w:ind w:left="61" w:right="20"/>
              <w:rPr>
                <w:rFonts w:eastAsia="Arial"/>
              </w:rPr>
            </w:pPr>
            <w:r w:rsidRPr="001D0E96">
              <w:rPr>
                <w:rFonts w:eastAsia="Arial"/>
              </w:rPr>
              <w:t>Miscarriage</w:t>
            </w:r>
            <w:r w:rsidRPr="00EC03E9">
              <w:rPr>
                <w:rFonts w:eastAsia="Arial"/>
                <w:vertAlign w:val="superscript"/>
              </w:rPr>
              <w:t>D</w:t>
            </w:r>
          </w:p>
        </w:tc>
        <w:tc>
          <w:tcPr>
            <w:tcW w:w="181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F407248" w14:textId="77777777" w:rsidR="00083818" w:rsidRPr="001D0E96" w:rsidRDefault="00FC36AC" w:rsidP="001D0E96">
            <w:pPr>
              <w:spacing w:before="100"/>
              <w:ind w:left="180" w:right="20"/>
              <w:rPr>
                <w:rFonts w:eastAsia="Arial"/>
              </w:rPr>
            </w:pPr>
            <w:r w:rsidRPr="001D0E96">
              <w:rPr>
                <w:rFonts w:eastAsia="Arial"/>
              </w:rPr>
              <w:t>978</w:t>
            </w:r>
          </w:p>
        </w:tc>
        <w:tc>
          <w:tcPr>
            <w:tcW w:w="304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66CFA84" w14:textId="77777777" w:rsidR="00083818" w:rsidRPr="001D0E96" w:rsidRDefault="00FC36AC" w:rsidP="001D0E96">
            <w:pPr>
              <w:spacing w:before="100"/>
              <w:ind w:left="200" w:right="140"/>
              <w:rPr>
                <w:rFonts w:eastAsia="Arial"/>
              </w:rPr>
            </w:pPr>
            <w:r w:rsidRPr="001D0E96">
              <w:rPr>
                <w:rFonts w:eastAsia="Arial"/>
              </w:rPr>
              <w:t>Costs include direct medical costs, genetic testing/placental virus testing to determine the cause, parents’ missed days of work, and emotional trauma to parents.</w:t>
            </w:r>
          </w:p>
        </w:tc>
        <w:tc>
          <w:tcPr>
            <w:tcW w:w="232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DD362F0" w14:textId="77777777" w:rsidR="00083818" w:rsidRPr="001D0E96" w:rsidRDefault="00FC36AC" w:rsidP="001D0E96">
            <w:pPr>
              <w:spacing w:before="100"/>
              <w:ind w:left="200" w:right="120"/>
              <w:rPr>
                <w:rFonts w:eastAsia="Arial"/>
              </w:rPr>
            </w:pPr>
            <w:r w:rsidRPr="001D0E96">
              <w:rPr>
                <w:rFonts w:eastAsia="Arial"/>
              </w:rPr>
              <w:t>PAHs, lead, formaldehyde, arsenic, dioxins, trichloroethylene</w:t>
            </w:r>
          </w:p>
        </w:tc>
      </w:tr>
      <w:tr w:rsidR="00083818" w:rsidRPr="001D0E96" w14:paraId="7ADDAD96" w14:textId="77777777">
        <w:trPr>
          <w:trHeight w:val="3200"/>
        </w:trPr>
        <w:tc>
          <w:tcPr>
            <w:tcW w:w="166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CE944DD" w14:textId="77777777" w:rsidR="00083818" w:rsidRPr="001D0E96" w:rsidRDefault="00FC36AC" w:rsidP="001D0E96">
            <w:pPr>
              <w:spacing w:before="100"/>
              <w:ind w:left="200" w:right="20"/>
              <w:rPr>
                <w:rFonts w:eastAsia="Arial"/>
              </w:rPr>
            </w:pPr>
            <w:r w:rsidRPr="001D0E96">
              <w:rPr>
                <w:rFonts w:eastAsia="Arial"/>
              </w:rPr>
              <w:t>Birth anomalies</w:t>
            </w:r>
            <w:r w:rsidRPr="00EC03E9">
              <w:rPr>
                <w:rFonts w:eastAsia="Arial"/>
                <w:vertAlign w:val="superscript"/>
              </w:rPr>
              <w:t>E</w:t>
            </w:r>
          </w:p>
        </w:tc>
        <w:tc>
          <w:tcPr>
            <w:tcW w:w="181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C0398F1" w14:textId="77777777" w:rsidR="00083818" w:rsidRPr="001D0E96" w:rsidRDefault="00FC36AC" w:rsidP="001D0E96">
            <w:pPr>
              <w:spacing w:before="100"/>
              <w:ind w:left="180" w:right="20"/>
              <w:rPr>
                <w:rFonts w:eastAsia="Arial"/>
              </w:rPr>
            </w:pPr>
            <w:r w:rsidRPr="001D0E96">
              <w:rPr>
                <w:rFonts w:eastAsia="Arial"/>
              </w:rPr>
              <w:t>2,831</w:t>
            </w:r>
          </w:p>
        </w:tc>
        <w:tc>
          <w:tcPr>
            <w:tcW w:w="304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10F45DF" w14:textId="77777777" w:rsidR="00083818" w:rsidRPr="001D0E96" w:rsidRDefault="00FC36AC" w:rsidP="001D0E96">
            <w:pPr>
              <w:spacing w:before="100"/>
              <w:ind w:left="200" w:right="240"/>
              <w:rPr>
                <w:rFonts w:eastAsia="Arial"/>
              </w:rPr>
            </w:pPr>
            <w:r w:rsidRPr="001D0E96">
              <w:rPr>
                <w:rFonts w:eastAsia="Arial"/>
              </w:rPr>
              <w:t>Costs are highly variable depending on the type and severity of the anomaly, but may include neonatal surgery, follow-up surgeries and medical costs throughout childhood and into adulthood, long-term disability, parents’ missed days of work, and stress to families</w:t>
            </w:r>
          </w:p>
        </w:tc>
        <w:tc>
          <w:tcPr>
            <w:tcW w:w="232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1F83A35" w14:textId="77777777" w:rsidR="00083818" w:rsidRPr="001D0E96" w:rsidRDefault="00FC36AC" w:rsidP="001D0E96">
            <w:pPr>
              <w:spacing w:before="100"/>
              <w:ind w:left="200" w:right="160"/>
              <w:rPr>
                <w:rFonts w:eastAsia="Arial"/>
              </w:rPr>
            </w:pPr>
            <w:r w:rsidRPr="001D0E96">
              <w:rPr>
                <w:rFonts w:eastAsia="Arial"/>
              </w:rPr>
              <w:t>dioxins, arsenic, trichloroethylene, benzene</w:t>
            </w:r>
          </w:p>
        </w:tc>
      </w:tr>
    </w:tbl>
    <w:p w14:paraId="25594563" w14:textId="77777777" w:rsidR="00083818" w:rsidRPr="00EC03E9" w:rsidRDefault="00FC36AC" w:rsidP="00EC03E9">
      <w:pPr>
        <w:ind w:left="380" w:right="20"/>
        <w:rPr>
          <w:sz w:val="22"/>
          <w:szCs w:val="22"/>
        </w:rPr>
      </w:pPr>
      <w:r>
        <w:rPr>
          <w:sz w:val="13"/>
          <w:szCs w:val="13"/>
        </w:rPr>
        <w:t xml:space="preserve">A </w:t>
      </w:r>
      <w:r w:rsidRPr="00EC03E9">
        <w:rPr>
          <w:sz w:val="22"/>
          <w:szCs w:val="22"/>
        </w:rPr>
        <w:t>There were 228,115 total live births in Oregon 2009-2013.</w:t>
      </w:r>
    </w:p>
    <w:p w14:paraId="6CC79E09" w14:textId="77777777" w:rsidR="00083818" w:rsidRDefault="00FC36AC" w:rsidP="00EC03E9">
      <w:pPr>
        <w:spacing w:before="20"/>
        <w:ind w:left="380" w:right="20"/>
        <w:rPr>
          <w:sz w:val="20"/>
          <w:szCs w:val="20"/>
        </w:rPr>
      </w:pPr>
      <w:r>
        <w:rPr>
          <w:sz w:val="13"/>
          <w:szCs w:val="13"/>
        </w:rPr>
        <w:t xml:space="preserve">B </w:t>
      </w:r>
      <w:r w:rsidRPr="00EC03E9">
        <w:rPr>
          <w:sz w:val="22"/>
          <w:szCs w:val="22"/>
        </w:rPr>
        <w:t>&lt;2500 grams birth weight. Source: Vital records</w:t>
      </w:r>
    </w:p>
    <w:p w14:paraId="4106AC84" w14:textId="77777777" w:rsidR="00083818" w:rsidRPr="00EC03E9" w:rsidRDefault="00FC36AC" w:rsidP="00EC03E9">
      <w:pPr>
        <w:spacing w:before="20"/>
        <w:ind w:left="380" w:right="20"/>
        <w:rPr>
          <w:sz w:val="22"/>
          <w:szCs w:val="22"/>
        </w:rPr>
      </w:pPr>
      <w:r>
        <w:rPr>
          <w:sz w:val="13"/>
          <w:szCs w:val="13"/>
        </w:rPr>
        <w:t xml:space="preserve">C </w:t>
      </w:r>
      <w:r w:rsidRPr="00EC03E9">
        <w:rPr>
          <w:sz w:val="22"/>
          <w:szCs w:val="22"/>
        </w:rPr>
        <w:t>&lt;36 weeks' gestation at birth. Source: Vital records</w:t>
      </w:r>
    </w:p>
    <w:p w14:paraId="1C335149" w14:textId="77777777" w:rsidR="00083818" w:rsidRPr="00EC03E9" w:rsidRDefault="00FC36AC" w:rsidP="00EC03E9">
      <w:pPr>
        <w:spacing w:before="80"/>
        <w:ind w:left="360" w:right="260"/>
        <w:rPr>
          <w:color w:val="1155CC"/>
          <w:sz w:val="22"/>
          <w:szCs w:val="22"/>
          <w:u w:val="single"/>
        </w:rPr>
      </w:pPr>
      <w:r>
        <w:rPr>
          <w:sz w:val="13"/>
          <w:szCs w:val="13"/>
        </w:rPr>
        <w:t xml:space="preserve">D </w:t>
      </w:r>
      <w:r w:rsidRPr="00EC03E9">
        <w:rPr>
          <w:sz w:val="22"/>
          <w:szCs w:val="22"/>
        </w:rPr>
        <w:t xml:space="preserve">Fetal deaths at or after 20 weeks of gestation. Any spontaneous pregnancy losses earlier in gestation are not recorded. Source: Oregon Vital Records </w:t>
      </w:r>
      <w:r w:rsidRPr="00EC03E9">
        <w:rPr>
          <w:color w:val="1155CC"/>
          <w:sz w:val="22"/>
          <w:szCs w:val="22"/>
        </w:rPr>
        <w:t xml:space="preserve"> </w:t>
      </w:r>
      <w:r w:rsidRPr="00EC03E9">
        <w:rPr>
          <w:sz w:val="22"/>
          <w:szCs w:val="22"/>
        </w:rPr>
        <w:fldChar w:fldCharType="begin"/>
      </w:r>
      <w:r w:rsidRPr="00EC03E9">
        <w:rPr>
          <w:sz w:val="22"/>
          <w:szCs w:val="22"/>
        </w:rPr>
        <w:instrText xml:space="preserve"> HYPERLINK "http://www.oregon.gov/oha/PH/BIRTHDEATHCERTIFICATES/VITALSTATISTICS/Pages/index.aspx" </w:instrText>
      </w:r>
      <w:r w:rsidRPr="00EC03E9">
        <w:rPr>
          <w:sz w:val="22"/>
          <w:szCs w:val="22"/>
        </w:rPr>
        <w:fldChar w:fldCharType="separate"/>
      </w:r>
      <w:r w:rsidRPr="00EC03E9">
        <w:rPr>
          <w:color w:val="1155CC"/>
          <w:sz w:val="22"/>
          <w:szCs w:val="22"/>
          <w:u w:val="single"/>
        </w:rPr>
        <w:t>http://www.oregon.gov/oha/PH/BIRTHDEATHCERTIFICATES/VITALSTATISTICS/Pages/index.aspx</w:t>
      </w:r>
    </w:p>
    <w:p w14:paraId="77C21171" w14:textId="43D78FE2" w:rsidR="00083818" w:rsidRPr="00EC03E9" w:rsidRDefault="00FC36AC" w:rsidP="00EC03E9">
      <w:pPr>
        <w:ind w:left="360" w:right="260"/>
        <w:rPr>
          <w:color w:val="0563C1"/>
          <w:sz w:val="22"/>
          <w:szCs w:val="22"/>
          <w:u w:val="single"/>
        </w:rPr>
      </w:pPr>
      <w:r w:rsidRPr="00EC03E9">
        <w:rPr>
          <w:sz w:val="22"/>
          <w:szCs w:val="22"/>
        </w:rPr>
        <w:fldChar w:fldCharType="end"/>
      </w:r>
      <w:r>
        <w:rPr>
          <w:sz w:val="13"/>
          <w:szCs w:val="13"/>
        </w:rPr>
        <w:t xml:space="preserve">E </w:t>
      </w:r>
      <w:r w:rsidRPr="00EC03E9">
        <w:rPr>
          <w:sz w:val="22"/>
          <w:szCs w:val="22"/>
        </w:rPr>
        <w:t xml:space="preserve">Birth anomaly numbers are limited to cases of 12 "core" birth anomalies that have been tracked historically in the Oregon Birth Anomalies Surveillance System (anencephalus, cleft lip alone, cleft palate, gastroschisis, hypoplastic left heart syndrome, hypospadias, limb deficiencies, spina bifida, tetralogy of fallot, transposition of the great arteries, and trisomy 21). Oregon has recently started tracking a broader set of birth anomalies but data are not yet available. National Birth Defects Prevention Network, 2016 </w:t>
      </w:r>
      <w:r w:rsidRPr="00EC03E9">
        <w:rPr>
          <w:sz w:val="22"/>
          <w:szCs w:val="22"/>
        </w:rPr>
        <w:fldChar w:fldCharType="begin"/>
      </w:r>
      <w:r w:rsidRPr="00EC03E9">
        <w:rPr>
          <w:sz w:val="22"/>
          <w:szCs w:val="22"/>
        </w:rPr>
        <w:instrText xml:space="preserve"> HYPERLINK "https://www.nbdpn.org/docs/bdra23587-sup-0001-suppinfo01_2016DEC16.pdf" </w:instrText>
      </w:r>
      <w:r w:rsidRPr="00EC03E9">
        <w:rPr>
          <w:sz w:val="22"/>
          <w:szCs w:val="22"/>
        </w:rPr>
        <w:fldChar w:fldCharType="separate"/>
      </w:r>
      <w:r w:rsidRPr="00EC03E9">
        <w:rPr>
          <w:color w:val="0563C1"/>
          <w:sz w:val="22"/>
          <w:szCs w:val="22"/>
          <w:u w:val="single"/>
        </w:rPr>
        <w:t>https://www.nbdpn.org/docs/bdra23587-sup-0001-   suppinfo01_2016DEC16.pdf</w:t>
      </w:r>
    </w:p>
    <w:p w14:paraId="6B241788" w14:textId="77777777" w:rsidR="00083818" w:rsidRPr="00EC03E9" w:rsidRDefault="00FC36AC" w:rsidP="00EC03E9">
      <w:pPr>
        <w:ind w:left="360" w:right="440"/>
        <w:rPr>
          <w:sz w:val="22"/>
          <w:szCs w:val="22"/>
        </w:rPr>
      </w:pPr>
      <w:r w:rsidRPr="00EC03E9">
        <w:rPr>
          <w:sz w:val="22"/>
          <w:szCs w:val="22"/>
        </w:rPr>
        <w:fldChar w:fldCharType="end"/>
      </w:r>
    </w:p>
    <w:p w14:paraId="62A7A36E" w14:textId="77777777" w:rsidR="00083818" w:rsidRDefault="00083818" w:rsidP="00C9121A">
      <w:pPr>
        <w:pStyle w:val="Heading4"/>
      </w:pPr>
    </w:p>
    <w:p w14:paraId="5435A9DF" w14:textId="77777777" w:rsidR="00083818" w:rsidRDefault="00FC36AC" w:rsidP="00C9121A">
      <w:pPr>
        <w:pStyle w:val="Heading4"/>
      </w:pPr>
      <w:r>
        <w:t>Estimates of the portion of health effects caused by pollution</w:t>
      </w:r>
    </w:p>
    <w:p w14:paraId="29C2B3F8" w14:textId="77777777" w:rsidR="00083818" w:rsidRDefault="00FC36AC">
      <w:pPr>
        <w:ind w:left="0" w:right="440"/>
      </w:pPr>
      <w:r>
        <w:t>Several analyses have estimated the portion of a given disease that is attributable to environmental exposures. Because there is often uncertainty around the complex ways that genes, nutrition, social factors, behavior, and chemical exposures interact to influence health, the environmentally attributable fraction is often presented as a range rather than a specific number.</w:t>
      </w:r>
    </w:p>
    <w:p w14:paraId="2D7EF069" w14:textId="77777777" w:rsidR="00083818" w:rsidRDefault="00FC36AC">
      <w:pPr>
        <w:ind w:left="0" w:right="440"/>
      </w:pPr>
      <w:r>
        <w:t>These estimates of the environmentally attributable fraction are not specific to the set of air toxics included in Cleaner Air Oregon. Therefore, these numbers cannot be directly applied to estimate the contribution of air toxics to health risks in Oregon. Rather, they provide an indication of the potential magnitude of the contribution of pollution to disease. The most comprehensive assessment of the contribution of pollution to disease is a 2002 study drawing on 1997 data (dollar figures are 1997 dollars). The findings are summarized below.</w:t>
      </w:r>
    </w:p>
    <w:p w14:paraId="79D9B246" w14:textId="7E4FA2B4" w:rsidR="00083818" w:rsidRDefault="002B23A6">
      <w:pPr>
        <w:ind w:right="440"/>
        <w:rPr>
          <w:sz w:val="16"/>
          <w:szCs w:val="16"/>
        </w:rPr>
      </w:pPr>
      <w:r>
        <w:t>● Asthma</w:t>
      </w:r>
      <w:r w:rsidR="00FC36AC">
        <w:t>. Researchers estimate that 10-30% of asthma is attributable to outdoor air pollution (including both industrial and non-industrial sources).  The yearly fraction of asthma cases that could be attributed to environmental factors cost the US between $0.7 and $2.3 billion. These cost estimates account for direct medical costs and lost productivity due to asthma-related premature deaths.</w:t>
      </w:r>
      <w:r w:rsidR="00E51F29" w:rsidRPr="002B23A6">
        <w:footnoteReference w:id="5"/>
      </w:r>
    </w:p>
    <w:p w14:paraId="2F99283C" w14:textId="31D04975" w:rsidR="00083818" w:rsidRPr="00E51F29" w:rsidRDefault="002B23A6">
      <w:pPr>
        <w:ind w:right="120"/>
        <w:rPr>
          <w:vertAlign w:val="superscript"/>
        </w:rPr>
      </w:pPr>
      <w:r>
        <w:t>● Cancer</w:t>
      </w:r>
      <w:r w:rsidR="00FC36AC">
        <w:t xml:space="preserve">. Researchers estimate that between 2-10% of childhood cancer is attributable to environmental factors, accounting for nationwide costs ranging from $132-663 million a year. These cost estimates account for direct medical costs, costs associated with secondary cancers, lost productivity associated with </w:t>
      </w:r>
      <w:r w:rsidR="00E51F29">
        <w:t>treatments and premature death.</w:t>
      </w:r>
      <w:r w:rsidR="00BB0480">
        <w:rPr>
          <w:vertAlign w:val="superscript"/>
        </w:rPr>
        <w:t>5</w:t>
      </w:r>
    </w:p>
    <w:p w14:paraId="36507D47" w14:textId="50E567CF" w:rsidR="00083818" w:rsidRDefault="002B23A6">
      <w:pPr>
        <w:ind w:right="120"/>
      </w:pPr>
      <w:r>
        <w:t>● Neurodevelopmental</w:t>
      </w:r>
      <w:r w:rsidR="00FC36AC">
        <w:t xml:space="preserve"> disorders. Researchers estimate that 5-20% of neurodevelopmental disorders such as ADHD, autism, and mental retardation may be attributable to environmental factors (excluding lead which was considered separately), costing the US between $4.6-18.4 billion a year. Cost estimates in this study were based on direct costs of medical care, long-te</w:t>
      </w:r>
      <w:r w:rsidR="00BB0480">
        <w:t>rm care, and lost productivity.</w:t>
      </w:r>
      <w:r w:rsidR="00BB0480">
        <w:rPr>
          <w:vertAlign w:val="superscript"/>
        </w:rPr>
        <w:t>5</w:t>
      </w:r>
      <w:r w:rsidR="00FC36AC">
        <w:t xml:space="preserve"> Another study estimated that developmental delays caused by exposure to polycyclic aromatic hydrocarbons in New York</w:t>
      </w:r>
      <w:r w:rsidR="00E51F29">
        <w:t xml:space="preserve"> City alone cost $13.7 million.</w:t>
      </w:r>
      <w:r w:rsidR="00BB0480">
        <w:rPr>
          <w:rStyle w:val="FootnoteReference"/>
        </w:rPr>
        <w:footnoteReference w:id="6"/>
      </w:r>
    </w:p>
    <w:p w14:paraId="48E2E32F" w14:textId="39CDB5F3" w:rsidR="00083818" w:rsidRDefault="002B23A6">
      <w:pPr>
        <w:ind w:right="120"/>
      </w:pPr>
      <w:r>
        <w:t xml:space="preserve">● </w:t>
      </w:r>
      <w:r w:rsidR="00FC36AC">
        <w:t xml:space="preserve">Lead Poisoning. Researchers estimated that the total cost of childhood lead poisoning in </w:t>
      </w:r>
      <w:r w:rsidR="00BB0480">
        <w:t>the US was 43.4 billion yearly.</w:t>
      </w:r>
      <w:r w:rsidR="00FC36AC">
        <w:t xml:space="preserve"> All cases of lead poisoning are attributed to lead exposure, but the relative contribution of different sources of exposure to lead is not well established.</w:t>
      </w:r>
    </w:p>
    <w:p w14:paraId="43326C79" w14:textId="77777777" w:rsidR="00083818" w:rsidRDefault="00083818">
      <w:pPr>
        <w:spacing w:line="288" w:lineRule="auto"/>
        <w:ind w:left="0" w:right="20"/>
      </w:pPr>
    </w:p>
    <w:p w14:paraId="0078351A" w14:textId="77777777" w:rsidR="00083818" w:rsidRDefault="00FC36AC" w:rsidP="00C9121A">
      <w:pPr>
        <w:pStyle w:val="Heading4"/>
      </w:pPr>
      <w:r>
        <w:t>Living near industrial and commercial sites is associated with increased risk of illness</w:t>
      </w:r>
    </w:p>
    <w:p w14:paraId="1E99E370" w14:textId="77777777" w:rsidR="00083818" w:rsidRDefault="00FC36AC">
      <w:pPr>
        <w:ind w:left="0" w:right="20"/>
      </w:pPr>
      <w:r>
        <w:t>Several national studies, most published in the past five years, have found that living near industrial and commercial sites increases risk for several health conditions that are common in Oregon. The specific health impacts that are observed depend on the kinds of chemicals industries are using. Taken together, these studies suggest that reducing industrial and commercial exposure to air toxics could improve health.</w:t>
      </w:r>
    </w:p>
    <w:p w14:paraId="10B713FC" w14:textId="15EB9BD4" w:rsidR="00083818" w:rsidRDefault="002B23A6">
      <w:pPr>
        <w:ind w:right="120"/>
      </w:pPr>
      <w:r>
        <w:t xml:space="preserve">● </w:t>
      </w:r>
      <w:r w:rsidR="00FC36AC">
        <w:t>Mortality. A national study found that counties with higher rates of toxic air and water emissions also had increas</w:t>
      </w:r>
      <w:r w:rsidR="00BB0480">
        <w:t>ed rates of adjusted mortality.</w:t>
      </w:r>
      <w:r w:rsidR="00BB0480">
        <w:rPr>
          <w:rStyle w:val="FootnoteReference"/>
        </w:rPr>
        <w:footnoteReference w:id="7"/>
      </w:r>
    </w:p>
    <w:p w14:paraId="5A8676C9" w14:textId="5F552C06" w:rsidR="00083818" w:rsidRDefault="002B23A6">
      <w:pPr>
        <w:ind w:right="120"/>
      </w:pPr>
      <w:r>
        <w:t xml:space="preserve">● </w:t>
      </w:r>
      <w:r w:rsidR="00FC36AC">
        <w:t>Cardiovascular disease. A national study found that counties with higher emissions of carcinogens, metals, or hazardous air pollutants saw significantly higher rates of mortalit</w:t>
      </w:r>
      <w:r w:rsidR="00BB0480">
        <w:t>y from cardiovascular disease.</w:t>
      </w:r>
      <w:r w:rsidR="00BB0480">
        <w:rPr>
          <w:rStyle w:val="FootnoteReference"/>
        </w:rPr>
        <w:footnoteReference w:id="8"/>
      </w:r>
    </w:p>
    <w:p w14:paraId="3A0F9591" w14:textId="0A71ABC6" w:rsidR="00083818" w:rsidRPr="00BB0480" w:rsidRDefault="002B23A6" w:rsidP="00BB0480">
      <w:pPr>
        <w:ind w:right="120"/>
        <w:rPr>
          <w:sz w:val="16"/>
          <w:szCs w:val="16"/>
        </w:rPr>
      </w:pPr>
      <w:r>
        <w:t xml:space="preserve">● </w:t>
      </w:r>
      <w:r w:rsidR="00FC36AC">
        <w:t>Autism. A national study found that children living close to industrial and commercial facilities releasing arsenic, lead or mercury into the air are significantly more likely to be diagnosed with autism spectrum disorder.</w:t>
      </w:r>
      <w:r w:rsidR="00BB0480">
        <w:rPr>
          <w:rStyle w:val="FootnoteReference"/>
        </w:rPr>
        <w:footnoteReference w:id="9"/>
      </w:r>
    </w:p>
    <w:p w14:paraId="57700DEC" w14:textId="78A8BB79" w:rsidR="00083818" w:rsidRDefault="00FC36AC">
      <w:pPr>
        <w:spacing w:before="60"/>
        <w:ind w:right="340"/>
        <w:rPr>
          <w:sz w:val="16"/>
          <w:szCs w:val="16"/>
        </w:rPr>
      </w:pPr>
      <w:r>
        <w:t>●</w:t>
      </w:r>
      <w:r w:rsidR="002B23A6">
        <w:rPr>
          <w:sz w:val="14"/>
          <w:szCs w:val="14"/>
        </w:rPr>
        <w:t xml:space="preserve"> </w:t>
      </w:r>
      <w:r>
        <w:t xml:space="preserve">Asthma. A nationwide evaluation of National Air Toxics Assessment data performed by CDC scientists found a correlation between modeled acrolein exposure and prevalence of asthma attacks in census tracts across the US. </w:t>
      </w:r>
      <w:r w:rsidR="00BB0480">
        <w:rPr>
          <w:rStyle w:val="FootnoteReference"/>
        </w:rPr>
        <w:footnoteReference w:id="10"/>
      </w:r>
    </w:p>
    <w:p w14:paraId="00D2EB69" w14:textId="684B7FD0" w:rsidR="00083818" w:rsidRDefault="00FC36AC">
      <w:pPr>
        <w:ind w:right="220"/>
        <w:rPr>
          <w:sz w:val="16"/>
          <w:szCs w:val="16"/>
        </w:rPr>
      </w:pPr>
      <w:r>
        <w:t>●</w:t>
      </w:r>
      <w:r w:rsidR="002B23A6">
        <w:rPr>
          <w:sz w:val="14"/>
          <w:szCs w:val="14"/>
        </w:rPr>
        <w:t xml:space="preserve"> </w:t>
      </w:r>
      <w:r>
        <w:t>Cancer. A national study found that living close to industrial and commercial facilities releasing chemicals known to cause cancer is associated with significantly higher rates of cancer hospitalizations. The authors estimated that in 2009, excess cancer risk associated with these industrial and commercial exposures cost an estimated $902.8 million in treatment costs.</w:t>
      </w:r>
      <w:r w:rsidR="00BB0480">
        <w:rPr>
          <w:rStyle w:val="FootnoteReference"/>
        </w:rPr>
        <w:footnoteReference w:id="11"/>
      </w:r>
    </w:p>
    <w:p w14:paraId="369DC900" w14:textId="77777777" w:rsidR="00083818" w:rsidRDefault="00083818">
      <w:pPr>
        <w:spacing w:line="288" w:lineRule="auto"/>
        <w:ind w:left="90" w:right="20"/>
        <w:rPr>
          <w:rFonts w:ascii="Arial" w:eastAsia="Arial" w:hAnsi="Arial" w:cs="Arial"/>
        </w:rPr>
      </w:pPr>
    </w:p>
    <w:p w14:paraId="5E34E522" w14:textId="77777777" w:rsidR="00083818" w:rsidRDefault="00FC36AC" w:rsidP="00C9121A">
      <w:pPr>
        <w:pStyle w:val="Heading4"/>
      </w:pPr>
      <w:r>
        <w:t>Improved air quality can improve public health</w:t>
      </w:r>
    </w:p>
    <w:p w14:paraId="2E473061" w14:textId="77777777" w:rsidR="00083818" w:rsidRDefault="00FC36AC">
      <w:pPr>
        <w:ind w:left="90" w:right="260"/>
      </w:pPr>
      <w:r>
        <w:t>There are several examples of clear public health improvements observed in response to improvements in air quality:</w:t>
      </w:r>
    </w:p>
    <w:p w14:paraId="7C17C9B5" w14:textId="68E98F26" w:rsidR="00083818" w:rsidRDefault="00FC36AC">
      <w:pPr>
        <w:ind w:right="120"/>
      </w:pPr>
      <w:r>
        <w:rPr>
          <w:rFonts w:ascii="Arial" w:eastAsia="Arial" w:hAnsi="Arial" w:cs="Arial"/>
        </w:rPr>
        <w:t>●</w:t>
      </w:r>
      <w:r w:rsidR="002B23A6">
        <w:rPr>
          <w:sz w:val="14"/>
          <w:szCs w:val="14"/>
        </w:rPr>
        <w:t xml:space="preserve"> </w:t>
      </w:r>
      <w:r>
        <w:t>In Southern California, air pollution control efforts were accompanied by meaningful improvements in children’s respiratory health. As air quality improved, the percent of children with decreased lung function was cut in half,</w:t>
      </w:r>
      <w:r w:rsidR="00BB0480">
        <w:rPr>
          <w:rStyle w:val="FootnoteReference"/>
        </w:rPr>
        <w:footnoteReference w:id="12"/>
      </w:r>
      <w:r>
        <w:rPr>
          <w:sz w:val="16"/>
          <w:szCs w:val="16"/>
        </w:rPr>
        <w:t xml:space="preserve"> </w:t>
      </w:r>
      <w:r>
        <w:t>and children with asthma were 30% less likely to experience symptoms of bronchitis.</w:t>
      </w:r>
      <w:r w:rsidR="006B587C">
        <w:rPr>
          <w:rStyle w:val="FootnoteReference"/>
        </w:rPr>
        <w:footnoteReference w:id="13"/>
      </w:r>
    </w:p>
    <w:p w14:paraId="62E95751" w14:textId="5AB97B55" w:rsidR="00083818" w:rsidRPr="002B23A6" w:rsidRDefault="002B23A6" w:rsidP="002B23A6">
      <w:pPr>
        <w:ind w:right="120"/>
      </w:pPr>
      <w:r>
        <w:rPr>
          <w:rFonts w:ascii="Arial" w:eastAsia="Arial" w:hAnsi="Arial" w:cs="Arial"/>
        </w:rPr>
        <w:t>●</w:t>
      </w:r>
      <w:r w:rsidRPr="002B23A6">
        <w:t>T</w:t>
      </w:r>
      <w:r w:rsidR="00FC36AC" w:rsidRPr="002B23A6">
        <w:t>he temporary closure of a steel mill in Utah Valley was linked to temporary improvements in birth outcomes and respiratory health. One study found that rates of premature birth were significantly lower among women who were pregnant while the mill was closed than among women who were pregnant before or after the closure.</w:t>
      </w:r>
      <w:r w:rsidR="006B587C" w:rsidRPr="002B23A6">
        <w:rPr>
          <w:rStyle w:val="FootnoteReference"/>
        </w:rPr>
        <w:footnoteReference w:id="14"/>
      </w:r>
      <w:r w:rsidR="006B587C" w:rsidRPr="002B23A6">
        <w:t xml:space="preserve"> </w:t>
      </w:r>
      <w:r w:rsidR="00FC36AC" w:rsidRPr="002B23A6">
        <w:t>Another study found that children’s hospital admissions for pneumonia, bronchitis and asthma were two to three times higher when the mill was opened than when it was closed.</w:t>
      </w:r>
      <w:r w:rsidR="006B587C" w:rsidRPr="002B23A6">
        <w:rPr>
          <w:rStyle w:val="FootnoteReference"/>
        </w:rPr>
        <w:footnoteReference w:id="15"/>
      </w:r>
    </w:p>
    <w:p w14:paraId="76F384D3" w14:textId="33DD0AD7" w:rsidR="00083818" w:rsidRDefault="00FC36AC">
      <w:pPr>
        <w:spacing w:before="60"/>
        <w:ind w:right="160"/>
      </w:pPr>
      <w:r>
        <w:t>●</w:t>
      </w:r>
      <w:r w:rsidR="002B23A6">
        <w:rPr>
          <w:sz w:val="14"/>
          <w:szCs w:val="14"/>
        </w:rPr>
        <w:t xml:space="preserve"> </w:t>
      </w:r>
      <w:r>
        <w:t>Federal regulations on leaded gasoline resulted in a dramatic decrease in blood lead levels in children across the country.</w:t>
      </w:r>
      <w:r w:rsidR="006B587C">
        <w:rPr>
          <w:rStyle w:val="FootnoteReference"/>
        </w:rPr>
        <w:footnoteReference w:id="16"/>
      </w:r>
      <w:r>
        <w:rPr>
          <w:sz w:val="16"/>
          <w:szCs w:val="16"/>
        </w:rPr>
        <w:t xml:space="preserve"> </w:t>
      </w:r>
      <w:r>
        <w:t>The Center for Disease Control and Prevention has concluded that there is no safe level of lead exposure due to its impacts on brain development. Because lead exposure comes from many sources, scientists were not sure of the extent to which lead from paint and gasoline were responsible for high blood lead levels in children until they were able to observe the effect of these regulations.</w:t>
      </w:r>
    </w:p>
    <w:p w14:paraId="773B9A58" w14:textId="77777777" w:rsidR="00083818" w:rsidRDefault="00083818">
      <w:pPr>
        <w:spacing w:line="288" w:lineRule="auto"/>
        <w:ind w:left="100" w:right="20"/>
        <w:rPr>
          <w:rFonts w:ascii="Arial" w:eastAsia="Arial" w:hAnsi="Arial" w:cs="Arial"/>
          <w:b/>
        </w:rPr>
      </w:pPr>
    </w:p>
    <w:p w14:paraId="449D205F" w14:textId="77777777" w:rsidR="00083818" w:rsidRDefault="00FC36AC" w:rsidP="00C9121A">
      <w:pPr>
        <w:pStyle w:val="Heading3"/>
        <w:ind w:left="90"/>
      </w:pPr>
      <w:r>
        <w:t>Other considerations</w:t>
      </w:r>
    </w:p>
    <w:p w14:paraId="5AEFC6D5" w14:textId="77777777" w:rsidR="00083818" w:rsidRDefault="00FC36AC">
      <w:pPr>
        <w:ind w:left="100" w:right="160"/>
      </w:pPr>
      <w:r>
        <w:t>In attempting to estimate the economic and health burden of air toxics emissions in Oregon, there are several additional points worth considering:</w:t>
      </w:r>
    </w:p>
    <w:p w14:paraId="3BABCFEB" w14:textId="1E2C3468" w:rsidR="00083818" w:rsidRDefault="002B23A6">
      <w:pPr>
        <w:ind w:right="100"/>
      </w:pPr>
      <w:r>
        <w:t xml:space="preserve">● </w:t>
      </w:r>
      <w:r w:rsidR="00FC36AC">
        <w:t>A portion of the health costs of air toxics emissions are currently externalized. People who are not employed by a facility, but who live, go to school, or work near a facility emitting pollutants above proposed Risk Action Levels may bear the health burden of pollution exposure without experiencing the economic benefit a facility may have from exceeding Risk Action Levels.</w:t>
      </w:r>
    </w:p>
    <w:p w14:paraId="49542B7C" w14:textId="20E34756" w:rsidR="00083818" w:rsidRDefault="002B23A6">
      <w:pPr>
        <w:ind w:right="160"/>
      </w:pPr>
      <w:r>
        <w:t xml:space="preserve">● </w:t>
      </w:r>
      <w:r w:rsidR="00FC36AC">
        <w:t>Many of the broader social costs of disease are particularly difficult to quantify. For example, indirect costs of asthma hospitalization include missed days of work and school; indirect costs of neurodevelopmental delays include lost lifetime earning potential, social isolation, and caregiver time; indirect costs of fetal heart malformation often include increased risk of secondary health effects.</w:t>
      </w:r>
    </w:p>
    <w:p w14:paraId="3D1507F8" w14:textId="4A3461A5" w:rsidR="00083818" w:rsidRDefault="002B23A6">
      <w:pPr>
        <w:ind w:right="160"/>
      </w:pPr>
      <w:r>
        <w:t xml:space="preserve">● </w:t>
      </w:r>
      <w:r w:rsidR="00FC36AC">
        <w:t>Risk-based air toxics permitting regulations could also significantly improve the health of workers, resulting in lower health care costs and more productive workers. Workplace exposure standards are typically not entirely health-based.</w:t>
      </w:r>
    </w:p>
    <w:p w14:paraId="36844076" w14:textId="77777777" w:rsidR="00C9121A" w:rsidRDefault="00C9121A" w:rsidP="00C9121A">
      <w:pPr>
        <w:pStyle w:val="Heading3"/>
        <w:ind w:left="180"/>
      </w:pPr>
    </w:p>
    <w:p w14:paraId="6ADF795A" w14:textId="376F6DC4" w:rsidR="00083818" w:rsidRDefault="00DF5063" w:rsidP="00C9121A">
      <w:pPr>
        <w:pStyle w:val="Heading3"/>
        <w:spacing w:before="0"/>
        <w:ind w:left="180"/>
      </w:pPr>
      <w:r>
        <w:t>Negative impacts on the p</w:t>
      </w:r>
      <w:r w:rsidR="00FC36AC">
        <w:t>ublic</w:t>
      </w:r>
    </w:p>
    <w:p w14:paraId="7854B254" w14:textId="571BB473" w:rsidR="00083818" w:rsidRDefault="00FC36AC" w:rsidP="002B23A6">
      <w:pPr>
        <w:ind w:left="180" w:right="60"/>
      </w:pPr>
      <w:r>
        <w:t>The proposed rules could have negative economic effects on the public if facilities providing jobs and contributing to local economies were to curtail production or close in response to regulatory requirements. Because employment plays a key role in the public health, proposed Cleaner Air Oregon regulations include many provisions to allow flexibility for regulated businesses which would decrease the chances of closures in</w:t>
      </w:r>
      <w:r w:rsidR="002B23A6">
        <w:t xml:space="preserve"> </w:t>
      </w:r>
      <w:r>
        <w:t>direct response to regulations. Facilities above Risk Action Levels may request conditional risk levels, have additional time to comply, and may wait for effective control technologies to develop if none are available at the time of permitting. Facilities demonstrating lack of financial ability to install the needed controls at the time required could postpone installation of controls to reduce risk. If facilities are above DEQ Director Consultation Risk Action Levels, there is a provision for consultation between the DEQ Director, the OHA and local governments to consider and weigh local factors, including employment, prior to a DEQ decision whether to issue a permit. In addition, the proposed tiered implementation plan will delay potential impacts to many facilities. However, business decisions are influenced by many factors, and DEQ therefore lacks information to predict specific potential impacts to employment.</w:t>
      </w:r>
    </w:p>
    <w:p w14:paraId="644A279D" w14:textId="77777777" w:rsidR="00083818" w:rsidRDefault="00083818">
      <w:pPr>
        <w:spacing w:before="60"/>
        <w:ind w:left="100" w:right="480"/>
      </w:pPr>
    </w:p>
    <w:p w14:paraId="0BDEAFD8" w14:textId="77777777" w:rsidR="00083818" w:rsidRDefault="00FC36AC">
      <w:pPr>
        <w:ind w:left="100" w:right="480"/>
      </w:pPr>
      <w:r>
        <w:t>The proposed rules could affect the public indirectly if businesses alter the price of goods and services in response to increased base or activity permit fees or the cost to comply with Cleaner Air Oregon rules. DEQ expects any such price increases to be small, but lacks available information to estimate potential increases accurately.</w:t>
      </w:r>
    </w:p>
    <w:p w14:paraId="790CA3F8" w14:textId="77777777" w:rsidR="00083818" w:rsidRDefault="00083818">
      <w:pPr>
        <w:ind w:left="100" w:right="480"/>
      </w:pPr>
    </w:p>
    <w:p w14:paraId="74FB4B44" w14:textId="77777777" w:rsidR="00083818" w:rsidRDefault="00FC36AC">
      <w:pPr>
        <w:ind w:left="100" w:right="120"/>
      </w:pPr>
      <w:r>
        <w:t>Citizens and local government representatives, such as city or county health or planning staff and elected officials may also be impacted by the need to participate in public meetings, including time to research and understand potential air toxics health concerns and risk assessment and permitting issues, and time spent preparing communications and attending meetings. DEQ is not able to quantify the time and fiscal impact on public process participants, but recognizes that time spent may impact local government budgets and for members of the public may require time away from work, childcare, travel or other expenses.</w:t>
      </w:r>
    </w:p>
    <w:p w14:paraId="67835860" w14:textId="77777777" w:rsidR="00083818" w:rsidRDefault="00083818">
      <w:pPr>
        <w:ind w:left="100"/>
      </w:pPr>
    </w:p>
    <w:p w14:paraId="43D12FF6" w14:textId="78CBB10D" w:rsidR="00C9121A" w:rsidRDefault="00DF5063" w:rsidP="00C9121A">
      <w:pPr>
        <w:pStyle w:val="Heading3"/>
        <w:ind w:left="90"/>
      </w:pPr>
      <w:r>
        <w:t>Impacts on the e</w:t>
      </w:r>
      <w:r w:rsidR="00FC36AC">
        <w:t>nvironme</w:t>
      </w:r>
      <w:r>
        <w:t>ntal services s</w:t>
      </w:r>
      <w:r w:rsidR="00FC36AC">
        <w:t>ector</w:t>
      </w:r>
    </w:p>
    <w:p w14:paraId="34E251A3" w14:textId="14EC769D" w:rsidR="00083818" w:rsidRDefault="00FC36AC">
      <w:pPr>
        <w:ind w:left="90" w:right="-432"/>
      </w:pPr>
      <w:r>
        <w:t>The direct cost of complying with regulations can result in increased employment. For example, an environmental regulation could mean more jobs for those engaged in pollution abatement. Further, it is possible that regulations may produce more labor-intensive production processes. Studies of national air quality regulations have shown positive effects on overall economic health. The Clean Air Act’s public health safeguards encourage technology investments that can have positive economic effects on the public. Although in the short term new environmental regulations can have some positive and negative impacts on employment in different sectors, studies indicate that those impacts are limited and that the overall effect of environmental regulations on reported job shift events are extremely minor compared to other factors, such as overall economic growth, business cycles, and changes in technology.</w:t>
      </w:r>
      <w:r w:rsidR="00087B43">
        <w:rPr>
          <w:rStyle w:val="FootnoteReference"/>
        </w:rPr>
        <w:footnoteReference w:id="17"/>
      </w:r>
    </w:p>
    <w:p w14:paraId="6962B03B" w14:textId="72B97029" w:rsidR="00083818" w:rsidRDefault="00FC36AC">
      <w:pPr>
        <w:ind w:left="90" w:right="-432"/>
      </w:pPr>
      <w:r>
        <w:br/>
        <w:t xml:space="preserve">A peer-reviewed study by economists at Resources for the Future, a nonpartisan Washington, D.C. think tank, examined the impact of environmental compliance costs on employment in four regulated industries (pulp and paper, refining, iron and steel, and plastics).  They concluded that increased environmental spending generally does not cause a significant change in employment. </w:t>
      </w:r>
      <w:r w:rsidR="009F1421">
        <w:rPr>
          <w:rStyle w:val="FootnoteReference"/>
        </w:rPr>
        <w:footnoteReference w:id="18"/>
      </w:r>
      <w:r>
        <w:t xml:space="preserve"> </w:t>
      </w:r>
      <w:r>
        <w:br/>
        <w:t xml:space="preserve">Another peer-reviewed study published in the Journal of Public Economics found no evidence that stringent local air quality regulation substantially reduced employment in the Los Angeles basin over a 13-year period of “sharply increased” regulation.  </w:t>
      </w:r>
    </w:p>
    <w:p w14:paraId="0A0FB55B" w14:textId="5CE693FD" w:rsidR="00083818" w:rsidRDefault="002B23A6">
      <w:pPr>
        <w:pStyle w:val="Heading2"/>
        <w:ind w:left="0" w:right="-432"/>
      </w:pPr>
      <w:r>
        <w:t xml:space="preserve"> </w:t>
      </w:r>
    </w:p>
    <w:p w14:paraId="5F4CEA31" w14:textId="77777777" w:rsidR="00087B43" w:rsidRPr="00087B43" w:rsidRDefault="00087B43" w:rsidP="00087B43"/>
    <w:p w14:paraId="17AD2972" w14:textId="77777777" w:rsidR="00083818" w:rsidRDefault="00FC36AC">
      <w:pPr>
        <w:pStyle w:val="Heading2"/>
        <w:ind w:left="0" w:right="-432"/>
      </w:pPr>
      <w:r>
        <w:t>Documents relied on for fiscal and economic impact</w:t>
      </w:r>
    </w:p>
    <w:p w14:paraId="2AA19E14" w14:textId="77777777" w:rsidR="00FE1A16" w:rsidRDefault="00FC36AC">
      <w:pPr>
        <w:ind w:left="0"/>
      </w:pPr>
      <w:r>
        <w:t xml:space="preserve"> </w:t>
      </w:r>
    </w:p>
    <w:tbl>
      <w:tblPr>
        <w:tblW w:w="10515" w:type="dxa"/>
        <w:jc w:val="center"/>
        <w:tblBorders>
          <w:top w:val="single" w:sz="12" w:space="0" w:color="000000"/>
          <w:left w:val="single" w:sz="12" w:space="0" w:color="000000"/>
          <w:bottom w:val="single" w:sz="12" w:space="0" w:color="000000"/>
          <w:right w:val="single" w:sz="12" w:space="0" w:color="000000"/>
          <w:insideH w:val="single" w:sz="4" w:space="0" w:color="A8D08D"/>
          <w:insideV w:val="single" w:sz="4" w:space="0" w:color="A8D08D"/>
        </w:tblBorders>
        <w:tblLayout w:type="fixed"/>
        <w:tblLook w:val="0400" w:firstRow="0" w:lastRow="0" w:firstColumn="0" w:lastColumn="0" w:noHBand="0" w:noVBand="1"/>
      </w:tblPr>
      <w:tblGrid>
        <w:gridCol w:w="4245"/>
        <w:gridCol w:w="6270"/>
      </w:tblGrid>
      <w:tr w:rsidR="00FE1A16" w:rsidRPr="00FE1A16" w14:paraId="72D8DD21" w14:textId="77777777" w:rsidTr="00FE1A16">
        <w:trPr>
          <w:jc w:val="center"/>
        </w:trPr>
        <w:tc>
          <w:tcPr>
            <w:tcW w:w="4245" w:type="dxa"/>
            <w:shd w:val="clear" w:color="auto" w:fill="C5E0B3"/>
          </w:tcPr>
          <w:p w14:paraId="153A1C1E" w14:textId="77777777" w:rsidR="00FE1A16" w:rsidRPr="00FE1A16" w:rsidRDefault="00FE1A16" w:rsidP="00FE1A16">
            <w:pPr>
              <w:ind w:left="0"/>
              <w:rPr>
                <w:rFonts w:ascii="Arial" w:eastAsia="Arial" w:hAnsi="Arial" w:cs="Arial"/>
                <w:b/>
              </w:rPr>
            </w:pPr>
            <w:r w:rsidRPr="00FE1A16">
              <w:rPr>
                <w:rFonts w:ascii="Arial" w:eastAsia="Arial" w:hAnsi="Arial" w:cs="Arial"/>
                <w:b/>
                <w:sz w:val="28"/>
                <w:szCs w:val="28"/>
              </w:rPr>
              <w:t>Document title</w:t>
            </w:r>
          </w:p>
        </w:tc>
        <w:tc>
          <w:tcPr>
            <w:tcW w:w="6270" w:type="dxa"/>
            <w:shd w:val="clear" w:color="auto" w:fill="C5E0B3"/>
          </w:tcPr>
          <w:p w14:paraId="71555CDF" w14:textId="77777777" w:rsidR="00FE1A16" w:rsidRPr="00FE1A16" w:rsidRDefault="00FE1A16" w:rsidP="00FE1A16">
            <w:pPr>
              <w:ind w:left="0"/>
              <w:rPr>
                <w:rFonts w:ascii="Arial" w:eastAsia="Arial" w:hAnsi="Arial" w:cs="Arial"/>
                <w:b/>
              </w:rPr>
            </w:pPr>
            <w:bookmarkStart w:id="16" w:name="_y5q3j47zt5dp" w:colFirst="0" w:colLast="0"/>
            <w:bookmarkEnd w:id="16"/>
            <w:r w:rsidRPr="00FE1A16">
              <w:rPr>
                <w:rFonts w:ascii="Arial" w:eastAsia="Arial" w:hAnsi="Arial" w:cs="Arial"/>
                <w:b/>
                <w:sz w:val="28"/>
                <w:szCs w:val="28"/>
              </w:rPr>
              <w:t>Document location</w:t>
            </w:r>
          </w:p>
        </w:tc>
      </w:tr>
      <w:tr w:rsidR="00FE1A16" w:rsidRPr="00FE1A16" w14:paraId="53FDDB58" w14:textId="77777777" w:rsidTr="00FE1A16">
        <w:trPr>
          <w:jc w:val="center"/>
        </w:trPr>
        <w:tc>
          <w:tcPr>
            <w:tcW w:w="4245" w:type="dxa"/>
          </w:tcPr>
          <w:p w14:paraId="04A84097" w14:textId="77777777" w:rsidR="00FE1A16" w:rsidRPr="00FE1A16" w:rsidRDefault="00FE1A16" w:rsidP="00FE1A16">
            <w:pPr>
              <w:ind w:left="0"/>
              <w:rPr>
                <w:sz w:val="22"/>
                <w:szCs w:val="22"/>
              </w:rPr>
            </w:pPr>
            <w:r w:rsidRPr="00FE1A16">
              <w:t>Air Contaminant Discharge Permits – Table 1</w:t>
            </w:r>
          </w:p>
        </w:tc>
        <w:tc>
          <w:tcPr>
            <w:tcW w:w="6270" w:type="dxa"/>
          </w:tcPr>
          <w:p w14:paraId="45C28F3C" w14:textId="77777777" w:rsidR="00FE1A16" w:rsidRPr="00FE1A16" w:rsidRDefault="006F6FDA" w:rsidP="00FE1A16">
            <w:pPr>
              <w:spacing w:before="120"/>
              <w:ind w:left="0" w:right="700"/>
            </w:pPr>
            <w:hyperlink r:id="rId30">
              <w:r w:rsidR="00FE1A16" w:rsidRPr="00FE1A16">
                <w:rPr>
                  <w:color w:val="2D4375"/>
                  <w:u w:val="single"/>
                </w:rPr>
                <w:t>http://arcweb.sos.state.or.us/pages/rules/oars_300/oar_340/_340_tables/340-216-   0020_10-24.pdf</w:t>
              </w:r>
            </w:hyperlink>
          </w:p>
        </w:tc>
      </w:tr>
      <w:tr w:rsidR="00FE1A16" w:rsidRPr="00FE1A16" w14:paraId="0309EE10" w14:textId="77777777" w:rsidTr="00FE1A16">
        <w:trPr>
          <w:jc w:val="center"/>
        </w:trPr>
        <w:tc>
          <w:tcPr>
            <w:tcW w:w="4245" w:type="dxa"/>
          </w:tcPr>
          <w:p w14:paraId="4CD4A40C" w14:textId="77777777" w:rsidR="00FE1A16" w:rsidRPr="00FE1A16" w:rsidRDefault="00FE1A16" w:rsidP="00FE1A16">
            <w:pPr>
              <w:ind w:left="0"/>
              <w:rPr>
                <w:color w:val="538135"/>
              </w:rPr>
            </w:pPr>
            <w:r w:rsidRPr="00FE1A16">
              <w:t xml:space="preserve">Air &amp; Waste Management Association Fact Sheet: Air Pollution Emission Control Devices for Stationary Sources, April 2007 </w:t>
            </w:r>
            <w:r w:rsidRPr="00FE1A16">
              <w:rPr>
                <w:color w:val="0563C1"/>
              </w:rPr>
              <w:t> </w:t>
            </w:r>
          </w:p>
        </w:tc>
        <w:tc>
          <w:tcPr>
            <w:tcW w:w="6270" w:type="dxa"/>
          </w:tcPr>
          <w:p w14:paraId="14A63B7A" w14:textId="77777777" w:rsidR="00FE1A16" w:rsidRPr="00FE1A16" w:rsidRDefault="006F6FDA" w:rsidP="00FE1A16">
            <w:pPr>
              <w:spacing w:before="60"/>
              <w:ind w:left="0" w:right="140"/>
            </w:pPr>
            <w:hyperlink r:id="rId31">
              <w:r w:rsidR="00FE1A16" w:rsidRPr="00FE1A16">
                <w:rPr>
                  <w:color w:val="0563C1"/>
                  <w:u w:val="single"/>
                </w:rPr>
                <w:t>http://events.awma.org/files_original/ControlDevicesFactSheet07.pdf</w:t>
              </w:r>
            </w:hyperlink>
          </w:p>
          <w:p w14:paraId="48446600" w14:textId="77777777" w:rsidR="00FE1A16" w:rsidRPr="00FE1A16" w:rsidRDefault="00FE1A16" w:rsidP="00FE1A16">
            <w:pPr>
              <w:ind w:left="0"/>
              <w:rPr>
                <w:color w:val="538135"/>
              </w:rPr>
            </w:pPr>
          </w:p>
        </w:tc>
      </w:tr>
      <w:tr w:rsidR="00FE1A16" w:rsidRPr="00FE1A16" w14:paraId="4FAA624C" w14:textId="77777777" w:rsidTr="00FE1A16">
        <w:trPr>
          <w:jc w:val="center"/>
        </w:trPr>
        <w:tc>
          <w:tcPr>
            <w:tcW w:w="4245" w:type="dxa"/>
          </w:tcPr>
          <w:p w14:paraId="2EFE8A0B" w14:textId="77777777" w:rsidR="00FE1A16" w:rsidRPr="00FE1A16" w:rsidRDefault="00FE1A16" w:rsidP="00FE1A16">
            <w:pPr>
              <w:ind w:left="0"/>
            </w:pPr>
            <w:r w:rsidRPr="00FE1A16">
              <w:t>EPA Air Pollution Control Cost Manual, Report No. 452/B-02-001, December 1995, Section 5, Chapter 1, SO</w:t>
            </w:r>
            <w:r w:rsidRPr="00FE1A16">
              <w:rPr>
                <w:sz w:val="16"/>
                <w:szCs w:val="16"/>
              </w:rPr>
              <w:t xml:space="preserve">2 </w:t>
            </w:r>
            <w:r w:rsidRPr="00FE1A16">
              <w:t>and Acid Gas Controls</w:t>
            </w:r>
          </w:p>
        </w:tc>
        <w:tc>
          <w:tcPr>
            <w:tcW w:w="6270" w:type="dxa"/>
          </w:tcPr>
          <w:p w14:paraId="7602A49B" w14:textId="77777777" w:rsidR="00FE1A16" w:rsidRPr="00FE1A16" w:rsidRDefault="006F6FDA" w:rsidP="00FE1A16">
            <w:pPr>
              <w:spacing w:before="60"/>
              <w:ind w:left="0" w:right="140"/>
            </w:pPr>
            <w:hyperlink r:id="rId32">
              <w:r w:rsidR="00FE1A16" w:rsidRPr="00FE1A16">
                <w:rPr>
                  <w:color w:val="2D4375"/>
                  <w:u w:val="single"/>
                </w:rPr>
                <w:t>http://www.epa.gov/ttn/catc/dir1/cost_toc.pdf</w:t>
              </w:r>
            </w:hyperlink>
          </w:p>
          <w:p w14:paraId="5E71D2A1" w14:textId="77777777" w:rsidR="00FE1A16" w:rsidRPr="00FE1A16" w:rsidRDefault="00FE1A16" w:rsidP="00FE1A16">
            <w:pPr>
              <w:spacing w:before="60"/>
              <w:ind w:left="0" w:right="140"/>
            </w:pPr>
          </w:p>
        </w:tc>
      </w:tr>
      <w:tr w:rsidR="00FE1A16" w:rsidRPr="00FE1A16" w14:paraId="525B8259" w14:textId="77777777" w:rsidTr="00FE1A16">
        <w:trPr>
          <w:jc w:val="center"/>
        </w:trPr>
        <w:tc>
          <w:tcPr>
            <w:tcW w:w="4245" w:type="dxa"/>
          </w:tcPr>
          <w:p w14:paraId="5689E875" w14:textId="77777777" w:rsidR="00FE1A16" w:rsidRPr="00FE1A16" w:rsidRDefault="00FE1A16" w:rsidP="00FE1A16">
            <w:pPr>
              <w:ind w:left="0"/>
            </w:pPr>
            <w:r w:rsidRPr="00FE1A16">
              <w:t>EPA Air Pollution Control Cost Manual, Report No. 452/B-02-001, January 2002, Section 6, Chapter 1, Baghouses and Filters</w:t>
            </w:r>
          </w:p>
        </w:tc>
        <w:tc>
          <w:tcPr>
            <w:tcW w:w="6270" w:type="dxa"/>
          </w:tcPr>
          <w:p w14:paraId="03A7AB19" w14:textId="77777777" w:rsidR="00FE1A16" w:rsidRPr="00FE1A16" w:rsidRDefault="006F6FDA" w:rsidP="00FE1A16">
            <w:pPr>
              <w:spacing w:before="60"/>
              <w:ind w:left="0" w:right="140"/>
            </w:pPr>
            <w:hyperlink r:id="rId33">
              <w:r w:rsidR="00FE1A16" w:rsidRPr="00FE1A16">
                <w:rPr>
                  <w:color w:val="2D4375"/>
                  <w:u w:val="single"/>
                </w:rPr>
                <w:t>http://www.epa.gov/ttn/catc/dir1/cost_toc.pdf</w:t>
              </w:r>
            </w:hyperlink>
          </w:p>
        </w:tc>
      </w:tr>
      <w:tr w:rsidR="00FE1A16" w:rsidRPr="00FE1A16" w14:paraId="547BE589" w14:textId="77777777" w:rsidTr="00FE1A16">
        <w:trPr>
          <w:jc w:val="center"/>
        </w:trPr>
        <w:tc>
          <w:tcPr>
            <w:tcW w:w="4245" w:type="dxa"/>
          </w:tcPr>
          <w:p w14:paraId="1BA466E0" w14:textId="77777777" w:rsidR="00FE1A16" w:rsidRPr="00FE1A16" w:rsidRDefault="00FE1A16" w:rsidP="00FE1A16">
            <w:pPr>
              <w:ind w:left="0"/>
            </w:pPr>
            <w:r w:rsidRPr="00FE1A16">
              <w:t>EPA Air Pollution Control Cost Manual, Report No. 452/B-02-001, September 1999, Section 6, Chapter 3, Electrostatic Precipitators</w:t>
            </w:r>
          </w:p>
        </w:tc>
        <w:tc>
          <w:tcPr>
            <w:tcW w:w="6270" w:type="dxa"/>
          </w:tcPr>
          <w:p w14:paraId="0D0B715A" w14:textId="77777777" w:rsidR="00FE1A16" w:rsidRPr="00FE1A16" w:rsidRDefault="006F6FDA" w:rsidP="00FE1A16">
            <w:pPr>
              <w:spacing w:before="60"/>
              <w:ind w:left="0"/>
            </w:pPr>
            <w:hyperlink r:id="rId34">
              <w:r w:rsidR="00FE1A16" w:rsidRPr="00FE1A16">
                <w:rPr>
                  <w:color w:val="0563C1"/>
                  <w:u w:val="single"/>
                </w:rPr>
                <w:t>https://www3.epa.gov/ttn/ecas/docs/cs6ch3.pdf</w:t>
              </w:r>
            </w:hyperlink>
          </w:p>
          <w:p w14:paraId="0B08323C" w14:textId="77777777" w:rsidR="00FE1A16" w:rsidRPr="00FE1A16" w:rsidRDefault="00FE1A16" w:rsidP="00FE1A16">
            <w:pPr>
              <w:spacing w:before="60"/>
              <w:ind w:left="0" w:right="140"/>
            </w:pPr>
          </w:p>
        </w:tc>
      </w:tr>
      <w:tr w:rsidR="00FE1A16" w:rsidRPr="00FE1A16" w14:paraId="06701FC0" w14:textId="77777777" w:rsidTr="00FE1A16">
        <w:trPr>
          <w:jc w:val="center"/>
        </w:trPr>
        <w:tc>
          <w:tcPr>
            <w:tcW w:w="4245" w:type="dxa"/>
          </w:tcPr>
          <w:p w14:paraId="3021AC63" w14:textId="77777777" w:rsidR="00FE1A16" w:rsidRPr="00FE1A16" w:rsidRDefault="00FE1A16" w:rsidP="00FE1A16">
            <w:pPr>
              <w:ind w:left="0"/>
            </w:pPr>
            <w:r w:rsidRPr="00FE1A16">
              <w:t>EPA Health and Environmental Effects of Hazardous Air Pollutants</w:t>
            </w:r>
          </w:p>
        </w:tc>
        <w:tc>
          <w:tcPr>
            <w:tcW w:w="6270" w:type="dxa"/>
          </w:tcPr>
          <w:p w14:paraId="16DF0FDC" w14:textId="77777777" w:rsidR="00FE1A16" w:rsidRPr="00FE1A16" w:rsidRDefault="006F6FDA" w:rsidP="00FE1A16">
            <w:pPr>
              <w:spacing w:before="60"/>
              <w:ind w:left="0"/>
            </w:pPr>
            <w:hyperlink r:id="rId35">
              <w:r w:rsidR="00FE1A16" w:rsidRPr="00FE1A16">
                <w:rPr>
                  <w:color w:val="0563C1"/>
                  <w:u w:val="single"/>
                </w:rPr>
                <w:t>https://www.epa.gov/haps/health-and-environmental-effects-hazardous-air-pollutants</w:t>
              </w:r>
            </w:hyperlink>
          </w:p>
        </w:tc>
      </w:tr>
      <w:tr w:rsidR="00FE1A16" w:rsidRPr="00FE1A16" w14:paraId="1F8D273F" w14:textId="77777777" w:rsidTr="00FE1A16">
        <w:trPr>
          <w:jc w:val="center"/>
        </w:trPr>
        <w:tc>
          <w:tcPr>
            <w:tcW w:w="4245" w:type="dxa"/>
          </w:tcPr>
          <w:p w14:paraId="167EBE67" w14:textId="77777777" w:rsidR="00FE1A16" w:rsidRPr="00FE1A16" w:rsidRDefault="00FE1A16" w:rsidP="00FE1A16">
            <w:pPr>
              <w:spacing w:before="60"/>
              <w:ind w:left="0" w:right="140"/>
            </w:pPr>
            <w:r w:rsidRPr="00FE1A16">
              <w:t>EPA Technical Bulletin Choosing an Adsorption System for VOC: Carbon, Zeolite, or Polymers? May 1999</w:t>
            </w:r>
          </w:p>
        </w:tc>
        <w:tc>
          <w:tcPr>
            <w:tcW w:w="6270" w:type="dxa"/>
          </w:tcPr>
          <w:p w14:paraId="175B2AFF" w14:textId="77777777" w:rsidR="00FE1A16" w:rsidRPr="00FE1A16" w:rsidRDefault="006F6FDA" w:rsidP="00FE1A16">
            <w:pPr>
              <w:spacing w:before="60"/>
              <w:ind w:left="0"/>
            </w:pPr>
            <w:hyperlink r:id="rId36">
              <w:r w:rsidR="00FE1A16" w:rsidRPr="00FE1A16">
                <w:rPr>
                  <w:color w:val="0563C1"/>
                  <w:u w:val="single"/>
                </w:rPr>
                <w:t>https://www3.epa.gov/ttncatc1/cica/files/fadsorb.pdf</w:t>
              </w:r>
            </w:hyperlink>
          </w:p>
        </w:tc>
      </w:tr>
      <w:tr w:rsidR="00FE1A16" w:rsidRPr="00FE1A16" w14:paraId="4A9E4E63" w14:textId="77777777" w:rsidTr="00FE1A16">
        <w:trPr>
          <w:jc w:val="center"/>
        </w:trPr>
        <w:tc>
          <w:tcPr>
            <w:tcW w:w="4245" w:type="dxa"/>
          </w:tcPr>
          <w:p w14:paraId="05274E9E" w14:textId="77777777" w:rsidR="00FE1A16" w:rsidRPr="00FE1A16" w:rsidRDefault="00FE1A16" w:rsidP="00FE1A16">
            <w:pPr>
              <w:spacing w:before="60"/>
              <w:ind w:left="0" w:right="140"/>
            </w:pPr>
            <w:r w:rsidRPr="00FE1A16">
              <w:t>EPA Pollution Control Technology Fact Sheet Spray-Chamber/Spray-Tower Wet Scrubber, EPA-452/F-03-016</w:t>
            </w:r>
          </w:p>
        </w:tc>
        <w:tc>
          <w:tcPr>
            <w:tcW w:w="6270" w:type="dxa"/>
          </w:tcPr>
          <w:p w14:paraId="4FFFB5C0" w14:textId="77777777" w:rsidR="00FE1A16" w:rsidRPr="00FE1A16" w:rsidRDefault="006F6FDA" w:rsidP="00FE1A16">
            <w:pPr>
              <w:spacing w:before="60"/>
              <w:ind w:left="0" w:right="760"/>
            </w:pPr>
            <w:hyperlink r:id="rId37">
              <w:r w:rsidR="00FE1A16" w:rsidRPr="00FE1A16">
                <w:rPr>
                  <w:color w:val="0563C1"/>
                  <w:u w:val="single"/>
                </w:rPr>
                <w:t>https://www3.epa.gov/ttncatc1/cica/files/fsprytwr.pdf</w:t>
              </w:r>
            </w:hyperlink>
          </w:p>
          <w:p w14:paraId="1FEC62FD" w14:textId="77777777" w:rsidR="00FE1A16" w:rsidRPr="00FE1A16" w:rsidRDefault="00FE1A16" w:rsidP="00FE1A16">
            <w:pPr>
              <w:spacing w:before="60"/>
              <w:ind w:left="0"/>
            </w:pPr>
          </w:p>
        </w:tc>
      </w:tr>
      <w:tr w:rsidR="00FE1A16" w:rsidRPr="00FE1A16" w14:paraId="25A6D6C9" w14:textId="77777777" w:rsidTr="00FE1A16">
        <w:trPr>
          <w:jc w:val="center"/>
        </w:trPr>
        <w:tc>
          <w:tcPr>
            <w:tcW w:w="4245" w:type="dxa"/>
          </w:tcPr>
          <w:p w14:paraId="36321AEF" w14:textId="77777777" w:rsidR="00FE1A16" w:rsidRPr="00FE1A16" w:rsidRDefault="00FE1A16" w:rsidP="00FE1A16">
            <w:pPr>
              <w:spacing w:before="60"/>
              <w:ind w:left="0" w:right="140"/>
            </w:pPr>
            <w:r w:rsidRPr="00FE1A16">
              <w:t>EPA Air Pollution Control Technology Fact Sheet Catalytic Incinerator, EPA-452/F-03- 018</w:t>
            </w:r>
          </w:p>
        </w:tc>
        <w:tc>
          <w:tcPr>
            <w:tcW w:w="6270" w:type="dxa"/>
          </w:tcPr>
          <w:p w14:paraId="3B401D0A" w14:textId="77777777" w:rsidR="00FE1A16" w:rsidRPr="00FE1A16" w:rsidRDefault="006F6FDA" w:rsidP="00FE1A16">
            <w:pPr>
              <w:spacing w:before="60"/>
              <w:ind w:left="0" w:right="760"/>
            </w:pPr>
            <w:hyperlink r:id="rId38">
              <w:r w:rsidR="00FE1A16" w:rsidRPr="00FE1A16">
                <w:rPr>
                  <w:color w:val="0563C1"/>
                  <w:u w:val="single"/>
                </w:rPr>
                <w:t>https://www3.epa.gov/ttncatc1/cica/files/fcataly.pdf</w:t>
              </w:r>
            </w:hyperlink>
          </w:p>
        </w:tc>
      </w:tr>
      <w:tr w:rsidR="00FE1A16" w:rsidRPr="00FE1A16" w14:paraId="46985055" w14:textId="77777777" w:rsidTr="00FE1A16">
        <w:trPr>
          <w:jc w:val="center"/>
        </w:trPr>
        <w:tc>
          <w:tcPr>
            <w:tcW w:w="4245" w:type="dxa"/>
          </w:tcPr>
          <w:p w14:paraId="0C8AA1CF" w14:textId="77777777" w:rsidR="00FE1A16" w:rsidRPr="00FE1A16" w:rsidRDefault="00FE1A16" w:rsidP="00FE1A16">
            <w:pPr>
              <w:spacing w:before="60"/>
              <w:ind w:left="0" w:right="140"/>
            </w:pPr>
            <w:r w:rsidRPr="00FE1A16">
              <w:t>EPA Air Pollution Control Technology Fact Sheet Regenerative Incinerator, EPA- 452/F-03-021</w:t>
            </w:r>
          </w:p>
        </w:tc>
        <w:tc>
          <w:tcPr>
            <w:tcW w:w="6270" w:type="dxa"/>
          </w:tcPr>
          <w:p w14:paraId="3D6E2BEF" w14:textId="77777777" w:rsidR="00FE1A16" w:rsidRPr="00FE1A16" w:rsidRDefault="006F6FDA" w:rsidP="00FE1A16">
            <w:pPr>
              <w:spacing w:before="60"/>
              <w:ind w:left="0" w:right="760"/>
            </w:pPr>
            <w:hyperlink r:id="rId39">
              <w:r w:rsidR="00FE1A16" w:rsidRPr="00FE1A16">
                <w:rPr>
                  <w:color w:val="0563C1"/>
                  <w:u w:val="single"/>
                </w:rPr>
                <w:t>https://www3.epa.gov/ttncatc1/cica/files/fregen.pdf</w:t>
              </w:r>
            </w:hyperlink>
          </w:p>
        </w:tc>
      </w:tr>
      <w:tr w:rsidR="00FE1A16" w:rsidRPr="00FE1A16" w14:paraId="05595DF8" w14:textId="77777777" w:rsidTr="00FE1A16">
        <w:trPr>
          <w:jc w:val="center"/>
        </w:trPr>
        <w:tc>
          <w:tcPr>
            <w:tcW w:w="4245" w:type="dxa"/>
          </w:tcPr>
          <w:p w14:paraId="5C4EA4EB" w14:textId="77777777" w:rsidR="00FE1A16" w:rsidRPr="00FE1A16" w:rsidRDefault="00FE1A16" w:rsidP="00FE1A16">
            <w:pPr>
              <w:spacing w:before="60"/>
              <w:ind w:left="0" w:right="140"/>
            </w:pPr>
            <w:r w:rsidRPr="00FE1A16">
              <w:t>EPA Air Pollution Control Technology Fact Sheet Thermal Incinerator, EPA-452/F-03- 022</w:t>
            </w:r>
          </w:p>
        </w:tc>
        <w:tc>
          <w:tcPr>
            <w:tcW w:w="6270" w:type="dxa"/>
          </w:tcPr>
          <w:p w14:paraId="5019B59E" w14:textId="77777777" w:rsidR="00FE1A16" w:rsidRPr="00FE1A16" w:rsidRDefault="006F6FDA" w:rsidP="00FE1A16">
            <w:pPr>
              <w:spacing w:before="60"/>
              <w:ind w:left="0" w:right="760"/>
            </w:pPr>
            <w:hyperlink r:id="rId40">
              <w:r w:rsidR="00FE1A16" w:rsidRPr="00FE1A16">
                <w:rPr>
                  <w:color w:val="0563C1"/>
                  <w:u w:val="single"/>
                </w:rPr>
                <w:t>https://www3.epa.gov/ttncatc1/cica/files/fthermal.pdf</w:t>
              </w:r>
            </w:hyperlink>
          </w:p>
        </w:tc>
      </w:tr>
      <w:tr w:rsidR="00FE1A16" w:rsidRPr="00FE1A16" w14:paraId="4A9CCCA8" w14:textId="77777777" w:rsidTr="00FE1A16">
        <w:trPr>
          <w:jc w:val="center"/>
        </w:trPr>
        <w:tc>
          <w:tcPr>
            <w:tcW w:w="4245" w:type="dxa"/>
          </w:tcPr>
          <w:p w14:paraId="5076B854" w14:textId="77777777" w:rsidR="00FE1A16" w:rsidRPr="00FE1A16" w:rsidRDefault="00FE1A16" w:rsidP="00FE1A16">
            <w:pPr>
              <w:spacing w:before="60"/>
              <w:ind w:left="0" w:right="140"/>
            </w:pPr>
            <w:r w:rsidRPr="00FE1A16">
              <w:t>EPA Air Pollution Control Technology Fact Sheet, Paper/Nonwoven Filter – High Efficiency Particle Air (HEPA) Filter, EPA-452/F-03-023</w:t>
            </w:r>
          </w:p>
        </w:tc>
        <w:tc>
          <w:tcPr>
            <w:tcW w:w="6270" w:type="dxa"/>
          </w:tcPr>
          <w:p w14:paraId="758A420F" w14:textId="77777777" w:rsidR="00FE1A16" w:rsidRPr="00FE1A16" w:rsidRDefault="006F6FDA" w:rsidP="00FE1A16">
            <w:pPr>
              <w:spacing w:before="60"/>
              <w:ind w:left="0" w:right="720"/>
            </w:pPr>
            <w:hyperlink r:id="rId41">
              <w:r w:rsidR="00FE1A16" w:rsidRPr="00FE1A16">
                <w:rPr>
                  <w:color w:val="0563C1"/>
                  <w:u w:val="single"/>
                </w:rPr>
                <w:t>https://www3.epa.gov/ttncatc1/cica/files/ff-hepa.pdf</w:t>
              </w:r>
            </w:hyperlink>
          </w:p>
          <w:p w14:paraId="54152798" w14:textId="77777777" w:rsidR="00FE1A16" w:rsidRPr="00FE1A16" w:rsidRDefault="00FE1A16" w:rsidP="00FE1A16">
            <w:pPr>
              <w:spacing w:before="60"/>
              <w:ind w:left="0" w:right="760"/>
            </w:pPr>
          </w:p>
        </w:tc>
      </w:tr>
      <w:tr w:rsidR="00FE1A16" w:rsidRPr="00FE1A16" w14:paraId="46DA8AC4" w14:textId="77777777" w:rsidTr="00FE1A16">
        <w:trPr>
          <w:jc w:val="center"/>
        </w:trPr>
        <w:tc>
          <w:tcPr>
            <w:tcW w:w="4245" w:type="dxa"/>
          </w:tcPr>
          <w:p w14:paraId="7C642C15" w14:textId="77777777" w:rsidR="00FE1A16" w:rsidRPr="00FE1A16" w:rsidRDefault="00FE1A16" w:rsidP="00FE1A16">
            <w:pPr>
              <w:spacing w:before="60"/>
              <w:ind w:left="0" w:right="140"/>
            </w:pPr>
            <w:r w:rsidRPr="00FE1A16">
              <w:t>EPA Pollution Control Technology Fact Sheet Fabric Filter – Mechanical Shaker Cleaned Type, EPA-452/F-03-024</w:t>
            </w:r>
          </w:p>
        </w:tc>
        <w:tc>
          <w:tcPr>
            <w:tcW w:w="6270" w:type="dxa"/>
          </w:tcPr>
          <w:p w14:paraId="29FC26C7" w14:textId="77777777" w:rsidR="00FE1A16" w:rsidRPr="00FE1A16" w:rsidRDefault="006F6FDA" w:rsidP="00FE1A16">
            <w:pPr>
              <w:ind w:left="0"/>
            </w:pPr>
            <w:hyperlink r:id="rId42">
              <w:r w:rsidR="00FE1A16" w:rsidRPr="00FE1A16">
                <w:rPr>
                  <w:color w:val="0563C1"/>
                  <w:u w:val="single"/>
                </w:rPr>
                <w:t>https://www3.epa.gov/ttncatc1/cica/files/ff-shaker.pdf</w:t>
              </w:r>
            </w:hyperlink>
          </w:p>
          <w:p w14:paraId="49687197" w14:textId="77777777" w:rsidR="00FE1A16" w:rsidRPr="00FE1A16" w:rsidRDefault="00FE1A16" w:rsidP="00FE1A16">
            <w:pPr>
              <w:spacing w:before="60"/>
              <w:ind w:left="0" w:right="760"/>
            </w:pPr>
          </w:p>
        </w:tc>
      </w:tr>
      <w:tr w:rsidR="00FE1A16" w:rsidRPr="00FE1A16" w14:paraId="2963CA64" w14:textId="77777777" w:rsidTr="00FE1A16">
        <w:trPr>
          <w:jc w:val="center"/>
        </w:trPr>
        <w:tc>
          <w:tcPr>
            <w:tcW w:w="4245" w:type="dxa"/>
          </w:tcPr>
          <w:p w14:paraId="490A6409" w14:textId="77777777" w:rsidR="00FE1A16" w:rsidRPr="00FE1A16" w:rsidRDefault="00FE1A16" w:rsidP="00FE1A16">
            <w:pPr>
              <w:spacing w:before="60"/>
              <w:ind w:left="0" w:right="140"/>
            </w:pPr>
            <w:r w:rsidRPr="00FE1A16">
              <w:t>EPA Air Pollution Control Technology Fact Sheet Dry Electrostatic Precipitator (ESP) – Wire-Plate Type, EPA-452/F-03-028</w:t>
            </w:r>
          </w:p>
        </w:tc>
        <w:tc>
          <w:tcPr>
            <w:tcW w:w="6270" w:type="dxa"/>
          </w:tcPr>
          <w:p w14:paraId="2EAC7726" w14:textId="77777777" w:rsidR="00FE1A16" w:rsidRPr="00FE1A16" w:rsidRDefault="006F6FDA" w:rsidP="00FE1A16">
            <w:pPr>
              <w:spacing w:before="60"/>
              <w:ind w:left="0" w:right="760"/>
            </w:pPr>
            <w:hyperlink r:id="rId43">
              <w:r w:rsidR="00FE1A16" w:rsidRPr="00FE1A16">
                <w:rPr>
                  <w:color w:val="0563C1"/>
                  <w:u w:val="single"/>
                </w:rPr>
                <w:t>https://www3.epa.gov/ttncatc1/cica/files/fdespwpl.pdf</w:t>
              </w:r>
            </w:hyperlink>
          </w:p>
        </w:tc>
      </w:tr>
      <w:tr w:rsidR="00FE1A16" w:rsidRPr="00FE1A16" w14:paraId="7A42CECC" w14:textId="77777777" w:rsidTr="00FE1A16">
        <w:trPr>
          <w:jc w:val="center"/>
        </w:trPr>
        <w:tc>
          <w:tcPr>
            <w:tcW w:w="4245" w:type="dxa"/>
          </w:tcPr>
          <w:p w14:paraId="74583325" w14:textId="77777777" w:rsidR="00FE1A16" w:rsidRPr="00FE1A16" w:rsidRDefault="00FE1A16" w:rsidP="00FE1A16">
            <w:pPr>
              <w:spacing w:before="60"/>
              <w:ind w:left="0"/>
            </w:pPr>
            <w:r w:rsidRPr="00FE1A16">
              <w:t>EPA Air Pollution Control Technology Fact Sheet Permanent Total Enclosures (PTEs), EPA-452/F-03-033</w:t>
            </w:r>
          </w:p>
        </w:tc>
        <w:tc>
          <w:tcPr>
            <w:tcW w:w="6270" w:type="dxa"/>
          </w:tcPr>
          <w:p w14:paraId="76AF03F4" w14:textId="77777777" w:rsidR="00FE1A16" w:rsidRPr="00FE1A16" w:rsidRDefault="006F6FDA" w:rsidP="00FE1A16">
            <w:pPr>
              <w:ind w:left="0"/>
            </w:pPr>
            <w:hyperlink r:id="rId44">
              <w:r w:rsidR="00FE1A16" w:rsidRPr="00FE1A16">
                <w:rPr>
                  <w:color w:val="0563C1"/>
                  <w:u w:val="single"/>
                </w:rPr>
                <w:t>https://www3.epa.gov/ttncatc1/cica/files/fpte.pdf</w:t>
              </w:r>
            </w:hyperlink>
          </w:p>
          <w:p w14:paraId="3337AF0A" w14:textId="77777777" w:rsidR="00FE1A16" w:rsidRPr="00FE1A16" w:rsidRDefault="00FE1A16" w:rsidP="00FE1A16">
            <w:pPr>
              <w:spacing w:before="60"/>
              <w:ind w:left="0" w:right="760"/>
            </w:pPr>
          </w:p>
        </w:tc>
      </w:tr>
      <w:tr w:rsidR="00FE1A16" w:rsidRPr="00FE1A16" w14:paraId="7BEF117B" w14:textId="77777777" w:rsidTr="00FE1A16">
        <w:trPr>
          <w:jc w:val="center"/>
        </w:trPr>
        <w:tc>
          <w:tcPr>
            <w:tcW w:w="4245" w:type="dxa"/>
          </w:tcPr>
          <w:p w14:paraId="700462D7" w14:textId="77777777" w:rsidR="00FE1A16" w:rsidRPr="00FE1A16" w:rsidRDefault="00FE1A16" w:rsidP="00FE1A16">
            <w:pPr>
              <w:spacing w:before="60"/>
              <w:ind w:left="0" w:right="140"/>
            </w:pPr>
            <w:r w:rsidRPr="00FE1A16">
              <w:t>EPA The Clean Air Act and the Economy</w:t>
            </w:r>
          </w:p>
        </w:tc>
        <w:tc>
          <w:tcPr>
            <w:tcW w:w="6270" w:type="dxa"/>
          </w:tcPr>
          <w:p w14:paraId="7350C052" w14:textId="77777777" w:rsidR="00FE1A16" w:rsidRPr="00FE1A16" w:rsidRDefault="006F6FDA" w:rsidP="00FE1A16">
            <w:pPr>
              <w:ind w:left="0"/>
            </w:pPr>
            <w:hyperlink r:id="rId45" w:anchor="economy">
              <w:r w:rsidR="00FE1A16" w:rsidRPr="00FE1A16">
                <w:rPr>
                  <w:color w:val="0563C1"/>
                  <w:u w:val="single"/>
                </w:rPr>
                <w:t>https://www.epa.gov/clean-air-act-overview/clean-air-act-and-economy#economy</w:t>
              </w:r>
            </w:hyperlink>
          </w:p>
        </w:tc>
      </w:tr>
      <w:tr w:rsidR="00FE1A16" w:rsidRPr="00FE1A16" w14:paraId="12A78410" w14:textId="77777777" w:rsidTr="00FE1A16">
        <w:trPr>
          <w:jc w:val="center"/>
        </w:trPr>
        <w:tc>
          <w:tcPr>
            <w:tcW w:w="4245" w:type="dxa"/>
          </w:tcPr>
          <w:p w14:paraId="1D7E9A17" w14:textId="77777777" w:rsidR="00FE1A16" w:rsidRPr="00FE1A16" w:rsidRDefault="00FE1A16" w:rsidP="00FE1A16">
            <w:pPr>
              <w:spacing w:before="60"/>
              <w:ind w:left="0" w:right="140"/>
            </w:pPr>
            <w:r w:rsidRPr="00FE1A16">
              <w:t>Analytical Components of the Benefits and Costs of the Clean Air Act 1990-2020, the Second Prospective Study</w:t>
            </w:r>
          </w:p>
        </w:tc>
        <w:tc>
          <w:tcPr>
            <w:tcW w:w="6270" w:type="dxa"/>
          </w:tcPr>
          <w:p w14:paraId="1CEA2851" w14:textId="77777777" w:rsidR="00FE1A16" w:rsidRPr="00FE1A16" w:rsidRDefault="006F6FDA" w:rsidP="00FE1A16">
            <w:pPr>
              <w:ind w:left="0" w:right="500"/>
            </w:pPr>
            <w:hyperlink r:id="rId46">
              <w:r w:rsidR="00FE1A16" w:rsidRPr="00FE1A16">
                <w:rPr>
                  <w:color w:val="0563C1"/>
                  <w:u w:val="single"/>
                </w:rPr>
                <w:t>https://www.epa.gov/clean-air-act-overview/analytical-components-benefits-and-costs-   clean-air-act-1990-2020-second</w:t>
              </w:r>
            </w:hyperlink>
          </w:p>
          <w:p w14:paraId="5E197B99" w14:textId="77777777" w:rsidR="00FE1A16" w:rsidRPr="00FE1A16" w:rsidRDefault="00FE1A16" w:rsidP="00FE1A16">
            <w:pPr>
              <w:spacing w:before="60"/>
              <w:ind w:left="0" w:right="760"/>
            </w:pPr>
          </w:p>
        </w:tc>
      </w:tr>
      <w:tr w:rsidR="00FE1A16" w:rsidRPr="00FE1A16" w14:paraId="0B3BF09E" w14:textId="77777777" w:rsidTr="00FE1A16">
        <w:trPr>
          <w:jc w:val="center"/>
        </w:trPr>
        <w:tc>
          <w:tcPr>
            <w:tcW w:w="4245" w:type="dxa"/>
          </w:tcPr>
          <w:p w14:paraId="3F82075F" w14:textId="77777777" w:rsidR="00FE1A16" w:rsidRPr="00FE1A16" w:rsidRDefault="00FE1A16" w:rsidP="00FE1A16">
            <w:pPr>
              <w:spacing w:before="60"/>
              <w:ind w:left="0" w:right="140"/>
            </w:pPr>
            <w:r w:rsidRPr="00FE1A16">
              <w:t>Air Toxics Case Study – Health Benefits of Benzene Reduction in Houston, 1990-2020</w:t>
            </w:r>
          </w:p>
        </w:tc>
        <w:tc>
          <w:tcPr>
            <w:tcW w:w="6270" w:type="dxa"/>
          </w:tcPr>
          <w:p w14:paraId="7A618BC5" w14:textId="77777777" w:rsidR="00FE1A16" w:rsidRPr="00FE1A16" w:rsidRDefault="006F6FDA" w:rsidP="00FE1A16">
            <w:pPr>
              <w:spacing w:before="60"/>
              <w:ind w:left="0" w:right="60"/>
            </w:pPr>
            <w:hyperlink r:id="rId47">
              <w:r w:rsidR="00FE1A16" w:rsidRPr="00FE1A16">
                <w:rPr>
                  <w:color w:val="0563C1"/>
                  <w:u w:val="single"/>
                </w:rPr>
                <w:t>https://www.epa.gov/sites/production/files/2015-  07/documents/812caaa_benzene_houston_final_report_july_2009.pdf</w:t>
              </w:r>
            </w:hyperlink>
          </w:p>
        </w:tc>
      </w:tr>
      <w:tr w:rsidR="00FE1A16" w:rsidRPr="00FE1A16" w14:paraId="01CEC8B0" w14:textId="77777777" w:rsidTr="00FE1A16">
        <w:trPr>
          <w:jc w:val="center"/>
        </w:trPr>
        <w:tc>
          <w:tcPr>
            <w:tcW w:w="4245" w:type="dxa"/>
          </w:tcPr>
          <w:p w14:paraId="158A8E2E" w14:textId="77777777" w:rsidR="00FE1A16" w:rsidRPr="00FE1A16" w:rsidRDefault="00FE1A16" w:rsidP="00FE1A16">
            <w:pPr>
              <w:spacing w:before="60"/>
              <w:ind w:left="0" w:right="140"/>
            </w:pPr>
            <w:r w:rsidRPr="00FE1A16">
              <w:t>EPA AP-42, Chapter 12.20 Electroplating 07/1996</w:t>
            </w:r>
          </w:p>
        </w:tc>
        <w:tc>
          <w:tcPr>
            <w:tcW w:w="6270" w:type="dxa"/>
          </w:tcPr>
          <w:p w14:paraId="7F7D37B3" w14:textId="77777777" w:rsidR="00FE1A16" w:rsidRPr="00FE1A16" w:rsidRDefault="006F6FDA" w:rsidP="00FE1A16">
            <w:pPr>
              <w:spacing w:before="60"/>
              <w:ind w:left="0" w:right="60"/>
            </w:pPr>
            <w:hyperlink r:id="rId48">
              <w:r w:rsidR="00FE1A16" w:rsidRPr="00FE1A16">
                <w:rPr>
                  <w:color w:val="0563C1"/>
                  <w:u w:val="single"/>
                </w:rPr>
                <w:t>https://www3.epa.gov/ttnchie1/ap42/ch12/final/c12s20.pdf</w:t>
              </w:r>
            </w:hyperlink>
          </w:p>
        </w:tc>
      </w:tr>
      <w:tr w:rsidR="00FE1A16" w:rsidRPr="00FE1A16" w14:paraId="5847D0EE" w14:textId="77777777" w:rsidTr="00FE1A16">
        <w:trPr>
          <w:jc w:val="center"/>
        </w:trPr>
        <w:tc>
          <w:tcPr>
            <w:tcW w:w="4245" w:type="dxa"/>
          </w:tcPr>
          <w:p w14:paraId="74F5C8BF" w14:textId="77777777" w:rsidR="00FE1A16" w:rsidRPr="00FE1A16" w:rsidRDefault="00FE1A16" w:rsidP="00FE1A16">
            <w:pPr>
              <w:spacing w:before="60"/>
              <w:ind w:left="0" w:right="140"/>
              <w:rPr>
                <w:color w:val="538135"/>
              </w:rPr>
            </w:pPr>
            <w:r w:rsidRPr="00FE1A16">
              <w:rPr>
                <w:color w:val="auto"/>
              </w:rPr>
              <w:t>EPA Integrated Risk Information System</w:t>
            </w:r>
          </w:p>
        </w:tc>
        <w:tc>
          <w:tcPr>
            <w:tcW w:w="6270" w:type="dxa"/>
          </w:tcPr>
          <w:p w14:paraId="14234C2A" w14:textId="77777777" w:rsidR="00FE1A16" w:rsidRPr="00FE1A16" w:rsidRDefault="006F6FDA" w:rsidP="00FE1A16">
            <w:pPr>
              <w:spacing w:before="60"/>
              <w:ind w:left="0" w:right="60"/>
              <w:rPr>
                <w:color w:val="538135"/>
              </w:rPr>
            </w:pPr>
            <w:hyperlink r:id="rId49" w:history="1">
              <w:r w:rsidR="00FE1A16" w:rsidRPr="00FE1A16">
                <w:rPr>
                  <w:color w:val="0563C1" w:themeColor="hyperlink"/>
                  <w:u w:val="single"/>
                </w:rPr>
                <w:t>https://www.epa.gov/iris</w:t>
              </w:r>
            </w:hyperlink>
          </w:p>
          <w:p w14:paraId="292DACB8" w14:textId="77777777" w:rsidR="00FE1A16" w:rsidRPr="00FE1A16" w:rsidRDefault="00FE1A16" w:rsidP="00FE1A16">
            <w:pPr>
              <w:spacing w:before="60"/>
              <w:ind w:left="0" w:right="60"/>
              <w:rPr>
                <w:color w:val="538135"/>
              </w:rPr>
            </w:pPr>
          </w:p>
        </w:tc>
      </w:tr>
      <w:tr w:rsidR="00FE1A16" w:rsidRPr="00FE1A16" w14:paraId="241B2EBE" w14:textId="77777777" w:rsidTr="00FE1A16">
        <w:trPr>
          <w:jc w:val="center"/>
        </w:trPr>
        <w:tc>
          <w:tcPr>
            <w:tcW w:w="4245" w:type="dxa"/>
          </w:tcPr>
          <w:p w14:paraId="56271C3E" w14:textId="77777777" w:rsidR="00FE1A16" w:rsidRPr="00FE1A16" w:rsidRDefault="00FE1A16" w:rsidP="00FE1A16">
            <w:pPr>
              <w:spacing w:before="60"/>
              <w:ind w:left="0" w:right="140"/>
              <w:rPr>
                <w:color w:val="538135"/>
              </w:rPr>
            </w:pPr>
            <w:r w:rsidRPr="00FE1A16">
              <w:rPr>
                <w:color w:val="auto"/>
              </w:rPr>
              <w:t>ATSDR Toxics Substances Portal</w:t>
            </w:r>
          </w:p>
        </w:tc>
        <w:tc>
          <w:tcPr>
            <w:tcW w:w="6270" w:type="dxa"/>
          </w:tcPr>
          <w:p w14:paraId="357351F0" w14:textId="77777777" w:rsidR="00FE1A16" w:rsidRPr="00FE1A16" w:rsidRDefault="006F6FDA" w:rsidP="00FE1A16">
            <w:pPr>
              <w:spacing w:before="60"/>
              <w:ind w:left="0" w:right="60"/>
              <w:rPr>
                <w:color w:val="538135"/>
              </w:rPr>
            </w:pPr>
            <w:hyperlink r:id="rId50" w:history="1">
              <w:r w:rsidR="00FE1A16" w:rsidRPr="00FE1A16">
                <w:rPr>
                  <w:color w:val="0563C1" w:themeColor="hyperlink"/>
                  <w:u w:val="single"/>
                </w:rPr>
                <w:t>https://www.atsdr.cdc.gov/toxprofiles/index.asp</w:t>
              </w:r>
            </w:hyperlink>
          </w:p>
        </w:tc>
      </w:tr>
      <w:tr w:rsidR="00FE1A16" w:rsidRPr="00FE1A16" w14:paraId="34BB2423" w14:textId="77777777" w:rsidTr="00FE1A16">
        <w:trPr>
          <w:jc w:val="center"/>
        </w:trPr>
        <w:tc>
          <w:tcPr>
            <w:tcW w:w="4245" w:type="dxa"/>
          </w:tcPr>
          <w:p w14:paraId="41DCFE99" w14:textId="77777777" w:rsidR="00FE1A16" w:rsidRPr="00FE1A16" w:rsidRDefault="00FE1A16" w:rsidP="00FE1A16">
            <w:pPr>
              <w:spacing w:before="60"/>
              <w:ind w:left="0" w:right="140"/>
              <w:rPr>
                <w:color w:val="538135"/>
              </w:rPr>
            </w:pPr>
            <w:r w:rsidRPr="00FE1A16">
              <w:rPr>
                <w:color w:val="auto"/>
              </w:rPr>
              <w:t>California Office of Environmental Health Hazard Assessment. Air Toxics Hot Spots Program Technical Support Document for the Derivation of Noncancer Reference Exposure Levels. Dec, 2008</w:t>
            </w:r>
          </w:p>
        </w:tc>
        <w:tc>
          <w:tcPr>
            <w:tcW w:w="6270" w:type="dxa"/>
          </w:tcPr>
          <w:p w14:paraId="562009AC" w14:textId="77777777" w:rsidR="00FE1A16" w:rsidRPr="00FE1A16" w:rsidRDefault="006F6FDA" w:rsidP="00FE1A16">
            <w:pPr>
              <w:spacing w:line="285" w:lineRule="auto"/>
              <w:ind w:left="0" w:right="800"/>
              <w:rPr>
                <w:color w:val="1155CC"/>
                <w:u w:val="single"/>
              </w:rPr>
            </w:pPr>
            <w:hyperlink r:id="rId51">
              <w:r w:rsidR="00FE1A16" w:rsidRPr="00FE1A16">
                <w:rPr>
                  <w:u w:val="single"/>
                </w:rPr>
                <w:t xml:space="preserve"> </w:t>
              </w:r>
            </w:hyperlink>
            <w:r w:rsidR="00FE1A16" w:rsidRPr="00FE1A16">
              <w:rPr>
                <w:color w:val="1155CC"/>
                <w:u w:val="single"/>
              </w:rPr>
              <w:fldChar w:fldCharType="begin"/>
            </w:r>
            <w:r w:rsidR="00FE1A16" w:rsidRPr="00FE1A16">
              <w:rPr>
                <w:color w:val="1155CC"/>
                <w:u w:val="single"/>
              </w:rPr>
              <w:instrText xml:space="preserve"> HYPERLINK "https://oehha.ca.gov/air/crnr/notice-adoption-air-toxics-hot-spots-program-technical-support-document-derivationadoption-air-toxics-hot-spots-program-technical-support-document-derivation</w:instrText>
            </w:r>
          </w:p>
          <w:p w14:paraId="26200060" w14:textId="77777777" w:rsidR="00FE1A16" w:rsidRPr="00FE1A16" w:rsidRDefault="00FE1A16" w:rsidP="00FE1A16">
            <w:pPr>
              <w:spacing w:line="285" w:lineRule="auto"/>
              <w:ind w:left="0" w:right="800"/>
              <w:rPr>
                <w:color w:val="538135"/>
              </w:rPr>
            </w:pPr>
            <w:r w:rsidRPr="00FE1A16">
              <w:rPr>
                <w:color w:val="1155CC"/>
                <w:u w:val="single"/>
              </w:rPr>
              <w:instrText xml:space="preserve">" </w:instrText>
            </w:r>
            <w:r w:rsidRPr="00FE1A16">
              <w:rPr>
                <w:color w:val="1155CC"/>
                <w:u w:val="single"/>
              </w:rPr>
              <w:fldChar w:fldCharType="separate"/>
            </w:r>
            <w:r w:rsidRPr="00FE1A16">
              <w:rPr>
                <w:color w:val="0563C1" w:themeColor="hyperlink"/>
                <w:u w:val="single"/>
              </w:rPr>
              <w:t>https://oehha.ca.gov/air/crnr/notice-adoption-air-toxics-hot-spots-program-technical-support-document-derivationadoption-air-toxics-hot-spots-program-technical-support-document-derivation</w:t>
            </w:r>
            <w:r w:rsidRPr="00FE1A16">
              <w:rPr>
                <w:color w:val="1155CC"/>
                <w:u w:val="single"/>
              </w:rPr>
              <w:fldChar w:fldCharType="end"/>
            </w:r>
          </w:p>
        </w:tc>
      </w:tr>
      <w:tr w:rsidR="00FE1A16" w:rsidRPr="00FE1A16" w14:paraId="0A52A0AC" w14:textId="77777777" w:rsidTr="00FE1A16">
        <w:trPr>
          <w:jc w:val="center"/>
        </w:trPr>
        <w:tc>
          <w:tcPr>
            <w:tcW w:w="4245" w:type="dxa"/>
          </w:tcPr>
          <w:p w14:paraId="0A663493" w14:textId="77777777" w:rsidR="00FE1A16" w:rsidRPr="00FE1A16" w:rsidRDefault="00FE1A16" w:rsidP="00FE1A16">
            <w:pPr>
              <w:spacing w:before="60"/>
              <w:ind w:left="0" w:right="140"/>
              <w:rPr>
                <w:color w:val="538135"/>
              </w:rPr>
            </w:pPr>
            <w:r w:rsidRPr="00FE1A16">
              <w:rPr>
                <w:color w:val="auto"/>
              </w:rPr>
              <w:t xml:space="preserve">OHA. 2016. Leading Causes of Death </w:t>
            </w:r>
          </w:p>
        </w:tc>
        <w:tc>
          <w:tcPr>
            <w:tcW w:w="6270" w:type="dxa"/>
          </w:tcPr>
          <w:p w14:paraId="0DFBA76C" w14:textId="77777777" w:rsidR="00FE1A16" w:rsidRPr="00FE1A16" w:rsidRDefault="006F6FDA" w:rsidP="00356236">
            <w:pPr>
              <w:spacing w:before="60"/>
              <w:ind w:left="0" w:right="60"/>
              <w:rPr>
                <w:color w:val="538135"/>
              </w:rPr>
            </w:pPr>
            <w:hyperlink r:id="rId52">
              <w:r w:rsidR="00FE1A16" w:rsidRPr="00356236">
                <w:rPr>
                  <w:rStyle w:val="Hyperlink"/>
                </w:rPr>
                <w:t>http</w:t>
              </w:r>
            </w:hyperlink>
            <w:hyperlink r:id="rId53">
              <w:r w:rsidR="00FE1A16" w:rsidRPr="00356236">
                <w:rPr>
                  <w:rStyle w:val="Hyperlink"/>
                </w:rPr>
                <w:t>://public.health.oregon.gov/ProviderPartnerResources/PublicHealthAccreditation/Documents/indicators/leadingcausesofdeath.pdf</w:t>
              </w:r>
            </w:hyperlink>
            <w:r w:rsidR="00FE1A16" w:rsidRPr="00FE1A16">
              <w:rPr>
                <w:u w:val="single"/>
              </w:rPr>
              <w:t xml:space="preserve"> </w:t>
            </w:r>
          </w:p>
        </w:tc>
      </w:tr>
      <w:tr w:rsidR="00FE1A16" w:rsidRPr="00FE1A16" w14:paraId="1FED7375" w14:textId="77777777" w:rsidTr="00FE1A16">
        <w:trPr>
          <w:jc w:val="center"/>
        </w:trPr>
        <w:tc>
          <w:tcPr>
            <w:tcW w:w="4245" w:type="dxa"/>
          </w:tcPr>
          <w:p w14:paraId="1EEA9012" w14:textId="77777777" w:rsidR="00FE1A16" w:rsidRPr="00FE1A16" w:rsidRDefault="00FE1A16" w:rsidP="00FE1A16">
            <w:pPr>
              <w:spacing w:before="60"/>
              <w:ind w:left="0" w:right="140"/>
              <w:rPr>
                <w:color w:val="538135"/>
              </w:rPr>
            </w:pPr>
            <w:r w:rsidRPr="00FE1A16">
              <w:rPr>
                <w:color w:val="auto"/>
              </w:rPr>
              <w:t>OHA, 2010. Estimated medical treatment costs of chronic diseases, Oregon 2010.</w:t>
            </w:r>
          </w:p>
        </w:tc>
        <w:tc>
          <w:tcPr>
            <w:tcW w:w="6270" w:type="dxa"/>
          </w:tcPr>
          <w:p w14:paraId="27A5D51D" w14:textId="7F714CDE" w:rsidR="00FE1A16" w:rsidRPr="00FE1A16" w:rsidRDefault="006F6FDA" w:rsidP="00FE1A16">
            <w:pPr>
              <w:spacing w:before="60"/>
              <w:ind w:left="0" w:right="60"/>
              <w:rPr>
                <w:color w:val="538135"/>
              </w:rPr>
            </w:pPr>
            <w:hyperlink r:id="rId54" w:history="1">
              <w:r w:rsidR="00FE1A16" w:rsidRPr="00356236">
                <w:rPr>
                  <w:rStyle w:val="Hyperlink"/>
                </w:rPr>
                <w:t>http://www.oregon.gov/oha/PH/DISEASESCONDITIONS/CHRONICDISEASE/DATAREPORTS/Documents/datatables/   CDCC_2010.pdf</w:t>
              </w:r>
            </w:hyperlink>
            <w:r w:rsidR="00FE1A16" w:rsidRPr="00FE1A16">
              <w:rPr>
                <w:color w:val="538135"/>
              </w:rPr>
              <w:t xml:space="preserve">  </w:t>
            </w:r>
          </w:p>
        </w:tc>
      </w:tr>
      <w:tr w:rsidR="00FE1A16" w:rsidRPr="00FE1A16" w14:paraId="0C16A62D" w14:textId="77777777" w:rsidTr="00FE1A16">
        <w:trPr>
          <w:jc w:val="center"/>
        </w:trPr>
        <w:tc>
          <w:tcPr>
            <w:tcW w:w="4245" w:type="dxa"/>
          </w:tcPr>
          <w:p w14:paraId="737312A3" w14:textId="77777777" w:rsidR="00FE1A16" w:rsidRPr="00FE1A16" w:rsidRDefault="00FE1A16" w:rsidP="00FE1A16">
            <w:pPr>
              <w:spacing w:before="60"/>
              <w:ind w:left="0" w:right="140"/>
              <w:rPr>
                <w:color w:val="538135"/>
              </w:rPr>
            </w:pPr>
            <w:r w:rsidRPr="00FE1A16">
              <w:rPr>
                <w:color w:val="auto"/>
              </w:rPr>
              <w:t>Oregon Vital Records</w:t>
            </w:r>
            <w:r w:rsidRPr="00FE1A16">
              <w:rPr>
                <w:rFonts w:asciiTheme="minorHAnsi" w:eastAsiaTheme="minorHAnsi" w:hAnsiTheme="minorHAnsi" w:cstheme="minorBidi"/>
                <w:color w:val="auto"/>
                <w:sz w:val="20"/>
                <w:szCs w:val="20"/>
              </w:rPr>
              <w:t xml:space="preserve"> </w:t>
            </w:r>
            <w:r w:rsidRPr="00FE1A16">
              <w:rPr>
                <w:rFonts w:asciiTheme="minorHAnsi" w:eastAsiaTheme="minorHAnsi" w:hAnsiTheme="minorHAnsi" w:cstheme="minorBidi"/>
                <w:color w:val="1155CC"/>
                <w:sz w:val="20"/>
                <w:szCs w:val="20"/>
              </w:rPr>
              <w:t xml:space="preserve"> </w:t>
            </w:r>
          </w:p>
        </w:tc>
        <w:tc>
          <w:tcPr>
            <w:tcW w:w="6270" w:type="dxa"/>
          </w:tcPr>
          <w:p w14:paraId="209EEDD4" w14:textId="77777777" w:rsidR="00FE1A16" w:rsidRPr="00FE1A16" w:rsidRDefault="006F6FDA" w:rsidP="00FE1A16">
            <w:pPr>
              <w:spacing w:before="60"/>
              <w:ind w:left="0" w:right="60"/>
              <w:rPr>
                <w:color w:val="538135"/>
              </w:rPr>
            </w:pPr>
            <w:hyperlink r:id="rId55" w:history="1">
              <w:r w:rsidR="00FE1A16" w:rsidRPr="00FE1A16">
                <w:rPr>
                  <w:color w:val="0563C1" w:themeColor="hyperlink"/>
                  <w:u w:val="single"/>
                </w:rPr>
                <w:t>http://www.oregon.gov/oha/PH/BIRTHDEATHCERTIFICATES/VITALSTATISTICS/Pages/index.aspx</w:t>
              </w:r>
            </w:hyperlink>
          </w:p>
        </w:tc>
      </w:tr>
      <w:tr w:rsidR="00FE1A16" w:rsidRPr="00FE1A16" w14:paraId="7772FA68" w14:textId="77777777" w:rsidTr="00FE1A16">
        <w:trPr>
          <w:jc w:val="center"/>
        </w:trPr>
        <w:tc>
          <w:tcPr>
            <w:tcW w:w="4245" w:type="dxa"/>
          </w:tcPr>
          <w:p w14:paraId="5BF1BCC0" w14:textId="77777777" w:rsidR="00FE1A16" w:rsidRPr="00FE1A16" w:rsidRDefault="00FE1A16" w:rsidP="00FE1A16">
            <w:pPr>
              <w:spacing w:before="60"/>
              <w:ind w:left="0" w:right="140"/>
              <w:rPr>
                <w:color w:val="538135"/>
              </w:rPr>
            </w:pPr>
            <w:r w:rsidRPr="00FE1A16">
              <w:rPr>
                <w:color w:val="auto"/>
              </w:rPr>
              <w:t>National Birth Defects Prevention Network, 2016</w:t>
            </w:r>
          </w:p>
        </w:tc>
        <w:tc>
          <w:tcPr>
            <w:tcW w:w="6270" w:type="dxa"/>
          </w:tcPr>
          <w:p w14:paraId="63E2F8A0" w14:textId="77777777" w:rsidR="00FE1A16" w:rsidRPr="00FE1A16" w:rsidRDefault="00FE1A16" w:rsidP="00FE1A16">
            <w:pPr>
              <w:ind w:left="0" w:right="260"/>
              <w:rPr>
                <w:color w:val="538135"/>
              </w:rPr>
            </w:pPr>
            <w:r w:rsidRPr="00FE1A16">
              <w:rPr>
                <w:color w:val="538135"/>
              </w:rPr>
              <w:fldChar w:fldCharType="begin"/>
            </w:r>
            <w:r w:rsidRPr="00FE1A16">
              <w:rPr>
                <w:color w:val="538135"/>
              </w:rPr>
              <w:instrText xml:space="preserve"> HYPERLINK "https://www.nbdpn.org/docs/bdra23587-sup-0001-   suppinfo01_2016DEC16.pdf </w:instrText>
            </w:r>
          </w:p>
          <w:p w14:paraId="1568FB07" w14:textId="77777777" w:rsidR="00FE1A16" w:rsidRPr="00FE1A16" w:rsidRDefault="00FE1A16" w:rsidP="00FE1A16">
            <w:pPr>
              <w:ind w:left="0" w:right="260"/>
              <w:rPr>
                <w:color w:val="538135"/>
              </w:rPr>
            </w:pPr>
            <w:r w:rsidRPr="00FE1A16">
              <w:rPr>
                <w:color w:val="538135"/>
              </w:rPr>
              <w:instrText xml:space="preserve">" </w:instrText>
            </w:r>
            <w:r w:rsidRPr="00FE1A16">
              <w:rPr>
                <w:color w:val="538135"/>
              </w:rPr>
              <w:fldChar w:fldCharType="separate"/>
            </w:r>
            <w:r w:rsidRPr="00FE1A16">
              <w:rPr>
                <w:color w:val="0563C1" w:themeColor="hyperlink"/>
                <w:u w:val="single"/>
              </w:rPr>
              <w:t xml:space="preserve">https://www.nbdpn.org/docs/bdra23587-sup-0001-   suppinfo01_2016DEC16.pdf </w:t>
            </w:r>
            <w:r w:rsidRPr="00FE1A16">
              <w:rPr>
                <w:color w:val="538135"/>
              </w:rPr>
              <w:fldChar w:fldCharType="end"/>
            </w:r>
          </w:p>
        </w:tc>
      </w:tr>
      <w:tr w:rsidR="00FE1A16" w:rsidRPr="00FE1A16" w14:paraId="289C2D43" w14:textId="77777777" w:rsidTr="00FE1A16">
        <w:trPr>
          <w:trHeight w:val="2060"/>
          <w:jc w:val="center"/>
        </w:trPr>
        <w:tc>
          <w:tcPr>
            <w:tcW w:w="4245" w:type="dxa"/>
          </w:tcPr>
          <w:p w14:paraId="10FD50D5" w14:textId="77777777" w:rsidR="00FE1A16" w:rsidRPr="00FE1A16" w:rsidRDefault="00FE1A16" w:rsidP="00FE1A16">
            <w:pPr>
              <w:spacing w:before="60"/>
              <w:ind w:left="0" w:right="140"/>
              <w:rPr>
                <w:color w:val="auto"/>
              </w:rPr>
            </w:pPr>
            <w:r w:rsidRPr="00FE1A16">
              <w:rPr>
                <w:color w:val="auto"/>
              </w:rPr>
              <w:t xml:space="preserve">Landrigan PJ, Schechter CB, Lipton JM, Fahs MC, Schwartz J. Environmental pollutants and disease in American children: estimates of morbidity, mortality, and costs for lead poisoning, asthma, cancer, and developmental disabilities. </w:t>
            </w:r>
          </w:p>
        </w:tc>
        <w:tc>
          <w:tcPr>
            <w:tcW w:w="6270" w:type="dxa"/>
          </w:tcPr>
          <w:p w14:paraId="6112C854" w14:textId="77777777" w:rsidR="00FE1A16" w:rsidRPr="00FE1A16" w:rsidRDefault="00FE1A16" w:rsidP="00FE1A16">
            <w:pPr>
              <w:spacing w:before="60"/>
              <w:ind w:left="0" w:right="60"/>
              <w:rPr>
                <w:color w:val="538135"/>
              </w:rPr>
            </w:pPr>
            <w:r w:rsidRPr="00FE1A16">
              <w:rPr>
                <w:color w:val="auto"/>
              </w:rPr>
              <w:t>Environ Health Perspect. 2002 Jul;110(7):721-8</w:t>
            </w:r>
          </w:p>
        </w:tc>
      </w:tr>
      <w:tr w:rsidR="00FE1A16" w:rsidRPr="00FE1A16" w14:paraId="036D35F4" w14:textId="77777777" w:rsidTr="00FE1A16">
        <w:trPr>
          <w:jc w:val="center"/>
        </w:trPr>
        <w:tc>
          <w:tcPr>
            <w:tcW w:w="4245" w:type="dxa"/>
          </w:tcPr>
          <w:p w14:paraId="0A8128A7" w14:textId="77777777" w:rsidR="00FE1A16" w:rsidRPr="00FE1A16" w:rsidRDefault="00FE1A16" w:rsidP="00FE1A16">
            <w:pPr>
              <w:spacing w:before="60"/>
              <w:ind w:left="0" w:right="140"/>
              <w:rPr>
                <w:color w:val="auto"/>
              </w:rPr>
            </w:pPr>
            <w:r w:rsidRPr="00FE1A16">
              <w:rPr>
                <w:color w:val="auto"/>
              </w:rPr>
              <w:t xml:space="preserve">Weiland K, Neidell M, Rauh V, Perera F. Cost of developmental delay from prenatal exposure to airborne polycyclic aromatic hydrocarbons. </w:t>
            </w:r>
          </w:p>
        </w:tc>
        <w:tc>
          <w:tcPr>
            <w:tcW w:w="6270" w:type="dxa"/>
          </w:tcPr>
          <w:p w14:paraId="180142D2" w14:textId="77777777" w:rsidR="00FE1A16" w:rsidRPr="00FE1A16" w:rsidRDefault="00FE1A16" w:rsidP="00FE1A16">
            <w:pPr>
              <w:spacing w:before="60"/>
              <w:ind w:left="0" w:right="60"/>
              <w:rPr>
                <w:color w:val="538135"/>
              </w:rPr>
            </w:pPr>
            <w:r w:rsidRPr="00FE1A16">
              <w:rPr>
                <w:color w:val="auto"/>
              </w:rPr>
              <w:t>J Health Care Poor Underserved. 2011 Feb;22(1):320-9. doi: 10.1353/hpu.2011.0012</w:t>
            </w:r>
          </w:p>
        </w:tc>
      </w:tr>
      <w:tr w:rsidR="00FE1A16" w:rsidRPr="00FE1A16" w14:paraId="45BFC43A" w14:textId="77777777" w:rsidTr="00FE1A16">
        <w:trPr>
          <w:jc w:val="center"/>
        </w:trPr>
        <w:tc>
          <w:tcPr>
            <w:tcW w:w="4245" w:type="dxa"/>
          </w:tcPr>
          <w:p w14:paraId="0FBB85F2" w14:textId="77777777" w:rsidR="00FE1A16" w:rsidRPr="00FE1A16" w:rsidRDefault="00FE1A16" w:rsidP="00FE1A16">
            <w:pPr>
              <w:spacing w:before="60"/>
              <w:ind w:left="0" w:right="140"/>
              <w:rPr>
                <w:color w:val="auto"/>
              </w:rPr>
            </w:pPr>
            <w:r w:rsidRPr="00FE1A16">
              <w:rPr>
                <w:color w:val="auto"/>
              </w:rPr>
              <w:t>Hendryx M, Fedorko E. The relationship between toxics release inventory discharges and mortality rates in rural and urban areas of the United States</w:t>
            </w:r>
          </w:p>
        </w:tc>
        <w:tc>
          <w:tcPr>
            <w:tcW w:w="6270" w:type="dxa"/>
          </w:tcPr>
          <w:p w14:paraId="280E4026" w14:textId="30F53E3D" w:rsidR="00FE1A16" w:rsidRPr="00FE1A16" w:rsidRDefault="00FE1A16" w:rsidP="00FE1A16">
            <w:pPr>
              <w:spacing w:before="60"/>
              <w:ind w:left="0" w:right="60"/>
              <w:rPr>
                <w:color w:val="538135"/>
              </w:rPr>
            </w:pPr>
            <w:r w:rsidRPr="00FE1A16">
              <w:rPr>
                <w:color w:val="auto"/>
              </w:rPr>
              <w:t>J Rural Health. 2011 Winter;27(4):358-66. doi: 10.1111/j.1748-0361.2011.00367.x</w:t>
            </w:r>
          </w:p>
        </w:tc>
      </w:tr>
      <w:tr w:rsidR="00FE1A16" w:rsidRPr="00FE1A16" w14:paraId="588119BF" w14:textId="77777777" w:rsidTr="00FE1A16">
        <w:trPr>
          <w:jc w:val="center"/>
        </w:trPr>
        <w:tc>
          <w:tcPr>
            <w:tcW w:w="4245" w:type="dxa"/>
          </w:tcPr>
          <w:p w14:paraId="68D7B76A" w14:textId="77777777" w:rsidR="00FE1A16" w:rsidRPr="00FE1A16" w:rsidRDefault="00FE1A16" w:rsidP="00FE1A16">
            <w:pPr>
              <w:spacing w:before="60"/>
              <w:ind w:left="0" w:right="140"/>
              <w:rPr>
                <w:color w:val="auto"/>
              </w:rPr>
            </w:pPr>
            <w:r w:rsidRPr="00FE1A16">
              <w:rPr>
                <w:color w:val="auto"/>
              </w:rPr>
              <w:t xml:space="preserve">Hendryx M, Luo J, Chen BC. Total and cardiovascular mortality rates in relation to discharges from Toxics Release Inventory sites in the United States. </w:t>
            </w:r>
          </w:p>
        </w:tc>
        <w:tc>
          <w:tcPr>
            <w:tcW w:w="6270" w:type="dxa"/>
          </w:tcPr>
          <w:p w14:paraId="36A44F40" w14:textId="77777777" w:rsidR="00FE1A16" w:rsidRPr="00FE1A16" w:rsidRDefault="00FE1A16" w:rsidP="00FE1A16">
            <w:pPr>
              <w:spacing w:before="60"/>
              <w:ind w:left="0" w:right="60"/>
              <w:rPr>
                <w:color w:val="538135"/>
              </w:rPr>
            </w:pPr>
            <w:r w:rsidRPr="00FE1A16">
              <w:rPr>
                <w:color w:val="auto"/>
              </w:rPr>
              <w:t>Environ Res. 2014 Aug;133:36-41. doi: 10.1016/j.envres.2014.05.010.</w:t>
            </w:r>
          </w:p>
        </w:tc>
      </w:tr>
      <w:tr w:rsidR="00FE1A16" w:rsidRPr="00FE1A16" w14:paraId="00B6AC26" w14:textId="77777777" w:rsidTr="00FE1A16">
        <w:trPr>
          <w:jc w:val="center"/>
        </w:trPr>
        <w:tc>
          <w:tcPr>
            <w:tcW w:w="4245" w:type="dxa"/>
          </w:tcPr>
          <w:p w14:paraId="6BC5A9DF" w14:textId="77777777" w:rsidR="00FE1A16" w:rsidRPr="00FE1A16" w:rsidRDefault="00FE1A16" w:rsidP="00FE1A16">
            <w:pPr>
              <w:spacing w:before="60"/>
              <w:ind w:left="0" w:right="140"/>
              <w:rPr>
                <w:color w:val="auto"/>
              </w:rPr>
            </w:pPr>
            <w:r w:rsidRPr="00FE1A16">
              <w:rPr>
                <w:color w:val="auto"/>
              </w:rPr>
              <w:t xml:space="preserve">Dickerson AS, Rahbar MH, Han I, Bakian AV, Bilder DA, Harrington RA, Pettygrove S, Durkin M, Kirby RS, Wingate MS, Tian LH, Zahorodny WM, Pearson DA, Moyé LA 3rd, Baio J. Autism spectrum disorder prevalence and proximity to industrial facilities releasing arsenic, lead or mercury. </w:t>
            </w:r>
          </w:p>
        </w:tc>
        <w:tc>
          <w:tcPr>
            <w:tcW w:w="6270" w:type="dxa"/>
          </w:tcPr>
          <w:p w14:paraId="1912C906" w14:textId="77777777" w:rsidR="00FE1A16" w:rsidRPr="00FE1A16" w:rsidRDefault="00FE1A16" w:rsidP="00FE1A16">
            <w:pPr>
              <w:spacing w:before="60"/>
              <w:ind w:left="0" w:right="60"/>
              <w:rPr>
                <w:color w:val="538135"/>
              </w:rPr>
            </w:pPr>
            <w:r w:rsidRPr="00FE1A16">
              <w:rPr>
                <w:color w:val="auto"/>
              </w:rPr>
              <w:t>Sci Total Environ. 2015 Dec 1;536:245- 51. doi: 10.1016/j.scitotenv.2015.07.024.</w:t>
            </w:r>
          </w:p>
        </w:tc>
      </w:tr>
      <w:tr w:rsidR="00FE1A16" w:rsidRPr="00FE1A16" w14:paraId="7BD204FD" w14:textId="77777777" w:rsidTr="00FE1A16">
        <w:trPr>
          <w:jc w:val="center"/>
        </w:trPr>
        <w:tc>
          <w:tcPr>
            <w:tcW w:w="4245" w:type="dxa"/>
          </w:tcPr>
          <w:p w14:paraId="7AF6CD6C" w14:textId="77777777" w:rsidR="00FE1A16" w:rsidRPr="00FE1A16" w:rsidRDefault="00FE1A16" w:rsidP="00FE1A16">
            <w:pPr>
              <w:spacing w:before="60"/>
              <w:ind w:left="0" w:right="140"/>
              <w:rPr>
                <w:color w:val="auto"/>
              </w:rPr>
            </w:pPr>
            <w:r w:rsidRPr="00FE1A16">
              <w:rPr>
                <w:color w:val="auto"/>
              </w:rPr>
              <w:t xml:space="preserve">deCastro BR. Acrolein and asthma attack prevalence in a representative sample of the United States adult population 2000-2009. </w:t>
            </w:r>
          </w:p>
        </w:tc>
        <w:tc>
          <w:tcPr>
            <w:tcW w:w="6270" w:type="dxa"/>
          </w:tcPr>
          <w:p w14:paraId="69339B19" w14:textId="77777777" w:rsidR="00FE1A16" w:rsidRPr="00FE1A16" w:rsidRDefault="00FE1A16" w:rsidP="00FE1A16">
            <w:pPr>
              <w:spacing w:before="60"/>
              <w:ind w:left="0" w:right="60"/>
              <w:rPr>
                <w:color w:val="538135"/>
              </w:rPr>
            </w:pPr>
            <w:r w:rsidRPr="00FE1A16">
              <w:rPr>
                <w:color w:val="auto"/>
              </w:rPr>
              <w:t>PLoS One. 2014 May 9;9(5):e96926. doi: 10.1371/journal.pone.0096926. eCollection 2014.</w:t>
            </w:r>
          </w:p>
        </w:tc>
      </w:tr>
      <w:tr w:rsidR="00FE1A16" w:rsidRPr="00FE1A16" w14:paraId="75AA719F" w14:textId="77777777" w:rsidTr="00FE1A16">
        <w:trPr>
          <w:jc w:val="center"/>
        </w:trPr>
        <w:tc>
          <w:tcPr>
            <w:tcW w:w="4245" w:type="dxa"/>
          </w:tcPr>
          <w:p w14:paraId="4316683A" w14:textId="338F64E1" w:rsidR="00FE1A16" w:rsidRPr="00FE1A16" w:rsidRDefault="00FE1A16" w:rsidP="00FE1A16">
            <w:pPr>
              <w:spacing w:before="60"/>
              <w:ind w:left="0" w:right="140"/>
              <w:rPr>
                <w:color w:val="auto"/>
              </w:rPr>
            </w:pPr>
            <w:r w:rsidRPr="00FE1A16">
              <w:rPr>
                <w:color w:val="auto"/>
              </w:rPr>
              <w:t xml:space="preserve">Hendryx M, Luo J. Cancer hospitalizations in rural-urban areas in relation to carcinogenic discharges from Toxics Release Inventory facilities. </w:t>
            </w:r>
          </w:p>
        </w:tc>
        <w:tc>
          <w:tcPr>
            <w:tcW w:w="6270" w:type="dxa"/>
          </w:tcPr>
          <w:p w14:paraId="4DA95EE6" w14:textId="77777777" w:rsidR="00FE1A16" w:rsidRPr="00FE1A16" w:rsidRDefault="00FE1A16" w:rsidP="00FE1A16">
            <w:pPr>
              <w:spacing w:before="60"/>
              <w:ind w:left="0" w:right="60"/>
              <w:rPr>
                <w:color w:val="538135"/>
              </w:rPr>
            </w:pPr>
            <w:r w:rsidRPr="00FE1A16">
              <w:rPr>
                <w:color w:val="auto"/>
              </w:rPr>
              <w:t>Int J Environ Health Res. 2013;23(2):155-69. doi: 10.1080/09603123.2012.708919</w:t>
            </w:r>
          </w:p>
        </w:tc>
      </w:tr>
      <w:tr w:rsidR="00FE1A16" w:rsidRPr="00FE1A16" w14:paraId="761638D4" w14:textId="77777777" w:rsidTr="00FE1A16">
        <w:trPr>
          <w:jc w:val="center"/>
        </w:trPr>
        <w:tc>
          <w:tcPr>
            <w:tcW w:w="4245" w:type="dxa"/>
          </w:tcPr>
          <w:p w14:paraId="26D5D953" w14:textId="77777777" w:rsidR="00FE1A16" w:rsidRPr="00FE1A16" w:rsidRDefault="00FE1A16" w:rsidP="00FE1A16">
            <w:pPr>
              <w:spacing w:before="60"/>
              <w:ind w:left="0" w:right="140"/>
              <w:rPr>
                <w:color w:val="auto"/>
              </w:rPr>
            </w:pPr>
            <w:r w:rsidRPr="00FE1A16">
              <w:rPr>
                <w:color w:val="auto"/>
              </w:rPr>
              <w:t xml:space="preserve">Gauderman WJ, Urman R, Avol E, Berhane K, McConnell R, Rappaport E, Chang R, Lurmann F, Gilliland F. Association of improved air quality with lung development in children. </w:t>
            </w:r>
          </w:p>
        </w:tc>
        <w:tc>
          <w:tcPr>
            <w:tcW w:w="6270" w:type="dxa"/>
          </w:tcPr>
          <w:p w14:paraId="74FF02AA" w14:textId="77777777" w:rsidR="00FE1A16" w:rsidRPr="00FE1A16" w:rsidRDefault="00FE1A16" w:rsidP="00FE1A16">
            <w:pPr>
              <w:spacing w:before="60"/>
              <w:ind w:left="0" w:right="60"/>
              <w:rPr>
                <w:color w:val="538135"/>
              </w:rPr>
            </w:pPr>
            <w:r w:rsidRPr="00FE1A16">
              <w:rPr>
                <w:color w:val="auto"/>
              </w:rPr>
              <w:t>N Engl J Med. 2015 Mar 5;372(10):905-13. doi: 10.1056/NEJMoa1414123</w:t>
            </w:r>
          </w:p>
        </w:tc>
      </w:tr>
      <w:tr w:rsidR="00FE1A16" w:rsidRPr="00FE1A16" w14:paraId="2F59AC75" w14:textId="77777777" w:rsidTr="00550C6B">
        <w:trPr>
          <w:trHeight w:val="1763"/>
          <w:jc w:val="center"/>
        </w:trPr>
        <w:tc>
          <w:tcPr>
            <w:tcW w:w="4245" w:type="dxa"/>
          </w:tcPr>
          <w:p w14:paraId="4D8F0DA2" w14:textId="77777777" w:rsidR="00FE1A16" w:rsidRPr="00FE1A16" w:rsidRDefault="00FE1A16" w:rsidP="00FE1A16">
            <w:pPr>
              <w:spacing w:before="60"/>
              <w:ind w:left="0" w:right="140"/>
              <w:rPr>
                <w:color w:val="auto"/>
              </w:rPr>
            </w:pPr>
            <w:r w:rsidRPr="00FE1A16">
              <w:rPr>
                <w:color w:val="auto"/>
              </w:rPr>
              <w:t xml:space="preserve">Berhane K, Chang CC, McConnell R, Gauderman WJ, Avol E, Rapapport E, Urman R, Lurmann F, Gilliland F. Association of Changes in Air Quality With Bronchitic Symptoms in Children in California, 1993-2012. </w:t>
            </w:r>
          </w:p>
        </w:tc>
        <w:tc>
          <w:tcPr>
            <w:tcW w:w="6270" w:type="dxa"/>
          </w:tcPr>
          <w:p w14:paraId="040AD9FF" w14:textId="77777777" w:rsidR="00FE1A16" w:rsidRPr="00FE1A16" w:rsidRDefault="00FE1A16" w:rsidP="00FE1A16">
            <w:pPr>
              <w:spacing w:before="60"/>
              <w:ind w:left="0" w:right="60"/>
              <w:rPr>
                <w:color w:val="538135"/>
              </w:rPr>
            </w:pPr>
            <w:r w:rsidRPr="00FE1A16">
              <w:rPr>
                <w:color w:val="auto"/>
              </w:rPr>
              <w:t>JAMA. 2016 Apr 12;315(14):1491-501. doi: 10.1001/jama.2016.3444.</w:t>
            </w:r>
          </w:p>
        </w:tc>
      </w:tr>
      <w:tr w:rsidR="00FE1A16" w:rsidRPr="00FE1A16" w14:paraId="0BE99CAE" w14:textId="77777777" w:rsidTr="00FE1A16">
        <w:trPr>
          <w:jc w:val="center"/>
        </w:trPr>
        <w:tc>
          <w:tcPr>
            <w:tcW w:w="4245" w:type="dxa"/>
          </w:tcPr>
          <w:p w14:paraId="1E39CD69" w14:textId="77777777" w:rsidR="00FE1A16" w:rsidRPr="00FE1A16" w:rsidRDefault="00FE1A16" w:rsidP="00FE1A16">
            <w:pPr>
              <w:spacing w:before="60"/>
              <w:ind w:left="0" w:right="140"/>
              <w:rPr>
                <w:color w:val="auto"/>
              </w:rPr>
            </w:pPr>
            <w:r w:rsidRPr="00FE1A16">
              <w:rPr>
                <w:color w:val="auto"/>
              </w:rPr>
              <w:t xml:space="preserve">Parker JD, Mendola P, Woodruff TJ. Preterm birth after the Utah Valley Steel Mill closure: a natural experiment. </w:t>
            </w:r>
          </w:p>
        </w:tc>
        <w:tc>
          <w:tcPr>
            <w:tcW w:w="6270" w:type="dxa"/>
          </w:tcPr>
          <w:p w14:paraId="2A8A04DF" w14:textId="77777777" w:rsidR="00FE1A16" w:rsidRPr="00FE1A16" w:rsidRDefault="00FE1A16" w:rsidP="00FE1A16">
            <w:pPr>
              <w:spacing w:before="60"/>
              <w:ind w:left="0" w:right="60"/>
              <w:rPr>
                <w:color w:val="538135"/>
              </w:rPr>
            </w:pPr>
            <w:r w:rsidRPr="00FE1A16">
              <w:rPr>
                <w:color w:val="auto"/>
              </w:rPr>
              <w:t>Epidemiology. 2008 Nov;19(6):820-3. doi: 10.1097/EDE.0b013e3181883d5d.</w:t>
            </w:r>
          </w:p>
        </w:tc>
      </w:tr>
      <w:tr w:rsidR="00FE1A16" w:rsidRPr="00FE1A16" w14:paraId="65C05B9E" w14:textId="77777777" w:rsidTr="00FE1A16">
        <w:trPr>
          <w:jc w:val="center"/>
        </w:trPr>
        <w:tc>
          <w:tcPr>
            <w:tcW w:w="4245" w:type="dxa"/>
          </w:tcPr>
          <w:p w14:paraId="1C2C857F" w14:textId="77777777" w:rsidR="00FE1A16" w:rsidRPr="00FE1A16" w:rsidRDefault="00FE1A16" w:rsidP="00FE1A16">
            <w:pPr>
              <w:spacing w:before="60"/>
              <w:ind w:left="0" w:right="140"/>
              <w:rPr>
                <w:color w:val="auto"/>
              </w:rPr>
            </w:pPr>
            <w:r w:rsidRPr="00FE1A16">
              <w:rPr>
                <w:color w:val="auto"/>
              </w:rPr>
              <w:t xml:space="preserve">Pope CA 3rd.Respiratory disease associated with community air pollution and a steel mill, Utah Valley. </w:t>
            </w:r>
          </w:p>
        </w:tc>
        <w:tc>
          <w:tcPr>
            <w:tcW w:w="6270" w:type="dxa"/>
          </w:tcPr>
          <w:p w14:paraId="730A1B25" w14:textId="77777777" w:rsidR="00FE1A16" w:rsidRPr="00FE1A16" w:rsidRDefault="00FE1A16" w:rsidP="00FE1A16">
            <w:pPr>
              <w:spacing w:before="60"/>
              <w:ind w:left="0" w:right="60"/>
              <w:rPr>
                <w:color w:val="538135"/>
              </w:rPr>
            </w:pPr>
            <w:r w:rsidRPr="00FE1A16">
              <w:rPr>
                <w:color w:val="auto"/>
              </w:rPr>
              <w:t>Am J Public Health. 1989 May;79(5):623-8.</w:t>
            </w:r>
          </w:p>
        </w:tc>
      </w:tr>
      <w:tr w:rsidR="00FE1A16" w:rsidRPr="00FE1A16" w14:paraId="0C21A235" w14:textId="77777777" w:rsidTr="00550C6B">
        <w:trPr>
          <w:trHeight w:val="881"/>
          <w:jc w:val="center"/>
        </w:trPr>
        <w:tc>
          <w:tcPr>
            <w:tcW w:w="4245" w:type="dxa"/>
          </w:tcPr>
          <w:p w14:paraId="3075EA01" w14:textId="6A8614AA" w:rsidR="00FE1A16" w:rsidRPr="00FE1A16" w:rsidRDefault="00FE1A16" w:rsidP="00550C6B">
            <w:pPr>
              <w:ind w:left="0" w:right="400"/>
              <w:rPr>
                <w:color w:val="538135"/>
              </w:rPr>
            </w:pPr>
            <w:r w:rsidRPr="00FE1A16">
              <w:rPr>
                <w:color w:val="auto"/>
              </w:rPr>
              <w:t>EPA, History of Reducing Air Pollution from Transportation in the United States</w:t>
            </w:r>
            <w:hyperlink r:id="rId56">
              <w:r w:rsidRPr="00FE1A16">
                <w:rPr>
                  <w:color w:val="auto"/>
                </w:rPr>
                <w:t xml:space="preserve"> </w:t>
              </w:r>
            </w:hyperlink>
          </w:p>
        </w:tc>
        <w:tc>
          <w:tcPr>
            <w:tcW w:w="6270" w:type="dxa"/>
          </w:tcPr>
          <w:p w14:paraId="369EFB76" w14:textId="657DAA84" w:rsidR="00FE1A16" w:rsidRPr="00FE1A16" w:rsidRDefault="006F6FDA" w:rsidP="00550C6B">
            <w:pPr>
              <w:ind w:left="0" w:right="60"/>
              <w:rPr>
                <w:color w:val="0066FF"/>
              </w:rPr>
            </w:pPr>
            <w:hyperlink r:id="rId57" w:history="1">
              <w:r w:rsidR="00FE1A16" w:rsidRPr="00356236">
                <w:rPr>
                  <w:rStyle w:val="Hyperlink"/>
                </w:rPr>
                <w:t>https://www.epa.gov/air-pollution-   transportation/accomplishments-and-success-air-pollution-transportation</w:t>
              </w:r>
            </w:hyperlink>
            <w:r w:rsidR="00FE1A16" w:rsidRPr="00FE1A16">
              <w:rPr>
                <w:color w:val="0066FF"/>
              </w:rPr>
              <w:t xml:space="preserve"> </w:t>
            </w:r>
          </w:p>
        </w:tc>
      </w:tr>
      <w:tr w:rsidR="00FE1A16" w:rsidRPr="00FE1A16" w14:paraId="0494BDA4" w14:textId="77777777" w:rsidTr="00FE1A16">
        <w:trPr>
          <w:jc w:val="center"/>
        </w:trPr>
        <w:tc>
          <w:tcPr>
            <w:tcW w:w="4245" w:type="dxa"/>
          </w:tcPr>
          <w:p w14:paraId="0158718C" w14:textId="77777777" w:rsidR="00FE1A16" w:rsidRPr="00FE1A16" w:rsidRDefault="00FE1A16" w:rsidP="00550C6B">
            <w:pPr>
              <w:pBdr>
                <w:top w:val="none" w:sz="0" w:space="0" w:color="auto"/>
                <w:left w:val="none" w:sz="0" w:space="0" w:color="auto"/>
                <w:bottom w:val="none" w:sz="0" w:space="0" w:color="auto"/>
                <w:right w:val="none" w:sz="0" w:space="0" w:color="auto"/>
                <w:between w:val="none" w:sz="0" w:space="0" w:color="auto"/>
              </w:pBdr>
              <w:ind w:left="0" w:right="0"/>
              <w:rPr>
                <w:color w:val="auto"/>
              </w:rPr>
            </w:pPr>
            <w:r w:rsidRPr="00FE1A16">
              <w:rPr>
                <w:color w:val="auto"/>
              </w:rPr>
              <w:t>Environmental regulation and labor demand: evidence</w:t>
            </w:r>
          </w:p>
          <w:p w14:paraId="3908B45E" w14:textId="77777777" w:rsidR="00FE1A16" w:rsidRPr="00FE1A16" w:rsidRDefault="00FE1A16" w:rsidP="00550C6B">
            <w:pPr>
              <w:pBdr>
                <w:top w:val="none" w:sz="0" w:space="0" w:color="auto"/>
                <w:left w:val="none" w:sz="0" w:space="0" w:color="auto"/>
                <w:bottom w:val="none" w:sz="0" w:space="0" w:color="auto"/>
                <w:right w:val="none" w:sz="0" w:space="0" w:color="auto"/>
                <w:between w:val="none" w:sz="0" w:space="0" w:color="auto"/>
              </w:pBdr>
              <w:ind w:left="0" w:right="0"/>
              <w:rPr>
                <w:color w:val="auto"/>
              </w:rPr>
            </w:pPr>
            <w:r w:rsidRPr="00FE1A16">
              <w:rPr>
                <w:color w:val="auto"/>
              </w:rPr>
              <w:t>from the South Coast Air Basin’</w:t>
            </w:r>
          </w:p>
          <w:p w14:paraId="1DFC4FF2" w14:textId="77777777" w:rsidR="00FE1A16" w:rsidRPr="00FE1A16" w:rsidRDefault="00FE1A16" w:rsidP="00550C6B">
            <w:pPr>
              <w:pBdr>
                <w:top w:val="none" w:sz="0" w:space="0" w:color="auto"/>
                <w:left w:val="none" w:sz="0" w:space="0" w:color="auto"/>
                <w:bottom w:val="none" w:sz="0" w:space="0" w:color="auto"/>
                <w:right w:val="none" w:sz="0" w:space="0" w:color="auto"/>
                <w:between w:val="none" w:sz="0" w:space="0" w:color="auto"/>
              </w:pBdr>
              <w:ind w:left="0" w:right="0"/>
              <w:rPr>
                <w:color w:val="538135"/>
              </w:rPr>
            </w:pPr>
            <w:r w:rsidRPr="00FE1A16">
              <w:rPr>
                <w:color w:val="auto"/>
              </w:rPr>
              <w:t>Eli Berman , Linda T.M. Bui</w:t>
            </w:r>
          </w:p>
        </w:tc>
        <w:tc>
          <w:tcPr>
            <w:tcW w:w="6270" w:type="dxa"/>
          </w:tcPr>
          <w:p w14:paraId="7393B507" w14:textId="77777777" w:rsidR="00FE1A16" w:rsidRPr="00FE1A16" w:rsidRDefault="006F6FDA" w:rsidP="00550C6B">
            <w:pPr>
              <w:ind w:left="0" w:right="60"/>
              <w:rPr>
                <w:color w:val="538135"/>
              </w:rPr>
            </w:pPr>
            <w:hyperlink r:id="rId58" w:history="1">
              <w:r w:rsidR="00FE1A16" w:rsidRPr="00FE1A16">
                <w:rPr>
                  <w:color w:val="0563C1"/>
                  <w:u w:val="single"/>
                </w:rPr>
                <w:t>http://econweb.ucsd.edu/~elib/berman_bui2001</w:t>
              </w:r>
            </w:hyperlink>
            <w:r w:rsidR="00FE1A16" w:rsidRPr="00FE1A16">
              <w:t xml:space="preserve">  </w:t>
            </w:r>
          </w:p>
        </w:tc>
      </w:tr>
      <w:tr w:rsidR="00FE1A16" w:rsidRPr="00FE1A16" w14:paraId="71281CBC" w14:textId="77777777" w:rsidTr="00FE1A16">
        <w:trPr>
          <w:jc w:val="center"/>
        </w:trPr>
        <w:tc>
          <w:tcPr>
            <w:tcW w:w="4245" w:type="dxa"/>
          </w:tcPr>
          <w:p w14:paraId="593BE5DD" w14:textId="77777777" w:rsidR="00FE1A16" w:rsidRPr="00FE1A16" w:rsidRDefault="00FE1A16" w:rsidP="003C2B86">
            <w:pPr>
              <w:ind w:left="0"/>
              <w:rPr>
                <w:color w:val="538135"/>
              </w:rPr>
            </w:pPr>
            <w:bookmarkStart w:id="17" w:name="_Toc496011828"/>
            <w:r w:rsidRPr="00FE1A16">
              <w:t>The Clean Air Act and the Economy</w:t>
            </w:r>
            <w:bookmarkEnd w:id="17"/>
          </w:p>
        </w:tc>
        <w:tc>
          <w:tcPr>
            <w:tcW w:w="6270" w:type="dxa"/>
          </w:tcPr>
          <w:p w14:paraId="69EE2C58" w14:textId="77777777" w:rsidR="00FE1A16" w:rsidRPr="00FE1A16" w:rsidRDefault="006F6FDA" w:rsidP="00550C6B">
            <w:pPr>
              <w:ind w:left="0" w:right="60"/>
              <w:rPr>
                <w:color w:val="538135"/>
              </w:rPr>
            </w:pPr>
            <w:hyperlink r:id="rId59" w:anchor="_edn10" w:history="1">
              <w:r w:rsidR="00FE1A16" w:rsidRPr="00FE1A16">
                <w:rPr>
                  <w:color w:val="0563C1"/>
                  <w:u w:val="single"/>
                </w:rPr>
                <w:t>https://www.epa.gov/clean-air-act-overview/clean-air-act-and-economy#_edn10</w:t>
              </w:r>
            </w:hyperlink>
          </w:p>
        </w:tc>
      </w:tr>
    </w:tbl>
    <w:p w14:paraId="1E13F3F4" w14:textId="6ABE892E" w:rsidR="00083818" w:rsidRDefault="00083818">
      <w:pPr>
        <w:ind w:left="0"/>
      </w:pPr>
    </w:p>
    <w:p w14:paraId="72E31B43" w14:textId="77777777" w:rsidR="00083818" w:rsidRDefault="00FC36AC" w:rsidP="001B6065">
      <w:pPr>
        <w:pStyle w:val="Heading2"/>
        <w:spacing w:after="0"/>
        <w:ind w:left="0" w:right="-432"/>
      </w:pPr>
      <w:r>
        <w:t>Advisory committee</w:t>
      </w:r>
    </w:p>
    <w:p w14:paraId="0D99DE57" w14:textId="071B1C66" w:rsidR="00083818" w:rsidRDefault="00FC36AC" w:rsidP="001B6065">
      <w:pPr>
        <w:ind w:left="0" w:right="-432"/>
      </w:pPr>
      <w:r>
        <w:t>DEQ appointed an advisory committee for help with the development of the Cleaner Air Oregon air toxics permitting program</w:t>
      </w:r>
      <w:r w:rsidR="003C1FFE" w:rsidRPr="003C1FFE">
        <w:t xml:space="preserve"> and review of the fiscal impact statement</w:t>
      </w:r>
      <w:r>
        <w:t xml:space="preserve">. </w:t>
      </w:r>
    </w:p>
    <w:p w14:paraId="62F372F7" w14:textId="77777777" w:rsidR="00083818" w:rsidRDefault="00083818">
      <w:pPr>
        <w:ind w:left="0" w:right="-432"/>
      </w:pPr>
    </w:p>
    <w:p w14:paraId="308E52E3" w14:textId="77777777" w:rsidR="00083818" w:rsidRDefault="00FC36AC">
      <w:pPr>
        <w:spacing w:after="120"/>
        <w:ind w:left="0" w:right="-432"/>
      </w:pPr>
      <w:r>
        <w:t>As ORS 183.33 requires, DEQ asked for the committee’s recommendations on:</w:t>
      </w:r>
    </w:p>
    <w:p w14:paraId="5F0E8A2E" w14:textId="77777777" w:rsidR="00083818" w:rsidRDefault="00FC36AC">
      <w:pPr>
        <w:numPr>
          <w:ilvl w:val="0"/>
          <w:numId w:val="20"/>
        </w:numPr>
        <w:spacing w:after="120"/>
        <w:ind w:right="-432"/>
        <w:contextualSpacing/>
      </w:pPr>
      <w:r>
        <w:t xml:space="preserve">Whether the proposed rules would have a fiscal impact, </w:t>
      </w:r>
    </w:p>
    <w:p w14:paraId="4BD7FDFF" w14:textId="77777777" w:rsidR="00083818" w:rsidRDefault="00FC36AC">
      <w:pPr>
        <w:numPr>
          <w:ilvl w:val="0"/>
          <w:numId w:val="20"/>
        </w:numPr>
        <w:spacing w:after="120"/>
        <w:ind w:right="-432"/>
        <w:contextualSpacing/>
      </w:pPr>
      <w:r>
        <w:t>The extent of the impact, and</w:t>
      </w:r>
    </w:p>
    <w:p w14:paraId="38380012" w14:textId="77777777" w:rsidR="00083818" w:rsidRDefault="00FC36AC">
      <w:pPr>
        <w:numPr>
          <w:ilvl w:val="0"/>
          <w:numId w:val="20"/>
        </w:numPr>
        <w:spacing w:after="120"/>
        <w:ind w:right="-432"/>
        <w:contextualSpacing/>
      </w:pPr>
      <w:r>
        <w:t xml:space="preserve">Whether the proposed rules would have a significant adverse impact on small businesses; if so, then how DEQ can comply with ORS 183.540 to reduce that impact. </w:t>
      </w:r>
    </w:p>
    <w:p w14:paraId="5767839C" w14:textId="77777777" w:rsidR="00083818" w:rsidRDefault="00FC36AC" w:rsidP="00945D5F">
      <w:pPr>
        <w:pStyle w:val="Heading3"/>
        <w:ind w:left="0"/>
      </w:pPr>
      <w:bookmarkStart w:id="18" w:name="_jk4deil703ds" w:colFirst="0" w:colLast="0"/>
      <w:bookmarkEnd w:id="18"/>
      <w:r>
        <w:t>Would the draft rule have a fiscal impact?</w:t>
      </w:r>
    </w:p>
    <w:p w14:paraId="3930E60B" w14:textId="77777777" w:rsidR="00083818" w:rsidRDefault="00FC36AC" w:rsidP="00DF5063">
      <w:pPr>
        <w:shd w:val="clear" w:color="auto" w:fill="FFFFFF"/>
        <w:ind w:left="0" w:right="-432"/>
        <w:rPr>
          <w:highlight w:val="white"/>
        </w:rPr>
      </w:pPr>
      <w:r>
        <w:rPr>
          <w:highlight w:val="white"/>
        </w:rPr>
        <w:t>The committee reviewed the draft fiscal and economic impact statement and no committee members objected to DEQ’s finding that there would be a fiscal impact to businesses. There was concern among several committee members that the fiscal analysis on the impact to health was not quantified. DEQ acknowledged that the data required to calculate these impacts was not available.</w:t>
      </w:r>
    </w:p>
    <w:p w14:paraId="39543AAE" w14:textId="77777777" w:rsidR="00DF5063" w:rsidRDefault="00DF5063" w:rsidP="00DF5063">
      <w:pPr>
        <w:pStyle w:val="Heading3"/>
        <w:ind w:left="0"/>
      </w:pPr>
    </w:p>
    <w:p w14:paraId="2EF119C6" w14:textId="77777777" w:rsidR="00083818" w:rsidRDefault="00FC36AC" w:rsidP="00DF5063">
      <w:pPr>
        <w:pStyle w:val="Heading3"/>
        <w:ind w:left="0"/>
      </w:pPr>
      <w:r>
        <w:t>What would the extent of the impact be?</w:t>
      </w:r>
    </w:p>
    <w:p w14:paraId="727682B7" w14:textId="77777777" w:rsidR="00083818" w:rsidRDefault="00FC36AC" w:rsidP="00DF5063">
      <w:pPr>
        <w:shd w:val="clear" w:color="auto" w:fill="FFFFFF"/>
        <w:ind w:left="0" w:right="-432"/>
      </w:pPr>
      <w:r>
        <w:t>Some committee members felt that costs to business could be larger than the ranges included in the draft fiscal impact statement. However, they did not provide additional data or materials for inclusion in this statement of fiscal impact. Other members noted that the draft regulations would have health benefits that were not specifically quantified.</w:t>
      </w:r>
      <w:r>
        <w:br/>
      </w:r>
    </w:p>
    <w:p w14:paraId="478192C0" w14:textId="77777777" w:rsidR="00083818" w:rsidRDefault="00FC36AC" w:rsidP="00945D5F">
      <w:pPr>
        <w:pStyle w:val="Heading3"/>
        <w:ind w:left="0"/>
      </w:pPr>
      <w:r>
        <w:t>Would the draft rules have a significant adverse impact on small businesses, and if so, what are recommendations for potential mitigation?</w:t>
      </w:r>
    </w:p>
    <w:p w14:paraId="50E7BBB9" w14:textId="38F869F2" w:rsidR="00083818" w:rsidRDefault="00FC36AC">
      <w:pPr>
        <w:shd w:val="clear" w:color="auto" w:fill="FFFFFF"/>
        <w:ind w:left="0" w:right="-432"/>
        <w:rPr>
          <w:highlight w:val="white"/>
        </w:rPr>
      </w:pPr>
      <w:r>
        <w:rPr>
          <w:highlight w:val="white"/>
        </w:rPr>
        <w:t xml:space="preserve">Some advisory committee members believed that </w:t>
      </w:r>
      <w:r>
        <w:t>there would be a</w:t>
      </w:r>
      <w:r w:rsidR="003C1FFE">
        <w:t xml:space="preserve"> significant</w:t>
      </w:r>
      <w:r>
        <w:t xml:space="preserve"> adverse impact on small businesses and others did not.</w:t>
      </w:r>
      <w:r>
        <w:rPr>
          <w:highlight w:val="white"/>
        </w:rPr>
        <w:t xml:space="preserve"> The proposed rules include several options for the mitigation of costs for small businesses. These include:</w:t>
      </w:r>
    </w:p>
    <w:p w14:paraId="6519783A" w14:textId="2A921F61" w:rsidR="00083818" w:rsidRDefault="00FC36AC">
      <w:pPr>
        <w:numPr>
          <w:ilvl w:val="0"/>
          <w:numId w:val="6"/>
        </w:numPr>
        <w:shd w:val="clear" w:color="auto" w:fill="FFFFFF"/>
        <w:ind w:right="-432"/>
        <w:contextualSpacing/>
        <w:rPr>
          <w:highlight w:val="white"/>
        </w:rPr>
      </w:pPr>
      <w:r>
        <w:rPr>
          <w:highlight w:val="white"/>
        </w:rPr>
        <w:t>Tiered implementation of the program which would delay regulatory costs for m</w:t>
      </w:r>
      <w:r w:rsidR="00A700E0">
        <w:rPr>
          <w:highlight w:val="white"/>
        </w:rPr>
        <w:t>ost</w:t>
      </w:r>
      <w:r>
        <w:rPr>
          <w:highlight w:val="white"/>
        </w:rPr>
        <w:t xml:space="preserve"> smaller businesses</w:t>
      </w:r>
    </w:p>
    <w:p w14:paraId="1D2648FA" w14:textId="77777777" w:rsidR="00083818" w:rsidRDefault="00FC36AC">
      <w:pPr>
        <w:numPr>
          <w:ilvl w:val="0"/>
          <w:numId w:val="21"/>
        </w:numPr>
        <w:shd w:val="clear" w:color="auto" w:fill="FFFFFF"/>
        <w:ind w:right="-432"/>
        <w:contextualSpacing/>
        <w:rPr>
          <w:highlight w:val="white"/>
        </w:rPr>
      </w:pPr>
      <w:r>
        <w:rPr>
          <w:highlight w:val="white"/>
        </w:rPr>
        <w:t>Sources that are de minimis or conditionally exempt would not need to take action under Cleaner Air Oregon</w:t>
      </w:r>
    </w:p>
    <w:p w14:paraId="60CA549E" w14:textId="176B67F4" w:rsidR="00083818" w:rsidRDefault="00FC36AC">
      <w:pPr>
        <w:numPr>
          <w:ilvl w:val="0"/>
          <w:numId w:val="21"/>
        </w:numPr>
        <w:shd w:val="clear" w:color="auto" w:fill="FFFFFF"/>
        <w:ind w:right="-432"/>
        <w:contextualSpacing/>
        <w:rPr>
          <w:highlight w:val="white"/>
        </w:rPr>
      </w:pPr>
      <w:r>
        <w:rPr>
          <w:highlight w:val="white"/>
        </w:rPr>
        <w:t xml:space="preserve">Sources on General and Basic Air Contaminant Discharge Permits (including gas stations and dry cleaners) would not be required to </w:t>
      </w:r>
      <w:r w:rsidR="00DB3D52">
        <w:rPr>
          <w:highlight w:val="white"/>
        </w:rPr>
        <w:t xml:space="preserve">perform Level 1 </w:t>
      </w:r>
      <w:r>
        <w:rPr>
          <w:highlight w:val="white"/>
        </w:rPr>
        <w:t>risk assessments. DEQ would do that work</w:t>
      </w:r>
      <w:r w:rsidR="00DB3D52">
        <w:rPr>
          <w:highlight w:val="white"/>
        </w:rPr>
        <w:t xml:space="preserve">. If DEQ determines that risk from </w:t>
      </w:r>
      <w:r>
        <w:rPr>
          <w:highlight w:val="white"/>
        </w:rPr>
        <w:t>sources on these permit types may be above de minimis levels</w:t>
      </w:r>
      <w:r w:rsidR="00DB3D52">
        <w:rPr>
          <w:highlight w:val="white"/>
        </w:rPr>
        <w:t>, DEQ would call them into the program</w:t>
      </w:r>
      <w:r>
        <w:rPr>
          <w:highlight w:val="white"/>
        </w:rPr>
        <w:t>.</w:t>
      </w:r>
    </w:p>
    <w:p w14:paraId="4D1D1B46" w14:textId="77777777" w:rsidR="00083818" w:rsidRDefault="00FC36AC">
      <w:pPr>
        <w:numPr>
          <w:ilvl w:val="0"/>
          <w:numId w:val="21"/>
        </w:numPr>
        <w:shd w:val="clear" w:color="auto" w:fill="FFFFFF"/>
        <w:ind w:right="-432"/>
        <w:contextualSpacing/>
        <w:rPr>
          <w:highlight w:val="white"/>
        </w:rPr>
      </w:pPr>
      <w:r>
        <w:rPr>
          <w:sz w:val="14"/>
          <w:szCs w:val="14"/>
          <w:highlight w:val="white"/>
        </w:rPr>
        <w:t xml:space="preserve"> </w:t>
      </w:r>
      <w:r>
        <w:rPr>
          <w:highlight w:val="white"/>
        </w:rPr>
        <w:t>Conditional Risk Level possible for sources not able to comply with Risk Action Levels (requires DEQ Director approval if above certain levels)</w:t>
      </w:r>
    </w:p>
    <w:p w14:paraId="70AC1927" w14:textId="77777777" w:rsidR="00083818" w:rsidRDefault="00FC36AC">
      <w:pPr>
        <w:numPr>
          <w:ilvl w:val="0"/>
          <w:numId w:val="21"/>
        </w:numPr>
        <w:shd w:val="clear" w:color="auto" w:fill="FFFFFF"/>
        <w:ind w:right="-432"/>
        <w:contextualSpacing/>
        <w:rPr>
          <w:highlight w:val="white"/>
        </w:rPr>
      </w:pPr>
      <w:r>
        <w:rPr>
          <w:highlight w:val="white"/>
        </w:rPr>
        <w:t>Conditional Risk Level with delay or postponement of risk reduction based on financial hardship (requires DEQ Director approval)</w:t>
      </w:r>
    </w:p>
    <w:p w14:paraId="1C8BC545" w14:textId="5608A614" w:rsidR="00A700E0" w:rsidRDefault="00A700E0">
      <w:pPr>
        <w:numPr>
          <w:ilvl w:val="0"/>
          <w:numId w:val="21"/>
        </w:numPr>
        <w:shd w:val="clear" w:color="auto" w:fill="FFFFFF"/>
        <w:ind w:right="-432"/>
        <w:contextualSpacing/>
        <w:rPr>
          <w:highlight w:val="white"/>
        </w:rPr>
      </w:pPr>
      <w:r>
        <w:rPr>
          <w:highlight w:val="white"/>
        </w:rPr>
        <w:t>Technical assistance staff person</w:t>
      </w:r>
      <w:r w:rsidR="005E2A99">
        <w:rPr>
          <w:highlight w:val="white"/>
        </w:rPr>
        <w:t>.</w:t>
      </w:r>
    </w:p>
    <w:p w14:paraId="154DED60" w14:textId="77777777" w:rsidR="00083818" w:rsidRDefault="00FC36AC">
      <w:pPr>
        <w:shd w:val="clear" w:color="auto" w:fill="FFFFFF"/>
        <w:ind w:left="0" w:right="-432"/>
      </w:pPr>
      <w:r>
        <w:t>In addition to proposed small business fiscal mitigation measures, members suggested that DEQ conduct thorough technical assistance for businesses subject to Cleaner Air Oregon regulations.</w:t>
      </w:r>
    </w:p>
    <w:p w14:paraId="69982742" w14:textId="77777777" w:rsidR="00083818" w:rsidRDefault="00083818">
      <w:pPr>
        <w:shd w:val="clear" w:color="auto" w:fill="FFFFFF"/>
        <w:ind w:left="0" w:right="-432"/>
      </w:pPr>
    </w:p>
    <w:p w14:paraId="0D26EF56" w14:textId="249FA2FA" w:rsidR="00083818" w:rsidRDefault="00FC36AC">
      <w:pPr>
        <w:shd w:val="clear" w:color="auto" w:fill="FFFFFF"/>
        <w:ind w:left="0" w:right="-432"/>
      </w:pPr>
      <w:r>
        <w:t>Advisory committee members’ comments are summarized in written meeting minutes, and an audio recording of the meeting when they discussed the program’s fiscal impact is also available</w:t>
      </w:r>
      <w:r w:rsidR="00F86E63">
        <w:t xml:space="preserve"> upon request</w:t>
      </w:r>
      <w:r>
        <w:t>.</w:t>
      </w:r>
    </w:p>
    <w:p w14:paraId="5830383B" w14:textId="77777777" w:rsidR="00945D5F" w:rsidRDefault="00945D5F" w:rsidP="00945D5F">
      <w:pPr>
        <w:pStyle w:val="Heading2"/>
        <w:spacing w:before="0" w:after="0"/>
        <w:ind w:left="0" w:right="-432"/>
      </w:pPr>
    </w:p>
    <w:p w14:paraId="29B88059" w14:textId="77777777" w:rsidR="00083818" w:rsidRDefault="00FC36AC" w:rsidP="00945D5F">
      <w:pPr>
        <w:pStyle w:val="Heading2"/>
        <w:spacing w:before="0" w:after="0"/>
        <w:ind w:left="0" w:right="-432"/>
      </w:pPr>
      <w:r>
        <w:t xml:space="preserve">Housing cost  </w:t>
      </w:r>
    </w:p>
    <w:p w14:paraId="2620A276" w14:textId="77777777" w:rsidR="00083818" w:rsidRDefault="00FC36AC" w:rsidP="00945D5F">
      <w:pPr>
        <w:ind w:left="0" w:right="-432"/>
      </w:pPr>
      <w:r>
        <w:t>To comply with ORS 183.534, DEQ determined the proposed rules may have an effect on the development cost of a 6,000-square-foot parcel and construction of a 1,200- square-foot detached, single-family dwelling on that parcel.</w:t>
      </w:r>
    </w:p>
    <w:p w14:paraId="4D055153" w14:textId="77777777" w:rsidR="00083818" w:rsidRDefault="00083818">
      <w:pPr>
        <w:ind w:left="0" w:right="-432"/>
        <w:rPr>
          <w:rFonts w:ascii="Arial" w:eastAsia="Arial" w:hAnsi="Arial" w:cs="Arial"/>
        </w:rPr>
      </w:pPr>
    </w:p>
    <w:p w14:paraId="600DA96D" w14:textId="77777777" w:rsidR="00083818" w:rsidRDefault="00FC36AC">
      <w:pPr>
        <w:ind w:left="0" w:right="-432"/>
      </w:pPr>
      <w:r>
        <w:t>The costs of additional permits, pollution control or process equipment, and compliance could be passed through by businesses providing products and services for such development and construction. The possible impact of these proposed changes appears to be minimal. DEQ cannot quantify the impact at this time because the available information does not indicate whether the costs would be passed on to consumers and any such estimate would be speculative.</w:t>
      </w:r>
    </w:p>
    <w:p w14:paraId="03733A6F" w14:textId="77777777" w:rsidR="00EC03E9" w:rsidRDefault="00EC03E9">
      <w:pPr>
        <w:ind w:left="0" w:right="-432"/>
        <w:rPr>
          <w:rFonts w:ascii="Arial" w:eastAsia="Arial" w:hAnsi="Arial" w:cs="Arial"/>
        </w:rPr>
      </w:pPr>
    </w:p>
    <w:p w14:paraId="0729B75B" w14:textId="77777777" w:rsidR="00083818" w:rsidRDefault="00083818">
      <w:pPr>
        <w:ind w:left="0" w:right="-432"/>
        <w:rPr>
          <w:rFonts w:ascii="Arial" w:eastAsia="Arial" w:hAnsi="Arial" w:cs="Arial"/>
          <w:color w:val="C55911"/>
        </w:rPr>
      </w:pPr>
    </w:p>
    <w:tbl>
      <w:tblPr>
        <w:tblpPr w:leftFromText="180" w:rightFromText="180" w:horzAnchor="margin" w:tblpY="-768"/>
        <w:tblW w:w="8720" w:type="dxa"/>
        <w:shd w:val="clear" w:color="auto" w:fill="D5DCE4" w:themeFill="text2" w:themeFillTint="33"/>
        <w:tblLook w:val="04A0" w:firstRow="1" w:lastRow="0" w:firstColumn="1" w:lastColumn="0" w:noHBand="0" w:noVBand="1"/>
      </w:tblPr>
      <w:tblGrid>
        <w:gridCol w:w="8720"/>
      </w:tblGrid>
      <w:tr w:rsidR="00DF5063" w:rsidRPr="00DF5063" w14:paraId="03A4509A" w14:textId="77777777" w:rsidTr="00EC03E9">
        <w:trPr>
          <w:trHeight w:val="672"/>
        </w:trPr>
        <w:tc>
          <w:tcPr>
            <w:tcW w:w="8720" w:type="dxa"/>
            <w:tcBorders>
              <w:top w:val="nil"/>
              <w:left w:val="nil"/>
              <w:bottom w:val="double" w:sz="6" w:space="0" w:color="7F7F7F"/>
              <w:right w:val="nil"/>
            </w:tcBorders>
            <w:shd w:val="clear" w:color="auto" w:fill="D5DCE4" w:themeFill="text2" w:themeFillTint="33"/>
            <w:noWrap/>
            <w:vAlign w:val="bottom"/>
            <w:hideMark/>
          </w:tcPr>
          <w:p w14:paraId="5A622EA5" w14:textId="77777777" w:rsidR="00DF5063" w:rsidRPr="00DF5063" w:rsidRDefault="00DF5063" w:rsidP="00EC03E9">
            <w:pPr>
              <w:pStyle w:val="Heading1"/>
            </w:pPr>
            <w:bookmarkStart w:id="19" w:name="_Toc487209854"/>
            <w:bookmarkStart w:id="20" w:name="_Toc496011829"/>
            <w:r w:rsidRPr="00DF5063">
              <w:t>Federal relationship</w:t>
            </w:r>
            <w:bookmarkEnd w:id="19"/>
            <w:bookmarkEnd w:id="20"/>
            <w:r w:rsidRPr="00DF5063">
              <w:rPr>
                <w:color w:val="C45911" w:themeColor="accent2" w:themeShade="BF"/>
              </w:rPr>
              <w:t xml:space="preserve"> </w:t>
            </w:r>
            <w:hyperlink r:id="rId60" w:history="1"/>
          </w:p>
        </w:tc>
      </w:tr>
    </w:tbl>
    <w:p w14:paraId="26226B18" w14:textId="77777777" w:rsidR="00083818" w:rsidRDefault="00083818">
      <w:pPr>
        <w:ind w:left="0"/>
      </w:pPr>
    </w:p>
    <w:p w14:paraId="11734F2A" w14:textId="77777777" w:rsidR="00083818" w:rsidRDefault="00FC36AC" w:rsidP="001B6065">
      <w:pPr>
        <w:pStyle w:val="Heading2"/>
        <w:spacing w:after="0"/>
        <w:ind w:left="0"/>
      </w:pPr>
      <w:r>
        <w:t>Relationship to federal requirements</w:t>
      </w:r>
    </w:p>
    <w:p w14:paraId="0FB0B0C3" w14:textId="7C712C81" w:rsidR="00083818" w:rsidRDefault="00FC36AC" w:rsidP="001B6065">
      <w:pPr>
        <w:ind w:left="0" w:right="-432"/>
      </w:pPr>
      <w:r>
        <w:t xml:space="preserve">ORS 183.332, 468A.327 and OAR 340-011-0029 require DEQ to attempt to adopt rules </w:t>
      </w:r>
      <w:r w:rsidR="000C73F2">
        <w:t>that correspond</w:t>
      </w:r>
      <w:r>
        <w:t xml:space="preserve"> with existing equivalent federal laws and rules unless there are reasons not to do so. </w:t>
      </w:r>
    </w:p>
    <w:p w14:paraId="0879ECA7" w14:textId="77777777" w:rsidR="00083818" w:rsidRDefault="00083818">
      <w:pPr>
        <w:ind w:left="0" w:right="-432"/>
        <w:rPr>
          <w:rFonts w:ascii="Calibri" w:eastAsia="Calibri" w:hAnsi="Calibri" w:cs="Calibri"/>
        </w:rPr>
      </w:pPr>
    </w:p>
    <w:p w14:paraId="487884E8" w14:textId="77777777" w:rsidR="00083818" w:rsidRDefault="00FC36AC">
      <w:pPr>
        <w:ind w:left="0" w:right="-432"/>
      </w:pPr>
      <w:r>
        <w:t>DEQ is proposing rules that are in addition to federal requirements because regulatory gaps exist in the current rules. This allowed for significant localized health risks from exposure to industrial and commercial emissions. There was additional need to both improve the level of scientific knowledge about exposure and develop a systematic way to reduce risk from exposure. The proposed Cleaner Air Oregon rules will allow DEQ to continue to improve its knowledge about air toxics emissions from facilities. The proposed rules would also provide a predictable and science-based framework to better control air toxics with a focus on areas and facilities that may pose the highest risk to human health.</w:t>
      </w:r>
    </w:p>
    <w:p w14:paraId="528F81A3" w14:textId="77777777" w:rsidR="00083818" w:rsidRDefault="00083818">
      <w:pPr>
        <w:ind w:left="0" w:right="-432"/>
      </w:pPr>
    </w:p>
    <w:p w14:paraId="666D1D62" w14:textId="77777777" w:rsidR="00083818" w:rsidRDefault="00FC36AC">
      <w:pPr>
        <w:pStyle w:val="Heading3"/>
        <w:ind w:left="0" w:right="-432"/>
        <w:rPr>
          <w:rFonts w:ascii="Times New Roman" w:eastAsia="Times New Roman" w:hAnsi="Times New Roman" w:cs="Times New Roman"/>
          <w:b w:val="0"/>
          <w:sz w:val="24"/>
          <w:szCs w:val="24"/>
        </w:rPr>
      </w:pPr>
      <w:r>
        <w:t xml:space="preserve">What alternatives did DEQ consider if any? </w:t>
      </w:r>
    </w:p>
    <w:p w14:paraId="030D2A46" w14:textId="77777777" w:rsidR="00083818" w:rsidRDefault="00FC36AC">
      <w:pPr>
        <w:spacing w:after="120"/>
        <w:ind w:left="0"/>
      </w:pPr>
      <w:r>
        <w:t>In designing Cleaner Air Oregon, the agencies considered many alternatives used in other state risk-based air toxics permitting programs. These alternatives were summarized in Technical Issue Papers and numerous presentations and discussions prepared for and provided to the Cleaner Air Oregon Advisory Committee for consideration. (</w:t>
      </w:r>
      <w:hyperlink r:id="rId61">
        <w:r>
          <w:rPr>
            <w:color w:val="1155CC"/>
            <w:u w:val="single"/>
          </w:rPr>
          <w:t>http://www.oregon.gov/deq/Regulations/rulemaking/Pages/Rcleanerair2017.aspx</w:t>
        </w:r>
      </w:hyperlink>
      <w:r>
        <w:t>)  </w:t>
      </w:r>
    </w:p>
    <w:p w14:paraId="2B1B6199" w14:textId="77777777" w:rsidR="00083818" w:rsidRDefault="00083818">
      <w:pPr>
        <w:widowControl w:val="0"/>
        <w:spacing w:line="276" w:lineRule="auto"/>
        <w:ind w:left="0" w:right="0"/>
      </w:pPr>
    </w:p>
    <w:tbl>
      <w:tblPr>
        <w:tblStyle w:val="afb"/>
        <w:tblW w:w="8937" w:type="dxa"/>
        <w:tblBorders>
          <w:bottom w:val="single" w:sz="6" w:space="0" w:color="7F7F7F"/>
        </w:tblBorders>
        <w:tblLayout w:type="fixed"/>
        <w:tblLook w:val="0400" w:firstRow="0" w:lastRow="0" w:firstColumn="0" w:lastColumn="0" w:noHBand="0" w:noVBand="1"/>
      </w:tblPr>
      <w:tblGrid>
        <w:gridCol w:w="8937"/>
      </w:tblGrid>
      <w:tr w:rsidR="00083818" w14:paraId="3E49D397" w14:textId="77777777" w:rsidTr="00EC03E9">
        <w:trPr>
          <w:trHeight w:val="477"/>
        </w:trPr>
        <w:tc>
          <w:tcPr>
            <w:tcW w:w="8937" w:type="dxa"/>
            <w:shd w:val="clear" w:color="auto" w:fill="D5DCE4"/>
            <w:vAlign w:val="bottom"/>
          </w:tcPr>
          <w:p w14:paraId="33C5974A" w14:textId="478C81BC" w:rsidR="00083818" w:rsidRDefault="00FC36AC" w:rsidP="00EC03E9">
            <w:pPr>
              <w:pStyle w:val="Heading1"/>
              <w:rPr>
                <w:color w:val="C55911"/>
              </w:rPr>
            </w:pPr>
            <w:bookmarkStart w:id="21" w:name="_Toc496011830"/>
            <w:r>
              <w:t>Land use</w:t>
            </w:r>
            <w:bookmarkEnd w:id="21"/>
            <w:r>
              <w:rPr>
                <w:color w:val="C55911"/>
              </w:rPr>
              <w:t xml:space="preserve"> </w:t>
            </w:r>
          </w:p>
        </w:tc>
      </w:tr>
    </w:tbl>
    <w:p w14:paraId="101584A7" w14:textId="1394C628" w:rsidR="00083818" w:rsidRDefault="005E2A99" w:rsidP="001B6065">
      <w:pPr>
        <w:pStyle w:val="Heading2"/>
        <w:spacing w:after="0"/>
        <w:ind w:left="0"/>
      </w:pPr>
      <w:r>
        <w:rPr>
          <w:sz w:val="28"/>
          <w:szCs w:val="28"/>
        </w:rPr>
        <w:t>C</w:t>
      </w:r>
      <w:r w:rsidR="00FC36AC">
        <w:t>onsiderations</w:t>
      </w:r>
    </w:p>
    <w:p w14:paraId="0F23657B" w14:textId="77777777" w:rsidR="00083818" w:rsidRDefault="00FC36AC" w:rsidP="001B6065">
      <w:pPr>
        <w:ind w:left="0" w:right="-432"/>
      </w:pPr>
      <w:r>
        <w:t>In adopting new or amended rules, ORS 197.180 and OAR 340-018-0070 require DEQ to determine whether the proposed rules would significantly affect land use. If so, DEQ must explain how the proposed rules would comply with statewide land use planning goals and local acknowledged comprehensive plans.</w:t>
      </w:r>
    </w:p>
    <w:p w14:paraId="5BF8DC73" w14:textId="77777777" w:rsidR="00083818" w:rsidRDefault="00083818">
      <w:pPr>
        <w:ind w:left="0" w:right="-432"/>
      </w:pPr>
    </w:p>
    <w:p w14:paraId="752E0D87" w14:textId="77777777" w:rsidR="00083818" w:rsidRDefault="00FC36AC">
      <w:pPr>
        <w:ind w:left="0" w:right="-432"/>
      </w:pPr>
      <w:r>
        <w:t>Under OAR 660-030-0005 and OAR 340 Division 18, DEQ considers that rules affect land use if:</w:t>
      </w:r>
    </w:p>
    <w:p w14:paraId="02C9E783" w14:textId="77777777" w:rsidR="00083818" w:rsidRDefault="00FC36AC">
      <w:pPr>
        <w:numPr>
          <w:ilvl w:val="0"/>
          <w:numId w:val="18"/>
        </w:numPr>
        <w:ind w:right="-432"/>
        <w:contextualSpacing/>
      </w:pPr>
      <w:r>
        <w:t>The statewide land use planning goals specifically refer to the rule or program, or</w:t>
      </w:r>
    </w:p>
    <w:p w14:paraId="16C33C9F" w14:textId="77777777" w:rsidR="00083818" w:rsidRDefault="00FC36AC">
      <w:pPr>
        <w:numPr>
          <w:ilvl w:val="0"/>
          <w:numId w:val="18"/>
        </w:numPr>
        <w:ind w:right="-432"/>
        <w:contextualSpacing/>
      </w:pPr>
      <w:r>
        <w:t>The rule or program is reasonably expected to have significant effects on:</w:t>
      </w:r>
    </w:p>
    <w:p w14:paraId="5AF963CC" w14:textId="77777777" w:rsidR="00083818" w:rsidRDefault="00FC36AC">
      <w:pPr>
        <w:numPr>
          <w:ilvl w:val="1"/>
          <w:numId w:val="18"/>
        </w:numPr>
        <w:ind w:right="-432"/>
        <w:contextualSpacing/>
      </w:pPr>
      <w:r>
        <w:t>Resources, objectives or areas identified in the statewide planning goals, or</w:t>
      </w:r>
    </w:p>
    <w:p w14:paraId="2C767741" w14:textId="77777777" w:rsidR="00083818" w:rsidRDefault="00FC36AC">
      <w:pPr>
        <w:numPr>
          <w:ilvl w:val="1"/>
          <w:numId w:val="18"/>
        </w:numPr>
        <w:ind w:right="-432"/>
        <w:contextualSpacing/>
      </w:pPr>
      <w:r>
        <w:t>Present or future land uses identified in acknowledged comprehensive plans</w:t>
      </w:r>
    </w:p>
    <w:p w14:paraId="57C9D2E7" w14:textId="77777777" w:rsidR="00083818" w:rsidRDefault="00083818">
      <w:pPr>
        <w:ind w:left="0" w:right="-432"/>
      </w:pPr>
    </w:p>
    <w:p w14:paraId="74ACBD09" w14:textId="77777777" w:rsidR="00083818" w:rsidRDefault="00FC36AC">
      <w:pPr>
        <w:ind w:left="0" w:right="-432"/>
      </w:pPr>
      <w:r>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7459E528" w14:textId="77777777" w:rsidR="00EC03E9" w:rsidRDefault="00EC03E9">
      <w:pPr>
        <w:ind w:left="0" w:right="-432"/>
      </w:pPr>
    </w:p>
    <w:tbl>
      <w:tblPr>
        <w:tblStyle w:val="afc"/>
        <w:tblW w:w="8918" w:type="dxa"/>
        <w:tblBorders>
          <w:top w:val="nil"/>
          <w:left w:val="nil"/>
          <w:bottom w:val="nil"/>
          <w:right w:val="nil"/>
          <w:insideH w:val="nil"/>
          <w:insideV w:val="nil"/>
        </w:tblBorders>
        <w:tblLayout w:type="fixed"/>
        <w:tblLook w:val="0400" w:firstRow="0" w:lastRow="0" w:firstColumn="0" w:lastColumn="0" w:noHBand="0" w:noVBand="1"/>
      </w:tblPr>
      <w:tblGrid>
        <w:gridCol w:w="1255"/>
        <w:gridCol w:w="7663"/>
      </w:tblGrid>
      <w:tr w:rsidR="00083818" w14:paraId="7944F5B9" w14:textId="77777777">
        <w:tc>
          <w:tcPr>
            <w:tcW w:w="1255" w:type="dxa"/>
          </w:tcPr>
          <w:p w14:paraId="32EED929" w14:textId="77777777" w:rsidR="00083818" w:rsidRDefault="00FC36AC">
            <w:pPr>
              <w:ind w:right="-432"/>
              <w:jc w:val="center"/>
              <w:rPr>
                <w:rFonts w:ascii="Arial" w:eastAsia="Arial" w:hAnsi="Arial" w:cs="Arial"/>
                <w:color w:val="000000"/>
                <w:sz w:val="28"/>
                <w:szCs w:val="28"/>
              </w:rPr>
            </w:pPr>
            <w:r>
              <w:rPr>
                <w:rFonts w:ascii="Arial" w:eastAsia="Arial" w:hAnsi="Arial" w:cs="Arial"/>
                <w:color w:val="000000"/>
                <w:sz w:val="28"/>
                <w:szCs w:val="28"/>
              </w:rPr>
              <w:t>Goal</w:t>
            </w:r>
          </w:p>
        </w:tc>
        <w:tc>
          <w:tcPr>
            <w:tcW w:w="7663" w:type="dxa"/>
          </w:tcPr>
          <w:p w14:paraId="100DB77D" w14:textId="77777777" w:rsidR="00083818" w:rsidRDefault="00FC36AC">
            <w:pPr>
              <w:ind w:right="-432"/>
              <w:rPr>
                <w:rFonts w:ascii="Arial" w:eastAsia="Arial" w:hAnsi="Arial" w:cs="Arial"/>
                <w:color w:val="000000"/>
                <w:sz w:val="28"/>
                <w:szCs w:val="28"/>
              </w:rPr>
            </w:pPr>
            <w:r>
              <w:rPr>
                <w:rFonts w:ascii="Arial" w:eastAsia="Arial" w:hAnsi="Arial" w:cs="Arial"/>
                <w:color w:val="000000"/>
                <w:sz w:val="28"/>
                <w:szCs w:val="28"/>
              </w:rPr>
              <w:t>Title</w:t>
            </w:r>
          </w:p>
        </w:tc>
      </w:tr>
      <w:tr w:rsidR="00083818" w14:paraId="7E71A511" w14:textId="77777777">
        <w:trPr>
          <w:trHeight w:val="240"/>
        </w:trPr>
        <w:tc>
          <w:tcPr>
            <w:tcW w:w="1255" w:type="dxa"/>
          </w:tcPr>
          <w:p w14:paraId="6593A6B4" w14:textId="77777777" w:rsidR="00083818" w:rsidRDefault="00FC36AC">
            <w:pPr>
              <w:ind w:right="-432"/>
              <w:jc w:val="center"/>
              <w:rPr>
                <w:color w:val="000000"/>
              </w:rPr>
            </w:pPr>
            <w:r>
              <w:rPr>
                <w:color w:val="000000"/>
              </w:rPr>
              <w:t>5</w:t>
            </w:r>
          </w:p>
        </w:tc>
        <w:tc>
          <w:tcPr>
            <w:tcW w:w="7663" w:type="dxa"/>
          </w:tcPr>
          <w:p w14:paraId="6C6F21D4" w14:textId="77777777" w:rsidR="00083818" w:rsidRDefault="00FC36AC">
            <w:pPr>
              <w:ind w:right="-432"/>
              <w:rPr>
                <w:color w:val="000000"/>
              </w:rPr>
            </w:pPr>
            <w:r>
              <w:rPr>
                <w:color w:val="000000"/>
              </w:rPr>
              <w:t>Open Spaces, Scenic and Historic Areas, and Natural Resources</w:t>
            </w:r>
          </w:p>
        </w:tc>
      </w:tr>
      <w:tr w:rsidR="00083818" w14:paraId="3BE39B78" w14:textId="77777777">
        <w:tc>
          <w:tcPr>
            <w:tcW w:w="1255" w:type="dxa"/>
          </w:tcPr>
          <w:p w14:paraId="68D68279" w14:textId="77777777" w:rsidR="00083818" w:rsidRDefault="00FC36AC">
            <w:pPr>
              <w:ind w:right="-432"/>
              <w:jc w:val="center"/>
              <w:rPr>
                <w:color w:val="000000"/>
              </w:rPr>
            </w:pPr>
            <w:r>
              <w:rPr>
                <w:color w:val="000000"/>
              </w:rPr>
              <w:t>6</w:t>
            </w:r>
          </w:p>
        </w:tc>
        <w:tc>
          <w:tcPr>
            <w:tcW w:w="7663" w:type="dxa"/>
          </w:tcPr>
          <w:p w14:paraId="08583B32" w14:textId="77777777" w:rsidR="00083818" w:rsidRDefault="00FC36AC">
            <w:pPr>
              <w:tabs>
                <w:tab w:val="right" w:pos="1440"/>
                <w:tab w:val="left" w:pos="1980"/>
              </w:tabs>
              <w:ind w:right="-432"/>
              <w:rPr>
                <w:color w:val="000000"/>
              </w:rPr>
            </w:pPr>
            <w:r>
              <w:rPr>
                <w:color w:val="000000"/>
              </w:rPr>
              <w:t>Air, Water and Land Resources Quality</w:t>
            </w:r>
          </w:p>
        </w:tc>
      </w:tr>
      <w:tr w:rsidR="00083818" w14:paraId="0AB9E0D1" w14:textId="77777777">
        <w:tc>
          <w:tcPr>
            <w:tcW w:w="1255" w:type="dxa"/>
          </w:tcPr>
          <w:p w14:paraId="25D02E2D" w14:textId="77777777" w:rsidR="00083818" w:rsidRDefault="00FC36AC">
            <w:pPr>
              <w:ind w:right="-432"/>
              <w:jc w:val="center"/>
              <w:rPr>
                <w:color w:val="000000"/>
              </w:rPr>
            </w:pPr>
            <w:r>
              <w:rPr>
                <w:color w:val="000000"/>
              </w:rPr>
              <w:t>9</w:t>
            </w:r>
          </w:p>
        </w:tc>
        <w:tc>
          <w:tcPr>
            <w:tcW w:w="7663" w:type="dxa"/>
          </w:tcPr>
          <w:p w14:paraId="3E88372F" w14:textId="77777777" w:rsidR="00083818" w:rsidRDefault="00FC36AC">
            <w:pPr>
              <w:ind w:right="-432"/>
              <w:rPr>
                <w:color w:val="000000"/>
              </w:rPr>
            </w:pPr>
            <w:r>
              <w:rPr>
                <w:color w:val="000000"/>
              </w:rPr>
              <w:t>Ocean Resources</w:t>
            </w:r>
          </w:p>
        </w:tc>
      </w:tr>
      <w:tr w:rsidR="00083818" w14:paraId="702F2D9A" w14:textId="77777777">
        <w:tc>
          <w:tcPr>
            <w:tcW w:w="1255" w:type="dxa"/>
          </w:tcPr>
          <w:p w14:paraId="17F26421" w14:textId="77777777" w:rsidR="00083818" w:rsidRDefault="00FC36AC">
            <w:pPr>
              <w:ind w:right="-432"/>
              <w:jc w:val="center"/>
              <w:rPr>
                <w:color w:val="000000"/>
              </w:rPr>
            </w:pPr>
            <w:r>
              <w:rPr>
                <w:color w:val="000000"/>
              </w:rPr>
              <w:t>11</w:t>
            </w:r>
          </w:p>
        </w:tc>
        <w:tc>
          <w:tcPr>
            <w:tcW w:w="7663" w:type="dxa"/>
          </w:tcPr>
          <w:p w14:paraId="48F8144A" w14:textId="77777777" w:rsidR="00083818" w:rsidRDefault="00FC36AC">
            <w:pPr>
              <w:ind w:right="-432"/>
              <w:rPr>
                <w:color w:val="000000"/>
              </w:rPr>
            </w:pPr>
            <w:r>
              <w:rPr>
                <w:color w:val="000000"/>
              </w:rPr>
              <w:t>Public Facilities and Services</w:t>
            </w:r>
          </w:p>
        </w:tc>
      </w:tr>
      <w:tr w:rsidR="00083818" w14:paraId="4F75E7D2" w14:textId="77777777">
        <w:tc>
          <w:tcPr>
            <w:tcW w:w="1255" w:type="dxa"/>
          </w:tcPr>
          <w:p w14:paraId="5CF55B2A" w14:textId="77777777" w:rsidR="00083818" w:rsidRDefault="00FC36AC">
            <w:pPr>
              <w:ind w:right="-432"/>
              <w:jc w:val="center"/>
              <w:rPr>
                <w:color w:val="000000"/>
              </w:rPr>
            </w:pPr>
            <w:r>
              <w:rPr>
                <w:color w:val="000000"/>
              </w:rPr>
              <w:t>16</w:t>
            </w:r>
          </w:p>
        </w:tc>
        <w:tc>
          <w:tcPr>
            <w:tcW w:w="7663" w:type="dxa"/>
          </w:tcPr>
          <w:p w14:paraId="4BB73B97" w14:textId="77777777" w:rsidR="00083818" w:rsidRDefault="00FC36AC">
            <w:pPr>
              <w:ind w:right="-432"/>
              <w:rPr>
                <w:color w:val="000000"/>
              </w:rPr>
            </w:pPr>
            <w:r>
              <w:rPr>
                <w:color w:val="000000"/>
              </w:rPr>
              <w:t>Estuarial Resources</w:t>
            </w:r>
          </w:p>
        </w:tc>
      </w:tr>
    </w:tbl>
    <w:p w14:paraId="57DF1C5D" w14:textId="77777777" w:rsidR="00083818" w:rsidRDefault="00FC36AC">
      <w:pPr>
        <w:ind w:left="0" w:right="-432"/>
      </w:pPr>
      <w:r>
        <w:t>Statewide goals also specifically reference the following DEQ programs:</w:t>
      </w:r>
    </w:p>
    <w:p w14:paraId="25500702" w14:textId="77777777" w:rsidR="00083818" w:rsidRDefault="00FC36AC">
      <w:pPr>
        <w:numPr>
          <w:ilvl w:val="0"/>
          <w:numId w:val="19"/>
        </w:numPr>
        <w:ind w:right="-432"/>
        <w:contextualSpacing/>
      </w:pPr>
      <w:r>
        <w:t>Nonpoint source discharge water quality program – Goal 16</w:t>
      </w:r>
    </w:p>
    <w:p w14:paraId="0A29AECC" w14:textId="77777777" w:rsidR="00083818" w:rsidRDefault="00FC36AC">
      <w:pPr>
        <w:numPr>
          <w:ilvl w:val="0"/>
          <w:numId w:val="19"/>
        </w:numPr>
        <w:ind w:right="-432"/>
        <w:contextualSpacing/>
      </w:pPr>
      <w:r>
        <w:t>Water quality and sewage disposal systems – Goal 16</w:t>
      </w:r>
    </w:p>
    <w:p w14:paraId="7C237E21" w14:textId="77777777" w:rsidR="00083818" w:rsidRDefault="00FC36AC">
      <w:pPr>
        <w:numPr>
          <w:ilvl w:val="0"/>
          <w:numId w:val="19"/>
        </w:numPr>
        <w:ind w:right="-432"/>
        <w:contextualSpacing/>
      </w:pPr>
      <w:r>
        <w:t>Water quality permits and oil spill regulations – Goal 19</w:t>
      </w:r>
    </w:p>
    <w:p w14:paraId="78AAB6C4" w14:textId="77777777" w:rsidR="00083818" w:rsidRDefault="00083818">
      <w:pPr>
        <w:pStyle w:val="Heading3"/>
        <w:ind w:left="0" w:right="-432"/>
        <w:rPr>
          <w:rFonts w:ascii="Times New Roman" w:eastAsia="Times New Roman" w:hAnsi="Times New Roman" w:cs="Times New Roman"/>
          <w:b w:val="0"/>
          <w:sz w:val="24"/>
          <w:szCs w:val="24"/>
        </w:rPr>
      </w:pPr>
    </w:p>
    <w:p w14:paraId="483263EE" w14:textId="77777777" w:rsidR="00083818" w:rsidRDefault="00FC36AC">
      <w:pPr>
        <w:pStyle w:val="Heading3"/>
        <w:ind w:left="0" w:right="-432"/>
      </w:pPr>
      <w:r>
        <w:t>Determination</w:t>
      </w:r>
    </w:p>
    <w:p w14:paraId="50307C80" w14:textId="77777777" w:rsidR="00083818" w:rsidRDefault="00FC36AC">
      <w:pPr>
        <w:ind w:left="0" w:right="-432"/>
      </w:pPr>
      <w:r>
        <w:t>DEQ determined that the following proposed rules, listed under the Rules affected, authorities, supporting documents section above, are existing rules that affect programs or activities that the DEQ State Agency Coordination Program considers a land use program:</w:t>
      </w:r>
    </w:p>
    <w:p w14:paraId="6F250893" w14:textId="77777777" w:rsidR="00083818" w:rsidRDefault="00083818" w:rsidP="00EC03E9">
      <w:pPr>
        <w:ind w:right="-432"/>
      </w:pPr>
    </w:p>
    <w:p w14:paraId="7AC6D394" w14:textId="77777777" w:rsidR="00083818" w:rsidRDefault="00FC36AC" w:rsidP="00EC03E9">
      <w:pPr>
        <w:numPr>
          <w:ilvl w:val="0"/>
          <w:numId w:val="1"/>
        </w:numPr>
        <w:ind w:left="720" w:right="-432"/>
        <w:contextualSpacing/>
      </w:pPr>
      <w:r>
        <w:t>OAR 340-210 – Source Notification Requirements</w:t>
      </w:r>
    </w:p>
    <w:p w14:paraId="38AFCF6D" w14:textId="77777777" w:rsidR="00083818" w:rsidRDefault="00FC36AC" w:rsidP="00EC03E9">
      <w:pPr>
        <w:numPr>
          <w:ilvl w:val="0"/>
          <w:numId w:val="1"/>
        </w:numPr>
        <w:ind w:left="720" w:right="-432"/>
        <w:contextualSpacing/>
      </w:pPr>
      <w:r>
        <w:t>OAR 340-216 – Air Contaminant Discharge Permits</w:t>
      </w:r>
    </w:p>
    <w:p w14:paraId="4BB54969" w14:textId="77777777" w:rsidR="00083818" w:rsidRDefault="00FC36AC" w:rsidP="00EC03E9">
      <w:pPr>
        <w:numPr>
          <w:ilvl w:val="0"/>
          <w:numId w:val="1"/>
        </w:numPr>
        <w:ind w:left="720" w:right="-432"/>
        <w:contextualSpacing/>
      </w:pPr>
      <w:r>
        <w:t>OAR 340-218 – Oregon Title V Operating Permits</w:t>
      </w:r>
    </w:p>
    <w:p w14:paraId="04CE1F8F" w14:textId="77777777" w:rsidR="00083818" w:rsidRDefault="00083818">
      <w:pPr>
        <w:ind w:left="0" w:right="-432"/>
      </w:pPr>
    </w:p>
    <w:p w14:paraId="729D5F54" w14:textId="3DC0299E" w:rsidR="00083818" w:rsidRDefault="00FC36AC">
      <w:pPr>
        <w:ind w:left="0" w:right="-432"/>
      </w:pPr>
      <w:r>
        <w:t>This rule proposal does not include any changes to land use procedures in the air quality permitting program. The proposed regulations</w:t>
      </w:r>
      <w:r>
        <w:rPr>
          <w:color w:val="1F497D"/>
        </w:rPr>
        <w:t xml:space="preserve"> </w:t>
      </w:r>
      <w:r>
        <w:t>would be consistent with state land use law because any facility that has received a Cleaner Air Oregon permit attachment will already have demonstrated land use compliance when they obtained or will obtain their underlying Air Quality permit. The air quality permit programs require that a new business provide a Land Use Compatibility Statement from local government when applying for a permit. This assures that the business has an approved use for the property where it is located. Existing permittees have provided Land Use Compatibility Statements, which are on file with DEQ. There may be businesses that would be required to get air quality permits only as a result of Cleaner Air Oregon. These businesses would also be required to submit a Land Use Compatibility Statement from local government when applying for a</w:t>
      </w:r>
      <w:r w:rsidR="000C73F2">
        <w:t>n Air Contaminant Discharge Permit that the business would be required to obtain due to the</w:t>
      </w:r>
      <w:r>
        <w:t xml:space="preserve"> Cleaner Air Oregon </w:t>
      </w:r>
      <w:r w:rsidR="000C73F2">
        <w:t>program.</w:t>
      </w:r>
      <w:r>
        <w:t xml:space="preserve"> </w:t>
      </w:r>
    </w:p>
    <w:p w14:paraId="1A5F0411" w14:textId="77777777" w:rsidR="00083818" w:rsidRDefault="00083818">
      <w:pPr>
        <w:ind w:left="0" w:right="-432"/>
      </w:pPr>
    </w:p>
    <w:p w14:paraId="4A2BBF0A" w14:textId="77777777" w:rsidR="00083818" w:rsidRDefault="00FC36AC">
      <w:pPr>
        <w:ind w:left="0" w:right="-432"/>
      </w:pPr>
      <w:r>
        <w:t>DEQ’s statewide goal compliance and local plan compatibility procedures adequately cover the proposed rules.</w:t>
      </w:r>
    </w:p>
    <w:p w14:paraId="0B4CCBB0" w14:textId="77777777" w:rsidR="00083818" w:rsidRDefault="00FC36AC">
      <w:pPr>
        <w:numPr>
          <w:ilvl w:val="0"/>
          <w:numId w:val="9"/>
        </w:numPr>
        <w:ind w:right="-432"/>
        <w:contextualSpacing/>
      </w:pPr>
      <w:r>
        <w:t>OAR 340-018-0040(1) - compliance with statewide planning goals achieved by ensuring compatibility with acknowledged comprehensive plans</w:t>
      </w:r>
    </w:p>
    <w:p w14:paraId="1C2EC561" w14:textId="77777777" w:rsidR="00083818" w:rsidRDefault="00FC36AC">
      <w:pPr>
        <w:numPr>
          <w:ilvl w:val="0"/>
          <w:numId w:val="9"/>
        </w:numPr>
        <w:ind w:right="-432"/>
        <w:contextualSpacing/>
      </w:pPr>
      <w:r>
        <w:t>OAR 340-018-0050(2)(a) - ensuring compatibility with acknowledged comprehensive plans may be accomplished through a Land Use Compatibility Statement.</w:t>
      </w:r>
    </w:p>
    <w:p w14:paraId="4956D4AF" w14:textId="77777777" w:rsidR="00083818" w:rsidRDefault="00083818">
      <w:pPr>
        <w:ind w:right="-432"/>
      </w:pPr>
    </w:p>
    <w:p w14:paraId="232A0B21" w14:textId="2103848A" w:rsidR="00356236" w:rsidRDefault="00356236">
      <w:r>
        <w:br w:type="page"/>
      </w:r>
    </w:p>
    <w:tbl>
      <w:tblPr>
        <w:tblStyle w:val="afd"/>
        <w:tblW w:w="9080" w:type="dxa"/>
        <w:jc w:val="center"/>
        <w:tblBorders>
          <w:bottom w:val="single" w:sz="6" w:space="0" w:color="7F7F7F"/>
        </w:tblBorders>
        <w:tblLayout w:type="fixed"/>
        <w:tblLook w:val="0400" w:firstRow="0" w:lastRow="0" w:firstColumn="0" w:lastColumn="0" w:noHBand="0" w:noVBand="1"/>
      </w:tblPr>
      <w:tblGrid>
        <w:gridCol w:w="9080"/>
      </w:tblGrid>
      <w:tr w:rsidR="00083818" w14:paraId="0FC51F6C" w14:textId="77777777">
        <w:trPr>
          <w:trHeight w:val="700"/>
          <w:jc w:val="center"/>
        </w:trPr>
        <w:tc>
          <w:tcPr>
            <w:tcW w:w="9080" w:type="dxa"/>
            <w:shd w:val="clear" w:color="auto" w:fill="D5DCE4"/>
            <w:vAlign w:val="bottom"/>
          </w:tcPr>
          <w:p w14:paraId="1EF9A464" w14:textId="77777777" w:rsidR="00083818" w:rsidRDefault="00FC36AC" w:rsidP="005D3F9A">
            <w:pPr>
              <w:pStyle w:val="Heading1"/>
            </w:pPr>
            <w:bookmarkStart w:id="22" w:name="_Toc496011831"/>
            <w:r>
              <w:t>Stakeholder and public involvement</w:t>
            </w:r>
            <w:bookmarkEnd w:id="22"/>
          </w:p>
          <w:p w14:paraId="6A245B08" w14:textId="3BA17581" w:rsidR="00083818" w:rsidRDefault="00083818">
            <w:pPr>
              <w:pStyle w:val="Heading3"/>
              <w:ind w:left="0" w:right="-432"/>
            </w:pPr>
          </w:p>
        </w:tc>
      </w:tr>
    </w:tbl>
    <w:p w14:paraId="185319B9" w14:textId="09E8F59A" w:rsidR="00083818" w:rsidRDefault="00FC36AC" w:rsidP="00EC03E9">
      <w:pPr>
        <w:ind w:left="0"/>
      </w:pPr>
      <w:r>
        <w:t>  </w:t>
      </w:r>
    </w:p>
    <w:p w14:paraId="470E9D7B" w14:textId="77777777" w:rsidR="00083818" w:rsidRDefault="00FC36AC" w:rsidP="005D3F9A">
      <w:pPr>
        <w:pStyle w:val="Heading2"/>
        <w:ind w:left="0"/>
      </w:pPr>
      <w:bookmarkStart w:id="23" w:name="35nkun2" w:colFirst="0" w:colLast="0"/>
      <w:bookmarkEnd w:id="23"/>
      <w:r>
        <w:t>Advisory committee</w:t>
      </w:r>
    </w:p>
    <w:p w14:paraId="529307B6" w14:textId="77777777" w:rsidR="00083818" w:rsidRDefault="00FC36AC">
      <w:pPr>
        <w:pStyle w:val="Heading3"/>
        <w:ind w:left="0" w:right="-432"/>
        <w:rPr>
          <w:sz w:val="24"/>
          <w:szCs w:val="24"/>
        </w:rPr>
      </w:pPr>
      <w:r>
        <w:rPr>
          <w:sz w:val="24"/>
          <w:szCs w:val="24"/>
        </w:rPr>
        <w:t>Background</w:t>
      </w:r>
    </w:p>
    <w:p w14:paraId="6D9BB73E" w14:textId="77777777" w:rsidR="00083818" w:rsidRDefault="00FC36AC">
      <w:pPr>
        <w:ind w:left="0"/>
      </w:pPr>
      <w:r>
        <w:t xml:space="preserve">DEQ convened the Cleaner Air Oregon advisory committee. The committee met seven times. Advisory committee members are listed in table below and additional information is available on the committee’s web page, located at: </w:t>
      </w:r>
      <w:hyperlink r:id="rId62">
        <w:r>
          <w:rPr>
            <w:color w:val="1155CC"/>
            <w:u w:val="single"/>
          </w:rPr>
          <w:t>http://www.oregon.gov/deq/Regulations/rulemaking/Pages/Rcleanerair2017.aspx</w:t>
        </w:r>
      </w:hyperlink>
      <w:r>
        <w:t xml:space="preserve">. </w:t>
      </w:r>
    </w:p>
    <w:p w14:paraId="09D1B578" w14:textId="77777777" w:rsidR="00083818" w:rsidRDefault="00083818">
      <w:pPr>
        <w:ind w:left="0" w:right="-432"/>
        <w:rPr>
          <w:color w:val="C55911"/>
        </w:rPr>
      </w:pPr>
    </w:p>
    <w:tbl>
      <w:tblPr>
        <w:tblStyle w:val="afe"/>
        <w:tblW w:w="9808" w:type="dxa"/>
        <w:jc w:val="center"/>
        <w:tblBorders>
          <w:top w:val="single" w:sz="4" w:space="0" w:color="A8D08D"/>
          <w:left w:val="single" w:sz="4" w:space="0" w:color="A8D08D"/>
          <w:bottom w:val="single" w:sz="4" w:space="0" w:color="A8D08D"/>
          <w:right w:val="single" w:sz="4" w:space="0" w:color="A8D08D"/>
          <w:insideH w:val="single" w:sz="4" w:space="0" w:color="000000"/>
          <w:insideV w:val="single" w:sz="4" w:space="0" w:color="000000"/>
        </w:tblBorders>
        <w:tblLayout w:type="fixed"/>
        <w:tblLook w:val="0400" w:firstRow="0" w:lastRow="0" w:firstColumn="0" w:lastColumn="0" w:noHBand="0" w:noVBand="1"/>
      </w:tblPr>
      <w:tblGrid>
        <w:gridCol w:w="4927"/>
        <w:gridCol w:w="4881"/>
      </w:tblGrid>
      <w:tr w:rsidR="00083818" w14:paraId="189F1B62" w14:textId="77777777">
        <w:trPr>
          <w:trHeight w:val="340"/>
          <w:jc w:val="center"/>
        </w:trPr>
        <w:tc>
          <w:tcPr>
            <w:tcW w:w="9808" w:type="dxa"/>
            <w:gridSpan w:val="2"/>
            <w:shd w:val="clear" w:color="auto" w:fill="E2EFD9"/>
            <w:vAlign w:val="center"/>
          </w:tcPr>
          <w:p w14:paraId="4D2B7E75" w14:textId="77777777" w:rsidR="00083818" w:rsidRDefault="00FC36AC">
            <w:pPr>
              <w:ind w:right="-432"/>
              <w:jc w:val="center"/>
              <w:rPr>
                <w:rFonts w:ascii="Arial" w:eastAsia="Arial" w:hAnsi="Arial" w:cs="Arial"/>
                <w:b/>
                <w:color w:val="000000"/>
                <w:sz w:val="28"/>
                <w:szCs w:val="28"/>
              </w:rPr>
            </w:pPr>
            <w:r>
              <w:rPr>
                <w:rFonts w:ascii="Arial" w:eastAsia="Arial" w:hAnsi="Arial" w:cs="Arial"/>
                <w:b/>
                <w:color w:val="000000"/>
                <w:sz w:val="28"/>
                <w:szCs w:val="28"/>
              </w:rPr>
              <w:t>Rulemaking Advisory Committee</w:t>
            </w:r>
          </w:p>
        </w:tc>
      </w:tr>
      <w:tr w:rsidR="00083818" w14:paraId="4EC3923D" w14:textId="77777777">
        <w:trPr>
          <w:trHeight w:val="260"/>
          <w:jc w:val="center"/>
        </w:trPr>
        <w:tc>
          <w:tcPr>
            <w:tcW w:w="4927" w:type="dxa"/>
            <w:shd w:val="clear" w:color="auto" w:fill="C5E0B3"/>
            <w:vAlign w:val="center"/>
          </w:tcPr>
          <w:p w14:paraId="2AEA4004" w14:textId="77777777" w:rsidR="00083818" w:rsidRDefault="00FC36AC">
            <w:pPr>
              <w:ind w:right="-432"/>
              <w:jc w:val="center"/>
              <w:rPr>
                <w:rFonts w:ascii="Arial" w:eastAsia="Arial" w:hAnsi="Arial" w:cs="Arial"/>
                <w:b/>
                <w:color w:val="000000"/>
                <w:sz w:val="28"/>
                <w:szCs w:val="28"/>
              </w:rPr>
            </w:pPr>
            <w:r>
              <w:rPr>
                <w:rFonts w:ascii="Arial" w:eastAsia="Arial" w:hAnsi="Arial" w:cs="Arial"/>
                <w:b/>
                <w:color w:val="000000"/>
              </w:rPr>
              <w:t>Name</w:t>
            </w:r>
          </w:p>
        </w:tc>
        <w:tc>
          <w:tcPr>
            <w:tcW w:w="4881" w:type="dxa"/>
            <w:shd w:val="clear" w:color="auto" w:fill="C5E0B3"/>
            <w:vAlign w:val="center"/>
          </w:tcPr>
          <w:p w14:paraId="77A6A2E1" w14:textId="77777777" w:rsidR="00083818" w:rsidRDefault="00FC36AC">
            <w:pPr>
              <w:ind w:right="-432"/>
              <w:jc w:val="center"/>
              <w:rPr>
                <w:rFonts w:ascii="Arial" w:eastAsia="Arial" w:hAnsi="Arial" w:cs="Arial"/>
                <w:b/>
                <w:color w:val="000000"/>
                <w:sz w:val="28"/>
                <w:szCs w:val="28"/>
              </w:rPr>
            </w:pPr>
            <w:r>
              <w:rPr>
                <w:rFonts w:ascii="Arial" w:eastAsia="Arial" w:hAnsi="Arial" w:cs="Arial"/>
                <w:b/>
                <w:color w:val="000000"/>
              </w:rPr>
              <w:t>Representing</w:t>
            </w:r>
          </w:p>
        </w:tc>
      </w:tr>
      <w:tr w:rsidR="00083818" w14:paraId="3B1E0802" w14:textId="77777777">
        <w:trPr>
          <w:jc w:val="center"/>
        </w:trPr>
        <w:tc>
          <w:tcPr>
            <w:tcW w:w="4927" w:type="dxa"/>
            <w:vAlign w:val="center"/>
          </w:tcPr>
          <w:p w14:paraId="3FCE1BC8" w14:textId="77777777" w:rsidR="00083818" w:rsidRDefault="00FC36AC">
            <w:pPr>
              <w:ind w:right="-432"/>
              <w:rPr>
                <w:color w:val="000000"/>
              </w:rPr>
            </w:pPr>
            <w:r>
              <w:rPr>
                <w:color w:val="000000"/>
              </w:rPr>
              <w:t>Jackie Dingfelder, Co-chair</w:t>
            </w:r>
          </w:p>
        </w:tc>
        <w:tc>
          <w:tcPr>
            <w:tcW w:w="4881" w:type="dxa"/>
            <w:vAlign w:val="center"/>
          </w:tcPr>
          <w:p w14:paraId="610C9787" w14:textId="77777777" w:rsidR="00083818" w:rsidRDefault="00FC36AC">
            <w:pPr>
              <w:ind w:right="-432"/>
              <w:rPr>
                <w:color w:val="000000"/>
              </w:rPr>
            </w:pPr>
            <w:r>
              <w:rPr>
                <w:color w:val="000000"/>
              </w:rPr>
              <w:t>Cleaner Air Oregon Rules Advisory Committee</w:t>
            </w:r>
          </w:p>
        </w:tc>
      </w:tr>
      <w:tr w:rsidR="00083818" w14:paraId="566E5C4E" w14:textId="77777777">
        <w:trPr>
          <w:jc w:val="center"/>
        </w:trPr>
        <w:tc>
          <w:tcPr>
            <w:tcW w:w="4927" w:type="dxa"/>
            <w:vAlign w:val="center"/>
          </w:tcPr>
          <w:p w14:paraId="0A261922" w14:textId="77777777" w:rsidR="00083818" w:rsidRDefault="00FC36AC">
            <w:pPr>
              <w:ind w:right="-432"/>
              <w:rPr>
                <w:color w:val="000000"/>
              </w:rPr>
            </w:pPr>
            <w:r>
              <w:rPr>
                <w:color w:val="000000"/>
              </w:rPr>
              <w:t>Claudia Powers, Co-chair</w:t>
            </w:r>
          </w:p>
        </w:tc>
        <w:tc>
          <w:tcPr>
            <w:tcW w:w="4881" w:type="dxa"/>
            <w:vAlign w:val="center"/>
          </w:tcPr>
          <w:p w14:paraId="729EF01C" w14:textId="77777777" w:rsidR="00083818" w:rsidRDefault="00FC36AC">
            <w:pPr>
              <w:ind w:right="-432"/>
              <w:rPr>
                <w:color w:val="000000"/>
              </w:rPr>
            </w:pPr>
            <w:r>
              <w:rPr>
                <w:color w:val="000000"/>
              </w:rPr>
              <w:t>Cleaner Air Oregon Rules Advisory Committee/</w:t>
            </w:r>
          </w:p>
        </w:tc>
      </w:tr>
      <w:tr w:rsidR="00083818" w14:paraId="03BBBA98" w14:textId="77777777">
        <w:trPr>
          <w:jc w:val="center"/>
        </w:trPr>
        <w:tc>
          <w:tcPr>
            <w:tcW w:w="4927" w:type="dxa"/>
            <w:vAlign w:val="center"/>
          </w:tcPr>
          <w:p w14:paraId="62D7F92C" w14:textId="77777777" w:rsidR="00083818" w:rsidRDefault="00FC36AC">
            <w:pPr>
              <w:ind w:right="-432"/>
              <w:rPr>
                <w:color w:val="000000"/>
              </w:rPr>
            </w:pPr>
            <w:r>
              <w:rPr>
                <w:color w:val="000000"/>
              </w:rPr>
              <w:t xml:space="preserve">Akash Singh (alternates: Jo Ann Hardesty, Tony </w:t>
            </w:r>
          </w:p>
          <w:p w14:paraId="127EE8D9" w14:textId="77777777" w:rsidR="00083818" w:rsidRDefault="00FC36AC">
            <w:pPr>
              <w:ind w:right="-432"/>
              <w:rPr>
                <w:color w:val="000000"/>
              </w:rPr>
            </w:pPr>
            <w:r>
              <w:rPr>
                <w:color w:val="000000"/>
              </w:rPr>
              <w:t>DeFalco)</w:t>
            </w:r>
          </w:p>
        </w:tc>
        <w:tc>
          <w:tcPr>
            <w:tcW w:w="4881" w:type="dxa"/>
            <w:vAlign w:val="center"/>
          </w:tcPr>
          <w:p w14:paraId="29B79AD6" w14:textId="77777777" w:rsidR="00083818" w:rsidRDefault="00FC36AC">
            <w:pPr>
              <w:ind w:right="-432"/>
              <w:rPr>
                <w:color w:val="000000"/>
              </w:rPr>
            </w:pPr>
            <w:r>
              <w:rPr>
                <w:color w:val="000000"/>
              </w:rPr>
              <w:t xml:space="preserve">National Association for the Advancement of Colored People/Neighbors for Clean Air </w:t>
            </w:r>
          </w:p>
        </w:tc>
      </w:tr>
      <w:tr w:rsidR="00083818" w14:paraId="478DA8D1" w14:textId="77777777">
        <w:trPr>
          <w:jc w:val="center"/>
        </w:trPr>
        <w:tc>
          <w:tcPr>
            <w:tcW w:w="4927" w:type="dxa"/>
            <w:vAlign w:val="center"/>
          </w:tcPr>
          <w:p w14:paraId="53F20B32" w14:textId="77777777" w:rsidR="00083818" w:rsidRDefault="00FC36AC">
            <w:pPr>
              <w:ind w:right="-432"/>
              <w:rPr>
                <w:color w:val="000000"/>
              </w:rPr>
            </w:pPr>
            <w:r>
              <w:rPr>
                <w:color w:val="000000"/>
              </w:rPr>
              <w:t>Al Hooton</w:t>
            </w:r>
          </w:p>
        </w:tc>
        <w:tc>
          <w:tcPr>
            <w:tcW w:w="4881" w:type="dxa"/>
            <w:vAlign w:val="center"/>
          </w:tcPr>
          <w:p w14:paraId="07A45CED" w14:textId="77777777" w:rsidR="00083818" w:rsidRDefault="00FC36AC">
            <w:pPr>
              <w:ind w:right="-432"/>
              <w:rPr>
                <w:color w:val="000000"/>
              </w:rPr>
            </w:pPr>
            <w:r>
              <w:rPr>
                <w:color w:val="000000"/>
              </w:rPr>
              <w:t>Glass Alchemy</w:t>
            </w:r>
          </w:p>
        </w:tc>
      </w:tr>
      <w:tr w:rsidR="00083818" w14:paraId="00C333AB" w14:textId="77777777">
        <w:trPr>
          <w:jc w:val="center"/>
        </w:trPr>
        <w:tc>
          <w:tcPr>
            <w:tcW w:w="4927" w:type="dxa"/>
            <w:vAlign w:val="center"/>
          </w:tcPr>
          <w:p w14:paraId="20924706" w14:textId="31C95B24" w:rsidR="00083818" w:rsidRDefault="00FC36AC" w:rsidP="00A700E0">
            <w:pPr>
              <w:ind w:right="-432"/>
              <w:rPr>
                <w:color w:val="000000"/>
              </w:rPr>
            </w:pPr>
            <w:r>
              <w:rPr>
                <w:color w:val="000000"/>
              </w:rPr>
              <w:t>Diana Rohlman (alternate: Susan Katz)</w:t>
            </w:r>
          </w:p>
        </w:tc>
        <w:tc>
          <w:tcPr>
            <w:tcW w:w="4881" w:type="dxa"/>
            <w:vAlign w:val="center"/>
          </w:tcPr>
          <w:p w14:paraId="26BB76A4" w14:textId="77777777" w:rsidR="00083818" w:rsidRDefault="00FC36AC">
            <w:pPr>
              <w:ind w:right="-432"/>
              <w:rPr>
                <w:color w:val="000000"/>
              </w:rPr>
            </w:pPr>
            <w:r>
              <w:rPr>
                <w:color w:val="000000"/>
              </w:rPr>
              <w:t>Oregon Public Health Association</w:t>
            </w:r>
          </w:p>
        </w:tc>
      </w:tr>
      <w:tr w:rsidR="00083818" w14:paraId="049B07E2" w14:textId="77777777">
        <w:trPr>
          <w:jc w:val="center"/>
        </w:trPr>
        <w:tc>
          <w:tcPr>
            <w:tcW w:w="4927" w:type="dxa"/>
            <w:vAlign w:val="center"/>
          </w:tcPr>
          <w:p w14:paraId="5BA1E28A" w14:textId="14BA3CE9" w:rsidR="00083818" w:rsidRDefault="00FC36AC" w:rsidP="00A700E0">
            <w:pPr>
              <w:ind w:right="-432"/>
              <w:rPr>
                <w:color w:val="000000"/>
              </w:rPr>
            </w:pPr>
            <w:r>
              <w:rPr>
                <w:color w:val="000000"/>
              </w:rPr>
              <w:t>Gordon Zimmerman (alternate: Tracy Rutten)</w:t>
            </w:r>
          </w:p>
        </w:tc>
        <w:tc>
          <w:tcPr>
            <w:tcW w:w="4881" w:type="dxa"/>
            <w:vAlign w:val="center"/>
          </w:tcPr>
          <w:p w14:paraId="6C7CA38B" w14:textId="77777777" w:rsidR="00083818" w:rsidRDefault="00FC36AC">
            <w:pPr>
              <w:ind w:right="-432"/>
              <w:rPr>
                <w:color w:val="000000"/>
              </w:rPr>
            </w:pPr>
            <w:r>
              <w:rPr>
                <w:color w:val="000000"/>
              </w:rPr>
              <w:t>City of Cascade Locks</w:t>
            </w:r>
          </w:p>
        </w:tc>
      </w:tr>
      <w:tr w:rsidR="00083818" w14:paraId="6EAD53C1" w14:textId="77777777">
        <w:trPr>
          <w:jc w:val="center"/>
        </w:trPr>
        <w:tc>
          <w:tcPr>
            <w:tcW w:w="4927" w:type="dxa"/>
            <w:vAlign w:val="center"/>
          </w:tcPr>
          <w:p w14:paraId="4A8A0A4B" w14:textId="77777777" w:rsidR="00083818" w:rsidRDefault="00FC36AC">
            <w:pPr>
              <w:ind w:right="-432"/>
              <w:rPr>
                <w:color w:val="000000"/>
              </w:rPr>
            </w:pPr>
            <w:r>
              <w:rPr>
                <w:color w:val="000000"/>
              </w:rPr>
              <w:t>Huy Ong (alternates: Dayna Jones, Shawn Fleek)</w:t>
            </w:r>
          </w:p>
        </w:tc>
        <w:tc>
          <w:tcPr>
            <w:tcW w:w="4881" w:type="dxa"/>
            <w:vAlign w:val="center"/>
          </w:tcPr>
          <w:p w14:paraId="2CB9CAFF" w14:textId="77777777" w:rsidR="00083818" w:rsidRDefault="00FC36AC">
            <w:pPr>
              <w:ind w:right="-432"/>
              <w:rPr>
                <w:color w:val="000000"/>
              </w:rPr>
            </w:pPr>
            <w:r>
              <w:rPr>
                <w:color w:val="000000"/>
              </w:rPr>
              <w:t>Organizing People/Activating Leaders</w:t>
            </w:r>
          </w:p>
        </w:tc>
      </w:tr>
      <w:tr w:rsidR="00083818" w14:paraId="4B5554D9" w14:textId="77777777">
        <w:trPr>
          <w:jc w:val="center"/>
        </w:trPr>
        <w:tc>
          <w:tcPr>
            <w:tcW w:w="4927" w:type="dxa"/>
            <w:vAlign w:val="center"/>
          </w:tcPr>
          <w:p w14:paraId="0A72F905" w14:textId="47BF7F66" w:rsidR="00083818" w:rsidRDefault="00FC36AC" w:rsidP="00A700E0">
            <w:pPr>
              <w:ind w:right="-432"/>
              <w:rPr>
                <w:color w:val="000000"/>
              </w:rPr>
            </w:pPr>
            <w:r>
              <w:rPr>
                <w:color w:val="000000"/>
              </w:rPr>
              <w:t>Jay Bozevich (alternate: Kelly Minty Morris)</w:t>
            </w:r>
          </w:p>
        </w:tc>
        <w:tc>
          <w:tcPr>
            <w:tcW w:w="4881" w:type="dxa"/>
            <w:vAlign w:val="center"/>
          </w:tcPr>
          <w:p w14:paraId="77C7E97D" w14:textId="77777777" w:rsidR="00083818" w:rsidRDefault="00FC36AC">
            <w:pPr>
              <w:ind w:right="-432"/>
              <w:rPr>
                <w:color w:val="000000"/>
              </w:rPr>
            </w:pPr>
            <w:r>
              <w:rPr>
                <w:color w:val="000000"/>
              </w:rPr>
              <w:t>Lane County</w:t>
            </w:r>
          </w:p>
        </w:tc>
      </w:tr>
      <w:tr w:rsidR="00083818" w14:paraId="0AFBE55A" w14:textId="77777777">
        <w:trPr>
          <w:jc w:val="center"/>
        </w:trPr>
        <w:tc>
          <w:tcPr>
            <w:tcW w:w="4927" w:type="dxa"/>
            <w:vAlign w:val="center"/>
          </w:tcPr>
          <w:p w14:paraId="23A4ED2A" w14:textId="77777777" w:rsidR="00083818" w:rsidRDefault="00FC36AC">
            <w:pPr>
              <w:ind w:right="-432"/>
              <w:rPr>
                <w:color w:val="000000"/>
              </w:rPr>
            </w:pPr>
            <w:r>
              <w:rPr>
                <w:color w:val="000000"/>
              </w:rPr>
              <w:t xml:space="preserve">Jessica Applegate </w:t>
            </w:r>
          </w:p>
          <w:p w14:paraId="092B200E" w14:textId="18875435" w:rsidR="00083818" w:rsidRDefault="00FC36AC" w:rsidP="00A700E0">
            <w:pPr>
              <w:ind w:right="-432"/>
              <w:rPr>
                <w:color w:val="000000"/>
              </w:rPr>
            </w:pPr>
            <w:r>
              <w:rPr>
                <w:color w:val="000000"/>
              </w:rPr>
              <w:t>(alternate: Katharine Saltzmann)</w:t>
            </w:r>
          </w:p>
        </w:tc>
        <w:tc>
          <w:tcPr>
            <w:tcW w:w="4881" w:type="dxa"/>
            <w:vAlign w:val="center"/>
          </w:tcPr>
          <w:p w14:paraId="56796A9D" w14:textId="77777777" w:rsidR="00083818" w:rsidRDefault="00FC36AC">
            <w:pPr>
              <w:ind w:right="-432"/>
              <w:rPr>
                <w:color w:val="000000"/>
              </w:rPr>
            </w:pPr>
            <w:r>
              <w:rPr>
                <w:color w:val="000000"/>
              </w:rPr>
              <w:t>Eastside Portland Air Coalition</w:t>
            </w:r>
          </w:p>
        </w:tc>
      </w:tr>
      <w:tr w:rsidR="00083818" w14:paraId="41CE00D1" w14:textId="77777777">
        <w:trPr>
          <w:jc w:val="center"/>
        </w:trPr>
        <w:tc>
          <w:tcPr>
            <w:tcW w:w="4927" w:type="dxa"/>
            <w:vAlign w:val="center"/>
          </w:tcPr>
          <w:p w14:paraId="7C9A58C7" w14:textId="1AB63B2A" w:rsidR="00083818" w:rsidRDefault="00FC36AC" w:rsidP="00A700E0">
            <w:pPr>
              <w:ind w:right="-432"/>
              <w:rPr>
                <w:color w:val="000000"/>
              </w:rPr>
            </w:pPr>
            <w:r>
              <w:rPr>
                <w:color w:val="000000"/>
              </w:rPr>
              <w:t>Joel Fischer (alternate: Larry Burke)</w:t>
            </w:r>
          </w:p>
        </w:tc>
        <w:tc>
          <w:tcPr>
            <w:tcW w:w="4881" w:type="dxa"/>
            <w:vAlign w:val="center"/>
          </w:tcPr>
          <w:p w14:paraId="484CB524" w14:textId="77777777" w:rsidR="00083818" w:rsidRDefault="00FC36AC">
            <w:pPr>
              <w:ind w:right="-432"/>
              <w:rPr>
                <w:color w:val="000000"/>
              </w:rPr>
            </w:pPr>
            <w:r>
              <w:rPr>
                <w:color w:val="000000"/>
              </w:rPr>
              <w:t>Oregon Business Association</w:t>
            </w:r>
          </w:p>
        </w:tc>
      </w:tr>
      <w:tr w:rsidR="00083818" w14:paraId="296795A0" w14:textId="77777777">
        <w:trPr>
          <w:jc w:val="center"/>
        </w:trPr>
        <w:tc>
          <w:tcPr>
            <w:tcW w:w="4927" w:type="dxa"/>
            <w:vAlign w:val="center"/>
          </w:tcPr>
          <w:p w14:paraId="17022A7E" w14:textId="77777777" w:rsidR="00083818" w:rsidRDefault="00FC36AC">
            <w:pPr>
              <w:ind w:right="-432"/>
              <w:rPr>
                <w:color w:val="000000"/>
              </w:rPr>
            </w:pPr>
            <w:r>
              <w:rPr>
                <w:color w:val="000000"/>
              </w:rPr>
              <w:t>Josh Hall</w:t>
            </w:r>
          </w:p>
        </w:tc>
        <w:tc>
          <w:tcPr>
            <w:tcW w:w="4881" w:type="dxa"/>
            <w:vAlign w:val="center"/>
          </w:tcPr>
          <w:p w14:paraId="4924F213" w14:textId="77777777" w:rsidR="00083818" w:rsidRDefault="00FC36AC">
            <w:pPr>
              <w:ind w:right="-432"/>
              <w:rPr>
                <w:color w:val="000000"/>
              </w:rPr>
            </w:pPr>
            <w:r>
              <w:rPr>
                <w:color w:val="000000"/>
              </w:rPr>
              <w:t>United Steelworkers</w:t>
            </w:r>
          </w:p>
        </w:tc>
      </w:tr>
      <w:tr w:rsidR="00083818" w14:paraId="76EFF80C" w14:textId="77777777">
        <w:trPr>
          <w:jc w:val="center"/>
        </w:trPr>
        <w:tc>
          <w:tcPr>
            <w:tcW w:w="4927" w:type="dxa"/>
            <w:vAlign w:val="center"/>
          </w:tcPr>
          <w:p w14:paraId="05E3E2FC" w14:textId="77777777" w:rsidR="00083818" w:rsidRDefault="00FC36AC">
            <w:pPr>
              <w:ind w:right="-432"/>
              <w:rPr>
                <w:color w:val="000000"/>
              </w:rPr>
            </w:pPr>
            <w:r>
              <w:rPr>
                <w:color w:val="000000"/>
              </w:rPr>
              <w:t>Kathryn VanNatta</w:t>
            </w:r>
          </w:p>
        </w:tc>
        <w:tc>
          <w:tcPr>
            <w:tcW w:w="4881" w:type="dxa"/>
            <w:vAlign w:val="center"/>
          </w:tcPr>
          <w:p w14:paraId="12879872" w14:textId="77777777" w:rsidR="00083818" w:rsidRDefault="00FC36AC">
            <w:pPr>
              <w:ind w:right="-432"/>
              <w:rPr>
                <w:color w:val="000000"/>
              </w:rPr>
            </w:pPr>
            <w:r>
              <w:rPr>
                <w:color w:val="000000"/>
              </w:rPr>
              <w:t>Northwest Pulp and Paper Association</w:t>
            </w:r>
          </w:p>
        </w:tc>
      </w:tr>
      <w:tr w:rsidR="00083818" w14:paraId="104E6834" w14:textId="77777777">
        <w:trPr>
          <w:jc w:val="center"/>
        </w:trPr>
        <w:tc>
          <w:tcPr>
            <w:tcW w:w="4927" w:type="dxa"/>
            <w:vAlign w:val="center"/>
          </w:tcPr>
          <w:p w14:paraId="6F0BCBC2" w14:textId="5C087FCA" w:rsidR="00083818" w:rsidRDefault="00FC36AC" w:rsidP="00A700E0">
            <w:pPr>
              <w:ind w:right="-432"/>
              <w:rPr>
                <w:color w:val="000000"/>
              </w:rPr>
            </w:pPr>
            <w:r>
              <w:rPr>
                <w:color w:val="000000"/>
              </w:rPr>
              <w:t>Laura Seyler (alternate: Glenn Rives)</w:t>
            </w:r>
          </w:p>
        </w:tc>
        <w:tc>
          <w:tcPr>
            <w:tcW w:w="4881" w:type="dxa"/>
            <w:vAlign w:val="center"/>
          </w:tcPr>
          <w:p w14:paraId="3294C4CB" w14:textId="77777777" w:rsidR="00083818" w:rsidRDefault="00FC36AC">
            <w:pPr>
              <w:ind w:right="-432"/>
              <w:rPr>
                <w:color w:val="000000"/>
              </w:rPr>
            </w:pPr>
            <w:r>
              <w:rPr>
                <w:color w:val="000000"/>
              </w:rPr>
              <w:t>International Paper Springfield Mill</w:t>
            </w:r>
          </w:p>
        </w:tc>
      </w:tr>
      <w:tr w:rsidR="00083818" w14:paraId="382C1C7D" w14:textId="77777777">
        <w:trPr>
          <w:jc w:val="center"/>
        </w:trPr>
        <w:tc>
          <w:tcPr>
            <w:tcW w:w="4927" w:type="dxa"/>
            <w:vAlign w:val="center"/>
          </w:tcPr>
          <w:p w14:paraId="2B005F2B" w14:textId="4D1B57CD" w:rsidR="00083818" w:rsidRDefault="00FC36AC" w:rsidP="00A700E0">
            <w:pPr>
              <w:ind w:right="-432"/>
              <w:rPr>
                <w:color w:val="000000"/>
              </w:rPr>
            </w:pPr>
            <w:r>
              <w:rPr>
                <w:color w:val="000000"/>
              </w:rPr>
              <w:t>Lee Fortier (alternate: Laura Leebrick)</w:t>
            </w:r>
          </w:p>
        </w:tc>
        <w:tc>
          <w:tcPr>
            <w:tcW w:w="4881" w:type="dxa"/>
            <w:vAlign w:val="center"/>
          </w:tcPr>
          <w:p w14:paraId="484FCB03" w14:textId="77777777" w:rsidR="00083818" w:rsidRDefault="00FC36AC">
            <w:pPr>
              <w:ind w:right="-432"/>
              <w:rPr>
                <w:color w:val="000000"/>
              </w:rPr>
            </w:pPr>
            <w:r>
              <w:rPr>
                <w:color w:val="000000"/>
              </w:rPr>
              <w:t xml:space="preserve">Dry Creek Landfill, Inc. </w:t>
            </w:r>
          </w:p>
        </w:tc>
      </w:tr>
      <w:tr w:rsidR="00083818" w14:paraId="2E66A410" w14:textId="77777777">
        <w:trPr>
          <w:jc w:val="center"/>
        </w:trPr>
        <w:tc>
          <w:tcPr>
            <w:tcW w:w="4927" w:type="dxa"/>
            <w:vAlign w:val="center"/>
          </w:tcPr>
          <w:p w14:paraId="0F4DBE8E" w14:textId="2D043122" w:rsidR="00083818" w:rsidRDefault="00FC36AC" w:rsidP="00A700E0">
            <w:pPr>
              <w:ind w:right="-432"/>
              <w:rPr>
                <w:color w:val="000000"/>
              </w:rPr>
            </w:pPr>
            <w:r>
              <w:rPr>
                <w:color w:val="000000"/>
              </w:rPr>
              <w:t>Linda George (alternate: Dean Atkinson)</w:t>
            </w:r>
          </w:p>
        </w:tc>
        <w:tc>
          <w:tcPr>
            <w:tcW w:w="4881" w:type="dxa"/>
            <w:vAlign w:val="center"/>
          </w:tcPr>
          <w:p w14:paraId="34940A94" w14:textId="77777777" w:rsidR="00083818" w:rsidRDefault="00FC36AC">
            <w:pPr>
              <w:ind w:right="-432"/>
              <w:rPr>
                <w:color w:val="000000"/>
              </w:rPr>
            </w:pPr>
            <w:r>
              <w:rPr>
                <w:color w:val="000000"/>
              </w:rPr>
              <w:t>Portland State University</w:t>
            </w:r>
          </w:p>
        </w:tc>
      </w:tr>
      <w:tr w:rsidR="00083818" w14:paraId="6EC3E1EF" w14:textId="77777777">
        <w:trPr>
          <w:jc w:val="center"/>
        </w:trPr>
        <w:tc>
          <w:tcPr>
            <w:tcW w:w="4927" w:type="dxa"/>
            <w:vAlign w:val="center"/>
          </w:tcPr>
          <w:p w14:paraId="32B0BA8D" w14:textId="77777777" w:rsidR="00083818" w:rsidRDefault="00FC36AC">
            <w:pPr>
              <w:ind w:right="-432"/>
              <w:rPr>
                <w:color w:val="000000"/>
              </w:rPr>
            </w:pPr>
            <w:r>
              <w:rPr>
                <w:color w:val="000000"/>
              </w:rPr>
              <w:t>Lisa Arkin (alternates: Krystal Abrams, Ana</w:t>
            </w:r>
          </w:p>
          <w:p w14:paraId="40F18AAA" w14:textId="77777777" w:rsidR="00083818" w:rsidRDefault="00FC36AC">
            <w:pPr>
              <w:ind w:right="-432"/>
              <w:rPr>
                <w:color w:val="000000"/>
              </w:rPr>
            </w:pPr>
            <w:r>
              <w:rPr>
                <w:color w:val="000000"/>
              </w:rPr>
              <w:t>Molina, Joel Iboa)</w:t>
            </w:r>
          </w:p>
        </w:tc>
        <w:tc>
          <w:tcPr>
            <w:tcW w:w="4881" w:type="dxa"/>
            <w:vAlign w:val="center"/>
          </w:tcPr>
          <w:p w14:paraId="0D6174A0" w14:textId="77777777" w:rsidR="00083818" w:rsidRDefault="00FC36AC">
            <w:pPr>
              <w:ind w:right="-432"/>
              <w:rPr>
                <w:color w:val="000000"/>
              </w:rPr>
            </w:pPr>
            <w:r>
              <w:rPr>
                <w:color w:val="000000"/>
              </w:rPr>
              <w:t>Beyond Toxics</w:t>
            </w:r>
          </w:p>
        </w:tc>
      </w:tr>
      <w:tr w:rsidR="00083818" w14:paraId="6CC1A9BC" w14:textId="77777777">
        <w:trPr>
          <w:jc w:val="center"/>
        </w:trPr>
        <w:tc>
          <w:tcPr>
            <w:tcW w:w="4927" w:type="dxa"/>
            <w:vAlign w:val="center"/>
          </w:tcPr>
          <w:p w14:paraId="6BBF766C" w14:textId="77777777" w:rsidR="00083818" w:rsidRDefault="00FC36AC">
            <w:pPr>
              <w:ind w:right="-432"/>
              <w:rPr>
                <w:color w:val="000000"/>
              </w:rPr>
            </w:pPr>
            <w:r>
              <w:rPr>
                <w:color w:val="000000"/>
              </w:rPr>
              <w:t>Mark Riskedahl (alternates: Joel Nigg, Maura</w:t>
            </w:r>
          </w:p>
          <w:p w14:paraId="2B2EFCF4" w14:textId="77777777" w:rsidR="00083818" w:rsidRDefault="00FC36AC">
            <w:pPr>
              <w:ind w:right="-432"/>
              <w:rPr>
                <w:color w:val="000000"/>
              </w:rPr>
            </w:pPr>
            <w:r>
              <w:rPr>
                <w:color w:val="000000"/>
              </w:rPr>
              <w:t>Fahey)</w:t>
            </w:r>
          </w:p>
        </w:tc>
        <w:tc>
          <w:tcPr>
            <w:tcW w:w="4881" w:type="dxa"/>
            <w:vAlign w:val="center"/>
          </w:tcPr>
          <w:p w14:paraId="44AAEFE3" w14:textId="77777777" w:rsidR="00083818" w:rsidRDefault="00FC36AC">
            <w:pPr>
              <w:ind w:right="-432"/>
              <w:rPr>
                <w:color w:val="000000"/>
              </w:rPr>
            </w:pPr>
            <w:r>
              <w:rPr>
                <w:color w:val="000000"/>
              </w:rPr>
              <w:t>Northwest Environmental Defense Center</w:t>
            </w:r>
          </w:p>
        </w:tc>
      </w:tr>
      <w:tr w:rsidR="00083818" w14:paraId="46ABDD84" w14:textId="77777777">
        <w:trPr>
          <w:jc w:val="center"/>
        </w:trPr>
        <w:tc>
          <w:tcPr>
            <w:tcW w:w="4927" w:type="dxa"/>
            <w:vAlign w:val="center"/>
          </w:tcPr>
          <w:p w14:paraId="5C997C11" w14:textId="1A47491D" w:rsidR="00083818" w:rsidRDefault="00A700E0">
            <w:pPr>
              <w:ind w:right="-432"/>
              <w:rPr>
                <w:color w:val="000000"/>
              </w:rPr>
            </w:pPr>
            <w:r>
              <w:rPr>
                <w:color w:val="000000"/>
              </w:rPr>
              <w:t>Mary Peveto (alternate</w:t>
            </w:r>
            <w:r w:rsidR="00FC36AC">
              <w:rPr>
                <w:color w:val="000000"/>
              </w:rPr>
              <w:t>: Tori Cole)</w:t>
            </w:r>
          </w:p>
        </w:tc>
        <w:tc>
          <w:tcPr>
            <w:tcW w:w="4881" w:type="dxa"/>
            <w:vAlign w:val="center"/>
          </w:tcPr>
          <w:p w14:paraId="0739923D" w14:textId="77777777" w:rsidR="00083818" w:rsidRDefault="00FC36AC">
            <w:pPr>
              <w:ind w:right="-432"/>
              <w:rPr>
                <w:color w:val="000000"/>
              </w:rPr>
            </w:pPr>
            <w:r>
              <w:rPr>
                <w:color w:val="000000"/>
              </w:rPr>
              <w:t>Neighbors for Clean Air</w:t>
            </w:r>
          </w:p>
        </w:tc>
      </w:tr>
      <w:tr w:rsidR="00083818" w14:paraId="5BC1D47A" w14:textId="77777777">
        <w:trPr>
          <w:jc w:val="center"/>
        </w:trPr>
        <w:tc>
          <w:tcPr>
            <w:tcW w:w="4927" w:type="dxa"/>
            <w:vAlign w:val="center"/>
          </w:tcPr>
          <w:p w14:paraId="4A5DE300" w14:textId="77777777" w:rsidR="00083818" w:rsidRDefault="00FC36AC">
            <w:pPr>
              <w:ind w:right="-432"/>
              <w:rPr>
                <w:color w:val="000000"/>
              </w:rPr>
            </w:pPr>
            <w:r>
              <w:rPr>
                <w:color w:val="000000"/>
              </w:rPr>
              <w:t xml:space="preserve">Michael Freese (alternates: Gary Rehnberg, Tom </w:t>
            </w:r>
          </w:p>
          <w:p w14:paraId="0EDA4CDF" w14:textId="77777777" w:rsidR="00083818" w:rsidRDefault="00FC36AC">
            <w:pPr>
              <w:ind w:right="-432"/>
              <w:rPr>
                <w:color w:val="000000"/>
              </w:rPr>
            </w:pPr>
            <w:r>
              <w:rPr>
                <w:color w:val="000000"/>
              </w:rPr>
              <w:t>Wood)</w:t>
            </w:r>
          </w:p>
        </w:tc>
        <w:tc>
          <w:tcPr>
            <w:tcW w:w="4881" w:type="dxa"/>
            <w:vAlign w:val="center"/>
          </w:tcPr>
          <w:p w14:paraId="67C3C0A1" w14:textId="77777777" w:rsidR="00083818" w:rsidRDefault="00FC36AC">
            <w:pPr>
              <w:ind w:right="-432"/>
              <w:rPr>
                <w:color w:val="000000"/>
              </w:rPr>
            </w:pPr>
            <w:r>
              <w:rPr>
                <w:color w:val="000000"/>
              </w:rPr>
              <w:t>Associated Oregon Industries</w:t>
            </w:r>
          </w:p>
        </w:tc>
      </w:tr>
      <w:tr w:rsidR="00083818" w14:paraId="7CCCD601" w14:textId="77777777">
        <w:trPr>
          <w:jc w:val="center"/>
        </w:trPr>
        <w:tc>
          <w:tcPr>
            <w:tcW w:w="4927" w:type="dxa"/>
            <w:vAlign w:val="center"/>
          </w:tcPr>
          <w:p w14:paraId="36012D0E" w14:textId="3BCC9881" w:rsidR="00083818" w:rsidRDefault="00FC36AC" w:rsidP="00A700E0">
            <w:pPr>
              <w:ind w:right="-432"/>
              <w:rPr>
                <w:color w:val="000000"/>
              </w:rPr>
            </w:pPr>
            <w:r>
              <w:rPr>
                <w:color w:val="000000"/>
              </w:rPr>
              <w:t>Patrick Luedtke (alternate: Donna Garner)</w:t>
            </w:r>
          </w:p>
        </w:tc>
        <w:tc>
          <w:tcPr>
            <w:tcW w:w="4881" w:type="dxa"/>
            <w:vAlign w:val="center"/>
          </w:tcPr>
          <w:p w14:paraId="662A38AB" w14:textId="77777777" w:rsidR="00083818" w:rsidRDefault="00FC36AC">
            <w:pPr>
              <w:ind w:right="-432"/>
              <w:rPr>
                <w:color w:val="000000"/>
              </w:rPr>
            </w:pPr>
            <w:r>
              <w:rPr>
                <w:color w:val="000000"/>
              </w:rPr>
              <w:t>Community Health Centers of Lane County</w:t>
            </w:r>
          </w:p>
        </w:tc>
      </w:tr>
      <w:tr w:rsidR="00083818" w14:paraId="1210705B" w14:textId="77777777">
        <w:trPr>
          <w:jc w:val="center"/>
        </w:trPr>
        <w:tc>
          <w:tcPr>
            <w:tcW w:w="4927" w:type="dxa"/>
            <w:vAlign w:val="center"/>
          </w:tcPr>
          <w:p w14:paraId="593AD50E" w14:textId="330364D5" w:rsidR="00083818" w:rsidRDefault="00FC36AC" w:rsidP="00A700E0">
            <w:pPr>
              <w:ind w:right="-432"/>
              <w:rPr>
                <w:color w:val="000000"/>
              </w:rPr>
            </w:pPr>
            <w:r>
              <w:rPr>
                <w:color w:val="000000"/>
              </w:rPr>
              <w:t>Paul Lewis (alternate: Jae Douglas)</w:t>
            </w:r>
          </w:p>
        </w:tc>
        <w:tc>
          <w:tcPr>
            <w:tcW w:w="4881" w:type="dxa"/>
            <w:vAlign w:val="center"/>
          </w:tcPr>
          <w:p w14:paraId="410C5B1E" w14:textId="77777777" w:rsidR="00083818" w:rsidRDefault="00FC36AC">
            <w:pPr>
              <w:ind w:right="-432"/>
              <w:rPr>
                <w:color w:val="000000"/>
              </w:rPr>
            </w:pPr>
            <w:r>
              <w:rPr>
                <w:color w:val="000000"/>
              </w:rPr>
              <w:t>Multnomah County</w:t>
            </w:r>
          </w:p>
        </w:tc>
      </w:tr>
      <w:tr w:rsidR="00083818" w14:paraId="5999F19C" w14:textId="77777777">
        <w:trPr>
          <w:jc w:val="center"/>
        </w:trPr>
        <w:tc>
          <w:tcPr>
            <w:tcW w:w="4927" w:type="dxa"/>
            <w:vAlign w:val="center"/>
          </w:tcPr>
          <w:p w14:paraId="1BB32076" w14:textId="77777777" w:rsidR="00083818" w:rsidRDefault="00FC36AC">
            <w:pPr>
              <w:ind w:right="-432"/>
              <w:rPr>
                <w:color w:val="000000"/>
              </w:rPr>
            </w:pPr>
            <w:r>
              <w:rPr>
                <w:color w:val="000000"/>
              </w:rPr>
              <w:t>Ramona Quinn</w:t>
            </w:r>
          </w:p>
        </w:tc>
        <w:tc>
          <w:tcPr>
            <w:tcW w:w="4881" w:type="dxa"/>
            <w:vAlign w:val="center"/>
          </w:tcPr>
          <w:p w14:paraId="41F11AB2" w14:textId="77777777" w:rsidR="00083818" w:rsidRDefault="00FC36AC">
            <w:pPr>
              <w:ind w:right="-432"/>
              <w:rPr>
                <w:color w:val="000000"/>
              </w:rPr>
            </w:pPr>
            <w:r>
              <w:rPr>
                <w:color w:val="000000"/>
              </w:rPr>
              <w:t>Klamath County</w:t>
            </w:r>
          </w:p>
        </w:tc>
      </w:tr>
      <w:tr w:rsidR="00083818" w14:paraId="40D6C812" w14:textId="77777777">
        <w:trPr>
          <w:jc w:val="center"/>
        </w:trPr>
        <w:tc>
          <w:tcPr>
            <w:tcW w:w="4927" w:type="dxa"/>
            <w:vAlign w:val="center"/>
          </w:tcPr>
          <w:p w14:paraId="01D6CA70" w14:textId="77777777" w:rsidR="00083818" w:rsidRDefault="00FC36AC">
            <w:pPr>
              <w:ind w:right="-432"/>
              <w:rPr>
                <w:color w:val="000000"/>
              </w:rPr>
            </w:pPr>
            <w:r>
              <w:rPr>
                <w:color w:val="000000"/>
              </w:rPr>
              <w:t>Steven Anderson (alternates: Courtney Vanbragt,</w:t>
            </w:r>
          </w:p>
          <w:p w14:paraId="2820D938" w14:textId="77777777" w:rsidR="00083818" w:rsidRDefault="00FC36AC">
            <w:pPr>
              <w:ind w:right="-432"/>
              <w:rPr>
                <w:color w:val="000000"/>
              </w:rPr>
            </w:pPr>
            <w:r>
              <w:rPr>
                <w:color w:val="000000"/>
              </w:rPr>
              <w:t>Evan Sorce)</w:t>
            </w:r>
          </w:p>
        </w:tc>
        <w:tc>
          <w:tcPr>
            <w:tcW w:w="4881" w:type="dxa"/>
            <w:vAlign w:val="center"/>
          </w:tcPr>
          <w:p w14:paraId="0F3A0B79" w14:textId="77777777" w:rsidR="00083818" w:rsidRDefault="00FC36AC">
            <w:pPr>
              <w:ind w:right="-432"/>
              <w:rPr>
                <w:color w:val="000000"/>
              </w:rPr>
            </w:pPr>
            <w:r>
              <w:rPr>
                <w:color w:val="000000"/>
              </w:rPr>
              <w:t>City of Salem Neighborhood Associations</w:t>
            </w:r>
          </w:p>
        </w:tc>
      </w:tr>
      <w:tr w:rsidR="00083818" w14:paraId="66E59682" w14:textId="77777777">
        <w:trPr>
          <w:jc w:val="center"/>
        </w:trPr>
        <w:tc>
          <w:tcPr>
            <w:tcW w:w="4927" w:type="dxa"/>
            <w:vAlign w:val="center"/>
          </w:tcPr>
          <w:p w14:paraId="0AC62D57" w14:textId="77777777" w:rsidR="00083818" w:rsidRDefault="00FC36AC">
            <w:pPr>
              <w:ind w:right="-432"/>
              <w:rPr>
                <w:color w:val="000000"/>
              </w:rPr>
            </w:pPr>
            <w:r>
              <w:rPr>
                <w:color w:val="000000"/>
              </w:rPr>
              <w:t>Susan Anderson (alternates: Christine Kendrick,</w:t>
            </w:r>
          </w:p>
          <w:p w14:paraId="6FC60B10" w14:textId="77777777" w:rsidR="00083818" w:rsidRDefault="00FC36AC">
            <w:pPr>
              <w:ind w:right="-432"/>
              <w:rPr>
                <w:color w:val="000000"/>
              </w:rPr>
            </w:pPr>
            <w:r>
              <w:rPr>
                <w:color w:val="000000"/>
              </w:rPr>
              <w:t>Elizabeth Edwards)</w:t>
            </w:r>
          </w:p>
        </w:tc>
        <w:tc>
          <w:tcPr>
            <w:tcW w:w="4881" w:type="dxa"/>
            <w:vAlign w:val="center"/>
          </w:tcPr>
          <w:p w14:paraId="1BA36850" w14:textId="77777777" w:rsidR="00083818" w:rsidRDefault="00FC36AC">
            <w:pPr>
              <w:ind w:right="-432"/>
              <w:rPr>
                <w:color w:val="000000"/>
              </w:rPr>
            </w:pPr>
            <w:r>
              <w:rPr>
                <w:color w:val="000000"/>
              </w:rPr>
              <w:t>City of Portland Bureau of Planning and Sustainability</w:t>
            </w:r>
          </w:p>
        </w:tc>
      </w:tr>
    </w:tbl>
    <w:p w14:paraId="10CBE414" w14:textId="77777777" w:rsidR="00083818" w:rsidRDefault="00083818">
      <w:pPr>
        <w:ind w:left="0" w:right="-432"/>
      </w:pPr>
    </w:p>
    <w:p w14:paraId="6EDCA6A2" w14:textId="21F17609" w:rsidR="001B6065" w:rsidRDefault="00FC36AC" w:rsidP="001B6065">
      <w:pPr>
        <w:pStyle w:val="Heading3"/>
        <w:spacing w:before="0"/>
        <w:ind w:left="0" w:right="-432"/>
      </w:pPr>
      <w:r>
        <w:t>Meeting notifications</w:t>
      </w:r>
    </w:p>
    <w:p w14:paraId="16BBC0F7" w14:textId="77777777" w:rsidR="00083818" w:rsidRDefault="00FC36AC" w:rsidP="001B6065">
      <w:pPr>
        <w:ind w:left="0" w:right="-432"/>
      </w:pPr>
      <w:r>
        <w:t>To notify people about the advisory committee’s activities, DEQ:</w:t>
      </w:r>
    </w:p>
    <w:p w14:paraId="3BE66F57" w14:textId="77777777" w:rsidR="00083818" w:rsidRDefault="00FC36AC" w:rsidP="001B6065">
      <w:pPr>
        <w:numPr>
          <w:ilvl w:val="0"/>
          <w:numId w:val="15"/>
        </w:numPr>
        <w:ind w:right="-432"/>
        <w:contextualSpacing/>
      </w:pPr>
      <w:r>
        <w:t>Sent GovDelivery bulletins, a free e-mail subscription service, to the following lists:</w:t>
      </w:r>
    </w:p>
    <w:p w14:paraId="124A2B82" w14:textId="77777777" w:rsidR="00083818" w:rsidRDefault="00FC36AC">
      <w:pPr>
        <w:numPr>
          <w:ilvl w:val="1"/>
          <w:numId w:val="15"/>
        </w:numPr>
        <w:ind w:right="-432"/>
        <w:contextualSpacing/>
      </w:pPr>
      <w:r>
        <w:t>Rulemaking</w:t>
      </w:r>
    </w:p>
    <w:p w14:paraId="4273D7F8" w14:textId="77777777" w:rsidR="00083818" w:rsidRDefault="00FC36AC">
      <w:pPr>
        <w:numPr>
          <w:ilvl w:val="1"/>
          <w:numId w:val="15"/>
        </w:numPr>
        <w:ind w:right="-432"/>
        <w:contextualSpacing/>
      </w:pPr>
      <w:r>
        <w:t xml:space="preserve">News Releases </w:t>
      </w:r>
    </w:p>
    <w:p w14:paraId="71311258" w14:textId="77777777" w:rsidR="00083818" w:rsidRDefault="00FC36AC">
      <w:pPr>
        <w:numPr>
          <w:ilvl w:val="1"/>
          <w:numId w:val="15"/>
        </w:numPr>
        <w:ind w:right="-432"/>
        <w:contextualSpacing/>
      </w:pPr>
      <w:r>
        <w:t>Toxics Reduction Strategy</w:t>
      </w:r>
    </w:p>
    <w:p w14:paraId="02999E3A" w14:textId="77777777" w:rsidR="00083818" w:rsidRDefault="00FC36AC">
      <w:pPr>
        <w:numPr>
          <w:ilvl w:val="1"/>
          <w:numId w:val="15"/>
        </w:numPr>
        <w:ind w:right="-432"/>
        <w:contextualSpacing/>
      </w:pPr>
      <w:r>
        <w:t>Air Toxics Statewide</w:t>
      </w:r>
    </w:p>
    <w:p w14:paraId="5A57CC0B" w14:textId="77777777" w:rsidR="00083818" w:rsidRDefault="00FC36AC">
      <w:pPr>
        <w:numPr>
          <w:ilvl w:val="1"/>
          <w:numId w:val="15"/>
        </w:numPr>
        <w:ind w:right="-432"/>
        <w:contextualSpacing/>
      </w:pPr>
      <w:r>
        <w:t>Portland Air Toxics Solutions</w:t>
      </w:r>
    </w:p>
    <w:p w14:paraId="753BABF2" w14:textId="77777777" w:rsidR="00083818" w:rsidRDefault="00FC36AC">
      <w:pPr>
        <w:numPr>
          <w:ilvl w:val="1"/>
          <w:numId w:val="15"/>
        </w:numPr>
        <w:ind w:right="-432"/>
        <w:contextualSpacing/>
      </w:pPr>
      <w:r>
        <w:t>Air Quality 2016 Permanent Rulemaking</w:t>
      </w:r>
    </w:p>
    <w:p w14:paraId="0D404D9E" w14:textId="77777777" w:rsidR="00083818" w:rsidRDefault="00FC36AC">
      <w:pPr>
        <w:numPr>
          <w:ilvl w:val="1"/>
          <w:numId w:val="15"/>
        </w:numPr>
        <w:ind w:right="-432"/>
        <w:contextualSpacing/>
      </w:pPr>
      <w:r>
        <w:t>DEQ Public Notices</w:t>
      </w:r>
    </w:p>
    <w:p w14:paraId="76EE4CAF" w14:textId="77777777" w:rsidR="00083818" w:rsidRDefault="00FC36AC">
      <w:pPr>
        <w:numPr>
          <w:ilvl w:val="1"/>
          <w:numId w:val="15"/>
        </w:numPr>
        <w:ind w:right="-432"/>
        <w:contextualSpacing/>
      </w:pPr>
      <w:r>
        <w:t>Cleaner Air Oregon Regulatory Overhaul</w:t>
      </w:r>
    </w:p>
    <w:p w14:paraId="27371CFC" w14:textId="2AC2570B" w:rsidR="005E2A99" w:rsidRDefault="005E2A99">
      <w:pPr>
        <w:numPr>
          <w:ilvl w:val="1"/>
          <w:numId w:val="15"/>
        </w:numPr>
        <w:ind w:right="-432"/>
        <w:contextualSpacing/>
      </w:pPr>
      <w:r>
        <w:t>People</w:t>
      </w:r>
      <w:r w:rsidRPr="005E2A99">
        <w:t xml:space="preserve"> </w:t>
      </w:r>
      <w:r>
        <w:t>who signed up for the advisory committee bulletin.</w:t>
      </w:r>
    </w:p>
    <w:p w14:paraId="7A1242EA" w14:textId="4264B6DE" w:rsidR="005E2A99" w:rsidRDefault="005E2A99" w:rsidP="005E2A99">
      <w:pPr>
        <w:numPr>
          <w:ilvl w:val="0"/>
          <w:numId w:val="15"/>
        </w:numPr>
        <w:ind w:right="-432"/>
        <w:contextualSpacing/>
      </w:pPr>
      <w:r>
        <w:t>Beginning in April,</w:t>
      </w:r>
      <w:r w:rsidRPr="005E2A99">
        <w:t xml:space="preserve"> </w:t>
      </w:r>
      <w:r>
        <w:t>2016, DEQ sent approximately 36 notices to subscribers informing them of advisory committee meetings and other rule development information.</w:t>
      </w:r>
    </w:p>
    <w:p w14:paraId="2E3A9908" w14:textId="77777777" w:rsidR="00083818" w:rsidRDefault="00FC36AC" w:rsidP="005E2A99">
      <w:pPr>
        <w:numPr>
          <w:ilvl w:val="0"/>
          <w:numId w:val="15"/>
        </w:numPr>
        <w:ind w:right="-432"/>
        <w:contextualSpacing/>
      </w:pPr>
      <w:r>
        <w:t xml:space="preserve">Added advisory committee announcements to DEQ’s calendar of public meetings at </w:t>
      </w:r>
      <w:hyperlink r:id="rId63">
        <w:r>
          <w:rPr>
            <w:color w:val="0563C1"/>
            <w:u w:val="single"/>
          </w:rPr>
          <w:t>DEQ Calendar</w:t>
        </w:r>
      </w:hyperlink>
      <w:r>
        <w:t>.</w:t>
      </w:r>
    </w:p>
    <w:p w14:paraId="38904A41" w14:textId="77777777" w:rsidR="00083818" w:rsidRDefault="00083818">
      <w:pPr>
        <w:pStyle w:val="Heading3"/>
        <w:ind w:left="0" w:right="-432"/>
      </w:pPr>
    </w:p>
    <w:p w14:paraId="127D62AD" w14:textId="77777777" w:rsidR="00083818" w:rsidRDefault="00FC36AC">
      <w:pPr>
        <w:pStyle w:val="Heading3"/>
        <w:ind w:left="0" w:right="-432"/>
      </w:pPr>
      <w:r>
        <w:t>Committee discussions</w:t>
      </w:r>
    </w:p>
    <w:p w14:paraId="6AF1CE30" w14:textId="623FF7B4" w:rsidR="00083818" w:rsidRDefault="00FC36AC">
      <w:pPr>
        <w:ind w:left="0" w:right="-432"/>
        <w:rPr>
          <w:color w:val="525252"/>
        </w:rPr>
      </w:pPr>
      <w:r>
        <w:t>In addition to the recommendations described under the Statement of Fiscal and Economic Impact section above, the committee</w:t>
      </w:r>
      <w:r w:rsidR="00FE1A16">
        <w:t xml:space="preserve"> provided input and discussion on a regulatory framework for the proposed Cleaner Air Oregon program and discussion draft rules.</w:t>
      </w:r>
      <w:r>
        <w:t xml:space="preserve"> </w:t>
      </w:r>
      <w:r w:rsidR="00FE1A16">
        <w:t xml:space="preserve">Agendas and meeting summaries are available on the committee’s webpage at: </w:t>
      </w:r>
      <w:hyperlink r:id="rId64">
        <w:r w:rsidR="00FE1A16">
          <w:rPr>
            <w:color w:val="1155CC"/>
            <w:u w:val="single"/>
          </w:rPr>
          <w:t>http://www.oregon.gov/deq/Regulations/rulemaking/Pages/Rcleanerair2017.aspx</w:t>
        </w:r>
      </w:hyperlink>
      <w:r w:rsidR="00FE1A16">
        <w:t>.</w:t>
      </w:r>
    </w:p>
    <w:p w14:paraId="597FFD4C" w14:textId="77777777" w:rsidR="00083818" w:rsidRDefault="00083818">
      <w:pPr>
        <w:ind w:left="0" w:right="-432"/>
      </w:pPr>
    </w:p>
    <w:p w14:paraId="1E25422D" w14:textId="77777777" w:rsidR="00083818" w:rsidRDefault="00FC36AC">
      <w:pPr>
        <w:pStyle w:val="Heading3"/>
        <w:ind w:left="0" w:right="-432"/>
      </w:pPr>
      <w:r>
        <w:t>EQC prior involvement</w:t>
      </w:r>
    </w:p>
    <w:p w14:paraId="3EF4AFB6" w14:textId="77777777" w:rsidR="00083818" w:rsidRDefault="00FC36AC">
      <w:pPr>
        <w:ind w:left="0" w:right="-432"/>
      </w:pPr>
      <w:r>
        <w:t xml:space="preserve">DEQ shares general rulemaking information with EQC through the monthly Director’s Report. </w:t>
      </w:r>
    </w:p>
    <w:p w14:paraId="4C05BEDF" w14:textId="77777777" w:rsidR="00083818" w:rsidRDefault="00083818">
      <w:pPr>
        <w:ind w:left="0" w:right="-432"/>
      </w:pPr>
    </w:p>
    <w:p w14:paraId="2C465222" w14:textId="43E47A26" w:rsidR="00EE135E" w:rsidRDefault="00FC36AC" w:rsidP="005E2A99">
      <w:pPr>
        <w:ind w:left="0"/>
        <w:rPr>
          <w:color w:val="1F497D"/>
        </w:rPr>
      </w:pPr>
      <w:r>
        <w:t>DEQ shared information about this rulemaking with the EQC</w:t>
      </w:r>
      <w:r w:rsidR="00EE135E">
        <w:t xml:space="preserve"> </w:t>
      </w:r>
      <w:r>
        <w:t>through an informational item on the EQC agenda</w:t>
      </w:r>
      <w:r w:rsidR="00EE135E">
        <w:t xml:space="preserve"> </w:t>
      </w:r>
      <w:r w:rsidR="00EE135E" w:rsidRPr="00EE135E">
        <w:rPr>
          <w:color w:val="000000" w:themeColor="text1"/>
        </w:rPr>
        <w:t>in June 2016, April 2017, July 2017 and Sept 2017.</w:t>
      </w:r>
    </w:p>
    <w:p w14:paraId="6D3F7E18" w14:textId="17C1EE67" w:rsidR="00083818" w:rsidRDefault="00083818">
      <w:pPr>
        <w:ind w:left="0" w:right="-432"/>
      </w:pPr>
    </w:p>
    <w:p w14:paraId="4CD426BB" w14:textId="77777777" w:rsidR="00083818" w:rsidRDefault="00083818">
      <w:pPr>
        <w:widowControl w:val="0"/>
        <w:spacing w:line="276" w:lineRule="auto"/>
        <w:ind w:left="0" w:right="0"/>
      </w:pPr>
    </w:p>
    <w:tbl>
      <w:tblPr>
        <w:tblStyle w:val="aff"/>
        <w:tblW w:w="9057" w:type="dxa"/>
        <w:jc w:val="center"/>
        <w:tblBorders>
          <w:bottom w:val="single" w:sz="6" w:space="0" w:color="7F7F7F"/>
        </w:tblBorders>
        <w:tblLayout w:type="fixed"/>
        <w:tblLook w:val="0400" w:firstRow="0" w:lastRow="0" w:firstColumn="0" w:lastColumn="0" w:noHBand="0" w:noVBand="1"/>
      </w:tblPr>
      <w:tblGrid>
        <w:gridCol w:w="9057"/>
      </w:tblGrid>
      <w:tr w:rsidR="00083818" w14:paraId="1B6E1FBD" w14:textId="77777777">
        <w:trPr>
          <w:trHeight w:val="740"/>
          <w:jc w:val="center"/>
        </w:trPr>
        <w:tc>
          <w:tcPr>
            <w:tcW w:w="9057" w:type="dxa"/>
            <w:shd w:val="clear" w:color="auto" w:fill="D5DCE4"/>
            <w:vAlign w:val="bottom"/>
          </w:tcPr>
          <w:p w14:paraId="01DEA28A" w14:textId="77777777" w:rsidR="00083818" w:rsidRDefault="00FC36AC">
            <w:pPr>
              <w:pStyle w:val="Heading1"/>
            </w:pPr>
            <w:bookmarkStart w:id="24" w:name="_Toc496011832"/>
            <w:r>
              <w:t>Public notice and hearings</w:t>
            </w:r>
            <w:bookmarkEnd w:id="24"/>
          </w:p>
          <w:p w14:paraId="550E2A00" w14:textId="098E4ED5" w:rsidR="00083818" w:rsidRDefault="00083818">
            <w:pPr>
              <w:ind w:left="0"/>
              <w:rPr>
                <w:color w:val="C55911"/>
              </w:rPr>
            </w:pPr>
          </w:p>
        </w:tc>
      </w:tr>
    </w:tbl>
    <w:p w14:paraId="6AC4690E" w14:textId="77777777" w:rsidR="00083818" w:rsidRDefault="00FC36AC">
      <w:pPr>
        <w:ind w:left="0"/>
      </w:pPr>
      <w:r>
        <w:t>  </w:t>
      </w:r>
    </w:p>
    <w:p w14:paraId="0BFF1E4C" w14:textId="77777777" w:rsidR="00083818" w:rsidRDefault="00FC36AC" w:rsidP="001B6065">
      <w:pPr>
        <w:pStyle w:val="Heading2"/>
        <w:spacing w:after="0"/>
        <w:ind w:left="0"/>
      </w:pPr>
      <w:r>
        <w:t>Public notice</w:t>
      </w:r>
    </w:p>
    <w:p w14:paraId="2DFC77AA" w14:textId="5405F7C8" w:rsidR="00083818" w:rsidRDefault="00FC36AC" w:rsidP="001B6065">
      <w:pPr>
        <w:ind w:left="0" w:right="-432"/>
      </w:pPr>
      <w:r>
        <w:t>DEQ provided notice of the proposed rulemaking and rulemaking hearing on Oct.</w:t>
      </w:r>
      <w:r w:rsidR="000C73F2">
        <w:t>20</w:t>
      </w:r>
      <w:r>
        <w:t>, 2017</w:t>
      </w:r>
      <w:r>
        <w:rPr>
          <w:color w:val="C55911"/>
        </w:rPr>
        <w:t xml:space="preserve"> </w:t>
      </w:r>
      <w:r>
        <w:t xml:space="preserve">by: </w:t>
      </w:r>
    </w:p>
    <w:p w14:paraId="49877C77" w14:textId="7D7C9776" w:rsidR="00083818" w:rsidRDefault="00FC36AC" w:rsidP="001B6065">
      <w:pPr>
        <w:numPr>
          <w:ilvl w:val="0"/>
          <w:numId w:val="23"/>
        </w:numPr>
        <w:ind w:right="-432"/>
        <w:contextualSpacing/>
      </w:pPr>
      <w:r>
        <w:t xml:space="preserve">On Oct. </w:t>
      </w:r>
      <w:r w:rsidR="000C73F2">
        <w:t>20</w:t>
      </w:r>
      <w:r>
        <w:t>, 2017 Filing notice with the Oregon Secretary of State for publication in the November</w:t>
      </w:r>
      <w:r>
        <w:rPr>
          <w:color w:val="C55911"/>
        </w:rPr>
        <w:t xml:space="preserve"> </w:t>
      </w:r>
      <w:r>
        <w:t>2017 Oregon Bulletin;</w:t>
      </w:r>
    </w:p>
    <w:p w14:paraId="6DBEB48C" w14:textId="77777777" w:rsidR="00083818" w:rsidRDefault="00FC36AC">
      <w:pPr>
        <w:numPr>
          <w:ilvl w:val="0"/>
          <w:numId w:val="23"/>
        </w:numPr>
        <w:ind w:right="-432"/>
        <w:contextualSpacing/>
      </w:pPr>
      <w:r>
        <w:t>Notifying the EPA by mail;</w:t>
      </w:r>
    </w:p>
    <w:p w14:paraId="48215E76" w14:textId="77777777" w:rsidR="00083818" w:rsidRDefault="00FC36AC">
      <w:pPr>
        <w:numPr>
          <w:ilvl w:val="0"/>
          <w:numId w:val="23"/>
        </w:numPr>
        <w:ind w:right="-432"/>
        <w:contextualSpacing/>
      </w:pPr>
      <w:r>
        <w:t xml:space="preserve">Posting the Notice, Invitation to Comment and Draft Rules on the web page for this rulemaking, located at: </w:t>
      </w:r>
      <w:hyperlink r:id="rId65">
        <w:r>
          <w:rPr>
            <w:color w:val="1155CC"/>
            <w:u w:val="single"/>
          </w:rPr>
          <w:t>Cleaner Air Oregon Rulemaking Page</w:t>
        </w:r>
      </w:hyperlink>
      <w:r>
        <w:t>;</w:t>
      </w:r>
    </w:p>
    <w:p w14:paraId="4331BB98" w14:textId="77777777" w:rsidR="00083818" w:rsidRDefault="00FC36AC">
      <w:pPr>
        <w:numPr>
          <w:ilvl w:val="0"/>
          <w:numId w:val="23"/>
        </w:numPr>
        <w:ind w:right="-432"/>
        <w:contextualSpacing/>
      </w:pPr>
      <w:r>
        <w:t>Emailing approximately 11,320 interested parties on the following DEQ lists through GovDelivery:</w:t>
      </w:r>
    </w:p>
    <w:p w14:paraId="65F6912E" w14:textId="77777777" w:rsidR="00083818" w:rsidRDefault="00FC36AC">
      <w:pPr>
        <w:numPr>
          <w:ilvl w:val="1"/>
          <w:numId w:val="23"/>
        </w:numPr>
        <w:ind w:right="-432"/>
        <w:contextualSpacing/>
      </w:pPr>
      <w:r>
        <w:t>Rulemaking</w:t>
      </w:r>
    </w:p>
    <w:p w14:paraId="3F2C7F2E" w14:textId="77777777" w:rsidR="00083818" w:rsidRDefault="00FC36AC">
      <w:pPr>
        <w:numPr>
          <w:ilvl w:val="1"/>
          <w:numId w:val="23"/>
        </w:numPr>
        <w:ind w:right="-432"/>
        <w:contextualSpacing/>
      </w:pPr>
      <w:r>
        <w:t>DEQ Public Notices</w:t>
      </w:r>
    </w:p>
    <w:p w14:paraId="2917F003" w14:textId="77777777" w:rsidR="00083818" w:rsidRDefault="00FC36AC">
      <w:pPr>
        <w:numPr>
          <w:ilvl w:val="1"/>
          <w:numId w:val="23"/>
        </w:numPr>
        <w:ind w:right="-432"/>
        <w:contextualSpacing/>
      </w:pPr>
      <w:r>
        <w:t>Cleaner Air Oregon Regulatory Overhaul</w:t>
      </w:r>
    </w:p>
    <w:p w14:paraId="165F76F0" w14:textId="77777777" w:rsidR="00083818" w:rsidRDefault="00FC36AC">
      <w:pPr>
        <w:numPr>
          <w:ilvl w:val="1"/>
          <w:numId w:val="23"/>
        </w:numPr>
        <w:ind w:right="-432"/>
        <w:contextualSpacing/>
      </w:pPr>
      <w:r>
        <w:t>Air Toxics Statewide</w:t>
      </w:r>
    </w:p>
    <w:p w14:paraId="6762927A" w14:textId="77777777" w:rsidR="00083818" w:rsidRDefault="00FC36AC">
      <w:pPr>
        <w:numPr>
          <w:ilvl w:val="1"/>
          <w:numId w:val="23"/>
        </w:numPr>
        <w:ind w:right="-432"/>
        <w:contextualSpacing/>
      </w:pPr>
      <w:r>
        <w:t>Air Quality Permits</w:t>
      </w:r>
    </w:p>
    <w:p w14:paraId="4B9A427D" w14:textId="77777777" w:rsidR="00083818" w:rsidRDefault="00FC36AC">
      <w:pPr>
        <w:numPr>
          <w:ilvl w:val="1"/>
          <w:numId w:val="23"/>
        </w:numPr>
        <w:ind w:right="-432"/>
        <w:contextualSpacing/>
      </w:pPr>
      <w:r>
        <w:t>Title V Permit Program</w:t>
      </w:r>
    </w:p>
    <w:p w14:paraId="2209C17C" w14:textId="7C921403" w:rsidR="00083818" w:rsidRDefault="00FC36AC" w:rsidP="005E2A99">
      <w:pPr>
        <w:numPr>
          <w:ilvl w:val="0"/>
          <w:numId w:val="23"/>
        </w:numPr>
        <w:ind w:left="540" w:right="-432" w:hanging="180"/>
        <w:contextualSpacing/>
      </w:pPr>
      <w:r>
        <w:t>Emailing stakeholders on the</w:t>
      </w:r>
      <w:r w:rsidR="00212BC5">
        <w:t xml:space="preserve"> DEQ’s and Lane Regional Air Protection Agency’s permitted sources lists</w:t>
      </w:r>
    </w:p>
    <w:p w14:paraId="6B507CE6" w14:textId="77777777" w:rsidR="00083818" w:rsidRDefault="00FC36AC" w:rsidP="00BC0258">
      <w:pPr>
        <w:numPr>
          <w:ilvl w:val="0"/>
          <w:numId w:val="23"/>
        </w:numPr>
        <w:ind w:left="90" w:right="-432" w:firstLine="360"/>
        <w:contextualSpacing/>
      </w:pPr>
      <w:r>
        <w:t xml:space="preserve">Emailing the following key legislators required under </w:t>
      </w:r>
      <w:hyperlink r:id="rId66">
        <w:r>
          <w:rPr>
            <w:u w:val="single"/>
          </w:rPr>
          <w:t>ORS 183.335</w:t>
        </w:r>
      </w:hyperlink>
      <w:r>
        <w:t>:</w:t>
      </w:r>
    </w:p>
    <w:p w14:paraId="09D46F01" w14:textId="42A974F5" w:rsidR="00083818" w:rsidRDefault="00FC36AC">
      <w:pPr>
        <w:ind w:left="990" w:right="-432"/>
      </w:pPr>
      <w:r>
        <w:t>Senator Michael Dembrow, Chair Senate Committee on Environment and Natural Resources</w:t>
      </w:r>
    </w:p>
    <w:p w14:paraId="35B33F1F" w14:textId="79F8C15A" w:rsidR="00083818" w:rsidRDefault="00FC36AC">
      <w:pPr>
        <w:ind w:left="990" w:right="-432"/>
      </w:pPr>
      <w:r>
        <w:t>Representative Ken Helm, Chair, House Committee on Energy and Environment</w:t>
      </w:r>
    </w:p>
    <w:p w14:paraId="38896639" w14:textId="77777777" w:rsidR="00083818" w:rsidRDefault="00FC36AC">
      <w:pPr>
        <w:ind w:left="990" w:right="-432"/>
      </w:pPr>
      <w:r>
        <w:t>Representative Tina Kotek, House Speaker</w:t>
      </w:r>
    </w:p>
    <w:p w14:paraId="0E53B143" w14:textId="6B228654" w:rsidR="00083818" w:rsidRDefault="00FC36AC" w:rsidP="00CA7D74">
      <w:pPr>
        <w:ind w:left="990" w:right="-432"/>
        <w:rPr>
          <w:color w:val="C55911"/>
        </w:rPr>
      </w:pPr>
      <w:r>
        <w:t>Senator Peter Courtney, Senate President</w:t>
      </w:r>
    </w:p>
    <w:p w14:paraId="3BC42138" w14:textId="77777777" w:rsidR="00083818" w:rsidRDefault="00FC36AC" w:rsidP="00BC0258">
      <w:pPr>
        <w:numPr>
          <w:ilvl w:val="0"/>
          <w:numId w:val="23"/>
        </w:numPr>
        <w:ind w:left="450" w:right="-432" w:firstLine="0"/>
        <w:contextualSpacing/>
      </w:pPr>
      <w:r>
        <w:t>Emailing advisory committee members,</w:t>
      </w:r>
    </w:p>
    <w:p w14:paraId="71EA0547" w14:textId="77777777" w:rsidR="00083818" w:rsidRDefault="00FC36AC" w:rsidP="00BC0258">
      <w:pPr>
        <w:numPr>
          <w:ilvl w:val="0"/>
          <w:numId w:val="23"/>
        </w:numPr>
        <w:ind w:left="450" w:right="-432" w:firstLine="0"/>
        <w:contextualSpacing/>
      </w:pPr>
      <w:r>
        <w:t xml:space="preserve">Posting on the DEQ event calendar: </w:t>
      </w:r>
      <w:hyperlink r:id="rId67">
        <w:r>
          <w:rPr>
            <w:color w:val="0563C1"/>
            <w:u w:val="single"/>
          </w:rPr>
          <w:t>DEQ Calendar</w:t>
        </w:r>
      </w:hyperlink>
    </w:p>
    <w:p w14:paraId="6436C5BB" w14:textId="77777777" w:rsidR="00083818" w:rsidRDefault="00083818" w:rsidP="00BC0258">
      <w:pPr>
        <w:ind w:left="450"/>
      </w:pPr>
    </w:p>
    <w:p w14:paraId="24D9BEBB" w14:textId="77777777" w:rsidR="00083818" w:rsidRDefault="00FC36AC" w:rsidP="001B6065">
      <w:pPr>
        <w:pStyle w:val="Heading2"/>
        <w:spacing w:after="0"/>
        <w:ind w:left="0"/>
      </w:pPr>
      <w:r>
        <w:t>Public hearings</w:t>
      </w:r>
    </w:p>
    <w:p w14:paraId="5076D7C3" w14:textId="344D747C" w:rsidR="00083818" w:rsidRDefault="00FC36AC" w:rsidP="001B6065">
      <w:pPr>
        <w:ind w:left="0" w:right="-432"/>
      </w:pPr>
      <w:r>
        <w:t>DEQ plans to hold six public hearing(s). The details are listed below. Anyone can attend a hearing in person, by webinar or by phone.</w:t>
      </w:r>
      <w:r w:rsidR="0058136E">
        <w:t xml:space="preserve"> Participation or comments only in person.</w:t>
      </w:r>
    </w:p>
    <w:p w14:paraId="7A4026C8" w14:textId="77777777" w:rsidR="00083818" w:rsidRDefault="00083818">
      <w:pPr>
        <w:ind w:left="0" w:right="-432"/>
      </w:pPr>
    </w:p>
    <w:p w14:paraId="7EA2DB7A" w14:textId="179819F5" w:rsidR="000C73F2" w:rsidRDefault="00FC36AC" w:rsidP="000C73F2">
      <w:pPr>
        <w:ind w:left="0" w:right="-432"/>
      </w:pPr>
      <w:r>
        <w:t>DEQ will consider all written comments received at the hearings listed below before completing the draft rules. DEQ will summarize all comments and respond to comments in the Environmental Quality Commission staff report.</w:t>
      </w:r>
      <w:r w:rsidR="000C73F2">
        <w:t xml:space="preserve"> </w:t>
      </w:r>
      <w:r w:rsidR="000C73F2" w:rsidRPr="00734E10">
        <w:t xml:space="preserve">Although DEQ welcomes public comments regarding the proposed </w:t>
      </w:r>
      <w:r w:rsidR="000C73F2">
        <w:t>amendments to the Oregon State Implementation Plan</w:t>
      </w:r>
      <w:r w:rsidR="000C73F2" w:rsidRPr="00734E10">
        <w:t xml:space="preserve"> at any public hearing, DEQ provides notice</w:t>
      </w:r>
      <w:r w:rsidR="000C73F2">
        <w:t xml:space="preserve"> of those proposed amendments</w:t>
      </w:r>
      <w:r w:rsidR="000C73F2" w:rsidRPr="00734E10">
        <w:t xml:space="preserve"> in compliance with 40 CFR 51.102 for the public hearing to be held</w:t>
      </w:r>
      <w:r w:rsidR="000C73F2">
        <w:t xml:space="preserve"> in Portland</w:t>
      </w:r>
      <w:r w:rsidR="000C73F2" w:rsidRPr="00734E10">
        <w:t xml:space="preserve"> on </w:t>
      </w:r>
      <w:r w:rsidR="000C73F2">
        <w:t>November 29, 2017.</w:t>
      </w:r>
    </w:p>
    <w:p w14:paraId="4B662475" w14:textId="77777777" w:rsidR="00356236" w:rsidRDefault="00356236" w:rsidP="000C73F2">
      <w:pPr>
        <w:ind w:left="0" w:right="-432"/>
      </w:pPr>
    </w:p>
    <w:tbl>
      <w:tblPr>
        <w:tblStyle w:val="aff0"/>
        <w:tblW w:w="1116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00" w:firstRow="0" w:lastRow="0" w:firstColumn="0" w:lastColumn="0" w:noHBand="0" w:noVBand="1"/>
      </w:tblPr>
      <w:tblGrid>
        <w:gridCol w:w="1064"/>
        <w:gridCol w:w="1636"/>
        <w:gridCol w:w="2134"/>
        <w:gridCol w:w="1447"/>
        <w:gridCol w:w="1549"/>
        <w:gridCol w:w="1710"/>
        <w:gridCol w:w="1620"/>
      </w:tblGrid>
      <w:tr w:rsidR="003905A8" w:rsidRPr="003905A8" w14:paraId="68BEE79E" w14:textId="77777777" w:rsidTr="00CA7D74">
        <w:trPr>
          <w:tblHeader/>
        </w:trPr>
        <w:tc>
          <w:tcPr>
            <w:tcW w:w="0" w:type="auto"/>
          </w:tcPr>
          <w:p w14:paraId="7C20FD15" w14:textId="77777777" w:rsidR="008D2879" w:rsidRPr="003905A8" w:rsidRDefault="008D2879">
            <w:pPr>
              <w:ind w:right="-432"/>
              <w:rPr>
                <w:rFonts w:ascii="Arial" w:hAnsi="Arial" w:cs="Arial"/>
                <w:color w:val="000000"/>
                <w:sz w:val="20"/>
                <w:szCs w:val="20"/>
              </w:rPr>
            </w:pPr>
          </w:p>
        </w:tc>
        <w:tc>
          <w:tcPr>
            <w:tcW w:w="1636" w:type="dxa"/>
          </w:tcPr>
          <w:p w14:paraId="189A0997" w14:textId="77777777" w:rsidR="008D2879" w:rsidRPr="003905A8" w:rsidRDefault="008D2879">
            <w:pPr>
              <w:ind w:right="-432"/>
              <w:rPr>
                <w:rFonts w:ascii="Arial" w:hAnsi="Arial" w:cs="Arial"/>
                <w:color w:val="000000"/>
                <w:sz w:val="20"/>
                <w:szCs w:val="20"/>
              </w:rPr>
            </w:pPr>
            <w:r w:rsidRPr="003905A8">
              <w:rPr>
                <w:rFonts w:ascii="Arial" w:hAnsi="Arial" w:cs="Arial"/>
                <w:color w:val="000000"/>
                <w:sz w:val="20"/>
                <w:szCs w:val="20"/>
              </w:rPr>
              <w:t>Hearing 1</w:t>
            </w:r>
          </w:p>
        </w:tc>
        <w:tc>
          <w:tcPr>
            <w:tcW w:w="2134" w:type="dxa"/>
          </w:tcPr>
          <w:p w14:paraId="686E9C2D" w14:textId="77777777" w:rsidR="008D2879" w:rsidRPr="003905A8" w:rsidRDefault="008D2879">
            <w:pPr>
              <w:ind w:right="-432"/>
              <w:rPr>
                <w:rFonts w:ascii="Arial" w:hAnsi="Arial" w:cs="Arial"/>
                <w:color w:val="000000"/>
                <w:sz w:val="20"/>
                <w:szCs w:val="20"/>
              </w:rPr>
            </w:pPr>
            <w:r w:rsidRPr="003905A8">
              <w:rPr>
                <w:rFonts w:ascii="Arial" w:hAnsi="Arial" w:cs="Arial"/>
                <w:color w:val="000000"/>
                <w:sz w:val="20"/>
                <w:szCs w:val="20"/>
              </w:rPr>
              <w:t>Hearing 2</w:t>
            </w:r>
          </w:p>
        </w:tc>
        <w:tc>
          <w:tcPr>
            <w:tcW w:w="1447" w:type="dxa"/>
          </w:tcPr>
          <w:p w14:paraId="766A5EA2" w14:textId="77777777" w:rsidR="008D2879" w:rsidRPr="003905A8" w:rsidRDefault="008D2879">
            <w:pPr>
              <w:ind w:right="-432"/>
              <w:rPr>
                <w:rFonts w:ascii="Arial" w:hAnsi="Arial" w:cs="Arial"/>
                <w:color w:val="000000"/>
                <w:sz w:val="20"/>
                <w:szCs w:val="20"/>
              </w:rPr>
            </w:pPr>
            <w:r w:rsidRPr="003905A8">
              <w:rPr>
                <w:rFonts w:ascii="Arial" w:hAnsi="Arial" w:cs="Arial"/>
                <w:color w:val="000000"/>
                <w:sz w:val="20"/>
                <w:szCs w:val="20"/>
              </w:rPr>
              <w:t>Hearing 3</w:t>
            </w:r>
          </w:p>
        </w:tc>
        <w:tc>
          <w:tcPr>
            <w:tcW w:w="1549" w:type="dxa"/>
          </w:tcPr>
          <w:p w14:paraId="69BD6975" w14:textId="77777777" w:rsidR="008D2879" w:rsidRPr="003905A8" w:rsidRDefault="008D2879">
            <w:pPr>
              <w:ind w:right="-432"/>
              <w:rPr>
                <w:rFonts w:ascii="Arial" w:hAnsi="Arial" w:cs="Arial"/>
                <w:color w:val="000000"/>
                <w:sz w:val="20"/>
                <w:szCs w:val="20"/>
              </w:rPr>
            </w:pPr>
            <w:r w:rsidRPr="003905A8">
              <w:rPr>
                <w:rFonts w:ascii="Arial" w:hAnsi="Arial" w:cs="Arial"/>
                <w:color w:val="000000"/>
                <w:sz w:val="20"/>
                <w:szCs w:val="20"/>
              </w:rPr>
              <w:t>Hearing 4</w:t>
            </w:r>
          </w:p>
        </w:tc>
        <w:tc>
          <w:tcPr>
            <w:tcW w:w="1710" w:type="dxa"/>
          </w:tcPr>
          <w:p w14:paraId="22838A0B" w14:textId="77777777" w:rsidR="008D2879" w:rsidRPr="003905A8" w:rsidRDefault="008D2879">
            <w:pPr>
              <w:ind w:right="-432"/>
              <w:rPr>
                <w:rFonts w:ascii="Arial" w:hAnsi="Arial" w:cs="Arial"/>
                <w:color w:val="000000"/>
                <w:sz w:val="20"/>
                <w:szCs w:val="20"/>
              </w:rPr>
            </w:pPr>
            <w:r w:rsidRPr="003905A8">
              <w:rPr>
                <w:rFonts w:ascii="Arial" w:hAnsi="Arial" w:cs="Arial"/>
                <w:color w:val="000000"/>
                <w:sz w:val="20"/>
                <w:szCs w:val="20"/>
              </w:rPr>
              <w:t>Hearing 5</w:t>
            </w:r>
          </w:p>
        </w:tc>
        <w:tc>
          <w:tcPr>
            <w:tcW w:w="1620" w:type="dxa"/>
          </w:tcPr>
          <w:p w14:paraId="2B5387FD" w14:textId="77777777" w:rsidR="008D2879" w:rsidRPr="003905A8" w:rsidRDefault="008D2879">
            <w:pPr>
              <w:ind w:right="-432"/>
              <w:rPr>
                <w:rFonts w:ascii="Arial" w:hAnsi="Arial" w:cs="Arial"/>
                <w:color w:val="000000"/>
                <w:sz w:val="20"/>
                <w:szCs w:val="20"/>
              </w:rPr>
            </w:pPr>
            <w:r w:rsidRPr="003905A8">
              <w:rPr>
                <w:rFonts w:ascii="Arial" w:hAnsi="Arial" w:cs="Arial"/>
                <w:color w:val="000000"/>
                <w:sz w:val="20"/>
                <w:szCs w:val="20"/>
              </w:rPr>
              <w:t>Hearing 6</w:t>
            </w:r>
          </w:p>
        </w:tc>
      </w:tr>
      <w:tr w:rsidR="003905A8" w:rsidRPr="003905A8" w14:paraId="2039A60A" w14:textId="77777777" w:rsidTr="00CA7D74">
        <w:tc>
          <w:tcPr>
            <w:tcW w:w="0" w:type="auto"/>
          </w:tcPr>
          <w:p w14:paraId="7EC87ED2" w14:textId="77777777" w:rsidR="008D2879" w:rsidRPr="003905A8" w:rsidRDefault="008D2879">
            <w:pPr>
              <w:ind w:right="-432"/>
              <w:rPr>
                <w:rFonts w:ascii="Arial" w:hAnsi="Arial" w:cs="Arial"/>
                <w:color w:val="000000"/>
                <w:sz w:val="20"/>
                <w:szCs w:val="20"/>
              </w:rPr>
            </w:pPr>
            <w:r w:rsidRPr="003905A8">
              <w:rPr>
                <w:rFonts w:ascii="Arial" w:hAnsi="Arial" w:cs="Arial"/>
                <w:color w:val="000000"/>
                <w:sz w:val="20"/>
                <w:szCs w:val="20"/>
              </w:rPr>
              <w:t>Date</w:t>
            </w:r>
          </w:p>
        </w:tc>
        <w:tc>
          <w:tcPr>
            <w:tcW w:w="1636" w:type="dxa"/>
          </w:tcPr>
          <w:p w14:paraId="6CB64A1A" w14:textId="77777777" w:rsidR="008D2879" w:rsidRPr="003905A8" w:rsidRDefault="008D2879">
            <w:pPr>
              <w:ind w:right="-432"/>
              <w:rPr>
                <w:rFonts w:ascii="Arial" w:hAnsi="Arial" w:cs="Arial"/>
                <w:color w:val="000000"/>
                <w:sz w:val="20"/>
                <w:szCs w:val="20"/>
              </w:rPr>
            </w:pPr>
            <w:r w:rsidRPr="003905A8">
              <w:rPr>
                <w:rFonts w:ascii="Arial" w:hAnsi="Arial" w:cs="Arial"/>
                <w:color w:val="000000"/>
                <w:sz w:val="20"/>
                <w:szCs w:val="20"/>
              </w:rPr>
              <w:t>11/15/2017</w:t>
            </w:r>
          </w:p>
        </w:tc>
        <w:tc>
          <w:tcPr>
            <w:tcW w:w="2134" w:type="dxa"/>
          </w:tcPr>
          <w:p w14:paraId="2845C58D" w14:textId="77777777" w:rsidR="008D2879" w:rsidRPr="003905A8" w:rsidRDefault="008D2879">
            <w:pPr>
              <w:ind w:right="-432"/>
              <w:rPr>
                <w:rFonts w:ascii="Arial" w:hAnsi="Arial" w:cs="Arial"/>
                <w:color w:val="000000"/>
                <w:sz w:val="20"/>
                <w:szCs w:val="20"/>
              </w:rPr>
            </w:pPr>
            <w:r w:rsidRPr="003905A8">
              <w:rPr>
                <w:rFonts w:ascii="Arial" w:hAnsi="Arial" w:cs="Arial"/>
                <w:color w:val="000000"/>
                <w:sz w:val="20"/>
                <w:szCs w:val="20"/>
              </w:rPr>
              <w:t>11/16/2017</w:t>
            </w:r>
          </w:p>
        </w:tc>
        <w:tc>
          <w:tcPr>
            <w:tcW w:w="1447" w:type="dxa"/>
          </w:tcPr>
          <w:p w14:paraId="17B880AD" w14:textId="77777777" w:rsidR="008D2879" w:rsidRPr="003905A8" w:rsidRDefault="008D2879">
            <w:pPr>
              <w:ind w:right="-432"/>
              <w:rPr>
                <w:rFonts w:ascii="Arial" w:hAnsi="Arial" w:cs="Arial"/>
                <w:color w:val="000000"/>
                <w:sz w:val="20"/>
                <w:szCs w:val="20"/>
              </w:rPr>
            </w:pPr>
            <w:r w:rsidRPr="003905A8">
              <w:rPr>
                <w:rFonts w:ascii="Arial" w:hAnsi="Arial" w:cs="Arial"/>
                <w:color w:val="000000"/>
                <w:sz w:val="20"/>
                <w:szCs w:val="20"/>
              </w:rPr>
              <w:t>11/20/2017</w:t>
            </w:r>
          </w:p>
        </w:tc>
        <w:tc>
          <w:tcPr>
            <w:tcW w:w="1549" w:type="dxa"/>
          </w:tcPr>
          <w:p w14:paraId="1C2D2725" w14:textId="77777777" w:rsidR="008D2879" w:rsidRPr="003905A8" w:rsidRDefault="008D2879">
            <w:pPr>
              <w:ind w:right="-432"/>
              <w:rPr>
                <w:rFonts w:ascii="Arial" w:hAnsi="Arial" w:cs="Arial"/>
                <w:color w:val="000000"/>
                <w:sz w:val="20"/>
                <w:szCs w:val="20"/>
              </w:rPr>
            </w:pPr>
            <w:r w:rsidRPr="003905A8">
              <w:rPr>
                <w:rFonts w:ascii="Arial" w:hAnsi="Arial" w:cs="Arial"/>
                <w:color w:val="000000"/>
                <w:sz w:val="20"/>
                <w:szCs w:val="20"/>
              </w:rPr>
              <w:t>11/28/2017</w:t>
            </w:r>
          </w:p>
        </w:tc>
        <w:tc>
          <w:tcPr>
            <w:tcW w:w="1710" w:type="dxa"/>
          </w:tcPr>
          <w:p w14:paraId="0B43760F" w14:textId="77777777" w:rsidR="008D2879" w:rsidRPr="003905A8" w:rsidRDefault="008D2879">
            <w:pPr>
              <w:ind w:right="-432"/>
              <w:rPr>
                <w:rFonts w:ascii="Arial" w:hAnsi="Arial" w:cs="Arial"/>
                <w:color w:val="000000"/>
                <w:sz w:val="20"/>
                <w:szCs w:val="20"/>
              </w:rPr>
            </w:pPr>
            <w:r w:rsidRPr="003905A8">
              <w:rPr>
                <w:rFonts w:ascii="Arial" w:hAnsi="Arial" w:cs="Arial"/>
                <w:color w:val="000000"/>
                <w:sz w:val="20"/>
                <w:szCs w:val="20"/>
              </w:rPr>
              <w:t>11/29/2017</w:t>
            </w:r>
          </w:p>
        </w:tc>
        <w:tc>
          <w:tcPr>
            <w:tcW w:w="1620" w:type="dxa"/>
          </w:tcPr>
          <w:p w14:paraId="3614D918" w14:textId="77777777" w:rsidR="008D2879" w:rsidRPr="003905A8" w:rsidRDefault="008D2879">
            <w:pPr>
              <w:ind w:right="-432"/>
              <w:rPr>
                <w:rFonts w:ascii="Arial" w:hAnsi="Arial" w:cs="Arial"/>
                <w:color w:val="000000"/>
                <w:sz w:val="20"/>
                <w:szCs w:val="20"/>
              </w:rPr>
            </w:pPr>
            <w:r w:rsidRPr="003905A8">
              <w:rPr>
                <w:rFonts w:ascii="Arial" w:hAnsi="Arial" w:cs="Arial"/>
                <w:color w:val="000000"/>
                <w:sz w:val="20"/>
                <w:szCs w:val="20"/>
              </w:rPr>
              <w:t>12/2/2017</w:t>
            </w:r>
          </w:p>
        </w:tc>
      </w:tr>
      <w:tr w:rsidR="003905A8" w:rsidRPr="003905A8" w14:paraId="5851F714" w14:textId="77777777" w:rsidTr="00CA7D74">
        <w:tc>
          <w:tcPr>
            <w:tcW w:w="0" w:type="auto"/>
          </w:tcPr>
          <w:p w14:paraId="5EA39E54" w14:textId="77777777" w:rsidR="008D2879" w:rsidRPr="003905A8" w:rsidRDefault="008D2879">
            <w:pPr>
              <w:ind w:right="-432"/>
              <w:rPr>
                <w:rFonts w:ascii="Arial" w:hAnsi="Arial" w:cs="Arial"/>
                <w:color w:val="000000"/>
                <w:sz w:val="20"/>
                <w:szCs w:val="20"/>
              </w:rPr>
            </w:pPr>
            <w:r w:rsidRPr="003905A8">
              <w:rPr>
                <w:rFonts w:ascii="Arial" w:hAnsi="Arial" w:cs="Arial"/>
                <w:color w:val="000000"/>
                <w:sz w:val="20"/>
                <w:szCs w:val="20"/>
              </w:rPr>
              <w:t>Time</w:t>
            </w:r>
          </w:p>
        </w:tc>
        <w:tc>
          <w:tcPr>
            <w:tcW w:w="1636" w:type="dxa"/>
          </w:tcPr>
          <w:p w14:paraId="45FDEE68" w14:textId="77777777" w:rsidR="008D2879" w:rsidRPr="003905A8" w:rsidRDefault="008D2879">
            <w:pPr>
              <w:ind w:right="-432"/>
              <w:rPr>
                <w:rFonts w:ascii="Arial" w:hAnsi="Arial" w:cs="Arial"/>
                <w:color w:val="000000"/>
                <w:sz w:val="20"/>
                <w:szCs w:val="20"/>
              </w:rPr>
            </w:pPr>
            <w:r w:rsidRPr="003905A8">
              <w:rPr>
                <w:rFonts w:ascii="Arial" w:hAnsi="Arial" w:cs="Arial"/>
                <w:color w:val="000000"/>
                <w:sz w:val="20"/>
                <w:szCs w:val="20"/>
              </w:rPr>
              <w:t xml:space="preserve">5:30 - </w:t>
            </w:r>
          </w:p>
          <w:p w14:paraId="39AFE938" w14:textId="77777777" w:rsidR="008D2879" w:rsidRPr="003905A8" w:rsidRDefault="008D2879">
            <w:pPr>
              <w:ind w:right="-432"/>
              <w:rPr>
                <w:rFonts w:ascii="Arial" w:hAnsi="Arial" w:cs="Arial"/>
                <w:color w:val="000000"/>
                <w:sz w:val="20"/>
                <w:szCs w:val="20"/>
              </w:rPr>
            </w:pPr>
            <w:r w:rsidRPr="003905A8">
              <w:rPr>
                <w:rFonts w:ascii="Arial" w:hAnsi="Arial" w:cs="Arial"/>
                <w:color w:val="000000"/>
                <w:sz w:val="20"/>
                <w:szCs w:val="20"/>
              </w:rPr>
              <w:t>7:30 PM</w:t>
            </w:r>
          </w:p>
        </w:tc>
        <w:tc>
          <w:tcPr>
            <w:tcW w:w="2134" w:type="dxa"/>
          </w:tcPr>
          <w:p w14:paraId="2C92D03A" w14:textId="77777777" w:rsidR="008D2879" w:rsidRPr="003905A8" w:rsidRDefault="008D2879">
            <w:pPr>
              <w:ind w:right="-432"/>
              <w:rPr>
                <w:rFonts w:ascii="Arial" w:hAnsi="Arial" w:cs="Arial"/>
                <w:color w:val="000000"/>
                <w:sz w:val="20"/>
                <w:szCs w:val="20"/>
              </w:rPr>
            </w:pPr>
            <w:r w:rsidRPr="003905A8">
              <w:rPr>
                <w:rFonts w:ascii="Arial" w:hAnsi="Arial" w:cs="Arial"/>
                <w:color w:val="000000"/>
                <w:sz w:val="20"/>
                <w:szCs w:val="20"/>
              </w:rPr>
              <w:t xml:space="preserve">5:30 - </w:t>
            </w:r>
          </w:p>
          <w:p w14:paraId="174B1478" w14:textId="77777777" w:rsidR="008D2879" w:rsidRPr="003905A8" w:rsidRDefault="008D2879">
            <w:pPr>
              <w:ind w:right="-432"/>
              <w:rPr>
                <w:rFonts w:ascii="Arial" w:hAnsi="Arial" w:cs="Arial"/>
                <w:color w:val="000000"/>
                <w:sz w:val="20"/>
                <w:szCs w:val="20"/>
              </w:rPr>
            </w:pPr>
            <w:r w:rsidRPr="003905A8">
              <w:rPr>
                <w:rFonts w:ascii="Arial" w:hAnsi="Arial" w:cs="Arial"/>
                <w:color w:val="000000"/>
                <w:sz w:val="20"/>
                <w:szCs w:val="20"/>
              </w:rPr>
              <w:t>7:30 PM</w:t>
            </w:r>
          </w:p>
        </w:tc>
        <w:tc>
          <w:tcPr>
            <w:tcW w:w="1447" w:type="dxa"/>
          </w:tcPr>
          <w:p w14:paraId="365CF970" w14:textId="77777777" w:rsidR="008D2879" w:rsidRPr="003905A8" w:rsidRDefault="008D2879">
            <w:pPr>
              <w:ind w:right="-432"/>
              <w:rPr>
                <w:rFonts w:ascii="Arial" w:hAnsi="Arial" w:cs="Arial"/>
                <w:color w:val="000000"/>
                <w:sz w:val="20"/>
                <w:szCs w:val="20"/>
              </w:rPr>
            </w:pPr>
            <w:r w:rsidRPr="003905A8">
              <w:rPr>
                <w:rFonts w:ascii="Arial" w:hAnsi="Arial" w:cs="Arial"/>
                <w:color w:val="000000"/>
                <w:sz w:val="20"/>
                <w:szCs w:val="20"/>
              </w:rPr>
              <w:t xml:space="preserve">5:30 - </w:t>
            </w:r>
          </w:p>
          <w:p w14:paraId="27DA2038" w14:textId="77777777" w:rsidR="008D2879" w:rsidRPr="003905A8" w:rsidRDefault="008D2879">
            <w:pPr>
              <w:ind w:right="-432"/>
              <w:rPr>
                <w:rFonts w:ascii="Arial" w:hAnsi="Arial" w:cs="Arial"/>
                <w:color w:val="000000"/>
                <w:sz w:val="20"/>
                <w:szCs w:val="20"/>
              </w:rPr>
            </w:pPr>
            <w:r w:rsidRPr="003905A8">
              <w:rPr>
                <w:rFonts w:ascii="Arial" w:hAnsi="Arial" w:cs="Arial"/>
                <w:color w:val="000000"/>
                <w:sz w:val="20"/>
                <w:szCs w:val="20"/>
              </w:rPr>
              <w:t>8:00 PM</w:t>
            </w:r>
          </w:p>
        </w:tc>
        <w:tc>
          <w:tcPr>
            <w:tcW w:w="1549" w:type="dxa"/>
          </w:tcPr>
          <w:p w14:paraId="7612D8B6" w14:textId="77777777" w:rsidR="008D2879" w:rsidRPr="003905A8" w:rsidRDefault="008D2879">
            <w:pPr>
              <w:ind w:right="-432"/>
              <w:rPr>
                <w:rFonts w:ascii="Arial" w:hAnsi="Arial" w:cs="Arial"/>
                <w:color w:val="000000"/>
                <w:sz w:val="20"/>
                <w:szCs w:val="20"/>
              </w:rPr>
            </w:pPr>
            <w:r w:rsidRPr="003905A8">
              <w:rPr>
                <w:rFonts w:ascii="Arial" w:hAnsi="Arial" w:cs="Arial"/>
                <w:color w:val="000000"/>
                <w:sz w:val="20"/>
                <w:szCs w:val="20"/>
              </w:rPr>
              <w:t xml:space="preserve">5:30 - </w:t>
            </w:r>
          </w:p>
          <w:p w14:paraId="4C10AC30" w14:textId="77777777" w:rsidR="008D2879" w:rsidRPr="003905A8" w:rsidRDefault="008D2879">
            <w:pPr>
              <w:ind w:right="-432"/>
              <w:rPr>
                <w:rFonts w:ascii="Arial" w:hAnsi="Arial" w:cs="Arial"/>
                <w:color w:val="000000"/>
                <w:sz w:val="20"/>
                <w:szCs w:val="20"/>
              </w:rPr>
            </w:pPr>
            <w:r w:rsidRPr="003905A8">
              <w:rPr>
                <w:rFonts w:ascii="Arial" w:hAnsi="Arial" w:cs="Arial"/>
                <w:color w:val="000000"/>
                <w:sz w:val="20"/>
                <w:szCs w:val="20"/>
              </w:rPr>
              <w:t>7:30 PM</w:t>
            </w:r>
          </w:p>
        </w:tc>
        <w:tc>
          <w:tcPr>
            <w:tcW w:w="1710" w:type="dxa"/>
          </w:tcPr>
          <w:p w14:paraId="36AA80D5" w14:textId="77777777" w:rsidR="008D2879" w:rsidRPr="003905A8" w:rsidRDefault="008D2879">
            <w:pPr>
              <w:ind w:right="-432"/>
              <w:rPr>
                <w:rFonts w:ascii="Arial" w:hAnsi="Arial" w:cs="Arial"/>
                <w:color w:val="000000"/>
                <w:sz w:val="20"/>
                <w:szCs w:val="20"/>
              </w:rPr>
            </w:pPr>
            <w:r w:rsidRPr="003905A8">
              <w:rPr>
                <w:rFonts w:ascii="Arial" w:hAnsi="Arial" w:cs="Arial"/>
                <w:color w:val="000000"/>
                <w:sz w:val="20"/>
                <w:szCs w:val="20"/>
              </w:rPr>
              <w:t xml:space="preserve">5:30 - </w:t>
            </w:r>
          </w:p>
          <w:p w14:paraId="461D4B96" w14:textId="33F561E1" w:rsidR="008D2879" w:rsidRPr="003905A8" w:rsidRDefault="008D2879">
            <w:pPr>
              <w:ind w:right="-432"/>
              <w:rPr>
                <w:rFonts w:ascii="Arial" w:hAnsi="Arial" w:cs="Arial"/>
                <w:color w:val="000000"/>
                <w:sz w:val="20"/>
                <w:szCs w:val="20"/>
              </w:rPr>
            </w:pPr>
            <w:r w:rsidRPr="003905A8">
              <w:rPr>
                <w:rFonts w:ascii="Arial" w:hAnsi="Arial" w:cs="Arial"/>
                <w:color w:val="000000"/>
                <w:sz w:val="20"/>
                <w:szCs w:val="20"/>
              </w:rPr>
              <w:t>9:30</w:t>
            </w:r>
            <w:r w:rsidR="00CA7D74">
              <w:rPr>
                <w:rFonts w:ascii="Arial" w:hAnsi="Arial" w:cs="Arial"/>
                <w:color w:val="000000"/>
                <w:sz w:val="20"/>
                <w:szCs w:val="20"/>
              </w:rPr>
              <w:t xml:space="preserve"> </w:t>
            </w:r>
            <w:r w:rsidRPr="003905A8">
              <w:rPr>
                <w:rFonts w:ascii="Arial" w:hAnsi="Arial" w:cs="Arial"/>
                <w:color w:val="000000"/>
                <w:sz w:val="20"/>
                <w:szCs w:val="20"/>
              </w:rPr>
              <w:t>PM</w:t>
            </w:r>
          </w:p>
        </w:tc>
        <w:tc>
          <w:tcPr>
            <w:tcW w:w="1620" w:type="dxa"/>
          </w:tcPr>
          <w:p w14:paraId="6CE99C05" w14:textId="77777777" w:rsidR="008D2879" w:rsidRPr="003905A8" w:rsidRDefault="008D2879" w:rsidP="00CA7D74">
            <w:pPr>
              <w:ind w:left="-115" w:right="-432"/>
              <w:rPr>
                <w:rFonts w:ascii="Arial" w:hAnsi="Arial" w:cs="Arial"/>
                <w:color w:val="000000"/>
                <w:sz w:val="20"/>
                <w:szCs w:val="20"/>
              </w:rPr>
            </w:pPr>
            <w:r w:rsidRPr="003905A8">
              <w:rPr>
                <w:rFonts w:ascii="Arial" w:hAnsi="Arial" w:cs="Arial"/>
                <w:color w:val="000000"/>
                <w:sz w:val="20"/>
                <w:szCs w:val="20"/>
              </w:rPr>
              <w:t>10 AM - 3:00 PM</w:t>
            </w:r>
          </w:p>
        </w:tc>
      </w:tr>
      <w:tr w:rsidR="007B60FE" w:rsidRPr="003905A8" w14:paraId="1EC4D048" w14:textId="77777777" w:rsidTr="00CA7D74">
        <w:tc>
          <w:tcPr>
            <w:tcW w:w="0" w:type="auto"/>
          </w:tcPr>
          <w:p w14:paraId="177AB8B2" w14:textId="77777777" w:rsidR="007B60FE" w:rsidRPr="007B60FE" w:rsidRDefault="007B60FE">
            <w:pPr>
              <w:ind w:right="-432"/>
              <w:rPr>
                <w:rFonts w:ascii="Arial" w:hAnsi="Arial" w:cs="Arial"/>
                <w:color w:val="000000" w:themeColor="text1"/>
                <w:sz w:val="20"/>
                <w:szCs w:val="20"/>
              </w:rPr>
            </w:pPr>
            <w:r w:rsidRPr="007B60FE">
              <w:rPr>
                <w:rFonts w:ascii="Arial" w:hAnsi="Arial" w:cs="Arial"/>
                <w:color w:val="000000" w:themeColor="text1"/>
                <w:sz w:val="20"/>
                <w:szCs w:val="20"/>
              </w:rPr>
              <w:t xml:space="preserve">Location </w:t>
            </w:r>
          </w:p>
          <w:p w14:paraId="16DAC6F1" w14:textId="5A0C463A" w:rsidR="007B60FE" w:rsidRPr="007B60FE" w:rsidRDefault="007B60FE">
            <w:pPr>
              <w:ind w:right="-432"/>
              <w:rPr>
                <w:rFonts w:ascii="Arial" w:hAnsi="Arial" w:cs="Arial"/>
                <w:color w:val="000000" w:themeColor="text1"/>
                <w:sz w:val="20"/>
                <w:szCs w:val="20"/>
              </w:rPr>
            </w:pPr>
            <w:r w:rsidRPr="007B60FE">
              <w:rPr>
                <w:rFonts w:ascii="Arial" w:hAnsi="Arial" w:cs="Arial"/>
                <w:color w:val="000000" w:themeColor="text1"/>
                <w:sz w:val="20"/>
                <w:szCs w:val="20"/>
              </w:rPr>
              <w:t>Name</w:t>
            </w:r>
          </w:p>
        </w:tc>
        <w:tc>
          <w:tcPr>
            <w:tcW w:w="1636" w:type="dxa"/>
          </w:tcPr>
          <w:p w14:paraId="23D5350F" w14:textId="77777777" w:rsidR="007B60FE" w:rsidRPr="007B60FE" w:rsidRDefault="007B60FE">
            <w:pPr>
              <w:ind w:right="-432"/>
              <w:rPr>
                <w:rFonts w:ascii="Arial" w:hAnsi="Arial" w:cs="Arial"/>
                <w:color w:val="000000" w:themeColor="text1"/>
                <w:sz w:val="20"/>
                <w:szCs w:val="20"/>
              </w:rPr>
            </w:pPr>
            <w:r w:rsidRPr="007B60FE">
              <w:rPr>
                <w:rFonts w:ascii="Arial" w:hAnsi="Arial" w:cs="Arial"/>
                <w:color w:val="000000" w:themeColor="text1"/>
                <w:sz w:val="20"/>
                <w:szCs w:val="20"/>
              </w:rPr>
              <w:t xml:space="preserve">DEQ Medford </w:t>
            </w:r>
          </w:p>
          <w:p w14:paraId="620ED25B" w14:textId="456147B5" w:rsidR="007B60FE" w:rsidRPr="007B60FE" w:rsidRDefault="007B60FE">
            <w:pPr>
              <w:ind w:right="-432"/>
              <w:rPr>
                <w:rFonts w:ascii="Arial" w:hAnsi="Arial" w:cs="Arial"/>
                <w:color w:val="000000" w:themeColor="text1"/>
                <w:sz w:val="20"/>
                <w:szCs w:val="20"/>
              </w:rPr>
            </w:pPr>
            <w:r w:rsidRPr="007B60FE">
              <w:rPr>
                <w:rFonts w:ascii="Arial" w:hAnsi="Arial" w:cs="Arial"/>
                <w:color w:val="000000" w:themeColor="text1"/>
                <w:sz w:val="20"/>
                <w:szCs w:val="20"/>
              </w:rPr>
              <w:t>Office</w:t>
            </w:r>
          </w:p>
        </w:tc>
        <w:tc>
          <w:tcPr>
            <w:tcW w:w="2134" w:type="dxa"/>
          </w:tcPr>
          <w:p w14:paraId="29EC7E18" w14:textId="77777777" w:rsidR="007B60FE" w:rsidRDefault="007B60FE">
            <w:pPr>
              <w:ind w:right="-432"/>
              <w:rPr>
                <w:rFonts w:ascii="Arial" w:hAnsi="Arial" w:cs="Arial"/>
                <w:color w:val="000000" w:themeColor="text1"/>
                <w:sz w:val="20"/>
                <w:szCs w:val="20"/>
              </w:rPr>
            </w:pPr>
            <w:r>
              <w:rPr>
                <w:rFonts w:ascii="Arial" w:hAnsi="Arial" w:cs="Arial"/>
                <w:color w:val="000000" w:themeColor="text1"/>
                <w:sz w:val="20"/>
                <w:szCs w:val="20"/>
              </w:rPr>
              <w:t>Coos Bay</w:t>
            </w:r>
          </w:p>
          <w:p w14:paraId="6DA8DFD9" w14:textId="62922799" w:rsidR="007B60FE" w:rsidRPr="007B60FE" w:rsidRDefault="007B60FE">
            <w:pPr>
              <w:ind w:right="-432"/>
              <w:rPr>
                <w:rFonts w:ascii="Arial" w:hAnsi="Arial" w:cs="Arial"/>
                <w:color w:val="000000" w:themeColor="text1"/>
                <w:sz w:val="20"/>
                <w:szCs w:val="20"/>
              </w:rPr>
            </w:pPr>
            <w:r>
              <w:rPr>
                <w:rFonts w:ascii="Arial" w:hAnsi="Arial" w:cs="Arial"/>
                <w:color w:val="000000" w:themeColor="text1"/>
                <w:sz w:val="20"/>
                <w:szCs w:val="20"/>
              </w:rPr>
              <w:t>Library</w:t>
            </w:r>
          </w:p>
        </w:tc>
        <w:tc>
          <w:tcPr>
            <w:tcW w:w="1447" w:type="dxa"/>
          </w:tcPr>
          <w:p w14:paraId="1C0612CB" w14:textId="77777777" w:rsidR="007B60FE" w:rsidRDefault="007B60FE">
            <w:pPr>
              <w:ind w:right="-432"/>
              <w:rPr>
                <w:rFonts w:ascii="Arial" w:hAnsi="Arial" w:cs="Arial"/>
                <w:color w:val="000000" w:themeColor="text1"/>
                <w:sz w:val="20"/>
                <w:szCs w:val="20"/>
              </w:rPr>
            </w:pPr>
            <w:r>
              <w:rPr>
                <w:rFonts w:ascii="Arial" w:hAnsi="Arial" w:cs="Arial"/>
                <w:color w:val="000000" w:themeColor="text1"/>
                <w:sz w:val="20"/>
                <w:szCs w:val="20"/>
              </w:rPr>
              <w:t>Walnut</w:t>
            </w:r>
          </w:p>
          <w:p w14:paraId="4BE05070" w14:textId="77777777" w:rsidR="007B60FE" w:rsidRDefault="007B60FE">
            <w:pPr>
              <w:ind w:right="-432"/>
              <w:rPr>
                <w:rFonts w:ascii="Arial" w:hAnsi="Arial" w:cs="Arial"/>
                <w:color w:val="000000" w:themeColor="text1"/>
                <w:sz w:val="20"/>
                <w:szCs w:val="20"/>
              </w:rPr>
            </w:pPr>
            <w:r>
              <w:rPr>
                <w:rFonts w:ascii="Arial" w:hAnsi="Arial" w:cs="Arial"/>
                <w:color w:val="000000" w:themeColor="text1"/>
                <w:sz w:val="20"/>
                <w:szCs w:val="20"/>
              </w:rPr>
              <w:t>Community</w:t>
            </w:r>
          </w:p>
          <w:p w14:paraId="02A06C2A" w14:textId="38A41C47" w:rsidR="007B60FE" w:rsidRPr="007B60FE" w:rsidRDefault="007B60FE">
            <w:pPr>
              <w:ind w:right="-432"/>
              <w:rPr>
                <w:rFonts w:ascii="Arial" w:hAnsi="Arial" w:cs="Arial"/>
                <w:color w:val="000000" w:themeColor="text1"/>
                <w:sz w:val="20"/>
                <w:szCs w:val="20"/>
              </w:rPr>
            </w:pPr>
            <w:r>
              <w:rPr>
                <w:rFonts w:ascii="Arial" w:hAnsi="Arial" w:cs="Arial"/>
                <w:color w:val="000000" w:themeColor="text1"/>
                <w:sz w:val="20"/>
                <w:szCs w:val="20"/>
              </w:rPr>
              <w:t>Room</w:t>
            </w:r>
          </w:p>
        </w:tc>
        <w:tc>
          <w:tcPr>
            <w:tcW w:w="1549" w:type="dxa"/>
          </w:tcPr>
          <w:p w14:paraId="72829763" w14:textId="77777777" w:rsidR="007B60FE" w:rsidRDefault="007B60FE">
            <w:pPr>
              <w:ind w:right="-432"/>
              <w:rPr>
                <w:rFonts w:ascii="Arial" w:hAnsi="Arial" w:cs="Arial"/>
                <w:color w:val="000000" w:themeColor="text1"/>
                <w:sz w:val="20"/>
                <w:szCs w:val="20"/>
              </w:rPr>
            </w:pPr>
            <w:r>
              <w:rPr>
                <w:rFonts w:ascii="Arial" w:hAnsi="Arial" w:cs="Arial"/>
                <w:color w:val="000000" w:themeColor="text1"/>
                <w:sz w:val="20"/>
                <w:szCs w:val="20"/>
              </w:rPr>
              <w:t xml:space="preserve">Pendleton </w:t>
            </w:r>
          </w:p>
          <w:p w14:paraId="5F624320" w14:textId="16F69CF0" w:rsidR="007B60FE" w:rsidRPr="007B60FE" w:rsidRDefault="007B60FE">
            <w:pPr>
              <w:ind w:right="-432"/>
              <w:rPr>
                <w:rFonts w:ascii="Arial" w:hAnsi="Arial" w:cs="Arial"/>
                <w:color w:val="000000" w:themeColor="text1"/>
                <w:sz w:val="20"/>
                <w:szCs w:val="20"/>
              </w:rPr>
            </w:pPr>
            <w:r>
              <w:rPr>
                <w:rFonts w:ascii="Arial" w:hAnsi="Arial" w:cs="Arial"/>
                <w:color w:val="000000" w:themeColor="text1"/>
                <w:sz w:val="20"/>
                <w:szCs w:val="20"/>
              </w:rPr>
              <w:t>Library</w:t>
            </w:r>
          </w:p>
        </w:tc>
        <w:tc>
          <w:tcPr>
            <w:tcW w:w="1710" w:type="dxa"/>
          </w:tcPr>
          <w:p w14:paraId="36269807" w14:textId="77777777" w:rsidR="007B60FE" w:rsidRDefault="007B60FE">
            <w:pPr>
              <w:ind w:right="-432"/>
              <w:rPr>
                <w:rFonts w:ascii="Arial" w:hAnsi="Arial" w:cs="Arial"/>
                <w:color w:val="000000" w:themeColor="text1"/>
                <w:sz w:val="20"/>
                <w:szCs w:val="20"/>
              </w:rPr>
            </w:pPr>
            <w:r>
              <w:rPr>
                <w:rFonts w:ascii="Arial" w:hAnsi="Arial" w:cs="Arial"/>
                <w:color w:val="000000" w:themeColor="text1"/>
                <w:sz w:val="20"/>
                <w:szCs w:val="20"/>
              </w:rPr>
              <w:t xml:space="preserve">Portland </w:t>
            </w:r>
          </w:p>
          <w:p w14:paraId="698C6A60" w14:textId="77777777" w:rsidR="007B60FE" w:rsidRDefault="007B60FE">
            <w:pPr>
              <w:ind w:right="-432"/>
              <w:rPr>
                <w:rFonts w:ascii="Arial" w:hAnsi="Arial" w:cs="Arial"/>
                <w:color w:val="000000" w:themeColor="text1"/>
                <w:sz w:val="20"/>
                <w:szCs w:val="20"/>
              </w:rPr>
            </w:pPr>
            <w:r>
              <w:rPr>
                <w:rFonts w:ascii="Arial" w:hAnsi="Arial" w:cs="Arial"/>
                <w:color w:val="000000" w:themeColor="text1"/>
                <w:sz w:val="20"/>
                <w:szCs w:val="20"/>
              </w:rPr>
              <w:t xml:space="preserve">Community </w:t>
            </w:r>
          </w:p>
          <w:p w14:paraId="279D2611" w14:textId="77777777" w:rsidR="007B60FE" w:rsidRDefault="007B60FE">
            <w:pPr>
              <w:ind w:right="-432"/>
              <w:rPr>
                <w:rFonts w:ascii="Arial" w:hAnsi="Arial" w:cs="Arial"/>
                <w:color w:val="000000" w:themeColor="text1"/>
                <w:sz w:val="20"/>
                <w:szCs w:val="20"/>
              </w:rPr>
            </w:pPr>
            <w:r>
              <w:rPr>
                <w:rFonts w:ascii="Arial" w:hAnsi="Arial" w:cs="Arial"/>
                <w:color w:val="000000" w:themeColor="text1"/>
                <w:sz w:val="20"/>
                <w:szCs w:val="20"/>
              </w:rPr>
              <w:t xml:space="preserve">College </w:t>
            </w:r>
          </w:p>
          <w:p w14:paraId="57B6017C" w14:textId="52CA113F" w:rsidR="007B60FE" w:rsidRPr="007B60FE" w:rsidRDefault="007B60FE">
            <w:pPr>
              <w:ind w:right="-432"/>
              <w:rPr>
                <w:rFonts w:ascii="Arial" w:hAnsi="Arial" w:cs="Arial"/>
                <w:color w:val="000000" w:themeColor="text1"/>
                <w:sz w:val="20"/>
                <w:szCs w:val="20"/>
              </w:rPr>
            </w:pPr>
            <w:r>
              <w:rPr>
                <w:rFonts w:ascii="Arial" w:hAnsi="Arial" w:cs="Arial"/>
                <w:color w:val="000000" w:themeColor="text1"/>
                <w:sz w:val="20"/>
                <w:szCs w:val="20"/>
              </w:rPr>
              <w:t>SE Campus</w:t>
            </w:r>
          </w:p>
        </w:tc>
        <w:tc>
          <w:tcPr>
            <w:tcW w:w="1620" w:type="dxa"/>
          </w:tcPr>
          <w:p w14:paraId="2D048B22" w14:textId="77777777" w:rsidR="007B60FE" w:rsidRDefault="007B60FE">
            <w:pPr>
              <w:ind w:right="-432"/>
              <w:rPr>
                <w:rFonts w:ascii="Arial" w:hAnsi="Arial" w:cs="Arial"/>
                <w:color w:val="000000" w:themeColor="text1"/>
                <w:sz w:val="20"/>
                <w:szCs w:val="20"/>
              </w:rPr>
            </w:pPr>
            <w:r>
              <w:rPr>
                <w:rFonts w:ascii="Arial" w:hAnsi="Arial" w:cs="Arial"/>
                <w:color w:val="000000" w:themeColor="text1"/>
                <w:sz w:val="20"/>
                <w:szCs w:val="20"/>
              </w:rPr>
              <w:t xml:space="preserve">Oregon </w:t>
            </w:r>
          </w:p>
          <w:p w14:paraId="01BE0199" w14:textId="77777777" w:rsidR="007B60FE" w:rsidRDefault="007B60FE">
            <w:pPr>
              <w:ind w:right="-432"/>
              <w:rPr>
                <w:rFonts w:ascii="Arial" w:hAnsi="Arial" w:cs="Arial"/>
                <w:color w:val="000000" w:themeColor="text1"/>
                <w:sz w:val="20"/>
                <w:szCs w:val="20"/>
              </w:rPr>
            </w:pPr>
            <w:r>
              <w:rPr>
                <w:rFonts w:ascii="Arial" w:hAnsi="Arial" w:cs="Arial"/>
                <w:color w:val="000000" w:themeColor="text1"/>
                <w:sz w:val="20"/>
                <w:szCs w:val="20"/>
              </w:rPr>
              <w:t>Convention</w:t>
            </w:r>
          </w:p>
          <w:p w14:paraId="7C63E13D" w14:textId="261FC820" w:rsidR="007B60FE" w:rsidRPr="007B60FE" w:rsidRDefault="007B60FE">
            <w:pPr>
              <w:ind w:right="-432"/>
              <w:rPr>
                <w:rFonts w:ascii="Arial" w:hAnsi="Arial" w:cs="Arial"/>
                <w:color w:val="000000" w:themeColor="text1"/>
                <w:sz w:val="20"/>
                <w:szCs w:val="20"/>
              </w:rPr>
            </w:pPr>
            <w:r>
              <w:rPr>
                <w:rFonts w:ascii="Arial" w:hAnsi="Arial" w:cs="Arial"/>
                <w:color w:val="000000" w:themeColor="text1"/>
                <w:sz w:val="20"/>
                <w:szCs w:val="20"/>
              </w:rPr>
              <w:t>Center</w:t>
            </w:r>
          </w:p>
        </w:tc>
      </w:tr>
      <w:tr w:rsidR="003905A8" w:rsidRPr="003905A8" w14:paraId="193A8BEC" w14:textId="77777777" w:rsidTr="00CA7D74">
        <w:tc>
          <w:tcPr>
            <w:tcW w:w="0" w:type="auto"/>
          </w:tcPr>
          <w:p w14:paraId="37DB072D" w14:textId="715006BF" w:rsidR="003905A8" w:rsidRDefault="008D2879">
            <w:pPr>
              <w:ind w:right="-432"/>
              <w:rPr>
                <w:rFonts w:ascii="Arial" w:hAnsi="Arial" w:cs="Arial"/>
                <w:color w:val="000000"/>
                <w:sz w:val="20"/>
                <w:szCs w:val="20"/>
              </w:rPr>
            </w:pPr>
            <w:r w:rsidRPr="003905A8">
              <w:rPr>
                <w:rFonts w:ascii="Arial" w:hAnsi="Arial" w:cs="Arial"/>
                <w:color w:val="000000"/>
                <w:sz w:val="20"/>
                <w:szCs w:val="20"/>
              </w:rPr>
              <w:t xml:space="preserve">Street </w:t>
            </w:r>
          </w:p>
          <w:p w14:paraId="5B809B85" w14:textId="68AF20B6" w:rsidR="008D2879" w:rsidRPr="003905A8" w:rsidRDefault="008D2879">
            <w:pPr>
              <w:ind w:right="-432"/>
              <w:rPr>
                <w:rFonts w:ascii="Arial" w:hAnsi="Arial" w:cs="Arial"/>
                <w:color w:val="000000"/>
                <w:sz w:val="20"/>
                <w:szCs w:val="20"/>
              </w:rPr>
            </w:pPr>
            <w:r w:rsidRPr="003905A8">
              <w:rPr>
                <w:rFonts w:ascii="Arial" w:hAnsi="Arial" w:cs="Arial"/>
                <w:color w:val="000000"/>
                <w:sz w:val="20"/>
                <w:szCs w:val="20"/>
              </w:rPr>
              <w:t>Address</w:t>
            </w:r>
          </w:p>
        </w:tc>
        <w:tc>
          <w:tcPr>
            <w:tcW w:w="1636" w:type="dxa"/>
          </w:tcPr>
          <w:p w14:paraId="0B8979CC" w14:textId="77777777" w:rsidR="003905A8" w:rsidRDefault="008D2879">
            <w:pPr>
              <w:ind w:right="-432"/>
              <w:rPr>
                <w:rFonts w:ascii="Arial" w:hAnsi="Arial" w:cs="Arial"/>
                <w:color w:val="000000"/>
                <w:sz w:val="20"/>
                <w:szCs w:val="20"/>
              </w:rPr>
            </w:pPr>
            <w:r w:rsidRPr="003905A8">
              <w:rPr>
                <w:rFonts w:ascii="Arial" w:hAnsi="Arial" w:cs="Arial"/>
                <w:color w:val="000000"/>
                <w:sz w:val="20"/>
                <w:szCs w:val="20"/>
              </w:rPr>
              <w:t>221 Stewart Ave</w:t>
            </w:r>
            <w:r w:rsidR="003905A8">
              <w:rPr>
                <w:rFonts w:ascii="Arial" w:hAnsi="Arial" w:cs="Arial"/>
                <w:color w:val="000000"/>
                <w:sz w:val="20"/>
                <w:szCs w:val="20"/>
              </w:rPr>
              <w:t>.</w:t>
            </w:r>
          </w:p>
          <w:p w14:paraId="6FDB34AD" w14:textId="397E2841" w:rsidR="008D2879" w:rsidRPr="003905A8" w:rsidRDefault="008D2879">
            <w:pPr>
              <w:ind w:right="-432"/>
              <w:rPr>
                <w:rFonts w:ascii="Arial" w:hAnsi="Arial" w:cs="Arial"/>
                <w:color w:val="000000"/>
                <w:sz w:val="20"/>
                <w:szCs w:val="20"/>
              </w:rPr>
            </w:pPr>
            <w:r w:rsidRPr="003905A8">
              <w:rPr>
                <w:rFonts w:ascii="Arial" w:hAnsi="Arial" w:cs="Arial"/>
                <w:color w:val="000000"/>
                <w:sz w:val="20"/>
                <w:szCs w:val="20"/>
              </w:rPr>
              <w:t>Suite 201</w:t>
            </w:r>
          </w:p>
          <w:p w14:paraId="0FE9693B" w14:textId="77777777" w:rsidR="003905A8" w:rsidRDefault="008D2879">
            <w:pPr>
              <w:ind w:right="-432"/>
              <w:rPr>
                <w:rFonts w:ascii="Arial" w:hAnsi="Arial" w:cs="Arial"/>
                <w:color w:val="000000"/>
                <w:sz w:val="20"/>
                <w:szCs w:val="20"/>
              </w:rPr>
            </w:pPr>
            <w:r w:rsidRPr="003905A8">
              <w:rPr>
                <w:rFonts w:ascii="Arial" w:hAnsi="Arial" w:cs="Arial"/>
                <w:color w:val="000000"/>
                <w:sz w:val="20"/>
                <w:szCs w:val="20"/>
              </w:rPr>
              <w:t xml:space="preserve">Medford, OR </w:t>
            </w:r>
          </w:p>
          <w:p w14:paraId="4780B840" w14:textId="0876C87D" w:rsidR="008D2879" w:rsidRPr="003905A8" w:rsidRDefault="008D2879">
            <w:pPr>
              <w:ind w:right="-432"/>
              <w:rPr>
                <w:rFonts w:ascii="Arial" w:hAnsi="Arial" w:cs="Arial"/>
                <w:color w:val="000000"/>
                <w:sz w:val="20"/>
                <w:szCs w:val="20"/>
              </w:rPr>
            </w:pPr>
            <w:r w:rsidRPr="003905A8">
              <w:rPr>
                <w:rFonts w:ascii="Arial" w:hAnsi="Arial" w:cs="Arial"/>
                <w:color w:val="000000"/>
                <w:sz w:val="20"/>
                <w:szCs w:val="20"/>
              </w:rPr>
              <w:t>97501</w:t>
            </w:r>
          </w:p>
          <w:p w14:paraId="30293C34" w14:textId="77777777" w:rsidR="008D2879" w:rsidRPr="003905A8" w:rsidRDefault="008D2879">
            <w:pPr>
              <w:ind w:right="-432"/>
              <w:rPr>
                <w:rFonts w:ascii="Arial" w:hAnsi="Arial" w:cs="Arial"/>
                <w:color w:val="000000"/>
                <w:sz w:val="20"/>
                <w:szCs w:val="20"/>
              </w:rPr>
            </w:pPr>
          </w:p>
        </w:tc>
        <w:tc>
          <w:tcPr>
            <w:tcW w:w="2134" w:type="dxa"/>
          </w:tcPr>
          <w:p w14:paraId="0693CB93" w14:textId="77777777" w:rsidR="003905A8" w:rsidRDefault="003905A8">
            <w:pPr>
              <w:ind w:right="-432"/>
              <w:rPr>
                <w:rFonts w:ascii="Arial" w:hAnsi="Arial" w:cs="Arial"/>
                <w:color w:val="000000"/>
                <w:sz w:val="20"/>
                <w:szCs w:val="20"/>
              </w:rPr>
            </w:pPr>
            <w:r>
              <w:rPr>
                <w:rFonts w:ascii="Arial" w:hAnsi="Arial" w:cs="Arial"/>
                <w:color w:val="000000"/>
                <w:sz w:val="20"/>
                <w:szCs w:val="20"/>
              </w:rPr>
              <w:t xml:space="preserve">525 Anderson </w:t>
            </w:r>
          </w:p>
          <w:p w14:paraId="38F75F46" w14:textId="6EF569FE" w:rsidR="008D2879" w:rsidRPr="003905A8" w:rsidRDefault="003905A8">
            <w:pPr>
              <w:ind w:right="-432"/>
              <w:rPr>
                <w:rFonts w:ascii="Arial" w:hAnsi="Arial" w:cs="Arial"/>
                <w:color w:val="000000"/>
                <w:sz w:val="20"/>
                <w:szCs w:val="20"/>
              </w:rPr>
            </w:pPr>
            <w:r>
              <w:rPr>
                <w:rFonts w:ascii="Arial" w:hAnsi="Arial" w:cs="Arial"/>
                <w:color w:val="000000"/>
                <w:sz w:val="20"/>
                <w:szCs w:val="20"/>
              </w:rPr>
              <w:t>Ave.</w:t>
            </w:r>
          </w:p>
          <w:p w14:paraId="050EC5BE" w14:textId="30FAB8AA" w:rsidR="008D2879" w:rsidRPr="003905A8" w:rsidRDefault="008D2879" w:rsidP="003905A8">
            <w:pPr>
              <w:ind w:right="-432"/>
              <w:rPr>
                <w:rFonts w:ascii="Arial" w:hAnsi="Arial" w:cs="Arial"/>
                <w:color w:val="000000"/>
                <w:sz w:val="20"/>
                <w:szCs w:val="20"/>
              </w:rPr>
            </w:pPr>
            <w:r w:rsidRPr="003905A8">
              <w:rPr>
                <w:rFonts w:ascii="Arial" w:eastAsia="Calibri" w:hAnsi="Arial" w:cs="Arial"/>
                <w:color w:val="000000"/>
                <w:sz w:val="20"/>
                <w:szCs w:val="20"/>
              </w:rPr>
              <w:t>Coos Bay, O</w:t>
            </w:r>
            <w:r w:rsidR="003905A8">
              <w:rPr>
                <w:rFonts w:ascii="Arial" w:eastAsia="Calibri" w:hAnsi="Arial" w:cs="Arial"/>
                <w:color w:val="000000"/>
                <w:sz w:val="20"/>
                <w:szCs w:val="20"/>
              </w:rPr>
              <w:t>R</w:t>
            </w:r>
            <w:r w:rsidRPr="003905A8">
              <w:rPr>
                <w:rFonts w:ascii="Arial" w:eastAsia="Calibri" w:hAnsi="Arial" w:cs="Arial"/>
                <w:color w:val="000000"/>
                <w:sz w:val="20"/>
                <w:szCs w:val="20"/>
              </w:rPr>
              <w:t xml:space="preserve"> 97420</w:t>
            </w:r>
          </w:p>
        </w:tc>
        <w:tc>
          <w:tcPr>
            <w:tcW w:w="1447" w:type="dxa"/>
          </w:tcPr>
          <w:p w14:paraId="22C4BE2D" w14:textId="77777777" w:rsidR="008D2879" w:rsidRPr="003905A8" w:rsidRDefault="008D2879">
            <w:pPr>
              <w:ind w:right="-432"/>
              <w:rPr>
                <w:rFonts w:ascii="Arial" w:hAnsi="Arial" w:cs="Arial"/>
                <w:color w:val="000000"/>
                <w:sz w:val="20"/>
                <w:szCs w:val="20"/>
              </w:rPr>
            </w:pPr>
            <w:r w:rsidRPr="003905A8">
              <w:rPr>
                <w:rFonts w:ascii="Arial" w:hAnsi="Arial" w:cs="Arial"/>
                <w:color w:val="000000"/>
                <w:sz w:val="20"/>
                <w:szCs w:val="20"/>
              </w:rPr>
              <w:t>4950 NW Fair Oaks Dr.</w:t>
            </w:r>
          </w:p>
          <w:p w14:paraId="70C08801" w14:textId="77777777" w:rsidR="008D2879" w:rsidRPr="003905A8" w:rsidRDefault="008D2879">
            <w:pPr>
              <w:ind w:right="-432"/>
              <w:rPr>
                <w:rFonts w:ascii="Arial" w:hAnsi="Arial" w:cs="Arial"/>
                <w:color w:val="000000"/>
                <w:sz w:val="20"/>
                <w:szCs w:val="20"/>
              </w:rPr>
            </w:pPr>
            <w:r w:rsidRPr="003905A8">
              <w:rPr>
                <w:rFonts w:ascii="Arial" w:hAnsi="Arial" w:cs="Arial"/>
                <w:color w:val="000000"/>
                <w:sz w:val="20"/>
                <w:szCs w:val="20"/>
              </w:rPr>
              <w:t>Corvallis, OR 97330</w:t>
            </w:r>
          </w:p>
          <w:p w14:paraId="252E8F64" w14:textId="77777777" w:rsidR="008D2879" w:rsidRPr="003905A8" w:rsidRDefault="008D2879">
            <w:pPr>
              <w:ind w:right="-432"/>
              <w:rPr>
                <w:rFonts w:ascii="Arial" w:hAnsi="Arial" w:cs="Arial"/>
                <w:color w:val="000000"/>
                <w:sz w:val="20"/>
                <w:szCs w:val="20"/>
              </w:rPr>
            </w:pPr>
          </w:p>
        </w:tc>
        <w:tc>
          <w:tcPr>
            <w:tcW w:w="1549" w:type="dxa"/>
          </w:tcPr>
          <w:p w14:paraId="063FC114" w14:textId="77777777" w:rsidR="008D2879" w:rsidRPr="003905A8" w:rsidRDefault="008D2879">
            <w:pPr>
              <w:ind w:right="-432"/>
              <w:rPr>
                <w:rFonts w:ascii="Arial" w:hAnsi="Arial" w:cs="Arial"/>
                <w:color w:val="000000"/>
                <w:sz w:val="20"/>
                <w:szCs w:val="20"/>
              </w:rPr>
            </w:pPr>
            <w:r w:rsidRPr="003905A8">
              <w:rPr>
                <w:rFonts w:ascii="Arial" w:hAnsi="Arial" w:cs="Arial"/>
                <w:color w:val="000000"/>
                <w:sz w:val="20"/>
                <w:szCs w:val="20"/>
              </w:rPr>
              <w:t>502 SW Dorion Ave</w:t>
            </w:r>
          </w:p>
          <w:p w14:paraId="56DED642" w14:textId="25378F75" w:rsidR="008D2879" w:rsidRPr="003905A8" w:rsidRDefault="007B60FE">
            <w:pPr>
              <w:ind w:right="-432"/>
              <w:rPr>
                <w:rFonts w:ascii="Arial" w:hAnsi="Arial" w:cs="Arial"/>
                <w:color w:val="000000"/>
                <w:sz w:val="20"/>
                <w:szCs w:val="20"/>
              </w:rPr>
            </w:pPr>
            <w:r>
              <w:rPr>
                <w:rFonts w:ascii="Arial" w:hAnsi="Arial" w:cs="Arial"/>
                <w:color w:val="000000"/>
                <w:sz w:val="20"/>
                <w:szCs w:val="20"/>
              </w:rPr>
              <w:t>Pendleton, OR</w:t>
            </w:r>
            <w:r w:rsidR="008D2879" w:rsidRPr="003905A8">
              <w:rPr>
                <w:rFonts w:ascii="Arial" w:hAnsi="Arial" w:cs="Arial"/>
                <w:color w:val="000000"/>
                <w:sz w:val="20"/>
                <w:szCs w:val="20"/>
              </w:rPr>
              <w:t xml:space="preserve"> 97801</w:t>
            </w:r>
          </w:p>
        </w:tc>
        <w:tc>
          <w:tcPr>
            <w:tcW w:w="1710" w:type="dxa"/>
          </w:tcPr>
          <w:p w14:paraId="439ED160" w14:textId="77777777" w:rsidR="008D2879" w:rsidRDefault="007B60FE">
            <w:pPr>
              <w:ind w:right="-432"/>
              <w:rPr>
                <w:rFonts w:ascii="Arial" w:hAnsi="Arial" w:cs="Arial"/>
                <w:color w:val="000000"/>
                <w:sz w:val="20"/>
                <w:szCs w:val="20"/>
              </w:rPr>
            </w:pPr>
            <w:r>
              <w:rPr>
                <w:rFonts w:ascii="Arial" w:hAnsi="Arial" w:cs="Arial"/>
                <w:color w:val="000000"/>
                <w:sz w:val="20"/>
                <w:szCs w:val="20"/>
              </w:rPr>
              <w:t>2305 SE 82</w:t>
            </w:r>
            <w:r w:rsidRPr="007B60FE">
              <w:rPr>
                <w:rFonts w:ascii="Arial" w:hAnsi="Arial" w:cs="Arial"/>
                <w:color w:val="000000"/>
                <w:sz w:val="20"/>
                <w:szCs w:val="20"/>
                <w:vertAlign w:val="superscript"/>
              </w:rPr>
              <w:t>nd</w:t>
            </w:r>
            <w:r>
              <w:rPr>
                <w:rFonts w:ascii="Arial" w:hAnsi="Arial" w:cs="Arial"/>
                <w:color w:val="000000"/>
                <w:sz w:val="20"/>
                <w:szCs w:val="20"/>
              </w:rPr>
              <w:t xml:space="preserve"> Ave.</w:t>
            </w:r>
          </w:p>
          <w:p w14:paraId="5F874229" w14:textId="77777777" w:rsidR="007B60FE" w:rsidRDefault="007B60FE">
            <w:pPr>
              <w:ind w:right="-432"/>
              <w:rPr>
                <w:rFonts w:ascii="Arial" w:hAnsi="Arial" w:cs="Arial"/>
                <w:color w:val="000000"/>
                <w:sz w:val="20"/>
                <w:szCs w:val="20"/>
              </w:rPr>
            </w:pPr>
            <w:r>
              <w:rPr>
                <w:rFonts w:ascii="Arial" w:hAnsi="Arial" w:cs="Arial"/>
                <w:color w:val="000000"/>
                <w:sz w:val="20"/>
                <w:szCs w:val="20"/>
              </w:rPr>
              <w:t>Portland, OR</w:t>
            </w:r>
          </w:p>
          <w:p w14:paraId="3DCE9272" w14:textId="630203BF" w:rsidR="007B60FE" w:rsidRPr="003905A8" w:rsidRDefault="007B60FE">
            <w:pPr>
              <w:ind w:right="-432"/>
              <w:rPr>
                <w:rFonts w:ascii="Arial" w:hAnsi="Arial" w:cs="Arial"/>
                <w:color w:val="000000"/>
                <w:sz w:val="20"/>
                <w:szCs w:val="20"/>
              </w:rPr>
            </w:pPr>
            <w:r>
              <w:rPr>
                <w:rFonts w:ascii="Arial" w:hAnsi="Arial" w:cs="Arial"/>
                <w:color w:val="000000"/>
                <w:sz w:val="20"/>
                <w:szCs w:val="20"/>
              </w:rPr>
              <w:t>97216</w:t>
            </w:r>
          </w:p>
        </w:tc>
        <w:tc>
          <w:tcPr>
            <w:tcW w:w="1620" w:type="dxa"/>
          </w:tcPr>
          <w:p w14:paraId="30D3BF13" w14:textId="77777777" w:rsidR="008D2879" w:rsidRDefault="007B60FE">
            <w:pPr>
              <w:ind w:right="-432"/>
              <w:rPr>
                <w:rFonts w:ascii="Arial" w:hAnsi="Arial" w:cs="Arial"/>
                <w:color w:val="000000"/>
                <w:sz w:val="20"/>
                <w:szCs w:val="20"/>
              </w:rPr>
            </w:pPr>
            <w:r>
              <w:rPr>
                <w:rFonts w:ascii="Arial" w:hAnsi="Arial" w:cs="Arial"/>
                <w:color w:val="000000"/>
                <w:sz w:val="20"/>
                <w:szCs w:val="20"/>
              </w:rPr>
              <w:t>777 NE Martin</w:t>
            </w:r>
          </w:p>
          <w:p w14:paraId="6BC43747" w14:textId="77777777" w:rsidR="007B60FE" w:rsidRDefault="007B60FE">
            <w:pPr>
              <w:ind w:right="-432"/>
              <w:rPr>
                <w:rFonts w:ascii="Arial" w:hAnsi="Arial" w:cs="Arial"/>
                <w:color w:val="000000"/>
                <w:sz w:val="20"/>
                <w:szCs w:val="20"/>
              </w:rPr>
            </w:pPr>
            <w:r>
              <w:rPr>
                <w:rFonts w:ascii="Arial" w:hAnsi="Arial" w:cs="Arial"/>
                <w:color w:val="000000"/>
                <w:sz w:val="20"/>
                <w:szCs w:val="20"/>
              </w:rPr>
              <w:t>Luther King Jr.</w:t>
            </w:r>
          </w:p>
          <w:p w14:paraId="2950537E" w14:textId="77777777" w:rsidR="007B60FE" w:rsidRDefault="007B60FE">
            <w:pPr>
              <w:ind w:right="-432"/>
              <w:rPr>
                <w:rFonts w:ascii="Arial" w:hAnsi="Arial" w:cs="Arial"/>
                <w:color w:val="000000"/>
                <w:sz w:val="20"/>
                <w:szCs w:val="20"/>
              </w:rPr>
            </w:pPr>
            <w:r>
              <w:rPr>
                <w:rFonts w:ascii="Arial" w:hAnsi="Arial" w:cs="Arial"/>
                <w:color w:val="000000"/>
                <w:sz w:val="20"/>
                <w:szCs w:val="20"/>
              </w:rPr>
              <w:t>Blvd. Portland,</w:t>
            </w:r>
          </w:p>
          <w:p w14:paraId="38D4EB8B" w14:textId="51E2DF74" w:rsidR="007B60FE" w:rsidRPr="003905A8" w:rsidRDefault="007B60FE">
            <w:pPr>
              <w:ind w:right="-432"/>
              <w:rPr>
                <w:rFonts w:ascii="Arial" w:hAnsi="Arial" w:cs="Arial"/>
                <w:color w:val="000000"/>
                <w:sz w:val="20"/>
                <w:szCs w:val="20"/>
              </w:rPr>
            </w:pPr>
            <w:r>
              <w:rPr>
                <w:rFonts w:ascii="Arial" w:hAnsi="Arial" w:cs="Arial"/>
                <w:color w:val="000000"/>
                <w:sz w:val="20"/>
                <w:szCs w:val="20"/>
              </w:rPr>
              <w:t>OR 97232</w:t>
            </w:r>
          </w:p>
        </w:tc>
      </w:tr>
      <w:tr w:rsidR="00356236" w:rsidRPr="003905A8" w14:paraId="474CA629" w14:textId="77777777" w:rsidTr="00CA7D74">
        <w:trPr>
          <w:trHeight w:val="530"/>
        </w:trPr>
        <w:tc>
          <w:tcPr>
            <w:tcW w:w="0" w:type="auto"/>
          </w:tcPr>
          <w:p w14:paraId="22EA4B7E" w14:textId="4D177BD2" w:rsidR="00356236" w:rsidRPr="003905A8" w:rsidRDefault="00356236" w:rsidP="00356236">
            <w:pPr>
              <w:ind w:right="-432"/>
              <w:rPr>
                <w:rFonts w:ascii="Arial" w:hAnsi="Arial" w:cs="Arial"/>
                <w:sz w:val="20"/>
                <w:szCs w:val="20"/>
              </w:rPr>
            </w:pPr>
            <w:r w:rsidRPr="003905A8">
              <w:rPr>
                <w:rFonts w:ascii="Arial" w:hAnsi="Arial" w:cs="Arial"/>
                <w:color w:val="000000"/>
                <w:sz w:val="20"/>
                <w:szCs w:val="20"/>
              </w:rPr>
              <w:t>City</w:t>
            </w:r>
          </w:p>
        </w:tc>
        <w:tc>
          <w:tcPr>
            <w:tcW w:w="1636" w:type="dxa"/>
          </w:tcPr>
          <w:p w14:paraId="115EDDB1" w14:textId="18F5F9F0" w:rsidR="00356236" w:rsidRPr="003905A8" w:rsidRDefault="00356236" w:rsidP="00356236">
            <w:pPr>
              <w:ind w:right="-432"/>
              <w:rPr>
                <w:rFonts w:ascii="Arial" w:hAnsi="Arial" w:cs="Arial"/>
                <w:sz w:val="20"/>
                <w:szCs w:val="20"/>
              </w:rPr>
            </w:pPr>
            <w:r w:rsidRPr="003905A8">
              <w:rPr>
                <w:rFonts w:ascii="Arial" w:hAnsi="Arial" w:cs="Arial"/>
                <w:color w:val="000000"/>
                <w:sz w:val="20"/>
                <w:szCs w:val="20"/>
              </w:rPr>
              <w:t>Medford</w:t>
            </w:r>
          </w:p>
        </w:tc>
        <w:tc>
          <w:tcPr>
            <w:tcW w:w="2134" w:type="dxa"/>
          </w:tcPr>
          <w:p w14:paraId="7F6B9CA0" w14:textId="2F822D14" w:rsidR="00356236" w:rsidRPr="003905A8" w:rsidRDefault="00356236" w:rsidP="00356236">
            <w:pPr>
              <w:ind w:right="-432"/>
              <w:rPr>
                <w:rFonts w:ascii="Arial" w:hAnsi="Arial" w:cs="Arial"/>
                <w:sz w:val="20"/>
                <w:szCs w:val="20"/>
              </w:rPr>
            </w:pPr>
            <w:r w:rsidRPr="003905A8">
              <w:rPr>
                <w:rFonts w:ascii="Arial" w:hAnsi="Arial" w:cs="Arial"/>
                <w:color w:val="000000"/>
                <w:sz w:val="20"/>
                <w:szCs w:val="20"/>
              </w:rPr>
              <w:t>Coos Bay</w:t>
            </w:r>
          </w:p>
        </w:tc>
        <w:tc>
          <w:tcPr>
            <w:tcW w:w="1447" w:type="dxa"/>
          </w:tcPr>
          <w:p w14:paraId="5E649159" w14:textId="30081748" w:rsidR="00356236" w:rsidRPr="003905A8" w:rsidRDefault="00356236" w:rsidP="00356236">
            <w:pPr>
              <w:ind w:right="-432"/>
              <w:rPr>
                <w:rFonts w:ascii="Arial" w:hAnsi="Arial" w:cs="Arial"/>
                <w:sz w:val="20"/>
                <w:szCs w:val="20"/>
              </w:rPr>
            </w:pPr>
            <w:r w:rsidRPr="003905A8">
              <w:rPr>
                <w:rFonts w:ascii="Arial" w:hAnsi="Arial" w:cs="Arial"/>
                <w:color w:val="000000"/>
                <w:sz w:val="20"/>
                <w:szCs w:val="20"/>
              </w:rPr>
              <w:t>Corvallis</w:t>
            </w:r>
          </w:p>
        </w:tc>
        <w:tc>
          <w:tcPr>
            <w:tcW w:w="1549" w:type="dxa"/>
          </w:tcPr>
          <w:p w14:paraId="5328DA79" w14:textId="4171F5C8" w:rsidR="00356236" w:rsidRPr="003905A8" w:rsidRDefault="00356236" w:rsidP="00356236">
            <w:pPr>
              <w:ind w:right="-432"/>
              <w:rPr>
                <w:rFonts w:ascii="Arial" w:hAnsi="Arial" w:cs="Arial"/>
                <w:sz w:val="20"/>
                <w:szCs w:val="20"/>
              </w:rPr>
            </w:pPr>
            <w:r w:rsidRPr="003905A8">
              <w:rPr>
                <w:rFonts w:ascii="Arial" w:hAnsi="Arial" w:cs="Arial"/>
                <w:color w:val="000000"/>
                <w:sz w:val="20"/>
                <w:szCs w:val="20"/>
              </w:rPr>
              <w:t>Pendleton</w:t>
            </w:r>
          </w:p>
        </w:tc>
        <w:tc>
          <w:tcPr>
            <w:tcW w:w="1710" w:type="dxa"/>
          </w:tcPr>
          <w:p w14:paraId="6152374F" w14:textId="4BEEBE37" w:rsidR="00356236" w:rsidRPr="003905A8" w:rsidRDefault="00356236" w:rsidP="00356236">
            <w:pPr>
              <w:ind w:right="-432"/>
              <w:rPr>
                <w:rFonts w:ascii="Arial" w:hAnsi="Arial" w:cs="Arial"/>
                <w:sz w:val="20"/>
                <w:szCs w:val="20"/>
              </w:rPr>
            </w:pPr>
            <w:r w:rsidRPr="003905A8">
              <w:rPr>
                <w:rFonts w:ascii="Arial" w:hAnsi="Arial" w:cs="Arial"/>
                <w:color w:val="000000"/>
                <w:sz w:val="20"/>
                <w:szCs w:val="20"/>
              </w:rPr>
              <w:t>Portland</w:t>
            </w:r>
          </w:p>
        </w:tc>
        <w:tc>
          <w:tcPr>
            <w:tcW w:w="1620" w:type="dxa"/>
          </w:tcPr>
          <w:p w14:paraId="2A20CC5C" w14:textId="2104258A" w:rsidR="00356236" w:rsidRDefault="00356236" w:rsidP="00356236">
            <w:pPr>
              <w:ind w:right="-432"/>
              <w:rPr>
                <w:rFonts w:ascii="Arial" w:hAnsi="Arial" w:cs="Arial"/>
                <w:sz w:val="20"/>
                <w:szCs w:val="20"/>
              </w:rPr>
            </w:pPr>
            <w:r>
              <w:rPr>
                <w:rFonts w:ascii="Arial" w:hAnsi="Arial" w:cs="Arial"/>
                <w:color w:val="000000"/>
                <w:sz w:val="20"/>
                <w:szCs w:val="20"/>
              </w:rPr>
              <w:t>Portland</w:t>
            </w:r>
          </w:p>
        </w:tc>
      </w:tr>
      <w:tr w:rsidR="00356236" w:rsidRPr="003905A8" w14:paraId="08009B8F" w14:textId="77777777" w:rsidTr="00CA7D74">
        <w:trPr>
          <w:trHeight w:val="719"/>
        </w:trPr>
        <w:tc>
          <w:tcPr>
            <w:tcW w:w="0" w:type="auto"/>
          </w:tcPr>
          <w:p w14:paraId="04169B80" w14:textId="77777777" w:rsidR="00356236" w:rsidRPr="003905A8" w:rsidRDefault="00356236">
            <w:pPr>
              <w:ind w:right="-432"/>
              <w:rPr>
                <w:rFonts w:ascii="Arial" w:hAnsi="Arial" w:cs="Arial"/>
                <w:color w:val="000000"/>
                <w:sz w:val="20"/>
                <w:szCs w:val="20"/>
              </w:rPr>
            </w:pPr>
            <w:r w:rsidRPr="003905A8">
              <w:rPr>
                <w:rFonts w:ascii="Arial" w:hAnsi="Arial" w:cs="Arial"/>
                <w:color w:val="000000"/>
                <w:sz w:val="20"/>
                <w:szCs w:val="20"/>
              </w:rPr>
              <w:t xml:space="preserve">Call-in </w:t>
            </w:r>
          </w:p>
          <w:p w14:paraId="72582595" w14:textId="77777777" w:rsidR="00356236" w:rsidRDefault="00356236">
            <w:pPr>
              <w:ind w:right="-432"/>
              <w:rPr>
                <w:rFonts w:ascii="Arial" w:hAnsi="Arial" w:cs="Arial"/>
                <w:color w:val="000000"/>
                <w:sz w:val="20"/>
                <w:szCs w:val="20"/>
              </w:rPr>
            </w:pPr>
            <w:r w:rsidRPr="003905A8">
              <w:rPr>
                <w:rFonts w:ascii="Arial" w:hAnsi="Arial" w:cs="Arial"/>
                <w:color w:val="000000"/>
                <w:sz w:val="20"/>
                <w:szCs w:val="20"/>
              </w:rPr>
              <w:t xml:space="preserve">Phone </w:t>
            </w:r>
          </w:p>
          <w:p w14:paraId="76168CC3" w14:textId="3AA6CC26" w:rsidR="00356236" w:rsidRPr="003905A8" w:rsidRDefault="00356236">
            <w:pPr>
              <w:ind w:right="-432"/>
              <w:rPr>
                <w:rFonts w:ascii="Arial" w:hAnsi="Arial" w:cs="Arial"/>
                <w:color w:val="000000"/>
                <w:sz w:val="20"/>
                <w:szCs w:val="20"/>
              </w:rPr>
            </w:pPr>
            <w:r w:rsidRPr="003905A8">
              <w:rPr>
                <w:rFonts w:ascii="Arial" w:hAnsi="Arial" w:cs="Arial"/>
                <w:color w:val="000000"/>
                <w:sz w:val="20"/>
                <w:szCs w:val="20"/>
              </w:rPr>
              <w:t>Number</w:t>
            </w:r>
          </w:p>
        </w:tc>
        <w:tc>
          <w:tcPr>
            <w:tcW w:w="10096" w:type="dxa"/>
            <w:gridSpan w:val="6"/>
            <w:vAlign w:val="center"/>
          </w:tcPr>
          <w:p w14:paraId="3E7A8914" w14:textId="77777777" w:rsidR="00356236" w:rsidRDefault="00356236" w:rsidP="005F6851">
            <w:pPr>
              <w:ind w:right="1145"/>
              <w:jc w:val="center"/>
              <w:rPr>
                <w:i/>
                <w:iCs/>
              </w:rPr>
            </w:pPr>
            <w:r w:rsidRPr="0058136E">
              <w:rPr>
                <w:rFonts w:ascii="Arial" w:hAnsi="Arial" w:cs="Arial"/>
                <w:color w:val="000000"/>
                <w:sz w:val="20"/>
                <w:szCs w:val="20"/>
              </w:rPr>
              <w:t>Meeting Call-In Number: 888-278-0296 | Participant Code: 8040259</w:t>
            </w:r>
          </w:p>
          <w:p w14:paraId="5F86766A" w14:textId="0CBF90B1" w:rsidR="00356236" w:rsidRPr="003905A8" w:rsidRDefault="00356236">
            <w:pPr>
              <w:ind w:right="-432"/>
              <w:rPr>
                <w:rFonts w:ascii="Arial" w:hAnsi="Arial" w:cs="Arial"/>
                <w:color w:val="000000"/>
                <w:sz w:val="20"/>
                <w:szCs w:val="20"/>
              </w:rPr>
            </w:pPr>
          </w:p>
        </w:tc>
      </w:tr>
      <w:tr w:rsidR="00356236" w:rsidRPr="003905A8" w14:paraId="20CC010E" w14:textId="77777777" w:rsidTr="00CA7D74">
        <w:trPr>
          <w:trHeight w:val="530"/>
        </w:trPr>
        <w:tc>
          <w:tcPr>
            <w:tcW w:w="0" w:type="auto"/>
          </w:tcPr>
          <w:p w14:paraId="2DFC81E9" w14:textId="77777777" w:rsidR="00356236" w:rsidRPr="000F22E0" w:rsidRDefault="00356236">
            <w:pPr>
              <w:ind w:right="-432"/>
              <w:rPr>
                <w:rFonts w:ascii="Arial" w:hAnsi="Arial" w:cs="Arial"/>
                <w:color w:val="000000" w:themeColor="text1"/>
                <w:sz w:val="20"/>
                <w:szCs w:val="20"/>
              </w:rPr>
            </w:pPr>
            <w:r w:rsidRPr="000F22E0">
              <w:rPr>
                <w:rFonts w:ascii="Arial" w:hAnsi="Arial" w:cs="Arial"/>
                <w:color w:val="000000" w:themeColor="text1"/>
                <w:sz w:val="20"/>
                <w:szCs w:val="20"/>
              </w:rPr>
              <w:t>Presiding</w:t>
            </w:r>
          </w:p>
          <w:p w14:paraId="44DDE4A8" w14:textId="4B10901A" w:rsidR="00356236" w:rsidRPr="003905A8" w:rsidRDefault="00356236">
            <w:pPr>
              <w:ind w:right="-432"/>
              <w:rPr>
                <w:rFonts w:ascii="Arial" w:hAnsi="Arial" w:cs="Arial"/>
                <w:color w:val="000000"/>
                <w:sz w:val="20"/>
                <w:szCs w:val="20"/>
              </w:rPr>
            </w:pPr>
            <w:r w:rsidRPr="000F22E0">
              <w:rPr>
                <w:rFonts w:ascii="Arial" w:hAnsi="Arial" w:cs="Arial"/>
                <w:color w:val="000000" w:themeColor="text1"/>
                <w:sz w:val="20"/>
                <w:szCs w:val="20"/>
              </w:rPr>
              <w:t>Officer</w:t>
            </w:r>
          </w:p>
        </w:tc>
        <w:tc>
          <w:tcPr>
            <w:tcW w:w="10096" w:type="dxa"/>
            <w:gridSpan w:val="6"/>
            <w:vAlign w:val="center"/>
          </w:tcPr>
          <w:p w14:paraId="3B58B698" w14:textId="557501B9" w:rsidR="00356236" w:rsidRPr="003905A8" w:rsidRDefault="00356236" w:rsidP="00356236">
            <w:pPr>
              <w:ind w:right="1145"/>
              <w:jc w:val="center"/>
              <w:rPr>
                <w:rFonts w:ascii="Arial" w:hAnsi="Arial" w:cs="Arial"/>
                <w:color w:val="000000"/>
                <w:sz w:val="20"/>
                <w:szCs w:val="20"/>
              </w:rPr>
            </w:pPr>
            <w:r w:rsidRPr="00356236">
              <w:rPr>
                <w:rFonts w:ascii="Arial" w:hAnsi="Arial" w:cs="Arial"/>
                <w:color w:val="000000"/>
                <w:sz w:val="20"/>
                <w:szCs w:val="20"/>
              </w:rPr>
              <w:t>DEQ Staff</w:t>
            </w:r>
          </w:p>
        </w:tc>
      </w:tr>
      <w:tr w:rsidR="00356236" w:rsidRPr="003905A8" w14:paraId="002997F3" w14:textId="77777777" w:rsidTr="00CA7D74">
        <w:trPr>
          <w:trHeight w:val="710"/>
        </w:trPr>
        <w:tc>
          <w:tcPr>
            <w:tcW w:w="0" w:type="auto"/>
          </w:tcPr>
          <w:p w14:paraId="37B493FB" w14:textId="77777777" w:rsidR="00356236" w:rsidRPr="003905A8" w:rsidRDefault="00356236">
            <w:pPr>
              <w:ind w:right="-432"/>
              <w:rPr>
                <w:rFonts w:ascii="Arial" w:hAnsi="Arial" w:cs="Arial"/>
                <w:color w:val="000000"/>
                <w:sz w:val="20"/>
                <w:szCs w:val="20"/>
              </w:rPr>
            </w:pPr>
            <w:r w:rsidRPr="003905A8">
              <w:rPr>
                <w:rFonts w:ascii="Arial" w:hAnsi="Arial" w:cs="Arial"/>
                <w:color w:val="000000"/>
                <w:sz w:val="20"/>
                <w:szCs w:val="20"/>
              </w:rPr>
              <w:t xml:space="preserve">Webinar </w:t>
            </w:r>
          </w:p>
          <w:p w14:paraId="0B497002" w14:textId="259DDB54" w:rsidR="00356236" w:rsidRPr="000F22E0" w:rsidRDefault="00356236">
            <w:pPr>
              <w:ind w:right="-432"/>
              <w:rPr>
                <w:rFonts w:ascii="Arial" w:hAnsi="Arial" w:cs="Arial"/>
                <w:color w:val="000000" w:themeColor="text1"/>
                <w:sz w:val="20"/>
                <w:szCs w:val="20"/>
              </w:rPr>
            </w:pPr>
            <w:r w:rsidRPr="003905A8">
              <w:rPr>
                <w:rFonts w:ascii="Arial" w:hAnsi="Arial" w:cs="Arial"/>
                <w:color w:val="000000"/>
                <w:sz w:val="20"/>
                <w:szCs w:val="20"/>
              </w:rPr>
              <w:t>Address</w:t>
            </w:r>
          </w:p>
        </w:tc>
        <w:tc>
          <w:tcPr>
            <w:tcW w:w="10096" w:type="dxa"/>
            <w:gridSpan w:val="6"/>
          </w:tcPr>
          <w:p w14:paraId="2E456986" w14:textId="77777777" w:rsidR="00356236" w:rsidRDefault="00356236" w:rsidP="007B60FE">
            <w:pPr>
              <w:ind w:left="-78" w:right="-432"/>
              <w:jc w:val="both"/>
              <w:rPr>
                <w:rFonts w:ascii="Arial" w:hAnsi="Arial" w:cs="Arial"/>
                <w:sz w:val="18"/>
                <w:szCs w:val="18"/>
              </w:rPr>
            </w:pPr>
          </w:p>
          <w:p w14:paraId="37EDFA6B" w14:textId="77777777" w:rsidR="00356236" w:rsidRPr="000F22E0" w:rsidRDefault="006F6FDA" w:rsidP="005F6851">
            <w:pPr>
              <w:ind w:left="-78" w:right="605"/>
              <w:jc w:val="center"/>
              <w:rPr>
                <w:rFonts w:ascii="Arial" w:hAnsi="Arial" w:cs="Arial"/>
                <w:color w:val="0000FF"/>
                <w:u w:val="single"/>
              </w:rPr>
            </w:pPr>
            <w:hyperlink r:id="rId68" w:history="1">
              <w:r w:rsidR="00356236" w:rsidRPr="000F22E0">
                <w:rPr>
                  <w:rFonts w:ascii="Arial" w:hAnsi="Arial" w:cs="Arial"/>
                  <w:color w:val="0000FF"/>
                  <w:u w:val="single"/>
                </w:rPr>
                <w:t>https://connect9.uc.att.com/service32/meet/?ExEventID=88040259</w:t>
              </w:r>
            </w:hyperlink>
          </w:p>
          <w:p w14:paraId="1B5AA99C" w14:textId="4AAA6FA1" w:rsidR="00356236" w:rsidRPr="000F22E0" w:rsidRDefault="006F6FDA" w:rsidP="00CA7D74">
            <w:pPr>
              <w:ind w:left="-78" w:right="1415"/>
              <w:jc w:val="center"/>
              <w:rPr>
                <w:rFonts w:ascii="Arial" w:hAnsi="Arial" w:cs="Arial"/>
                <w:color w:val="000000" w:themeColor="text1"/>
                <w:sz w:val="20"/>
                <w:szCs w:val="20"/>
              </w:rPr>
            </w:pPr>
            <w:hyperlink r:id="rId69">
              <w:r w:rsidR="00356236" w:rsidRPr="000F22E0">
                <w:rPr>
                  <w:rFonts w:ascii="Arial" w:hAnsi="Arial" w:cs="Arial"/>
                  <w:color w:val="0000FF"/>
                  <w:u w:val="single"/>
                </w:rPr>
                <w:t>Webinar instructions</w:t>
              </w:r>
            </w:hyperlink>
          </w:p>
        </w:tc>
      </w:tr>
    </w:tbl>
    <w:p w14:paraId="73EB673F" w14:textId="77777777" w:rsidR="00083818" w:rsidRPr="003905A8" w:rsidRDefault="00083818">
      <w:pPr>
        <w:ind w:left="0" w:right="-432"/>
        <w:rPr>
          <w:rFonts w:ascii="Arial" w:hAnsi="Arial" w:cs="Arial"/>
          <w:sz w:val="20"/>
          <w:szCs w:val="20"/>
        </w:rPr>
      </w:pPr>
    </w:p>
    <w:p w14:paraId="28E4D80B" w14:textId="77777777" w:rsidR="00083818" w:rsidRDefault="00FC36AC" w:rsidP="001B6065">
      <w:pPr>
        <w:pStyle w:val="Heading2"/>
        <w:spacing w:after="0"/>
        <w:ind w:left="0" w:right="-432"/>
      </w:pPr>
      <w:r>
        <w:t>How to comment on the proposed rules:</w:t>
      </w:r>
    </w:p>
    <w:p w14:paraId="6E40F715" w14:textId="77777777" w:rsidR="00083818" w:rsidRDefault="00FC36AC" w:rsidP="001B6065">
      <w:pPr>
        <w:pStyle w:val="Heading3"/>
        <w:ind w:left="0" w:right="-432"/>
      </w:pPr>
      <w:r>
        <w:t>Submit comment online:</w:t>
      </w:r>
    </w:p>
    <w:p w14:paraId="25B9FEFE" w14:textId="77777777" w:rsidR="00083818" w:rsidRPr="00B27FDB" w:rsidRDefault="006F6FDA" w:rsidP="001B6065">
      <w:pPr>
        <w:spacing w:line="259" w:lineRule="auto"/>
        <w:ind w:left="0" w:right="-432"/>
        <w:rPr>
          <w:b/>
          <w:color w:val="0000FF"/>
          <w:sz w:val="28"/>
          <w:szCs w:val="28"/>
          <w:u w:val="single"/>
        </w:rPr>
      </w:pPr>
      <w:hyperlink r:id="rId70">
        <w:r w:rsidR="00FC36AC" w:rsidRPr="00B27FDB">
          <w:rPr>
            <w:rFonts w:ascii="Calibri" w:eastAsia="Calibri" w:hAnsi="Calibri" w:cs="Calibri"/>
            <w:b/>
            <w:color w:val="0000FF"/>
            <w:sz w:val="28"/>
            <w:szCs w:val="28"/>
            <w:u w:val="single"/>
          </w:rPr>
          <w:t>http://www.oregon.gov/deq/Regulations/rulemaking/Pages/Ccleanerair2017.aspx</w:t>
        </w:r>
      </w:hyperlink>
    </w:p>
    <w:p w14:paraId="6B7820C0" w14:textId="77777777" w:rsidR="00083818" w:rsidRPr="007B60FE" w:rsidRDefault="00083818">
      <w:pPr>
        <w:pStyle w:val="Heading3"/>
        <w:ind w:right="-432"/>
      </w:pPr>
    </w:p>
    <w:p w14:paraId="7A8D54B7" w14:textId="77777777" w:rsidR="00083818" w:rsidRDefault="00FC36AC">
      <w:pPr>
        <w:pStyle w:val="Heading3"/>
        <w:ind w:left="0" w:right="-432"/>
      </w:pPr>
      <w:r>
        <w:t xml:space="preserve">Note for public university students: </w:t>
      </w:r>
    </w:p>
    <w:p w14:paraId="1AF7F123" w14:textId="77777777" w:rsidR="00083818" w:rsidRDefault="00FC36AC">
      <w:pPr>
        <w:spacing w:line="259" w:lineRule="auto"/>
        <w:ind w:left="0" w:right="-432"/>
      </w:pPr>
      <w:bookmarkStart w:id="25" w:name="_fvn3flzbf1xm" w:colFirst="0" w:colLast="0"/>
      <w:bookmarkEnd w:id="25"/>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275AF221" w14:textId="77777777" w:rsidR="00083818" w:rsidRDefault="00083818">
      <w:pPr>
        <w:spacing w:line="259" w:lineRule="auto"/>
        <w:ind w:left="0" w:right="-432"/>
      </w:pPr>
      <w:bookmarkStart w:id="26" w:name="_nogmeod5zviw" w:colFirst="0" w:colLast="0"/>
      <w:bookmarkStart w:id="27" w:name="_t57v1pckeij" w:colFirst="0" w:colLast="0"/>
      <w:bookmarkStart w:id="28" w:name="_44sinio" w:colFirst="0" w:colLast="0"/>
      <w:bookmarkEnd w:id="26"/>
      <w:bookmarkEnd w:id="27"/>
      <w:bookmarkEnd w:id="28"/>
    </w:p>
    <w:p w14:paraId="670792FC" w14:textId="77777777" w:rsidR="00083818" w:rsidRDefault="00FC36AC">
      <w:pPr>
        <w:pStyle w:val="Heading3"/>
        <w:ind w:left="0" w:right="-432"/>
      </w:pPr>
      <w:r>
        <w:t>By mail:</w:t>
      </w:r>
    </w:p>
    <w:p w14:paraId="289EB3D3" w14:textId="77777777" w:rsidR="00083818" w:rsidRDefault="00FC36AC">
      <w:pPr>
        <w:spacing w:line="259" w:lineRule="auto"/>
        <w:ind w:left="0" w:right="-432"/>
      </w:pPr>
      <w:r>
        <w:t>Oregon DEQ</w:t>
      </w:r>
    </w:p>
    <w:p w14:paraId="6B657D2B" w14:textId="77777777" w:rsidR="00083818" w:rsidRDefault="00FC36AC">
      <w:pPr>
        <w:spacing w:line="259" w:lineRule="auto"/>
        <w:ind w:left="0" w:right="-432"/>
        <w:rPr>
          <w:b/>
        </w:rPr>
      </w:pPr>
      <w:r>
        <w:t>Attn: Joe Westersund</w:t>
      </w:r>
    </w:p>
    <w:p w14:paraId="2F7FBA75" w14:textId="77777777" w:rsidR="00083818" w:rsidRDefault="00FC36AC">
      <w:pPr>
        <w:spacing w:line="259" w:lineRule="auto"/>
        <w:ind w:left="0" w:right="-432"/>
      </w:pPr>
      <w:r>
        <w:t>700 NE Multnomah St., Suite 600</w:t>
      </w:r>
    </w:p>
    <w:p w14:paraId="5220DA44" w14:textId="77777777" w:rsidR="00083818" w:rsidRDefault="00FC36AC">
      <w:pPr>
        <w:spacing w:line="259" w:lineRule="auto"/>
        <w:ind w:left="0" w:right="-432"/>
      </w:pPr>
      <w:r>
        <w:t>Portland, OR 97232</w:t>
      </w:r>
    </w:p>
    <w:p w14:paraId="516252A5" w14:textId="77777777" w:rsidR="00083818" w:rsidRDefault="00083818">
      <w:pPr>
        <w:spacing w:line="259" w:lineRule="auto"/>
        <w:ind w:left="0" w:right="-432"/>
      </w:pPr>
    </w:p>
    <w:p w14:paraId="44096C04" w14:textId="77777777" w:rsidR="00083818" w:rsidRDefault="00FC36AC" w:rsidP="00550C6B">
      <w:pPr>
        <w:pStyle w:val="Heading3"/>
        <w:spacing w:before="0"/>
        <w:ind w:left="0" w:right="-432"/>
      </w:pPr>
      <w:r>
        <w:t>At the hearing:</w:t>
      </w:r>
    </w:p>
    <w:p w14:paraId="3881BAC2" w14:textId="77777777" w:rsidR="00083818" w:rsidRDefault="00FC36AC" w:rsidP="00550C6B">
      <w:pPr>
        <w:pStyle w:val="Heading2"/>
        <w:spacing w:before="0"/>
        <w:ind w:left="0" w:right="-432"/>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See table on previous page for hearing dates, times, and locations.</w:t>
      </w:r>
    </w:p>
    <w:p w14:paraId="63E66E21" w14:textId="77777777" w:rsidR="00083818" w:rsidRDefault="00083818" w:rsidP="00550C6B">
      <w:pPr>
        <w:ind w:left="0"/>
      </w:pPr>
    </w:p>
    <w:p w14:paraId="1A1BD709" w14:textId="77777777" w:rsidR="00083818" w:rsidRDefault="00FC36AC" w:rsidP="00550C6B">
      <w:pPr>
        <w:pStyle w:val="Heading2"/>
        <w:spacing w:before="0" w:after="0"/>
        <w:ind w:left="0" w:right="-432"/>
      </w:pPr>
      <w:r>
        <w:t>Close of public comment period</w:t>
      </w:r>
    </w:p>
    <w:p w14:paraId="39152F17" w14:textId="2F5561AB" w:rsidR="00083818" w:rsidRDefault="00FC36AC" w:rsidP="00550C6B">
      <w:pPr>
        <w:ind w:left="0" w:right="-432"/>
      </w:pPr>
      <w:r>
        <w:t xml:space="preserve">The comment period </w:t>
      </w:r>
      <w:r w:rsidR="008D2879">
        <w:t>will close 4 p.m. on December 22</w:t>
      </w:r>
      <w:r>
        <w:t>, 2017</w:t>
      </w:r>
    </w:p>
    <w:p w14:paraId="7CBC4F62" w14:textId="77777777" w:rsidR="00083818" w:rsidRDefault="00083818" w:rsidP="00550C6B">
      <w:pPr>
        <w:ind w:left="0" w:right="-432"/>
      </w:pPr>
    </w:p>
    <w:p w14:paraId="5F3E4E1F" w14:textId="31E5B381" w:rsidR="00083818" w:rsidRDefault="005D3F9A" w:rsidP="00550C6B">
      <w:pPr>
        <w:pStyle w:val="Heading2"/>
        <w:spacing w:before="0" w:after="0"/>
        <w:ind w:left="0" w:right="-432"/>
        <w:rPr>
          <w:rFonts w:ascii="Calibri" w:eastAsia="Calibri" w:hAnsi="Calibri" w:cs="Calibri"/>
        </w:rPr>
      </w:pPr>
      <w:r>
        <w:t>Accessibility i</w:t>
      </w:r>
      <w:r w:rsidR="00FC36AC">
        <w:t>nformation:</w:t>
      </w:r>
    </w:p>
    <w:p w14:paraId="7447EE46" w14:textId="77777777" w:rsidR="00083818" w:rsidRDefault="00FC36AC" w:rsidP="00550C6B">
      <w:pPr>
        <w:ind w:left="0" w:right="-432"/>
      </w:pPr>
      <w:r>
        <w:t>You may review copies of all documents referenced in this announcement at:</w:t>
      </w:r>
    </w:p>
    <w:p w14:paraId="068CECAB" w14:textId="77777777" w:rsidR="00083818" w:rsidRDefault="00FC36AC" w:rsidP="00550C6B">
      <w:pPr>
        <w:ind w:left="0" w:right="-432"/>
      </w:pPr>
      <w:r>
        <w:t>Oregon Department of Environmental Quality</w:t>
      </w:r>
    </w:p>
    <w:p w14:paraId="67600BB3" w14:textId="77777777" w:rsidR="00083818" w:rsidRDefault="00FC36AC" w:rsidP="00550C6B">
      <w:pPr>
        <w:ind w:left="0" w:right="-432"/>
      </w:pPr>
      <w:r>
        <w:t>700 NE Multnomah St., Ste. 600</w:t>
      </w:r>
    </w:p>
    <w:p w14:paraId="6AADB8FA" w14:textId="77777777" w:rsidR="00083818" w:rsidRDefault="00FC36AC" w:rsidP="00550C6B">
      <w:pPr>
        <w:ind w:left="0" w:right="-432"/>
      </w:pPr>
      <w:r>
        <w:t>Portland, OR, 97232</w:t>
      </w:r>
    </w:p>
    <w:p w14:paraId="259E3EB1" w14:textId="77777777" w:rsidR="00083818" w:rsidRDefault="00083818" w:rsidP="00550C6B">
      <w:pPr>
        <w:ind w:left="0" w:right="-432"/>
      </w:pPr>
    </w:p>
    <w:p w14:paraId="42D7C70B" w14:textId="77777777" w:rsidR="00083818" w:rsidRDefault="00FC36AC">
      <w:pPr>
        <w:ind w:left="0" w:right="-432"/>
      </w:pPr>
      <w:r>
        <w:t>To schedule a review of all websites and documents referenced in this announcement, call Angela Parker, 503-229-5728</w:t>
      </w:r>
      <w:r>
        <w:rPr>
          <w:b/>
        </w:rPr>
        <w:t xml:space="preserve"> </w:t>
      </w:r>
      <w:r>
        <w:t>(800-452-4011, toll-free in Oregon).</w:t>
      </w:r>
    </w:p>
    <w:p w14:paraId="6AFBDA6B" w14:textId="77777777" w:rsidR="00083818" w:rsidRDefault="00083818">
      <w:pPr>
        <w:ind w:left="0" w:right="-432"/>
      </w:pPr>
    </w:p>
    <w:p w14:paraId="5AF72A83" w14:textId="77777777" w:rsidR="00083818" w:rsidRDefault="00FC36AC">
      <w:pPr>
        <w:ind w:left="0" w:right="-432"/>
      </w:pPr>
      <w:r>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br w:type="page"/>
      </w:r>
    </w:p>
    <w:p w14:paraId="5726D64E" w14:textId="77777777" w:rsidR="00083818" w:rsidRDefault="00083818">
      <w:pPr>
        <w:ind w:left="0" w:right="-432"/>
        <w:rPr>
          <w:sz w:val="20"/>
          <w:szCs w:val="20"/>
        </w:rPr>
        <w:sectPr w:rsidR="00083818" w:rsidSect="00CB37B2">
          <w:pgSz w:w="12240" w:h="15840"/>
          <w:pgMar w:top="1440" w:right="1440" w:bottom="720" w:left="1440" w:header="0" w:footer="720" w:gutter="0"/>
          <w:cols w:space="720"/>
        </w:sectPr>
      </w:pPr>
    </w:p>
    <w:p w14:paraId="07F84BB3" w14:textId="77777777" w:rsidR="00083818" w:rsidRDefault="00083818">
      <w:pPr>
        <w:widowControl w:val="0"/>
        <w:spacing w:line="276" w:lineRule="auto"/>
        <w:ind w:left="0" w:right="0"/>
        <w:rPr>
          <w:sz w:val="20"/>
          <w:szCs w:val="20"/>
        </w:rPr>
      </w:pPr>
    </w:p>
    <w:tbl>
      <w:tblPr>
        <w:tblStyle w:val="aff1"/>
        <w:tblW w:w="10072" w:type="dxa"/>
        <w:jc w:val="center"/>
        <w:tblLayout w:type="fixed"/>
        <w:tblLook w:val="0400" w:firstRow="0" w:lastRow="0" w:firstColumn="0" w:lastColumn="0" w:noHBand="0" w:noVBand="1"/>
      </w:tblPr>
      <w:tblGrid>
        <w:gridCol w:w="10072"/>
      </w:tblGrid>
      <w:tr w:rsidR="00083818" w14:paraId="2A838603" w14:textId="77777777">
        <w:trPr>
          <w:trHeight w:val="500"/>
          <w:jc w:val="center"/>
        </w:trPr>
        <w:tc>
          <w:tcPr>
            <w:tcW w:w="10072" w:type="dxa"/>
            <w:tcBorders>
              <w:top w:val="nil"/>
              <w:left w:val="nil"/>
              <w:bottom w:val="single" w:sz="6" w:space="0" w:color="7F7F7F"/>
              <w:right w:val="nil"/>
            </w:tcBorders>
            <w:shd w:val="clear" w:color="auto" w:fill="D5DCE4"/>
            <w:vAlign w:val="bottom"/>
          </w:tcPr>
          <w:p w14:paraId="5B7CD1F1" w14:textId="2AD699BF" w:rsidR="00083818" w:rsidRDefault="00550C6B">
            <w:pPr>
              <w:pStyle w:val="Heading1"/>
            </w:pPr>
            <w:bookmarkStart w:id="29" w:name="_Toc496011833"/>
            <w:r>
              <w:t>Draft rules - with e</w:t>
            </w:r>
            <w:r w:rsidR="00FC36AC">
              <w:t xml:space="preserve">dits </w:t>
            </w:r>
            <w:r>
              <w:t>h</w:t>
            </w:r>
            <w:r w:rsidR="00FC36AC">
              <w:t>ighlighted</w:t>
            </w:r>
            <w:bookmarkEnd w:id="29"/>
          </w:p>
          <w:p w14:paraId="5E8EE211" w14:textId="77777777" w:rsidR="00083818" w:rsidRDefault="00083818">
            <w:pPr>
              <w:ind w:left="0"/>
            </w:pPr>
          </w:p>
        </w:tc>
      </w:tr>
    </w:tbl>
    <w:p w14:paraId="12B8E0C8" w14:textId="77777777" w:rsidR="00083818" w:rsidRDefault="00083818">
      <w:pPr>
        <w:ind w:left="0"/>
      </w:pPr>
    </w:p>
    <w:p w14:paraId="4411FA23" w14:textId="6AAF63FC" w:rsidR="005A3ED5" w:rsidRDefault="006F6FDA" w:rsidP="0084014C">
      <w:pPr>
        <w:spacing w:after="120"/>
        <w:ind w:left="0"/>
      </w:pPr>
      <w:hyperlink r:id="rId71" w:history="1">
        <w:r w:rsidR="005A3ED5" w:rsidRPr="001D222C">
          <w:rPr>
            <w:rStyle w:val="Hyperlink"/>
          </w:rPr>
          <w:t>Division 245</w:t>
        </w:r>
      </w:hyperlink>
      <w:r w:rsidR="00D252F6">
        <w:t xml:space="preserve"> [Division 245 rules are new, but are not presented in redline strikeout for ease of reading.]</w:t>
      </w:r>
    </w:p>
    <w:p w14:paraId="40ABF3FD" w14:textId="165344EF" w:rsidR="001D222C" w:rsidRDefault="006F6FDA" w:rsidP="0084014C">
      <w:pPr>
        <w:spacing w:after="120"/>
        <w:ind w:left="0"/>
      </w:pPr>
      <w:hyperlink r:id="rId72" w:history="1">
        <w:r w:rsidR="001D222C" w:rsidRPr="001D222C">
          <w:rPr>
            <w:rStyle w:val="Hyperlink"/>
          </w:rPr>
          <w:t>Division 245 rule tables</w:t>
        </w:r>
      </w:hyperlink>
    </w:p>
    <w:p w14:paraId="21E6EBE7" w14:textId="6EB0C497" w:rsidR="00083818" w:rsidRDefault="006F6FDA">
      <w:pPr>
        <w:spacing w:after="120"/>
        <w:ind w:left="0"/>
      </w:pPr>
      <w:hyperlink r:id="rId73" w:history="1">
        <w:r w:rsidR="005A3ED5" w:rsidRPr="001D222C">
          <w:rPr>
            <w:rStyle w:val="Hyperlink"/>
          </w:rPr>
          <w:t>Changes to other existing rules</w:t>
        </w:r>
      </w:hyperlink>
    </w:p>
    <w:p w14:paraId="32F4BB7C" w14:textId="77777777" w:rsidR="00083818" w:rsidRDefault="00FC36AC">
      <w:pPr>
        <w:spacing w:after="120"/>
        <w:ind w:left="0"/>
      </w:pPr>
      <w:r>
        <w:br w:type="page"/>
      </w:r>
    </w:p>
    <w:tbl>
      <w:tblPr>
        <w:tblStyle w:val="aff2"/>
        <w:tblW w:w="10180" w:type="dxa"/>
        <w:jc w:val="center"/>
        <w:tblLayout w:type="fixed"/>
        <w:tblLook w:val="0400" w:firstRow="0" w:lastRow="0" w:firstColumn="0" w:lastColumn="0" w:noHBand="0" w:noVBand="1"/>
      </w:tblPr>
      <w:tblGrid>
        <w:gridCol w:w="10180"/>
      </w:tblGrid>
      <w:tr w:rsidR="00083818" w14:paraId="0620F3A9" w14:textId="77777777">
        <w:trPr>
          <w:trHeight w:val="500"/>
          <w:jc w:val="center"/>
        </w:trPr>
        <w:tc>
          <w:tcPr>
            <w:tcW w:w="10180" w:type="dxa"/>
            <w:tcBorders>
              <w:top w:val="nil"/>
              <w:left w:val="nil"/>
              <w:bottom w:val="single" w:sz="6" w:space="0" w:color="7F7F7F"/>
              <w:right w:val="nil"/>
            </w:tcBorders>
            <w:shd w:val="clear" w:color="auto" w:fill="D5DCE4"/>
            <w:vAlign w:val="bottom"/>
          </w:tcPr>
          <w:p w14:paraId="71C95138" w14:textId="045BB3A9" w:rsidR="00083818" w:rsidRDefault="00550C6B">
            <w:pPr>
              <w:pStyle w:val="Heading1"/>
            </w:pPr>
            <w:bookmarkStart w:id="30" w:name="_Toc496011834"/>
            <w:r>
              <w:t xml:space="preserve">Draft rules - </w:t>
            </w:r>
            <w:r w:rsidR="001B6065">
              <w:t>w</w:t>
            </w:r>
            <w:r>
              <w:t>ith edits i</w:t>
            </w:r>
            <w:r w:rsidR="00FC36AC">
              <w:t>ncorporated</w:t>
            </w:r>
            <w:bookmarkEnd w:id="30"/>
          </w:p>
          <w:p w14:paraId="533DD4FE" w14:textId="77777777" w:rsidR="00083818" w:rsidRDefault="00083818">
            <w:pPr>
              <w:ind w:left="0"/>
            </w:pPr>
          </w:p>
        </w:tc>
      </w:tr>
    </w:tbl>
    <w:p w14:paraId="393056A3" w14:textId="77777777" w:rsidR="00083818" w:rsidRDefault="00083818">
      <w:pPr>
        <w:spacing w:after="120"/>
        <w:ind w:left="0"/>
      </w:pPr>
    </w:p>
    <w:p w14:paraId="13958BFE" w14:textId="62AE8398" w:rsidR="005A3ED5" w:rsidRDefault="006F6FDA" w:rsidP="005A3ED5">
      <w:pPr>
        <w:spacing w:after="120"/>
        <w:ind w:left="0"/>
      </w:pPr>
      <w:hyperlink r:id="rId74" w:history="1">
        <w:r w:rsidR="005A3ED5" w:rsidRPr="001D222C">
          <w:rPr>
            <w:rStyle w:val="Hyperlink"/>
          </w:rPr>
          <w:t>Division 245</w:t>
        </w:r>
      </w:hyperlink>
    </w:p>
    <w:p w14:paraId="230977D7" w14:textId="72D1E8E6" w:rsidR="001D222C" w:rsidRDefault="006F6FDA" w:rsidP="001D222C">
      <w:pPr>
        <w:spacing w:after="120"/>
        <w:ind w:left="0"/>
      </w:pPr>
      <w:hyperlink r:id="rId75" w:history="1">
        <w:r w:rsidR="001D222C" w:rsidRPr="001D222C">
          <w:rPr>
            <w:rStyle w:val="Hyperlink"/>
          </w:rPr>
          <w:t>Division 245 rule tables</w:t>
        </w:r>
      </w:hyperlink>
    </w:p>
    <w:p w14:paraId="40CEB92C" w14:textId="70347294" w:rsidR="00083818" w:rsidRDefault="006F6FDA">
      <w:pPr>
        <w:spacing w:after="120"/>
        <w:ind w:left="0"/>
      </w:pPr>
      <w:hyperlink r:id="rId76" w:history="1">
        <w:r w:rsidR="005A3ED5" w:rsidRPr="001D222C">
          <w:rPr>
            <w:rStyle w:val="Hyperlink"/>
          </w:rPr>
          <w:t>Changes to other existing rules</w:t>
        </w:r>
      </w:hyperlink>
      <w:r w:rsidR="00FC36AC">
        <w:br w:type="page"/>
      </w:r>
    </w:p>
    <w:tbl>
      <w:tblPr>
        <w:tblStyle w:val="aff3"/>
        <w:tblW w:w="10264" w:type="dxa"/>
        <w:jc w:val="center"/>
        <w:tblLayout w:type="fixed"/>
        <w:tblLook w:val="0400" w:firstRow="0" w:lastRow="0" w:firstColumn="0" w:lastColumn="0" w:noHBand="0" w:noVBand="1"/>
      </w:tblPr>
      <w:tblGrid>
        <w:gridCol w:w="10264"/>
      </w:tblGrid>
      <w:tr w:rsidR="00083818" w14:paraId="6B926481" w14:textId="77777777">
        <w:trPr>
          <w:trHeight w:val="440"/>
          <w:jc w:val="center"/>
        </w:trPr>
        <w:tc>
          <w:tcPr>
            <w:tcW w:w="10264" w:type="dxa"/>
            <w:tcBorders>
              <w:top w:val="nil"/>
              <w:left w:val="nil"/>
              <w:bottom w:val="single" w:sz="6" w:space="0" w:color="7F7F7F"/>
              <w:right w:val="nil"/>
            </w:tcBorders>
            <w:shd w:val="clear" w:color="auto" w:fill="D5DCE4"/>
            <w:vAlign w:val="bottom"/>
          </w:tcPr>
          <w:p w14:paraId="55A2A0AE" w14:textId="77777777" w:rsidR="00083818" w:rsidRDefault="00FC36AC">
            <w:pPr>
              <w:pStyle w:val="Heading1"/>
            </w:pPr>
            <w:bookmarkStart w:id="31" w:name="_Toc496011835"/>
            <w:r>
              <w:t>Supporting documents</w:t>
            </w:r>
            <w:bookmarkEnd w:id="31"/>
          </w:p>
          <w:p w14:paraId="5AFB08ED" w14:textId="77777777" w:rsidR="00083818" w:rsidRDefault="00083818">
            <w:pPr>
              <w:ind w:left="0"/>
            </w:pPr>
          </w:p>
        </w:tc>
      </w:tr>
    </w:tbl>
    <w:p w14:paraId="575E62ED" w14:textId="77777777" w:rsidR="005A3ED5" w:rsidRDefault="005A3ED5" w:rsidP="005A3ED5">
      <w:pPr>
        <w:spacing w:after="120"/>
        <w:ind w:left="0"/>
      </w:pPr>
    </w:p>
    <w:p w14:paraId="13127DC2" w14:textId="6C430A2B" w:rsidR="00D252F6" w:rsidRDefault="006F6FDA" w:rsidP="00D252F6">
      <w:pPr>
        <w:spacing w:after="120"/>
        <w:ind w:left="0"/>
      </w:pPr>
      <w:hyperlink r:id="rId77" w:history="1">
        <w:r w:rsidR="00D252F6" w:rsidRPr="00F87A1B">
          <w:rPr>
            <w:rStyle w:val="Hyperlink"/>
          </w:rPr>
          <w:t>CAO Monitoring Plan Template</w:t>
        </w:r>
      </w:hyperlink>
    </w:p>
    <w:p w14:paraId="24C1F207" w14:textId="77777777" w:rsidR="00F87A1B" w:rsidRDefault="006F6FDA" w:rsidP="00F87A1B">
      <w:pPr>
        <w:spacing w:after="120"/>
        <w:ind w:left="0"/>
      </w:pPr>
      <w:hyperlink r:id="rId78" w:history="1">
        <w:r w:rsidR="00F87A1B" w:rsidRPr="00F87A1B">
          <w:rPr>
            <w:rStyle w:val="Hyperlink"/>
          </w:rPr>
          <w:t>Recommended Procedures for Air Toxics Risk Assessment</w:t>
        </w:r>
      </w:hyperlink>
    </w:p>
    <w:p w14:paraId="419466A8" w14:textId="3E56057C" w:rsidR="005A3ED5" w:rsidRDefault="006F6FDA" w:rsidP="005A3ED5">
      <w:pPr>
        <w:spacing w:after="120"/>
        <w:ind w:left="0"/>
      </w:pPr>
      <w:hyperlink r:id="rId79" w:history="1">
        <w:r w:rsidR="005A3ED5" w:rsidRPr="00F87A1B">
          <w:rPr>
            <w:rStyle w:val="Hyperlink"/>
          </w:rPr>
          <w:t>Recommended Procedures for Pollution Prevention</w:t>
        </w:r>
      </w:hyperlink>
      <w:r w:rsidR="005A3ED5">
        <w:t xml:space="preserve">             </w:t>
      </w:r>
    </w:p>
    <w:p w14:paraId="5B05FDB4" w14:textId="77777777" w:rsidR="005A3ED5" w:rsidRDefault="005A3ED5" w:rsidP="005A3ED5">
      <w:pPr>
        <w:spacing w:after="120"/>
        <w:ind w:left="0"/>
      </w:pPr>
    </w:p>
    <w:p w14:paraId="0FE2D9E8" w14:textId="22826185" w:rsidR="005A3ED5" w:rsidRDefault="006F6FDA" w:rsidP="005A3ED5">
      <w:pPr>
        <w:spacing w:after="120"/>
        <w:ind w:left="0"/>
      </w:pPr>
      <w:hyperlink r:id="rId80" w:history="1">
        <w:r w:rsidR="005A3ED5" w:rsidRPr="00F87A1B">
          <w:rPr>
            <w:rStyle w:val="Hyperlink"/>
          </w:rPr>
          <w:t>Rules guide for Division 245 rules</w:t>
        </w:r>
      </w:hyperlink>
    </w:p>
    <w:p w14:paraId="0CCE41E5" w14:textId="3BE20DD5" w:rsidR="005A3ED5" w:rsidRDefault="006F6FDA" w:rsidP="005A3ED5">
      <w:pPr>
        <w:spacing w:after="120"/>
        <w:ind w:left="0"/>
      </w:pPr>
      <w:hyperlink r:id="rId81" w:history="1">
        <w:r w:rsidR="005A3ED5" w:rsidRPr="00F87A1B">
          <w:rPr>
            <w:rStyle w:val="Hyperlink"/>
          </w:rPr>
          <w:t>Crosswalk for changes to existing rules</w:t>
        </w:r>
      </w:hyperlink>
    </w:p>
    <w:p w14:paraId="3FD8DDFD" w14:textId="77777777" w:rsidR="005A3ED5" w:rsidRDefault="005A3ED5" w:rsidP="005A3ED5">
      <w:pPr>
        <w:spacing w:after="120"/>
        <w:ind w:left="0"/>
      </w:pPr>
    </w:p>
    <w:p w14:paraId="4C5F50DE" w14:textId="525490BF" w:rsidR="005A3ED5" w:rsidRDefault="006F6FDA" w:rsidP="005A3ED5">
      <w:pPr>
        <w:spacing w:after="120"/>
        <w:ind w:left="0"/>
      </w:pPr>
      <w:hyperlink r:id="rId82" w:history="1">
        <w:r w:rsidR="00DB0C43" w:rsidRPr="00F87A1B">
          <w:rPr>
            <w:rStyle w:val="Hyperlink"/>
          </w:rPr>
          <w:t>Fee table documentation</w:t>
        </w:r>
      </w:hyperlink>
    </w:p>
    <w:p w14:paraId="7DC90A93" w14:textId="26857270" w:rsidR="005A3ED5" w:rsidRDefault="006F6FDA" w:rsidP="005A3ED5">
      <w:pPr>
        <w:spacing w:after="120"/>
        <w:ind w:left="0"/>
      </w:pPr>
      <w:hyperlink r:id="rId83" w:history="1">
        <w:r w:rsidR="005A3ED5" w:rsidRPr="00F87A1B">
          <w:rPr>
            <w:rStyle w:val="Hyperlink"/>
          </w:rPr>
          <w:t>Fee example</w:t>
        </w:r>
      </w:hyperlink>
    </w:p>
    <w:sectPr w:rsidR="005A3ED5">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4AF7C" w14:textId="77777777" w:rsidR="00D252F6" w:rsidRDefault="00D252F6">
      <w:r>
        <w:separator/>
      </w:r>
    </w:p>
  </w:endnote>
  <w:endnote w:type="continuationSeparator" w:id="0">
    <w:p w14:paraId="4BDEE754" w14:textId="77777777" w:rsidR="00D252F6" w:rsidRDefault="00D25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B02DD" w14:textId="46402621" w:rsidR="00D252F6" w:rsidRDefault="00D252F6" w:rsidP="002927CD">
    <w:pPr>
      <w:tabs>
        <w:tab w:val="center" w:pos="4680"/>
        <w:tab w:val="right" w:pos="9360"/>
      </w:tabs>
      <w:jc w:val="right"/>
    </w:pPr>
    <w:r>
      <w:fldChar w:fldCharType="begin"/>
    </w:r>
    <w:r>
      <w:instrText>PAGE</w:instrText>
    </w:r>
    <w:r>
      <w:fldChar w:fldCharType="separate"/>
    </w:r>
    <w:r w:rsidR="006F6FD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2F9B1" w14:textId="77777777" w:rsidR="00D252F6" w:rsidRDefault="00D252F6">
      <w:r>
        <w:separator/>
      </w:r>
    </w:p>
  </w:footnote>
  <w:footnote w:type="continuationSeparator" w:id="0">
    <w:p w14:paraId="7FD425B7" w14:textId="77777777" w:rsidR="00D252F6" w:rsidRDefault="00D252F6">
      <w:r>
        <w:continuationSeparator/>
      </w:r>
    </w:p>
  </w:footnote>
  <w:footnote w:id="1">
    <w:p w14:paraId="7CE7389D" w14:textId="77777777" w:rsidR="00D252F6" w:rsidRDefault="00D252F6">
      <w:pPr>
        <w:spacing w:before="80" w:after="120"/>
        <w:ind w:left="840" w:right="200"/>
      </w:pPr>
      <w:r>
        <w:rPr>
          <w:vertAlign w:val="superscript"/>
        </w:rPr>
        <w:footnoteRef/>
      </w:r>
      <w:r>
        <w:t xml:space="preserve"> </w:t>
      </w:r>
      <w:r>
        <w:rPr>
          <w:sz w:val="18"/>
          <w:szCs w:val="18"/>
        </w:rPr>
        <w:t>Pollution prevention is generally preferred because it results in less pollution to control, treat, or dispose of. Pollution controls can generate wastes or contaminated equipment that require end-of-life management. Reducing pollution at the source means less hazards posed to the public and the environment. In addition, pollution controls can fail and toxic substances can be used in unintended ways. Reducing the use of those toxic substances at the source avoids those potential risks.</w:t>
      </w:r>
    </w:p>
    <w:p w14:paraId="4D73E2E9" w14:textId="77777777" w:rsidR="00D252F6" w:rsidRDefault="00D252F6">
      <w:pPr>
        <w:rPr>
          <w:sz w:val="20"/>
          <w:szCs w:val="20"/>
        </w:rPr>
      </w:pPr>
    </w:p>
  </w:footnote>
  <w:footnote w:id="2">
    <w:p w14:paraId="1215AF56" w14:textId="77777777" w:rsidR="00D252F6" w:rsidRDefault="00D252F6" w:rsidP="00004783">
      <w:pPr>
        <w:spacing w:before="80" w:line="288" w:lineRule="auto"/>
        <w:ind w:left="460" w:right="20"/>
        <w:rPr>
          <w:color w:val="1155CC"/>
          <w:sz w:val="20"/>
          <w:szCs w:val="20"/>
          <w:u w:val="single"/>
        </w:rPr>
      </w:pPr>
      <w:r>
        <w:rPr>
          <w:rStyle w:val="FootnoteReference"/>
        </w:rPr>
        <w:footnoteRef/>
      </w:r>
      <w:r>
        <w:t xml:space="preserve"> </w:t>
      </w:r>
      <w:r>
        <w:rPr>
          <w:sz w:val="20"/>
          <w:szCs w:val="20"/>
        </w:rPr>
        <w:t>EPA Integrated Risk Information System</w:t>
      </w:r>
      <w:hyperlink r:id="rId1">
        <w:r>
          <w:rPr>
            <w:color w:val="1155CC"/>
            <w:sz w:val="20"/>
            <w:szCs w:val="20"/>
            <w:u w:val="single"/>
          </w:rPr>
          <w:t>.</w:t>
        </w:r>
      </w:hyperlink>
      <w:hyperlink r:id="rId2">
        <w:r>
          <w:rPr>
            <w:sz w:val="20"/>
            <w:szCs w:val="20"/>
            <w:u w:val="single"/>
          </w:rPr>
          <w:t xml:space="preserve"> </w:t>
        </w:r>
      </w:hyperlink>
      <w:r>
        <w:fldChar w:fldCharType="begin"/>
      </w:r>
      <w:r>
        <w:instrText xml:space="preserve"> HYPERLINK "https://www.epa.gov/iris" </w:instrText>
      </w:r>
      <w:r>
        <w:fldChar w:fldCharType="separate"/>
      </w:r>
      <w:r>
        <w:rPr>
          <w:color w:val="1155CC"/>
          <w:sz w:val="20"/>
          <w:szCs w:val="20"/>
          <w:u w:val="single"/>
        </w:rPr>
        <w:t>https://www.epa.gov/iris</w:t>
      </w:r>
    </w:p>
    <w:p w14:paraId="653F60E8" w14:textId="6D6E516A" w:rsidR="00D252F6" w:rsidRDefault="00D252F6" w:rsidP="00E51F29">
      <w:pPr>
        <w:spacing w:before="20" w:line="288" w:lineRule="auto"/>
        <w:ind w:left="540" w:right="20"/>
        <w:rPr>
          <w:color w:val="1155CC"/>
          <w:sz w:val="20"/>
          <w:szCs w:val="20"/>
          <w:u w:val="single"/>
        </w:rPr>
      </w:pPr>
      <w:r>
        <w:fldChar w:fldCharType="end"/>
      </w:r>
      <w:r w:rsidRPr="00E51F29">
        <w:rPr>
          <w:sz w:val="20"/>
          <w:szCs w:val="20"/>
        </w:rPr>
        <w:t xml:space="preserve"> </w:t>
      </w:r>
      <w:r>
        <w:rPr>
          <w:sz w:val="20"/>
          <w:szCs w:val="20"/>
        </w:rPr>
        <w:t>ATSDR Toxic Substances Portal.</w:t>
      </w:r>
      <w:hyperlink r:id="rId3">
        <w:r>
          <w:rPr>
            <w:sz w:val="20"/>
            <w:szCs w:val="20"/>
            <w:u w:val="single"/>
          </w:rPr>
          <w:t xml:space="preserve"> </w:t>
        </w:r>
      </w:hyperlink>
      <w:r>
        <w:fldChar w:fldCharType="begin"/>
      </w:r>
      <w:r>
        <w:instrText xml:space="preserve"> HYPERLINK "https://www.atsdr.cdc.gov/toxprofiles/index.asp" </w:instrText>
      </w:r>
      <w:r>
        <w:fldChar w:fldCharType="separate"/>
      </w:r>
      <w:r>
        <w:rPr>
          <w:color w:val="1155CC"/>
          <w:sz w:val="20"/>
          <w:szCs w:val="20"/>
          <w:u w:val="single"/>
        </w:rPr>
        <w:t>https://www.atsdr.cdc.gov/toxprofiles/index.asp</w:t>
      </w:r>
    </w:p>
    <w:p w14:paraId="1093613D" w14:textId="77777777" w:rsidR="00D252F6" w:rsidRDefault="00D252F6" w:rsidP="00E51F29">
      <w:pPr>
        <w:spacing w:line="285" w:lineRule="auto"/>
        <w:ind w:left="540" w:right="800"/>
        <w:rPr>
          <w:color w:val="1155CC"/>
          <w:sz w:val="20"/>
          <w:szCs w:val="20"/>
          <w:u w:val="single"/>
        </w:rPr>
      </w:pPr>
      <w:r>
        <w:fldChar w:fldCharType="end"/>
      </w:r>
      <w:r>
        <w:rPr>
          <w:sz w:val="20"/>
          <w:szCs w:val="20"/>
        </w:rPr>
        <w:t>California Office of Environmental Health Hazard Assessment. Air Toxics Hot Spots Program Technical Support Document for the Derivation of Noncancer Reference Exposure Levels. Dec, 2008</w:t>
      </w:r>
      <w:r>
        <w:rPr>
          <w:color w:val="1155CC"/>
          <w:sz w:val="20"/>
          <w:szCs w:val="20"/>
          <w:u w:val="single"/>
        </w:rPr>
        <w:fldChar w:fldCharType="begin"/>
      </w:r>
      <w:r>
        <w:rPr>
          <w:color w:val="1155CC"/>
          <w:sz w:val="20"/>
          <w:szCs w:val="20"/>
          <w:u w:val="single"/>
        </w:rPr>
        <w:instrText xml:space="preserve"> HYPERLINK " https://oehha.ca.gov/air/crnr/notice-adoption-air-toxics-hot-spots-program-technical-support-document-derivationadoption-air-toxics-hot-spots-program-technical-support-document-derivation</w:instrText>
      </w:r>
    </w:p>
    <w:p w14:paraId="01062D71" w14:textId="77777777" w:rsidR="00D252F6" w:rsidRPr="00FD7B30" w:rsidRDefault="00D252F6" w:rsidP="00E51F29">
      <w:pPr>
        <w:spacing w:line="285" w:lineRule="auto"/>
        <w:ind w:left="540" w:right="800"/>
        <w:rPr>
          <w:rStyle w:val="Hyperlink"/>
          <w:sz w:val="20"/>
          <w:szCs w:val="20"/>
        </w:rPr>
      </w:pPr>
      <w:r>
        <w:rPr>
          <w:color w:val="1155CC"/>
          <w:sz w:val="20"/>
          <w:szCs w:val="20"/>
          <w:u w:val="single"/>
        </w:rPr>
        <w:instrText xml:space="preserve">" </w:instrText>
      </w:r>
      <w:r>
        <w:rPr>
          <w:color w:val="1155CC"/>
          <w:sz w:val="20"/>
          <w:szCs w:val="20"/>
          <w:u w:val="single"/>
        </w:rPr>
        <w:fldChar w:fldCharType="separate"/>
      </w:r>
      <w:r w:rsidRPr="00FD7B30">
        <w:rPr>
          <w:rStyle w:val="Hyperlink"/>
          <w:sz w:val="20"/>
          <w:szCs w:val="20"/>
        </w:rPr>
        <w:t xml:space="preserve"> https://oehha.ca.gov/air/crnr/notice-adoption-air-toxics-hot-spots-program-technical-support-document-derivationadoption-air-toxics-hot-spots-program-technical-support-document-derivation</w:t>
      </w:r>
    </w:p>
    <w:p w14:paraId="6B602D43" w14:textId="6509F814" w:rsidR="00D252F6" w:rsidRDefault="00D252F6" w:rsidP="00E51F29">
      <w:pPr>
        <w:pStyle w:val="FootnoteText"/>
        <w:ind w:left="540"/>
      </w:pPr>
      <w:r>
        <w:rPr>
          <w:color w:val="1155CC"/>
          <w:u w:val="single"/>
        </w:rPr>
        <w:fldChar w:fldCharType="end"/>
      </w:r>
    </w:p>
  </w:footnote>
  <w:footnote w:id="3">
    <w:p w14:paraId="69C46FA9" w14:textId="18A8DAD3" w:rsidR="00D252F6" w:rsidRDefault="00D252F6" w:rsidP="00062BBC">
      <w:pPr>
        <w:pStyle w:val="FootnoteText"/>
        <w:ind w:left="540"/>
      </w:pPr>
      <w:r>
        <w:rPr>
          <w:rStyle w:val="FootnoteReference"/>
        </w:rPr>
        <w:footnoteRef/>
      </w:r>
      <w:r>
        <w:t xml:space="preserve"> OHA. 2016. Leading Causes of Death</w:t>
      </w:r>
      <w:hyperlink r:id="rId4">
        <w:r>
          <w:rPr>
            <w:u w:val="single"/>
          </w:rPr>
          <w:t xml:space="preserve"> </w:t>
        </w:r>
      </w:hyperlink>
      <w:hyperlink r:id="rId5">
        <w:r>
          <w:rPr>
            <w:color w:val="1155CC"/>
            <w:u w:val="single"/>
          </w:rPr>
          <w:t xml:space="preserve"> </w:t>
        </w:r>
      </w:hyperlink>
      <w:hyperlink r:id="rId6">
        <w:r>
          <w:rPr>
            <w:color w:val="1155CC"/>
            <w:u w:val="single"/>
          </w:rPr>
          <w:t>http</w:t>
        </w:r>
      </w:hyperlink>
      <w:hyperlink r:id="rId7">
        <w:r>
          <w:rPr>
            <w:color w:val="1155CC"/>
            <w:u w:val="single"/>
          </w:rPr>
          <w:t>://public.health.oregon.gov/ProviderPartnerResources/PublicHealthAccreditation/Documents/indicators/leadingcausesofdeath.pdf</w:t>
        </w:r>
      </w:hyperlink>
      <w:r>
        <w:t>)</w:t>
      </w:r>
    </w:p>
  </w:footnote>
  <w:footnote w:id="4">
    <w:p w14:paraId="294E25E1" w14:textId="77777777" w:rsidR="00D252F6" w:rsidRDefault="00D252F6" w:rsidP="00062BBC">
      <w:pPr>
        <w:spacing w:before="80"/>
        <w:ind w:left="480" w:right="440"/>
        <w:rPr>
          <w:color w:val="1155CC"/>
          <w:sz w:val="20"/>
          <w:szCs w:val="20"/>
          <w:u w:val="single"/>
        </w:rPr>
      </w:pPr>
      <w:r>
        <w:rPr>
          <w:rStyle w:val="FootnoteReference"/>
        </w:rPr>
        <w:footnoteRef/>
      </w:r>
      <w:r>
        <w:t xml:space="preserve"> </w:t>
      </w:r>
      <w:r>
        <w:rPr>
          <w:sz w:val="20"/>
          <w:szCs w:val="20"/>
        </w:rPr>
        <w:t xml:space="preserve">OHA, 2010. Estimated medical treatment costs of chronic diseases, Oregon 2010. </w:t>
      </w:r>
      <w:r>
        <w:rPr>
          <w:color w:val="1155CC"/>
          <w:sz w:val="20"/>
          <w:szCs w:val="20"/>
        </w:rPr>
        <w:t xml:space="preserve"> </w:t>
      </w:r>
      <w:r>
        <w:fldChar w:fldCharType="begin"/>
      </w:r>
      <w:r>
        <w:instrText xml:space="preserve"> HYPERLINK "http://www.oregon.gov/oha/PH/DISEASESCONDITIONS/CHRONICDISEASE/DATAREPORTS/Documents/datatables/CDCC_2010.pdf" </w:instrText>
      </w:r>
      <w:r>
        <w:fldChar w:fldCharType="separate"/>
      </w:r>
      <w:r>
        <w:rPr>
          <w:color w:val="1155CC"/>
          <w:sz w:val="20"/>
          <w:szCs w:val="20"/>
          <w:u w:val="single"/>
        </w:rPr>
        <w:t>http://www.oregon.gov/oha/PH/DISEASESCONDITIONS/CHRONICDISEASE/DATAREPORTS/Documents/datatables/   CDCC_2010.pdf</w:t>
      </w:r>
    </w:p>
    <w:p w14:paraId="360FFD68" w14:textId="77777777" w:rsidR="00D252F6" w:rsidRDefault="00D252F6" w:rsidP="00062BBC">
      <w:pPr>
        <w:ind w:left="0"/>
        <w:rPr>
          <w:color w:val="1155CC"/>
          <w:sz w:val="20"/>
          <w:szCs w:val="20"/>
          <w:u w:val="single"/>
        </w:rPr>
      </w:pPr>
    </w:p>
    <w:bookmarkStart w:id="15" w:name="_sxdldmyajtvq" w:colFirst="0" w:colLast="0"/>
    <w:bookmarkEnd w:id="15"/>
    <w:p w14:paraId="360EB2A2" w14:textId="1E79625D" w:rsidR="00D252F6" w:rsidRDefault="00D252F6" w:rsidP="00062BBC">
      <w:pPr>
        <w:pStyle w:val="FootnoteText"/>
      </w:pPr>
      <w:r>
        <w:fldChar w:fldCharType="end"/>
      </w:r>
    </w:p>
  </w:footnote>
  <w:footnote w:id="5">
    <w:p w14:paraId="3B9CF4A5" w14:textId="1C9F166E" w:rsidR="00D252F6" w:rsidRDefault="00D252F6" w:rsidP="002B23A6">
      <w:pPr>
        <w:spacing w:before="80"/>
        <w:ind w:left="120" w:right="260"/>
      </w:pPr>
      <w:r>
        <w:rPr>
          <w:rStyle w:val="FootnoteReference"/>
        </w:rPr>
        <w:footnoteRef/>
      </w:r>
      <w:r>
        <w:t xml:space="preserve"> </w:t>
      </w:r>
      <w:r>
        <w:rPr>
          <w:sz w:val="20"/>
          <w:szCs w:val="20"/>
        </w:rPr>
        <w:t>Landrigan PJ, Schechter CB, Lipton JM, Fahs MC, Schwartz J. Environmental pollutants and disease in American children: estimates of morbidity, mortality, and costs for lead poisoning, asthma, cancer, and developmental disabilities. Environ Health Perspect. 2002 Jul;110(7):721-8</w:t>
      </w:r>
    </w:p>
  </w:footnote>
  <w:footnote w:id="6">
    <w:p w14:paraId="7A296DA3" w14:textId="1AB42B56" w:rsidR="00D252F6" w:rsidRDefault="00D252F6" w:rsidP="00BB0480">
      <w:pPr>
        <w:pStyle w:val="FootnoteText"/>
        <w:ind w:left="180"/>
      </w:pPr>
      <w:r>
        <w:rPr>
          <w:rStyle w:val="FootnoteReference"/>
        </w:rPr>
        <w:footnoteRef/>
      </w:r>
      <w:r>
        <w:t xml:space="preserve"> Weiland K, Neidell M, Rauh V, Perera F. Cost of developmental delay from prenatal exposure to airborne polycyclic aromatic hydrocarbons. J Health Care Poor Underserved. 2011 Feb;22(1):320-9. doi: 10.1353/hpu.2011.0012</w:t>
      </w:r>
    </w:p>
  </w:footnote>
  <w:footnote w:id="7">
    <w:p w14:paraId="00BF5D9C" w14:textId="25C977AF" w:rsidR="00D252F6" w:rsidRDefault="00D252F6" w:rsidP="00BB0480">
      <w:pPr>
        <w:pStyle w:val="FootnoteText"/>
        <w:ind w:left="180"/>
      </w:pPr>
      <w:r>
        <w:rPr>
          <w:rStyle w:val="FootnoteReference"/>
        </w:rPr>
        <w:footnoteRef/>
      </w:r>
      <w:r>
        <w:t xml:space="preserve"> Hendryx M, Fedorko E. The relationship between toxics release inventory discharges and mortality rates in rural and urban areas of the United States. J Rural Health. 2011 Winter;27(4):358-66. doi: 10.1111/j.1748-0361.2011.00367.x</w:t>
      </w:r>
    </w:p>
  </w:footnote>
  <w:footnote w:id="8">
    <w:p w14:paraId="4B9F9AE6" w14:textId="6E134E6B" w:rsidR="00D252F6" w:rsidRDefault="00D252F6" w:rsidP="002173AB">
      <w:pPr>
        <w:ind w:left="120" w:right="260"/>
      </w:pPr>
      <w:r>
        <w:rPr>
          <w:rStyle w:val="FootnoteReference"/>
        </w:rPr>
        <w:footnoteRef/>
      </w:r>
      <w:r>
        <w:t xml:space="preserve"> </w:t>
      </w:r>
      <w:r>
        <w:rPr>
          <w:sz w:val="20"/>
          <w:szCs w:val="20"/>
        </w:rPr>
        <w:t>Hendryx M, Luo J, Chen BC. Total and cardiovascular mortality rates in relation to discharges from Toxics Release Inventory sites in the United States. Environ Res. 2014 Aug;133:36-41. doi: 10.1016/j.envres.2014.05.010.</w:t>
      </w:r>
    </w:p>
  </w:footnote>
  <w:footnote w:id="9">
    <w:p w14:paraId="6D0038CB" w14:textId="0CB6A5F0" w:rsidR="00D252F6" w:rsidRDefault="00D252F6" w:rsidP="005E2A99">
      <w:pPr>
        <w:ind w:left="120" w:right="260"/>
      </w:pPr>
      <w:r>
        <w:rPr>
          <w:rStyle w:val="FootnoteReference"/>
        </w:rPr>
        <w:footnoteRef/>
      </w:r>
      <w:r>
        <w:t xml:space="preserve"> </w:t>
      </w:r>
      <w:r>
        <w:rPr>
          <w:sz w:val="20"/>
          <w:szCs w:val="20"/>
        </w:rPr>
        <w:t>Dickerson AS, Rahbar MH, Han I, Bakian AV, Bilder DA, Harrington RA, Pettygrove S, Durkin M, Kirby RS, Wingate MS, Tian LH, Zahorodny WM, Pearson DA, Moyé LA 3rd, Baio J. Autism spectrum disorder prevalence and proximity to industrial facilities releasing arsenic, lead or mercury. Sci Total Environ. 2015 Dec 1;536:245- 51. doi: 10.1016/j.scitotenv.2015.07.024.</w:t>
      </w:r>
    </w:p>
  </w:footnote>
  <w:footnote w:id="10">
    <w:p w14:paraId="375B85C8" w14:textId="75B463DE" w:rsidR="00D252F6" w:rsidRDefault="00D252F6" w:rsidP="00BB0480">
      <w:pPr>
        <w:pStyle w:val="FootnoteText"/>
        <w:ind w:left="90"/>
      </w:pPr>
      <w:r>
        <w:rPr>
          <w:rStyle w:val="FootnoteReference"/>
        </w:rPr>
        <w:footnoteRef/>
      </w:r>
      <w:r>
        <w:t xml:space="preserve"> deCastro BR. Acrolein and asthma attack prevalence in a representative sample of the United States adult population 2000-2009. PLoS One. 2014 May 9;9(5):e96926. doi: 10.1371/journal.pone.0096926. eCollection 2014.   </w:t>
      </w:r>
    </w:p>
  </w:footnote>
  <w:footnote w:id="11">
    <w:p w14:paraId="45890A8D" w14:textId="3EECFFA6" w:rsidR="00D252F6" w:rsidRDefault="00D252F6" w:rsidP="00BB0480">
      <w:pPr>
        <w:pStyle w:val="FootnoteText"/>
        <w:ind w:left="90"/>
      </w:pPr>
      <w:r>
        <w:rPr>
          <w:rStyle w:val="FootnoteReference"/>
        </w:rPr>
        <w:footnoteRef/>
      </w:r>
      <w:r>
        <w:t xml:space="preserve"> Hendryx M, Luo J. Cancer hospitalizations in rural-urban areas in relation to carcinogenic discharges from Toxics Release Inventory facilities. Int J Environ Health Res. 2013;23(2):155-69. doi: 10.1080/09603123.2012.708919</w:t>
      </w:r>
    </w:p>
  </w:footnote>
  <w:footnote w:id="12">
    <w:p w14:paraId="7BBC9A85" w14:textId="4A6E92BD" w:rsidR="00D252F6" w:rsidRDefault="00D252F6" w:rsidP="006B587C">
      <w:pPr>
        <w:pStyle w:val="FootnoteText"/>
        <w:ind w:left="90"/>
      </w:pPr>
      <w:r>
        <w:rPr>
          <w:rStyle w:val="FootnoteReference"/>
        </w:rPr>
        <w:footnoteRef/>
      </w:r>
      <w:r>
        <w:t xml:space="preserve"> Gauderman WJ, Urman R, Avol E, Berhane K, McConnell R, Rappaport E, Chang R, Lurmann F, Gilliland F. Association of improved air quality with lung development in children. N Engl J Med. 2015 Mar 5;372(10):905-13. doi: 10.1056/NEJMoa1414123</w:t>
      </w:r>
    </w:p>
  </w:footnote>
  <w:footnote w:id="13">
    <w:p w14:paraId="48379694" w14:textId="54C5E543" w:rsidR="00D252F6" w:rsidRDefault="00D252F6" w:rsidP="002173AB">
      <w:pPr>
        <w:ind w:left="120" w:right="260"/>
      </w:pPr>
      <w:r>
        <w:rPr>
          <w:rStyle w:val="FootnoteReference"/>
        </w:rPr>
        <w:footnoteRef/>
      </w:r>
      <w:r>
        <w:t xml:space="preserve"> </w:t>
      </w:r>
      <w:r>
        <w:rPr>
          <w:sz w:val="20"/>
          <w:szCs w:val="20"/>
        </w:rPr>
        <w:t>Berhane K, Chang CC, McConnell R, Gauderman WJ, Avol E, Rapapport E, Urman R, Lurmann F, Gilliland F. Association of Changes in Air Quality With Bronchitic Symptoms in Children in California, 1993-2012. JAMA. 2016 Apr 12;315(14):1491-501. doi: 10.1001/jama.2016.3444.</w:t>
      </w:r>
    </w:p>
  </w:footnote>
  <w:footnote w:id="14">
    <w:p w14:paraId="432C4DE7" w14:textId="46F9151B" w:rsidR="00D252F6" w:rsidRDefault="00D252F6" w:rsidP="002173AB">
      <w:pPr>
        <w:ind w:left="120" w:right="260"/>
      </w:pPr>
      <w:r>
        <w:rPr>
          <w:rStyle w:val="FootnoteReference"/>
        </w:rPr>
        <w:footnoteRef/>
      </w:r>
      <w:r>
        <w:t xml:space="preserve"> </w:t>
      </w:r>
      <w:r>
        <w:rPr>
          <w:sz w:val="20"/>
          <w:szCs w:val="20"/>
        </w:rPr>
        <w:t>Parker JD, Mendola P, Woodruff TJ. Preterm birth after the Utah Valley Steel Mill closure: a natural experiment. Epidemiology. 2008 Nov;19(6):820-3. doi: 10.1097/EDE.0b013e3181883d5d.</w:t>
      </w:r>
    </w:p>
  </w:footnote>
  <w:footnote w:id="15">
    <w:p w14:paraId="7092B761" w14:textId="5CAB7783" w:rsidR="00D252F6" w:rsidRDefault="00D252F6" w:rsidP="002173AB">
      <w:pPr>
        <w:spacing w:before="20"/>
        <w:ind w:left="120" w:right="260"/>
      </w:pPr>
      <w:r>
        <w:rPr>
          <w:rStyle w:val="FootnoteReference"/>
        </w:rPr>
        <w:footnoteRef/>
      </w:r>
      <w:r>
        <w:t xml:space="preserve"> </w:t>
      </w:r>
      <w:r>
        <w:rPr>
          <w:sz w:val="20"/>
          <w:szCs w:val="20"/>
        </w:rPr>
        <w:t>Pope CA</w:t>
      </w:r>
      <w:r>
        <w:t xml:space="preserve"> </w:t>
      </w:r>
      <w:r>
        <w:rPr>
          <w:sz w:val="20"/>
          <w:szCs w:val="20"/>
        </w:rPr>
        <w:t>3rd.Respiratory disease associated with community air pollution and a steel mill, Utah Valley. Am J Public Health. 1989 May;79(5):623-8.</w:t>
      </w:r>
    </w:p>
  </w:footnote>
  <w:footnote w:id="16">
    <w:p w14:paraId="06A1F088" w14:textId="77777777" w:rsidR="00D252F6" w:rsidRDefault="00D252F6" w:rsidP="006B587C">
      <w:pPr>
        <w:spacing w:before="80" w:line="288" w:lineRule="auto"/>
        <w:ind w:left="120" w:right="400"/>
        <w:rPr>
          <w:color w:val="1155CC"/>
          <w:sz w:val="20"/>
          <w:szCs w:val="20"/>
          <w:u w:val="single"/>
        </w:rPr>
      </w:pPr>
      <w:r>
        <w:rPr>
          <w:rStyle w:val="FootnoteReference"/>
        </w:rPr>
        <w:footnoteRef/>
      </w:r>
      <w:r>
        <w:t xml:space="preserve"> </w:t>
      </w:r>
      <w:r>
        <w:rPr>
          <w:sz w:val="13"/>
          <w:szCs w:val="13"/>
          <w:u w:val="single"/>
        </w:rPr>
        <w:t xml:space="preserve"> </w:t>
      </w:r>
      <w:hyperlink r:id="rId8">
        <w:r>
          <w:rPr>
            <w:color w:val="1155CC"/>
            <w:sz w:val="20"/>
            <w:szCs w:val="20"/>
            <w:u w:val="single"/>
          </w:rPr>
          <w:t>EPA, History of Reducing Air Pollution from Transportation in the United States</w:t>
        </w:r>
      </w:hyperlink>
      <w:hyperlink r:id="rId9">
        <w:r>
          <w:rPr>
            <w:sz w:val="20"/>
            <w:szCs w:val="20"/>
            <w:u w:val="single"/>
          </w:rPr>
          <w:t xml:space="preserve"> </w:t>
        </w:r>
      </w:hyperlink>
      <w:r>
        <w:fldChar w:fldCharType="begin"/>
      </w:r>
      <w:r>
        <w:instrText xml:space="preserve"> HYPERLINK "https://www.epa.gov/air-pollution-transportation/accomplishments-and-success-air-pollution-transportation" </w:instrText>
      </w:r>
      <w:r>
        <w:fldChar w:fldCharType="separate"/>
      </w:r>
      <w:r>
        <w:rPr>
          <w:color w:val="1155CC"/>
          <w:sz w:val="20"/>
          <w:szCs w:val="20"/>
          <w:u w:val="single"/>
        </w:rPr>
        <w:t>https://www.epa.gov/air-pollution-   transportation/accomplishments-and-success-air-pollution-transportation</w:t>
      </w:r>
    </w:p>
    <w:p w14:paraId="0D953BD2" w14:textId="77777777" w:rsidR="00D252F6" w:rsidRDefault="00D252F6" w:rsidP="006B587C">
      <w:pPr>
        <w:ind w:left="0"/>
        <w:rPr>
          <w:color w:val="1155CC"/>
          <w:sz w:val="20"/>
          <w:szCs w:val="20"/>
          <w:u w:val="single"/>
        </w:rPr>
      </w:pPr>
    </w:p>
    <w:p w14:paraId="7DEC72A4" w14:textId="3124936C" w:rsidR="00D252F6" w:rsidRDefault="00D252F6" w:rsidP="006B587C">
      <w:pPr>
        <w:pStyle w:val="FootnoteText"/>
      </w:pPr>
      <w:r>
        <w:fldChar w:fldCharType="end"/>
      </w:r>
    </w:p>
  </w:footnote>
  <w:footnote w:id="17">
    <w:p w14:paraId="4E8F1EF4" w14:textId="46BD17F5" w:rsidR="00D252F6" w:rsidRDefault="00D252F6">
      <w:pPr>
        <w:pStyle w:val="FootnoteText"/>
      </w:pPr>
      <w:r>
        <w:rPr>
          <w:rStyle w:val="FootnoteReference"/>
        </w:rPr>
        <w:footnoteRef/>
      </w:r>
      <w:r>
        <w:t xml:space="preserve"> </w:t>
      </w:r>
      <w:hyperlink r:id="rId10" w:history="1">
        <w:r w:rsidRPr="00FD7B30">
          <w:rPr>
            <w:rStyle w:val="Hyperlink"/>
          </w:rPr>
          <w:t>http://econweb.ucsd.edu/~elib/berman_bui2001</w:t>
        </w:r>
      </w:hyperlink>
      <w:r>
        <w:t xml:space="preserve">  </w:t>
      </w:r>
    </w:p>
  </w:footnote>
  <w:footnote w:id="18">
    <w:p w14:paraId="4F10B95F" w14:textId="6A39AE3B" w:rsidR="00D252F6" w:rsidRDefault="00D252F6">
      <w:pPr>
        <w:pStyle w:val="FootnoteText"/>
      </w:pPr>
      <w:r>
        <w:rPr>
          <w:rStyle w:val="FootnoteReference"/>
        </w:rPr>
        <w:footnoteRef/>
      </w:r>
      <w:r>
        <w:t xml:space="preserve"> </w:t>
      </w:r>
      <w:hyperlink r:id="rId11" w:anchor="_edn10" w:history="1">
        <w:r w:rsidRPr="00FD7B30">
          <w:rPr>
            <w:rStyle w:val="Hyperlink"/>
          </w:rPr>
          <w:t>https://www.epa.gov/clean-air-act-overview/clean-air-act-and-economy#_edn10</w:t>
        </w:r>
      </w:hyperlink>
    </w:p>
    <w:p w14:paraId="2B3F2BC7" w14:textId="77777777" w:rsidR="00D252F6" w:rsidRDefault="00D252F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0A909" w14:textId="77777777" w:rsidR="00D252F6" w:rsidRDefault="00D252F6">
    <w:pPr>
      <w:tabs>
        <w:tab w:val="center" w:pos="4680"/>
        <w:tab w:val="right" w:pos="9360"/>
      </w:tabs>
      <w:spacing w:before="720"/>
      <w:rPr>
        <w:color w:val="98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F1DCD" w14:textId="77777777" w:rsidR="00D252F6" w:rsidRDefault="00D252F6">
    <w:pPr>
      <w:tabs>
        <w:tab w:val="center" w:pos="4680"/>
        <w:tab w:val="right" w:pos="9360"/>
      </w:tabs>
      <w:spacing w:before="720"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F5B45"/>
    <w:multiLevelType w:val="multilevel"/>
    <w:tmpl w:val="5C56E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717500"/>
    <w:multiLevelType w:val="multilevel"/>
    <w:tmpl w:val="B28ACB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461A4A"/>
    <w:multiLevelType w:val="multilevel"/>
    <w:tmpl w:val="6FC07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FA5ED0"/>
    <w:multiLevelType w:val="multilevel"/>
    <w:tmpl w:val="2070C058"/>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4" w15:restartNumberingAfterBreak="0">
    <w:nsid w:val="0E451DF3"/>
    <w:multiLevelType w:val="hybridMultilevel"/>
    <w:tmpl w:val="397E06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2C24DE"/>
    <w:multiLevelType w:val="multilevel"/>
    <w:tmpl w:val="0428EE1E"/>
    <w:lvl w:ilvl="0">
      <w:start w:val="1"/>
      <w:numFmt w:val="bullet"/>
      <w:lvlText w:val="●"/>
      <w:lvlJc w:val="left"/>
      <w:pPr>
        <w:ind w:left="-540" w:hanging="360"/>
      </w:pPr>
      <w:rPr>
        <w:u w:val="none"/>
      </w:rPr>
    </w:lvl>
    <w:lvl w:ilvl="1">
      <w:start w:val="1"/>
      <w:numFmt w:val="bullet"/>
      <w:lvlText w:val="○"/>
      <w:lvlJc w:val="left"/>
      <w:pPr>
        <w:ind w:left="180" w:hanging="360"/>
      </w:pPr>
      <w:rPr>
        <w:u w:val="none"/>
      </w:rPr>
    </w:lvl>
    <w:lvl w:ilvl="2">
      <w:start w:val="1"/>
      <w:numFmt w:val="bullet"/>
      <w:lvlText w:val="■"/>
      <w:lvlJc w:val="left"/>
      <w:pPr>
        <w:ind w:left="900" w:hanging="360"/>
      </w:pPr>
      <w:rPr>
        <w:u w:val="none"/>
      </w:rPr>
    </w:lvl>
    <w:lvl w:ilvl="3">
      <w:start w:val="1"/>
      <w:numFmt w:val="bullet"/>
      <w:lvlText w:val="●"/>
      <w:lvlJc w:val="left"/>
      <w:pPr>
        <w:ind w:left="1620" w:hanging="360"/>
      </w:pPr>
      <w:rPr>
        <w:u w:val="none"/>
      </w:rPr>
    </w:lvl>
    <w:lvl w:ilvl="4">
      <w:start w:val="1"/>
      <w:numFmt w:val="bullet"/>
      <w:lvlText w:val="○"/>
      <w:lvlJc w:val="left"/>
      <w:pPr>
        <w:ind w:left="2340" w:hanging="360"/>
      </w:pPr>
      <w:rPr>
        <w:u w:val="none"/>
      </w:rPr>
    </w:lvl>
    <w:lvl w:ilvl="5">
      <w:start w:val="1"/>
      <w:numFmt w:val="bullet"/>
      <w:lvlText w:val="■"/>
      <w:lvlJc w:val="left"/>
      <w:pPr>
        <w:ind w:left="3060" w:hanging="360"/>
      </w:pPr>
      <w:rPr>
        <w:u w:val="none"/>
      </w:rPr>
    </w:lvl>
    <w:lvl w:ilvl="6">
      <w:start w:val="1"/>
      <w:numFmt w:val="bullet"/>
      <w:lvlText w:val="●"/>
      <w:lvlJc w:val="left"/>
      <w:pPr>
        <w:ind w:left="3780" w:hanging="360"/>
      </w:pPr>
      <w:rPr>
        <w:u w:val="none"/>
      </w:rPr>
    </w:lvl>
    <w:lvl w:ilvl="7">
      <w:start w:val="1"/>
      <w:numFmt w:val="bullet"/>
      <w:lvlText w:val="○"/>
      <w:lvlJc w:val="left"/>
      <w:pPr>
        <w:ind w:left="4500" w:hanging="360"/>
      </w:pPr>
      <w:rPr>
        <w:u w:val="none"/>
      </w:rPr>
    </w:lvl>
    <w:lvl w:ilvl="8">
      <w:start w:val="1"/>
      <w:numFmt w:val="bullet"/>
      <w:lvlText w:val="■"/>
      <w:lvlJc w:val="left"/>
      <w:pPr>
        <w:ind w:left="5220" w:hanging="360"/>
      </w:pPr>
      <w:rPr>
        <w:u w:val="none"/>
      </w:rPr>
    </w:lvl>
  </w:abstractNum>
  <w:abstractNum w:abstractNumId="6" w15:restartNumberingAfterBreak="0">
    <w:nsid w:val="1BDB5B3E"/>
    <w:multiLevelType w:val="multilevel"/>
    <w:tmpl w:val="3AE48918"/>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7" w15:restartNumberingAfterBreak="0">
    <w:nsid w:val="1CE7065B"/>
    <w:multiLevelType w:val="multilevel"/>
    <w:tmpl w:val="0E146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96DB1"/>
    <w:multiLevelType w:val="multilevel"/>
    <w:tmpl w:val="DAB84A3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9" w15:restartNumberingAfterBreak="0">
    <w:nsid w:val="27BE5730"/>
    <w:multiLevelType w:val="multilevel"/>
    <w:tmpl w:val="2A68633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AD86A57"/>
    <w:multiLevelType w:val="multilevel"/>
    <w:tmpl w:val="9068517A"/>
    <w:lvl w:ilvl="0">
      <w:start w:val="1"/>
      <w:numFmt w:val="bullet"/>
      <w:lvlText w:val="●"/>
      <w:lvlJc w:val="left"/>
      <w:pPr>
        <w:ind w:left="0" w:hanging="360"/>
      </w:pPr>
      <w:rPr>
        <w:u w:val="none"/>
      </w:rPr>
    </w:lvl>
    <w:lvl w:ilvl="1">
      <w:start w:val="1"/>
      <w:numFmt w:val="bullet"/>
      <w:lvlText w:val="○"/>
      <w:lvlJc w:val="left"/>
      <w:pPr>
        <w:ind w:left="720" w:hanging="360"/>
      </w:pPr>
      <w:rPr>
        <w:u w:val="none"/>
      </w:rPr>
    </w:lvl>
    <w:lvl w:ilvl="2">
      <w:start w:val="1"/>
      <w:numFmt w:val="bullet"/>
      <w:lvlText w:val="■"/>
      <w:lvlJc w:val="left"/>
      <w:pPr>
        <w:ind w:left="1440" w:hanging="360"/>
      </w:pPr>
      <w:rPr>
        <w:u w:val="none"/>
      </w:rPr>
    </w:lvl>
    <w:lvl w:ilvl="3">
      <w:start w:val="1"/>
      <w:numFmt w:val="bullet"/>
      <w:lvlText w:val="●"/>
      <w:lvlJc w:val="left"/>
      <w:pPr>
        <w:ind w:left="2160" w:hanging="360"/>
      </w:pPr>
      <w:rPr>
        <w:u w:val="none"/>
      </w:rPr>
    </w:lvl>
    <w:lvl w:ilvl="4">
      <w:start w:val="1"/>
      <w:numFmt w:val="bullet"/>
      <w:lvlText w:val="○"/>
      <w:lvlJc w:val="left"/>
      <w:pPr>
        <w:ind w:left="2880" w:hanging="360"/>
      </w:pPr>
      <w:rPr>
        <w:u w:val="none"/>
      </w:rPr>
    </w:lvl>
    <w:lvl w:ilvl="5">
      <w:start w:val="1"/>
      <w:numFmt w:val="bullet"/>
      <w:lvlText w:val="■"/>
      <w:lvlJc w:val="left"/>
      <w:pPr>
        <w:ind w:left="3600" w:hanging="360"/>
      </w:pPr>
      <w:rPr>
        <w:u w:val="none"/>
      </w:rPr>
    </w:lvl>
    <w:lvl w:ilvl="6">
      <w:start w:val="1"/>
      <w:numFmt w:val="bullet"/>
      <w:lvlText w:val="●"/>
      <w:lvlJc w:val="left"/>
      <w:pPr>
        <w:ind w:left="4320" w:hanging="360"/>
      </w:pPr>
      <w:rPr>
        <w:u w:val="none"/>
      </w:rPr>
    </w:lvl>
    <w:lvl w:ilvl="7">
      <w:start w:val="1"/>
      <w:numFmt w:val="bullet"/>
      <w:lvlText w:val="○"/>
      <w:lvlJc w:val="left"/>
      <w:pPr>
        <w:ind w:left="5040" w:hanging="360"/>
      </w:pPr>
      <w:rPr>
        <w:u w:val="none"/>
      </w:rPr>
    </w:lvl>
    <w:lvl w:ilvl="8">
      <w:start w:val="1"/>
      <w:numFmt w:val="bullet"/>
      <w:lvlText w:val="■"/>
      <w:lvlJc w:val="left"/>
      <w:pPr>
        <w:ind w:left="5760" w:hanging="360"/>
      </w:pPr>
      <w:rPr>
        <w:u w:val="none"/>
      </w:rPr>
    </w:lvl>
  </w:abstractNum>
  <w:abstractNum w:abstractNumId="11" w15:restartNumberingAfterBreak="0">
    <w:nsid w:val="30475D48"/>
    <w:multiLevelType w:val="multilevel"/>
    <w:tmpl w:val="A88A48B6"/>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12" w15:restartNumberingAfterBreak="0">
    <w:nsid w:val="30D1102D"/>
    <w:multiLevelType w:val="hybridMultilevel"/>
    <w:tmpl w:val="A7061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087798"/>
    <w:multiLevelType w:val="multilevel"/>
    <w:tmpl w:val="925EB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57F7972"/>
    <w:multiLevelType w:val="hybridMultilevel"/>
    <w:tmpl w:val="B85E7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F706C5"/>
    <w:multiLevelType w:val="multilevel"/>
    <w:tmpl w:val="B1127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A0F2022"/>
    <w:multiLevelType w:val="hybridMultilevel"/>
    <w:tmpl w:val="F1DA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CE09C5"/>
    <w:multiLevelType w:val="hybridMultilevel"/>
    <w:tmpl w:val="F154E5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FF6768F"/>
    <w:multiLevelType w:val="hybridMultilevel"/>
    <w:tmpl w:val="5D365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103456E"/>
    <w:multiLevelType w:val="multilevel"/>
    <w:tmpl w:val="BACEF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244606A"/>
    <w:multiLevelType w:val="multilevel"/>
    <w:tmpl w:val="0B5C1C6C"/>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CD55DDC"/>
    <w:multiLevelType w:val="multilevel"/>
    <w:tmpl w:val="FCA2579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2" w15:restartNumberingAfterBreak="0">
    <w:nsid w:val="4D08641E"/>
    <w:multiLevelType w:val="multilevel"/>
    <w:tmpl w:val="255A5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EBB237B"/>
    <w:multiLevelType w:val="multilevel"/>
    <w:tmpl w:val="AD6E0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F53611F"/>
    <w:multiLevelType w:val="multilevel"/>
    <w:tmpl w:val="58341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10750D2"/>
    <w:multiLevelType w:val="multilevel"/>
    <w:tmpl w:val="793C7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3825A18"/>
    <w:multiLevelType w:val="multilevel"/>
    <w:tmpl w:val="25DA9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7510DCA"/>
    <w:multiLevelType w:val="multilevel"/>
    <w:tmpl w:val="700845B4"/>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590E33F1"/>
    <w:multiLevelType w:val="hybridMultilevel"/>
    <w:tmpl w:val="E5FA61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AC20E8A"/>
    <w:multiLevelType w:val="multilevel"/>
    <w:tmpl w:val="CA407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EAC2593"/>
    <w:multiLevelType w:val="multilevel"/>
    <w:tmpl w:val="6AF2300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1" w15:restartNumberingAfterBreak="0">
    <w:nsid w:val="5ECC00B9"/>
    <w:multiLevelType w:val="multilevel"/>
    <w:tmpl w:val="AE66EC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1850917"/>
    <w:multiLevelType w:val="multilevel"/>
    <w:tmpl w:val="DE1EAF34"/>
    <w:lvl w:ilvl="0">
      <w:start w:val="1"/>
      <w:numFmt w:val="bullet"/>
      <w:lvlText w:val="●"/>
      <w:lvlJc w:val="left"/>
      <w:pPr>
        <w:ind w:left="360" w:hanging="360"/>
      </w:pPr>
      <w:rPr>
        <w:rFonts w:ascii="Arial" w:eastAsia="Arial" w:hAnsi="Arial" w:cs="Arial"/>
        <w:sz w:val="20"/>
        <w:szCs w:val="20"/>
      </w:rPr>
    </w:lvl>
    <w:lvl w:ilvl="1">
      <w:start w:val="1"/>
      <w:numFmt w:val="bullet"/>
      <w:lvlText w:val="o"/>
      <w:lvlJc w:val="left"/>
      <w:pPr>
        <w:ind w:left="1080" w:hanging="360"/>
      </w:pPr>
      <w:rPr>
        <w:rFonts w:ascii="Arial" w:eastAsia="Arial" w:hAnsi="Arial" w:cs="Arial"/>
        <w:sz w:val="20"/>
        <w:szCs w:val="20"/>
      </w:rPr>
    </w:lvl>
    <w:lvl w:ilvl="2">
      <w:start w:val="1"/>
      <w:numFmt w:val="bullet"/>
      <w:lvlText w:val="▪"/>
      <w:lvlJc w:val="left"/>
      <w:pPr>
        <w:ind w:left="1800" w:hanging="360"/>
      </w:pPr>
      <w:rPr>
        <w:rFonts w:ascii="Arial" w:eastAsia="Arial" w:hAnsi="Arial" w:cs="Arial"/>
        <w:sz w:val="20"/>
        <w:szCs w:val="20"/>
      </w:rPr>
    </w:lvl>
    <w:lvl w:ilvl="3">
      <w:start w:val="1"/>
      <w:numFmt w:val="bullet"/>
      <w:lvlText w:val="▪"/>
      <w:lvlJc w:val="left"/>
      <w:pPr>
        <w:ind w:left="2520" w:hanging="360"/>
      </w:pPr>
      <w:rPr>
        <w:rFonts w:ascii="Arial" w:eastAsia="Arial" w:hAnsi="Arial" w:cs="Arial"/>
        <w:sz w:val="20"/>
        <w:szCs w:val="20"/>
      </w:rPr>
    </w:lvl>
    <w:lvl w:ilvl="4">
      <w:start w:val="1"/>
      <w:numFmt w:val="bullet"/>
      <w:lvlText w:val="▪"/>
      <w:lvlJc w:val="left"/>
      <w:pPr>
        <w:ind w:left="3240" w:hanging="360"/>
      </w:pPr>
      <w:rPr>
        <w:rFonts w:ascii="Arial" w:eastAsia="Arial" w:hAnsi="Arial" w:cs="Arial"/>
        <w:sz w:val="20"/>
        <w:szCs w:val="20"/>
      </w:rPr>
    </w:lvl>
    <w:lvl w:ilvl="5">
      <w:start w:val="1"/>
      <w:numFmt w:val="bullet"/>
      <w:lvlText w:val="▪"/>
      <w:lvlJc w:val="left"/>
      <w:pPr>
        <w:ind w:left="3960" w:hanging="360"/>
      </w:pPr>
      <w:rPr>
        <w:rFonts w:ascii="Arial" w:eastAsia="Arial" w:hAnsi="Arial" w:cs="Arial"/>
        <w:sz w:val="20"/>
        <w:szCs w:val="20"/>
      </w:rPr>
    </w:lvl>
    <w:lvl w:ilvl="6">
      <w:start w:val="1"/>
      <w:numFmt w:val="bullet"/>
      <w:lvlText w:val="▪"/>
      <w:lvlJc w:val="left"/>
      <w:pPr>
        <w:ind w:left="4680" w:hanging="360"/>
      </w:pPr>
      <w:rPr>
        <w:rFonts w:ascii="Arial" w:eastAsia="Arial" w:hAnsi="Arial" w:cs="Arial"/>
        <w:sz w:val="20"/>
        <w:szCs w:val="20"/>
      </w:rPr>
    </w:lvl>
    <w:lvl w:ilvl="7">
      <w:start w:val="1"/>
      <w:numFmt w:val="bullet"/>
      <w:lvlText w:val="▪"/>
      <w:lvlJc w:val="left"/>
      <w:pPr>
        <w:ind w:left="5400" w:hanging="360"/>
      </w:pPr>
      <w:rPr>
        <w:rFonts w:ascii="Arial" w:eastAsia="Arial" w:hAnsi="Arial" w:cs="Arial"/>
        <w:sz w:val="20"/>
        <w:szCs w:val="20"/>
      </w:rPr>
    </w:lvl>
    <w:lvl w:ilvl="8">
      <w:start w:val="1"/>
      <w:numFmt w:val="bullet"/>
      <w:lvlText w:val="▪"/>
      <w:lvlJc w:val="left"/>
      <w:pPr>
        <w:ind w:left="6120" w:hanging="360"/>
      </w:pPr>
      <w:rPr>
        <w:rFonts w:ascii="Arial" w:eastAsia="Arial" w:hAnsi="Arial" w:cs="Arial"/>
        <w:sz w:val="20"/>
        <w:szCs w:val="20"/>
      </w:rPr>
    </w:lvl>
  </w:abstractNum>
  <w:abstractNum w:abstractNumId="33" w15:restartNumberingAfterBreak="0">
    <w:nsid w:val="67A56666"/>
    <w:multiLevelType w:val="multilevel"/>
    <w:tmpl w:val="3940C2B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4" w15:restartNumberingAfterBreak="0">
    <w:nsid w:val="73915FCD"/>
    <w:multiLevelType w:val="multilevel"/>
    <w:tmpl w:val="1E2A7132"/>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96B5E85"/>
    <w:multiLevelType w:val="multilevel"/>
    <w:tmpl w:val="9EFC9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F0E2334"/>
    <w:multiLevelType w:val="multilevel"/>
    <w:tmpl w:val="5A0A9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0"/>
  </w:num>
  <w:num w:numId="3">
    <w:abstractNumId w:val="30"/>
  </w:num>
  <w:num w:numId="4">
    <w:abstractNumId w:val="29"/>
  </w:num>
  <w:num w:numId="5">
    <w:abstractNumId w:val="2"/>
  </w:num>
  <w:num w:numId="6">
    <w:abstractNumId w:val="36"/>
  </w:num>
  <w:num w:numId="7">
    <w:abstractNumId w:val="25"/>
  </w:num>
  <w:num w:numId="8">
    <w:abstractNumId w:val="10"/>
  </w:num>
  <w:num w:numId="9">
    <w:abstractNumId w:val="8"/>
  </w:num>
  <w:num w:numId="10">
    <w:abstractNumId w:val="24"/>
  </w:num>
  <w:num w:numId="11">
    <w:abstractNumId w:val="5"/>
  </w:num>
  <w:num w:numId="12">
    <w:abstractNumId w:val="31"/>
  </w:num>
  <w:num w:numId="13">
    <w:abstractNumId w:val="13"/>
  </w:num>
  <w:num w:numId="14">
    <w:abstractNumId w:val="21"/>
  </w:num>
  <w:num w:numId="15">
    <w:abstractNumId w:val="7"/>
  </w:num>
  <w:num w:numId="16">
    <w:abstractNumId w:val="6"/>
  </w:num>
  <w:num w:numId="17">
    <w:abstractNumId w:val="33"/>
  </w:num>
  <w:num w:numId="18">
    <w:abstractNumId w:val="35"/>
  </w:num>
  <w:num w:numId="19">
    <w:abstractNumId w:val="19"/>
  </w:num>
  <w:num w:numId="20">
    <w:abstractNumId w:val="22"/>
  </w:num>
  <w:num w:numId="21">
    <w:abstractNumId w:val="23"/>
  </w:num>
  <w:num w:numId="22">
    <w:abstractNumId w:val="1"/>
  </w:num>
  <w:num w:numId="23">
    <w:abstractNumId w:val="26"/>
  </w:num>
  <w:num w:numId="24">
    <w:abstractNumId w:val="32"/>
  </w:num>
  <w:num w:numId="25">
    <w:abstractNumId w:val="3"/>
  </w:num>
  <w:num w:numId="26">
    <w:abstractNumId w:val="15"/>
  </w:num>
  <w:num w:numId="27">
    <w:abstractNumId w:val="18"/>
  </w:num>
  <w:num w:numId="28">
    <w:abstractNumId w:val="16"/>
  </w:num>
  <w:num w:numId="29">
    <w:abstractNumId w:val="28"/>
  </w:num>
  <w:num w:numId="30">
    <w:abstractNumId w:val="14"/>
  </w:num>
  <w:num w:numId="31">
    <w:abstractNumId w:val="20"/>
  </w:num>
  <w:num w:numId="32">
    <w:abstractNumId w:val="34"/>
  </w:num>
  <w:num w:numId="33">
    <w:abstractNumId w:val="9"/>
  </w:num>
  <w:num w:numId="34">
    <w:abstractNumId w:val="27"/>
  </w:num>
  <w:num w:numId="35">
    <w:abstractNumId w:val="17"/>
  </w:num>
  <w:num w:numId="36">
    <w:abstractNumId w:val="4"/>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818"/>
    <w:rsid w:val="00001174"/>
    <w:rsid w:val="000035CF"/>
    <w:rsid w:val="00004783"/>
    <w:rsid w:val="00004F51"/>
    <w:rsid w:val="00062BBC"/>
    <w:rsid w:val="00064CCF"/>
    <w:rsid w:val="00070292"/>
    <w:rsid w:val="00083818"/>
    <w:rsid w:val="00087B43"/>
    <w:rsid w:val="000C32E5"/>
    <w:rsid w:val="000C73F2"/>
    <w:rsid w:val="000E1E53"/>
    <w:rsid w:val="000F22E0"/>
    <w:rsid w:val="00127875"/>
    <w:rsid w:val="00162F81"/>
    <w:rsid w:val="001A2674"/>
    <w:rsid w:val="001B02F4"/>
    <w:rsid w:val="001B6065"/>
    <w:rsid w:val="001D0E96"/>
    <w:rsid w:val="001D222C"/>
    <w:rsid w:val="00212BC5"/>
    <w:rsid w:val="002173AB"/>
    <w:rsid w:val="002579B4"/>
    <w:rsid w:val="002927CD"/>
    <w:rsid w:val="002B23A6"/>
    <w:rsid w:val="002D18F2"/>
    <w:rsid w:val="002E77BC"/>
    <w:rsid w:val="003020D2"/>
    <w:rsid w:val="0034109A"/>
    <w:rsid w:val="00356236"/>
    <w:rsid w:val="0036094D"/>
    <w:rsid w:val="00364713"/>
    <w:rsid w:val="00376233"/>
    <w:rsid w:val="003905A8"/>
    <w:rsid w:val="003912A6"/>
    <w:rsid w:val="003A03AC"/>
    <w:rsid w:val="003A7116"/>
    <w:rsid w:val="003A7FAC"/>
    <w:rsid w:val="003C1FFE"/>
    <w:rsid w:val="003C2B86"/>
    <w:rsid w:val="003D28C0"/>
    <w:rsid w:val="00422233"/>
    <w:rsid w:val="00453B53"/>
    <w:rsid w:val="00473EDB"/>
    <w:rsid w:val="00482733"/>
    <w:rsid w:val="00532E6E"/>
    <w:rsid w:val="005331C5"/>
    <w:rsid w:val="00550C6B"/>
    <w:rsid w:val="0055270E"/>
    <w:rsid w:val="0058136E"/>
    <w:rsid w:val="005A3ED5"/>
    <w:rsid w:val="005A545F"/>
    <w:rsid w:val="005D3F9A"/>
    <w:rsid w:val="005E2A99"/>
    <w:rsid w:val="005F6851"/>
    <w:rsid w:val="00625632"/>
    <w:rsid w:val="006764E7"/>
    <w:rsid w:val="00682CD4"/>
    <w:rsid w:val="006914FC"/>
    <w:rsid w:val="00695382"/>
    <w:rsid w:val="006A021E"/>
    <w:rsid w:val="006B587C"/>
    <w:rsid w:val="006C3262"/>
    <w:rsid w:val="006D1E5D"/>
    <w:rsid w:val="006F6FDA"/>
    <w:rsid w:val="00713E55"/>
    <w:rsid w:val="00771AC5"/>
    <w:rsid w:val="007B60FE"/>
    <w:rsid w:val="007D210E"/>
    <w:rsid w:val="007F3674"/>
    <w:rsid w:val="00830167"/>
    <w:rsid w:val="0084014C"/>
    <w:rsid w:val="00842E18"/>
    <w:rsid w:val="00845ED1"/>
    <w:rsid w:val="00892A1D"/>
    <w:rsid w:val="008A700F"/>
    <w:rsid w:val="008D2879"/>
    <w:rsid w:val="008E613A"/>
    <w:rsid w:val="008F42FF"/>
    <w:rsid w:val="008F5A92"/>
    <w:rsid w:val="00945D5F"/>
    <w:rsid w:val="00947791"/>
    <w:rsid w:val="009D200C"/>
    <w:rsid w:val="009F1421"/>
    <w:rsid w:val="00A14C23"/>
    <w:rsid w:val="00A338A6"/>
    <w:rsid w:val="00A67A19"/>
    <w:rsid w:val="00A700E0"/>
    <w:rsid w:val="00A76896"/>
    <w:rsid w:val="00A957D4"/>
    <w:rsid w:val="00AA246C"/>
    <w:rsid w:val="00AF04EB"/>
    <w:rsid w:val="00AF7F53"/>
    <w:rsid w:val="00B23F3E"/>
    <w:rsid w:val="00B27FDB"/>
    <w:rsid w:val="00B517E6"/>
    <w:rsid w:val="00B63615"/>
    <w:rsid w:val="00BB0480"/>
    <w:rsid w:val="00BB73D3"/>
    <w:rsid w:val="00BC0258"/>
    <w:rsid w:val="00BD5B08"/>
    <w:rsid w:val="00C142AF"/>
    <w:rsid w:val="00C25C84"/>
    <w:rsid w:val="00C43B5F"/>
    <w:rsid w:val="00C46702"/>
    <w:rsid w:val="00C832C7"/>
    <w:rsid w:val="00C870A4"/>
    <w:rsid w:val="00C9121A"/>
    <w:rsid w:val="00CA7D74"/>
    <w:rsid w:val="00CB37B2"/>
    <w:rsid w:val="00CB729E"/>
    <w:rsid w:val="00D13720"/>
    <w:rsid w:val="00D252F6"/>
    <w:rsid w:val="00D57FC5"/>
    <w:rsid w:val="00DB0C43"/>
    <w:rsid w:val="00DB3D52"/>
    <w:rsid w:val="00DF5063"/>
    <w:rsid w:val="00DF6DF6"/>
    <w:rsid w:val="00E11E0A"/>
    <w:rsid w:val="00E47B63"/>
    <w:rsid w:val="00E51F29"/>
    <w:rsid w:val="00E55128"/>
    <w:rsid w:val="00E624F9"/>
    <w:rsid w:val="00E743BD"/>
    <w:rsid w:val="00EC03E9"/>
    <w:rsid w:val="00EE135E"/>
    <w:rsid w:val="00EF3371"/>
    <w:rsid w:val="00F364C3"/>
    <w:rsid w:val="00F40993"/>
    <w:rsid w:val="00F4588B"/>
    <w:rsid w:val="00F50D49"/>
    <w:rsid w:val="00F70836"/>
    <w:rsid w:val="00F86E63"/>
    <w:rsid w:val="00F87A1B"/>
    <w:rsid w:val="00FC36AC"/>
    <w:rsid w:val="00FE1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AD37"/>
  <w15:docId w15:val="{EB658FEC-769D-48A4-8240-8A676939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ind w:left="720" w:right="18"/>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after="100"/>
      <w:ind w:left="0"/>
      <w:outlineLvl w:val="0"/>
    </w:pPr>
    <w:rPr>
      <w:rFonts w:ascii="Arial" w:eastAsia="Arial" w:hAnsi="Arial" w:cs="Arial"/>
      <w:b/>
      <w:sz w:val="32"/>
      <w:szCs w:val="32"/>
    </w:rPr>
  </w:style>
  <w:style w:type="paragraph" w:styleId="Heading2">
    <w:name w:val="heading 2"/>
    <w:basedOn w:val="Normal"/>
    <w:next w:val="Normal"/>
    <w:pPr>
      <w:keepNext/>
      <w:keepLines/>
      <w:spacing w:before="120" w:after="120"/>
      <w:ind w:right="0"/>
      <w:outlineLvl w:val="1"/>
    </w:pPr>
    <w:rPr>
      <w:rFonts w:ascii="Arial" w:eastAsia="Arial" w:hAnsi="Arial" w:cs="Arial"/>
      <w:b/>
      <w:sz w:val="32"/>
      <w:szCs w:val="32"/>
    </w:rPr>
  </w:style>
  <w:style w:type="paragraph" w:styleId="Heading3">
    <w:name w:val="heading 3"/>
    <w:basedOn w:val="Normal"/>
    <w:next w:val="Normal"/>
    <w:pPr>
      <w:keepNext/>
      <w:keepLines/>
      <w:spacing w:before="40"/>
      <w:ind w:left="2880" w:right="14"/>
      <w:outlineLvl w:val="2"/>
    </w:pPr>
    <w:rPr>
      <w:rFonts w:ascii="Arial" w:eastAsia="Arial" w:hAnsi="Arial" w:cs="Arial"/>
      <w:b/>
      <w:sz w:val="28"/>
      <w:szCs w:val="28"/>
    </w:rPr>
  </w:style>
  <w:style w:type="paragraph" w:styleId="Heading4">
    <w:name w:val="heading 4"/>
    <w:basedOn w:val="Normal"/>
    <w:next w:val="Normal"/>
    <w:pPr>
      <w:keepNext/>
      <w:keepLines/>
      <w:spacing w:before="40"/>
      <w:ind w:left="0" w:right="14"/>
      <w:outlineLvl w:val="3"/>
    </w:pPr>
    <w:rPr>
      <w:rFonts w:ascii="Arial" w:eastAsia="Arial" w:hAnsi="Arial" w:cs="Arial"/>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ind w:left="162"/>
    </w:pPr>
    <w:rPr>
      <w:b/>
      <w:color w:val="FFFFFF"/>
      <w:sz w:val="28"/>
      <w:szCs w:val="28"/>
    </w:rPr>
  </w:style>
  <w:style w:type="paragraph" w:styleId="Subtitle">
    <w:name w:val="Subtitle"/>
    <w:basedOn w:val="Normal"/>
    <w:next w:val="Normal"/>
    <w:pPr>
      <w:ind w:left="18"/>
    </w:pPr>
    <w:rPr>
      <w:rFonts w:ascii="Calibri" w:eastAsia="Calibri" w:hAnsi="Calibri" w:cs="Calibri"/>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72" w:type="dxa"/>
        <w:left w:w="72" w:type="dxa"/>
        <w:bottom w:w="72" w:type="dxa"/>
        <w:right w:w="72"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ind w:left="0"/>
    </w:pPr>
    <w:rPr>
      <w:color w:val="538135"/>
    </w:rPr>
    <w:tblPr>
      <w:tblStyleRowBandSize w:val="1"/>
      <w:tblStyleColBandSize w:val="1"/>
      <w:tblCellMar>
        <w:left w:w="0" w:type="dxa"/>
        <w:right w:w="0" w:type="dxa"/>
      </w:tblCellMar>
    </w:tblPr>
  </w:style>
  <w:style w:type="table" w:customStyle="1" w:styleId="a5">
    <w:basedOn w:val="TableNormal"/>
    <w:pPr>
      <w:ind w:left="0"/>
    </w:pPr>
    <w:rPr>
      <w:color w:val="538135"/>
    </w:rPr>
    <w:tblPr>
      <w:tblStyleRowBandSize w:val="1"/>
      <w:tblStyleColBandSize w:val="1"/>
    </w:tblPr>
  </w:style>
  <w:style w:type="table" w:customStyle="1" w:styleId="a6">
    <w:basedOn w:val="TableNormal"/>
    <w:pPr>
      <w:ind w:left="0"/>
    </w:pPr>
    <w:rPr>
      <w:color w:val="538135"/>
    </w:rPr>
    <w:tblPr>
      <w:tblStyleRowBandSize w:val="1"/>
      <w:tblStyleColBandSize w:val="1"/>
    </w:tblPr>
  </w:style>
  <w:style w:type="table" w:customStyle="1" w:styleId="a7">
    <w:basedOn w:val="TableNormal"/>
    <w:pPr>
      <w:ind w:left="0"/>
    </w:pPr>
    <w:rPr>
      <w:color w:val="538135"/>
    </w:rPr>
    <w:tblPr>
      <w:tblStyleRowBandSize w:val="1"/>
      <w:tblStyleColBandSize w:val="1"/>
      <w:tblCellMar>
        <w:top w:w="43" w:type="dxa"/>
        <w:left w:w="115" w:type="dxa"/>
        <w:bottom w:w="43"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ind w:left="0"/>
    </w:pPr>
    <w:rPr>
      <w:color w:val="538135"/>
    </w:rPr>
    <w:tblPr>
      <w:tblStyleRowBandSize w:val="1"/>
      <w:tblStyleColBandSize w:val="1"/>
    </w:tblPr>
  </w:style>
  <w:style w:type="table" w:customStyle="1" w:styleId="ae">
    <w:basedOn w:val="TableNormal"/>
    <w:pPr>
      <w:ind w:left="0"/>
    </w:pPr>
    <w:rPr>
      <w:color w:val="538135"/>
    </w:rPr>
    <w:tblPr>
      <w:tblStyleRowBandSize w:val="1"/>
      <w:tblStyleColBandSize w:val="1"/>
      <w:tblCellMar>
        <w:left w:w="43" w:type="dxa"/>
        <w:right w:w="43"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top w:w="72" w:type="dxa"/>
        <w:left w:w="72" w:type="dxa"/>
        <w:bottom w:w="72" w:type="dxa"/>
        <w:right w:w="72"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pPr>
      <w:ind w:left="0"/>
    </w:pPr>
    <w:rPr>
      <w:color w:val="538135"/>
    </w:rPr>
    <w:tblPr>
      <w:tblStyleRowBandSize w:val="1"/>
      <w:tblStyleColBandSize w:val="1"/>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pPr>
      <w:ind w:left="0"/>
    </w:pPr>
    <w:rPr>
      <w:color w:val="538135"/>
    </w:rPr>
    <w:tblPr>
      <w:tblStyleRowBandSize w:val="1"/>
      <w:tblStyleColBandSize w:val="1"/>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pPr>
      <w:ind w:left="0"/>
    </w:pPr>
    <w:rPr>
      <w:color w:val="538135"/>
    </w:rPr>
    <w:tblPr>
      <w:tblStyleRowBandSize w:val="1"/>
      <w:tblStyleColBandSize w:val="1"/>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pPr>
      <w:ind w:left="0"/>
    </w:pPr>
    <w:rPr>
      <w:color w:val="538135"/>
    </w:rPr>
    <w:tblPr>
      <w:tblStyleRowBandSize w:val="1"/>
      <w:tblStyleColBandSize w:val="1"/>
      <w:tblCellMar>
        <w:left w:w="72" w:type="dxa"/>
        <w:right w:w="72"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pPr>
      <w:ind w:left="0"/>
    </w:pPr>
    <w:rPr>
      <w:color w:val="538135"/>
    </w:rPr>
    <w:tblPr>
      <w:tblStyleRowBandSize w:val="1"/>
      <w:tblStyleColBandSize w:val="1"/>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C36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6A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C36AC"/>
    <w:rPr>
      <w:b/>
      <w:bCs/>
    </w:rPr>
  </w:style>
  <w:style w:type="character" w:customStyle="1" w:styleId="CommentSubjectChar">
    <w:name w:val="Comment Subject Char"/>
    <w:basedOn w:val="CommentTextChar"/>
    <w:link w:val="CommentSubject"/>
    <w:uiPriority w:val="99"/>
    <w:semiHidden/>
    <w:rsid w:val="00FC36AC"/>
    <w:rPr>
      <w:b/>
      <w:bCs/>
      <w:sz w:val="20"/>
      <w:szCs w:val="20"/>
    </w:rPr>
  </w:style>
  <w:style w:type="paragraph" w:styleId="Revision">
    <w:name w:val="Revision"/>
    <w:hidden/>
    <w:uiPriority w:val="99"/>
    <w:semiHidden/>
    <w:rsid w:val="00FC36AC"/>
    <w:pPr>
      <w:pBdr>
        <w:top w:val="none" w:sz="0" w:space="0" w:color="auto"/>
        <w:left w:val="none" w:sz="0" w:space="0" w:color="auto"/>
        <w:bottom w:val="none" w:sz="0" w:space="0" w:color="auto"/>
        <w:right w:val="none" w:sz="0" w:space="0" w:color="auto"/>
        <w:between w:val="none" w:sz="0" w:space="0" w:color="auto"/>
      </w:pBdr>
      <w:ind w:left="0" w:right="0"/>
    </w:pPr>
  </w:style>
  <w:style w:type="paragraph" w:styleId="Header">
    <w:name w:val="header"/>
    <w:basedOn w:val="Normal"/>
    <w:link w:val="HeaderChar"/>
    <w:uiPriority w:val="99"/>
    <w:unhideWhenUsed/>
    <w:rsid w:val="002927CD"/>
    <w:pPr>
      <w:tabs>
        <w:tab w:val="center" w:pos="4680"/>
        <w:tab w:val="right" w:pos="9360"/>
      </w:tabs>
    </w:pPr>
  </w:style>
  <w:style w:type="character" w:customStyle="1" w:styleId="HeaderChar">
    <w:name w:val="Header Char"/>
    <w:basedOn w:val="DefaultParagraphFont"/>
    <w:link w:val="Header"/>
    <w:uiPriority w:val="99"/>
    <w:rsid w:val="002927CD"/>
  </w:style>
  <w:style w:type="paragraph" w:styleId="Footer">
    <w:name w:val="footer"/>
    <w:basedOn w:val="Normal"/>
    <w:link w:val="FooterChar"/>
    <w:uiPriority w:val="99"/>
    <w:unhideWhenUsed/>
    <w:rsid w:val="002927CD"/>
    <w:pPr>
      <w:tabs>
        <w:tab w:val="center" w:pos="4680"/>
        <w:tab w:val="right" w:pos="9360"/>
      </w:tabs>
    </w:pPr>
  </w:style>
  <w:style w:type="character" w:customStyle="1" w:styleId="FooterChar">
    <w:name w:val="Footer Char"/>
    <w:basedOn w:val="DefaultParagraphFont"/>
    <w:link w:val="Footer"/>
    <w:uiPriority w:val="99"/>
    <w:rsid w:val="002927CD"/>
  </w:style>
  <w:style w:type="character" w:styleId="Hyperlink">
    <w:name w:val="Hyperlink"/>
    <w:basedOn w:val="DefaultParagraphFont"/>
    <w:uiPriority w:val="99"/>
    <w:unhideWhenUsed/>
    <w:rsid w:val="00B517E6"/>
    <w:rPr>
      <w:color w:val="0563C1"/>
      <w:u w:val="single"/>
    </w:rPr>
  </w:style>
  <w:style w:type="paragraph" w:styleId="ListParagraph">
    <w:name w:val="List Paragraph"/>
    <w:basedOn w:val="Normal"/>
    <w:uiPriority w:val="34"/>
    <w:qFormat/>
    <w:rsid w:val="00EE135E"/>
    <w:pPr>
      <w:pBdr>
        <w:top w:val="none" w:sz="0" w:space="0" w:color="auto"/>
        <w:left w:val="none" w:sz="0" w:space="0" w:color="auto"/>
        <w:bottom w:val="none" w:sz="0" w:space="0" w:color="auto"/>
        <w:right w:val="none" w:sz="0" w:space="0" w:color="auto"/>
        <w:between w:val="none" w:sz="0" w:space="0" w:color="auto"/>
      </w:pBdr>
      <w:ind w:right="0"/>
    </w:pPr>
    <w:rPr>
      <w:rFonts w:ascii="Calibri" w:eastAsiaTheme="minorHAnsi" w:hAnsi="Calibri"/>
      <w:color w:val="auto"/>
      <w:sz w:val="22"/>
      <w:szCs w:val="22"/>
    </w:rPr>
  </w:style>
  <w:style w:type="paragraph" w:styleId="FootnoteText">
    <w:name w:val="footnote text"/>
    <w:basedOn w:val="Normal"/>
    <w:link w:val="FootnoteTextChar"/>
    <w:uiPriority w:val="99"/>
    <w:semiHidden/>
    <w:unhideWhenUsed/>
    <w:rsid w:val="00004783"/>
    <w:rPr>
      <w:sz w:val="20"/>
      <w:szCs w:val="20"/>
    </w:rPr>
  </w:style>
  <w:style w:type="character" w:customStyle="1" w:styleId="FootnoteTextChar">
    <w:name w:val="Footnote Text Char"/>
    <w:basedOn w:val="DefaultParagraphFont"/>
    <w:link w:val="FootnoteText"/>
    <w:uiPriority w:val="99"/>
    <w:semiHidden/>
    <w:rsid w:val="00004783"/>
    <w:rPr>
      <w:sz w:val="20"/>
      <w:szCs w:val="20"/>
    </w:rPr>
  </w:style>
  <w:style w:type="character" w:styleId="FootnoteReference">
    <w:name w:val="footnote reference"/>
    <w:basedOn w:val="DefaultParagraphFont"/>
    <w:uiPriority w:val="99"/>
    <w:semiHidden/>
    <w:unhideWhenUsed/>
    <w:rsid w:val="00004783"/>
    <w:rPr>
      <w:vertAlign w:val="superscript"/>
    </w:rPr>
  </w:style>
  <w:style w:type="paragraph" w:styleId="TOC2">
    <w:name w:val="toc 2"/>
    <w:basedOn w:val="Normal"/>
    <w:next w:val="Normal"/>
    <w:autoRedefine/>
    <w:uiPriority w:val="39"/>
    <w:unhideWhenUsed/>
    <w:rsid w:val="003912A6"/>
    <w:pPr>
      <w:spacing w:after="100"/>
      <w:ind w:left="240"/>
    </w:pPr>
  </w:style>
  <w:style w:type="paragraph" w:styleId="TOC1">
    <w:name w:val="toc 1"/>
    <w:basedOn w:val="Normal"/>
    <w:next w:val="Normal"/>
    <w:autoRedefine/>
    <w:uiPriority w:val="39"/>
    <w:unhideWhenUsed/>
    <w:rsid w:val="003912A6"/>
    <w:pPr>
      <w:spacing w:after="100"/>
      <w:ind w:left="0"/>
    </w:pPr>
  </w:style>
  <w:style w:type="paragraph" w:styleId="TOC3">
    <w:name w:val="toc 3"/>
    <w:basedOn w:val="Normal"/>
    <w:next w:val="Normal"/>
    <w:autoRedefine/>
    <w:uiPriority w:val="39"/>
    <w:unhideWhenUsed/>
    <w:rsid w:val="003912A6"/>
    <w:pPr>
      <w:spacing w:after="100"/>
      <w:ind w:left="480"/>
    </w:pPr>
  </w:style>
  <w:style w:type="paragraph" w:styleId="TOC4">
    <w:name w:val="toc 4"/>
    <w:basedOn w:val="Normal"/>
    <w:next w:val="Normal"/>
    <w:autoRedefine/>
    <w:uiPriority w:val="39"/>
    <w:unhideWhenUsed/>
    <w:rsid w:val="003912A6"/>
    <w:pPr>
      <w:spacing w:after="100"/>
    </w:pPr>
  </w:style>
  <w:style w:type="paragraph" w:styleId="TOC5">
    <w:name w:val="toc 5"/>
    <w:basedOn w:val="Normal"/>
    <w:next w:val="Normal"/>
    <w:autoRedefine/>
    <w:uiPriority w:val="39"/>
    <w:unhideWhenUsed/>
    <w:rsid w:val="003912A6"/>
    <w:pPr>
      <w:pBdr>
        <w:top w:val="none" w:sz="0" w:space="0" w:color="auto"/>
        <w:left w:val="none" w:sz="0" w:space="0" w:color="auto"/>
        <w:bottom w:val="none" w:sz="0" w:space="0" w:color="auto"/>
        <w:right w:val="none" w:sz="0" w:space="0" w:color="auto"/>
        <w:between w:val="none" w:sz="0" w:space="0" w:color="auto"/>
      </w:pBdr>
      <w:spacing w:after="100" w:line="259" w:lineRule="auto"/>
      <w:ind w:left="880" w:right="0"/>
    </w:pPr>
    <w:rPr>
      <w:rFonts w:asciiTheme="minorHAnsi" w:eastAsiaTheme="minorEastAsia" w:hAnsiTheme="minorHAnsi" w:cstheme="minorBidi"/>
      <w:color w:val="auto"/>
      <w:sz w:val="22"/>
      <w:szCs w:val="22"/>
    </w:rPr>
  </w:style>
  <w:style w:type="paragraph" w:styleId="TOC6">
    <w:name w:val="toc 6"/>
    <w:basedOn w:val="Normal"/>
    <w:next w:val="Normal"/>
    <w:autoRedefine/>
    <w:uiPriority w:val="39"/>
    <w:unhideWhenUsed/>
    <w:rsid w:val="003912A6"/>
    <w:pPr>
      <w:pBdr>
        <w:top w:val="none" w:sz="0" w:space="0" w:color="auto"/>
        <w:left w:val="none" w:sz="0" w:space="0" w:color="auto"/>
        <w:bottom w:val="none" w:sz="0" w:space="0" w:color="auto"/>
        <w:right w:val="none" w:sz="0" w:space="0" w:color="auto"/>
        <w:between w:val="none" w:sz="0" w:space="0" w:color="auto"/>
      </w:pBdr>
      <w:spacing w:after="100" w:line="259" w:lineRule="auto"/>
      <w:ind w:left="1100" w:right="0"/>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3912A6"/>
    <w:pPr>
      <w:pBdr>
        <w:top w:val="none" w:sz="0" w:space="0" w:color="auto"/>
        <w:left w:val="none" w:sz="0" w:space="0" w:color="auto"/>
        <w:bottom w:val="none" w:sz="0" w:space="0" w:color="auto"/>
        <w:right w:val="none" w:sz="0" w:space="0" w:color="auto"/>
        <w:between w:val="none" w:sz="0" w:space="0" w:color="auto"/>
      </w:pBdr>
      <w:spacing w:after="100" w:line="259" w:lineRule="auto"/>
      <w:ind w:left="1320" w:right="0"/>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3912A6"/>
    <w:pPr>
      <w:pBdr>
        <w:top w:val="none" w:sz="0" w:space="0" w:color="auto"/>
        <w:left w:val="none" w:sz="0" w:space="0" w:color="auto"/>
        <w:bottom w:val="none" w:sz="0" w:space="0" w:color="auto"/>
        <w:right w:val="none" w:sz="0" w:space="0" w:color="auto"/>
        <w:between w:val="none" w:sz="0" w:space="0" w:color="auto"/>
      </w:pBdr>
      <w:spacing w:after="100" w:line="259" w:lineRule="auto"/>
      <w:ind w:left="1540" w:right="0"/>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3912A6"/>
    <w:pPr>
      <w:pBdr>
        <w:top w:val="none" w:sz="0" w:space="0" w:color="auto"/>
        <w:left w:val="none" w:sz="0" w:space="0" w:color="auto"/>
        <w:bottom w:val="none" w:sz="0" w:space="0" w:color="auto"/>
        <w:right w:val="none" w:sz="0" w:space="0" w:color="auto"/>
        <w:between w:val="none" w:sz="0" w:space="0" w:color="auto"/>
      </w:pBdr>
      <w:spacing w:after="100" w:line="259" w:lineRule="auto"/>
      <w:ind w:left="1760" w:right="0"/>
    </w:pPr>
    <w:rPr>
      <w:rFonts w:asciiTheme="minorHAnsi" w:eastAsiaTheme="minorEastAsia" w:hAnsiTheme="minorHAnsi" w:cstheme="minorBidi"/>
      <w:color w:val="auto"/>
      <w:sz w:val="22"/>
      <w:szCs w:val="22"/>
    </w:rPr>
  </w:style>
  <w:style w:type="paragraph" w:styleId="TOCHeading">
    <w:name w:val="TOC Heading"/>
    <w:basedOn w:val="Heading1"/>
    <w:next w:val="Normal"/>
    <w:uiPriority w:val="39"/>
    <w:unhideWhenUsed/>
    <w:qFormat/>
    <w:rsid w:val="009D200C"/>
    <w:pPr>
      <w:keepNext/>
      <w:keepLines/>
      <w:pBdr>
        <w:top w:val="none" w:sz="0" w:space="0" w:color="auto"/>
        <w:left w:val="none" w:sz="0" w:space="0" w:color="auto"/>
        <w:bottom w:val="none" w:sz="0" w:space="0" w:color="auto"/>
        <w:right w:val="none" w:sz="0" w:space="0" w:color="auto"/>
        <w:between w:val="none" w:sz="0" w:space="0" w:color="auto"/>
      </w:pBdr>
      <w:spacing w:before="240" w:after="0" w:line="259" w:lineRule="auto"/>
      <w:ind w:right="0"/>
      <w:outlineLvl w:val="9"/>
    </w:pPr>
    <w:rPr>
      <w:rFonts w:asciiTheme="majorHAnsi" w:eastAsiaTheme="majorEastAsia" w:hAnsiTheme="majorHAnsi" w:cstheme="majorBidi"/>
      <w:b w:val="0"/>
      <w:color w:val="2E74B5" w:themeColor="accent1" w:themeShade="BF"/>
    </w:rPr>
  </w:style>
  <w:style w:type="table" w:styleId="TableGrid">
    <w:name w:val="Table Grid"/>
    <w:basedOn w:val="TableNormal"/>
    <w:uiPriority w:val="39"/>
    <w:rsid w:val="00771AC5"/>
    <w:pPr>
      <w:pBdr>
        <w:top w:val="none" w:sz="0" w:space="0" w:color="auto"/>
        <w:left w:val="none" w:sz="0" w:space="0" w:color="auto"/>
        <w:bottom w:val="none" w:sz="0" w:space="0" w:color="auto"/>
        <w:right w:val="none" w:sz="0" w:space="0" w:color="auto"/>
        <w:between w:val="none" w:sz="0" w:space="0" w:color="auto"/>
      </w:pBdr>
      <w:ind w:left="0" w:right="0"/>
    </w:pPr>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300139">
      <w:bodyDiv w:val="1"/>
      <w:marLeft w:val="0"/>
      <w:marRight w:val="0"/>
      <w:marTop w:val="0"/>
      <w:marBottom w:val="0"/>
      <w:divBdr>
        <w:top w:val="none" w:sz="0" w:space="0" w:color="auto"/>
        <w:left w:val="none" w:sz="0" w:space="0" w:color="auto"/>
        <w:bottom w:val="none" w:sz="0" w:space="0" w:color="auto"/>
        <w:right w:val="none" w:sz="0" w:space="0" w:color="auto"/>
      </w:divBdr>
    </w:div>
    <w:div w:id="775373333">
      <w:bodyDiv w:val="1"/>
      <w:marLeft w:val="0"/>
      <w:marRight w:val="0"/>
      <w:marTop w:val="0"/>
      <w:marBottom w:val="0"/>
      <w:divBdr>
        <w:top w:val="none" w:sz="0" w:space="0" w:color="auto"/>
        <w:left w:val="none" w:sz="0" w:space="0" w:color="auto"/>
        <w:bottom w:val="none" w:sz="0" w:space="0" w:color="auto"/>
        <w:right w:val="none" w:sz="0" w:space="0" w:color="auto"/>
      </w:divBdr>
    </w:div>
    <w:div w:id="1277325428">
      <w:bodyDiv w:val="1"/>
      <w:marLeft w:val="0"/>
      <w:marRight w:val="0"/>
      <w:marTop w:val="0"/>
      <w:marBottom w:val="0"/>
      <w:divBdr>
        <w:top w:val="none" w:sz="0" w:space="0" w:color="auto"/>
        <w:left w:val="none" w:sz="0" w:space="0" w:color="auto"/>
        <w:bottom w:val="none" w:sz="0" w:space="0" w:color="auto"/>
        <w:right w:val="none" w:sz="0" w:space="0" w:color="auto"/>
      </w:divBdr>
    </w:div>
    <w:div w:id="1305543811">
      <w:bodyDiv w:val="1"/>
      <w:marLeft w:val="0"/>
      <w:marRight w:val="0"/>
      <w:marTop w:val="0"/>
      <w:marBottom w:val="0"/>
      <w:divBdr>
        <w:top w:val="none" w:sz="0" w:space="0" w:color="auto"/>
        <w:left w:val="none" w:sz="0" w:space="0" w:color="auto"/>
        <w:bottom w:val="none" w:sz="0" w:space="0" w:color="auto"/>
        <w:right w:val="none" w:sz="0" w:space="0" w:color="auto"/>
      </w:divBdr>
    </w:div>
    <w:div w:id="1409573047">
      <w:bodyDiv w:val="1"/>
      <w:marLeft w:val="0"/>
      <w:marRight w:val="0"/>
      <w:marTop w:val="0"/>
      <w:marBottom w:val="0"/>
      <w:divBdr>
        <w:top w:val="none" w:sz="0" w:space="0" w:color="auto"/>
        <w:left w:val="none" w:sz="0" w:space="0" w:color="auto"/>
        <w:bottom w:val="none" w:sz="0" w:space="0" w:color="auto"/>
        <w:right w:val="none" w:sz="0" w:space="0" w:color="auto"/>
      </w:divBdr>
    </w:div>
    <w:div w:id="1422222239">
      <w:bodyDiv w:val="1"/>
      <w:marLeft w:val="0"/>
      <w:marRight w:val="0"/>
      <w:marTop w:val="0"/>
      <w:marBottom w:val="0"/>
      <w:divBdr>
        <w:top w:val="none" w:sz="0" w:space="0" w:color="auto"/>
        <w:left w:val="none" w:sz="0" w:space="0" w:color="auto"/>
        <w:bottom w:val="none" w:sz="0" w:space="0" w:color="auto"/>
        <w:right w:val="none" w:sz="0" w:space="0" w:color="auto"/>
      </w:divBdr>
    </w:div>
    <w:div w:id="2074310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oregon.gov/deq/Regulations/rulemaking/Pages/Rcleanerair2017.aspx" TargetMode="External"/><Relationship Id="rId26" Type="http://schemas.openxmlformats.org/officeDocument/2006/relationships/hyperlink" Target="http://www.hhpprtv.ornl.gov" TargetMode="External"/><Relationship Id="rId39" Type="http://schemas.openxmlformats.org/officeDocument/2006/relationships/hyperlink" Target="https://www3.epa.gov/ttncatc1/cica/files/fregen.pdf" TargetMode="External"/><Relationship Id="rId21" Type="http://schemas.openxmlformats.org/officeDocument/2006/relationships/hyperlink" Target="https://www.epa.gov/national-air-toxics-assessment/2011-nata-assessment-results" TargetMode="External"/><Relationship Id="rId34" Type="http://schemas.openxmlformats.org/officeDocument/2006/relationships/hyperlink" Target="https://www3.epa.gov/ttn/ecas/docs/cs6ch3.pdf" TargetMode="External"/><Relationship Id="rId42" Type="http://schemas.openxmlformats.org/officeDocument/2006/relationships/hyperlink" Target="https://www3.epa.gov/ttncatc1/cica/files/ff-shaker.pdf" TargetMode="External"/><Relationship Id="rId47" Type="http://schemas.openxmlformats.org/officeDocument/2006/relationships/hyperlink" Target="https://www.epa.gov/sites/production/files/2015-07/documents/812caaa_benzene_houston_final_report_july_2009.pdf" TargetMode="External"/><Relationship Id="rId50" Type="http://schemas.openxmlformats.org/officeDocument/2006/relationships/hyperlink" Target="https://www.atsdr.cdc.gov/toxprofiles/index.asp" TargetMode="External"/><Relationship Id="rId55" Type="http://schemas.openxmlformats.org/officeDocument/2006/relationships/hyperlink" Target="http://www.oregon.gov/oha/PH/BIRTHDEATHCERTIFICATES/VITALSTATISTICS/Pages/index.aspx" TargetMode="External"/><Relationship Id="rId63" Type="http://schemas.openxmlformats.org/officeDocument/2006/relationships/hyperlink" Target="http://oregon.gov/deq/Pages/Events.aspx" TargetMode="External"/><Relationship Id="rId68" Type="http://schemas.openxmlformats.org/officeDocument/2006/relationships/hyperlink" Target="https://connect9.uc.att.com/service32/meet/?ExEventID=88040259" TargetMode="External"/><Relationship Id="rId76" Type="http://schemas.openxmlformats.org/officeDocument/2006/relationships/hyperlink" Target="http://www.oregon.gov/deq/Rulemaking%20Docs/cao-pn-otherRules-noredline.pdf" TargetMode="External"/><Relationship Id="rId84"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www.oregon.gov/deq/Rulemaking%20Docs/cao-pn-Div245.pdf" TargetMode="External"/><Relationship Id="rId2" Type="http://schemas.openxmlformats.org/officeDocument/2006/relationships/customXml" Target="../customXml/item2.xml"/><Relationship Id="rId16" Type="http://schemas.openxmlformats.org/officeDocument/2006/relationships/hyperlink" Target="http://www.oregon.gov/deq/Regulations/rulemaking/Pages/Ccleanerair2017.aspx" TargetMode="External"/><Relationship Id="rId29" Type="http://schemas.openxmlformats.org/officeDocument/2006/relationships/hyperlink" Target="https://www.epa.gov/p2/pollution-prevention-act-1990" TargetMode="External"/><Relationship Id="rId11" Type="http://schemas.openxmlformats.org/officeDocument/2006/relationships/image" Target="media/image1.png"/><Relationship Id="rId24" Type="http://schemas.openxmlformats.org/officeDocument/2006/relationships/hyperlink" Target="https://www3.epa.gov/ttn/scram/appendix_w-2016.htm" TargetMode="External"/><Relationship Id="rId32" Type="http://schemas.openxmlformats.org/officeDocument/2006/relationships/hyperlink" Target="http://www.epa.gov/ttn/catc/dir1/cost_toc.pdf" TargetMode="External"/><Relationship Id="rId37" Type="http://schemas.openxmlformats.org/officeDocument/2006/relationships/hyperlink" Target="https://www3.epa.gov/ttncatc1/cica/files/fsprytwr.pdf" TargetMode="External"/><Relationship Id="rId40" Type="http://schemas.openxmlformats.org/officeDocument/2006/relationships/hyperlink" Target="https://www3.epa.gov/ttncatc1/cica/files/fthermal.pdf" TargetMode="External"/><Relationship Id="rId45" Type="http://schemas.openxmlformats.org/officeDocument/2006/relationships/hyperlink" Target="https://www.epa.gov/clean-air-act-overview/clean-air-act-and-economy" TargetMode="External"/><Relationship Id="rId53" Type="http://schemas.openxmlformats.org/officeDocument/2006/relationships/hyperlink" Target="http://public.health.oregon.gov/ProviderPartnerResources/PublicHealthAccreditation/Documents/indicators/leadingcausesofdeath.pdf" TargetMode="External"/><Relationship Id="rId58" Type="http://schemas.openxmlformats.org/officeDocument/2006/relationships/hyperlink" Target="http://econweb.ucsd.edu/~elib/berman_bui2001" TargetMode="External"/><Relationship Id="rId66" Type="http://schemas.openxmlformats.org/officeDocument/2006/relationships/hyperlink" Target="http://www.leg.state.or.us/ors/183.html" TargetMode="External"/><Relationship Id="rId74" Type="http://schemas.openxmlformats.org/officeDocument/2006/relationships/hyperlink" Target="http://www.oregon.gov/deq/Rulemaking%20Docs/cao-pn-Div245-noredline.pdf" TargetMode="External"/><Relationship Id="rId79" Type="http://schemas.openxmlformats.org/officeDocument/2006/relationships/hyperlink" Target="http://www.oregon.gov/deq/Rulemaking%20Docs/cao-pn-P2.pdf" TargetMode="External"/><Relationship Id="rId5" Type="http://schemas.openxmlformats.org/officeDocument/2006/relationships/numbering" Target="numbering.xml"/><Relationship Id="rId61" Type="http://schemas.openxmlformats.org/officeDocument/2006/relationships/hyperlink" Target="http://www.oregon.gov/deq/Regulations/rulemaking/Pages/Rcleanerair2017.aspx" TargetMode="External"/><Relationship Id="rId82" Type="http://schemas.openxmlformats.org/officeDocument/2006/relationships/hyperlink" Target="http://www.oregon.gov/deq/Rulemaking%20Docs/cao-pn-feeTableDocumentation.pdf" TargetMode="External"/><Relationship Id="rId19" Type="http://schemas.openxmlformats.org/officeDocument/2006/relationships/hyperlink" Target="mailto:deqinfo@deq.state.or.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oregon.gov/gov/policy/environment/environmental_justice/Documents/2016%20Oregon%20EJTF%20Handbook%20Final.pdf" TargetMode="External"/><Relationship Id="rId27" Type="http://schemas.openxmlformats.org/officeDocument/2006/relationships/hyperlink" Target="http://www.atsdr.cdc.gov" TargetMode="External"/><Relationship Id="rId30" Type="http://schemas.openxmlformats.org/officeDocument/2006/relationships/hyperlink" Target="http://arcweb.sos.state.or.us/pages/rules/oars_300/oar_340/_340_tables/340-216-0020_10-24.pdf" TargetMode="External"/><Relationship Id="rId35" Type="http://schemas.openxmlformats.org/officeDocument/2006/relationships/hyperlink" Target="https://www.epa.gov/haps/health-and-environmental-effects-hazardous-air-pollutants" TargetMode="External"/><Relationship Id="rId43" Type="http://schemas.openxmlformats.org/officeDocument/2006/relationships/hyperlink" Target="https://www3.epa.gov/ttncatc1/cica/files/fdespwpl.pdf" TargetMode="External"/><Relationship Id="rId48" Type="http://schemas.openxmlformats.org/officeDocument/2006/relationships/hyperlink" Target="https://www3.epa.gov/ttnchie1/ap42/ch12/final/c12s20.pdf" TargetMode="External"/><Relationship Id="rId56" Type="http://schemas.openxmlformats.org/officeDocument/2006/relationships/hyperlink" Target="https://www.epa.gov/air-pollution-transportation/accomplishments-and-success-air-pollution-transportation" TargetMode="External"/><Relationship Id="rId64" Type="http://schemas.openxmlformats.org/officeDocument/2006/relationships/hyperlink" Target="http://www.oregon.gov/deq/Regulations/rulemaking/Pages/Rcleanerair2017.aspx" TargetMode="External"/><Relationship Id="rId69" Type="http://schemas.openxmlformats.org/officeDocument/2006/relationships/hyperlink" Target="http://www.deq.state.or.us/regulations/docs/participantlinklog.pdf" TargetMode="External"/><Relationship Id="rId77" Type="http://schemas.openxmlformats.org/officeDocument/2006/relationships/hyperlink" Target="http://www.oregon.gov/deq/Rulemaking%20Docs/cao-pn-monitoringPlan.pdf" TargetMode="External"/><Relationship Id="rId8" Type="http://schemas.openxmlformats.org/officeDocument/2006/relationships/webSettings" Target="webSettings.xml"/><Relationship Id="rId51" Type="http://schemas.openxmlformats.org/officeDocument/2006/relationships/hyperlink" Target="https://oehha.ca.gov/air/crnr/notice-adoption-air-toxics-hot-spots-program-technical-support-document-derivation" TargetMode="External"/><Relationship Id="rId72" Type="http://schemas.openxmlformats.org/officeDocument/2006/relationships/hyperlink" Target="http://www.oregon.gov/deq/Rulemaking%20Docs/cao-pn-Div245tables.pdf" TargetMode="External"/><Relationship Id="rId80" Type="http://schemas.openxmlformats.org/officeDocument/2006/relationships/hyperlink" Target="http://www.oregon.gov/deq/Rulemaking%20Docs/cao-pn-rulesGuide.pdf"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public.govdelivery.com/accounts/ORDEQ/subscriber/new?topic_id=ORDEQ_609" TargetMode="External"/><Relationship Id="rId25" Type="http://schemas.openxmlformats.org/officeDocument/2006/relationships/hyperlink" Target="http://www.epa.gov/iris" TargetMode="External"/><Relationship Id="rId33" Type="http://schemas.openxmlformats.org/officeDocument/2006/relationships/hyperlink" Target="http://www.epa.gov/ttn/catc/dir1/cost_toc.pdf" TargetMode="External"/><Relationship Id="rId38" Type="http://schemas.openxmlformats.org/officeDocument/2006/relationships/hyperlink" Target="https://www3.epa.gov/ttncatc1/cica/files/fcataly.pdf" TargetMode="External"/><Relationship Id="rId46" Type="http://schemas.openxmlformats.org/officeDocument/2006/relationships/hyperlink" Target="https://www.epa.gov/clean-air-act-overview/analytical-components-benefits-and-costs-clean-air-act-1990-2020-second" TargetMode="External"/><Relationship Id="rId59" Type="http://schemas.openxmlformats.org/officeDocument/2006/relationships/hyperlink" Target="https://www.epa.gov/clean-air-act-overview/clean-air-act-and-economy" TargetMode="External"/><Relationship Id="rId67" Type="http://schemas.openxmlformats.org/officeDocument/2006/relationships/hyperlink" Target="http://oregon.gov/deq/Pages/Events.aspx" TargetMode="External"/><Relationship Id="rId20" Type="http://schemas.openxmlformats.org/officeDocument/2006/relationships/hyperlink" Target="http://www.oregon.gov/deq/aq/air-toxics/Pages/PATS.aspx" TargetMode="External"/><Relationship Id="rId41" Type="http://schemas.openxmlformats.org/officeDocument/2006/relationships/hyperlink" Target="https://www3.epa.gov/ttncatc1/cica/files/ff-hepa.pdf" TargetMode="External"/><Relationship Id="rId54" Type="http://schemas.openxmlformats.org/officeDocument/2006/relationships/hyperlink" Target="http://www.oregon.gov/oha/PH/DISEASESCONDITIONS/CHRONICDISEASE/DATAREPORTS/Documents/datatables/%20%20%20CDCC_2010.pdf" TargetMode="External"/><Relationship Id="rId62" Type="http://schemas.openxmlformats.org/officeDocument/2006/relationships/hyperlink" Target="http://www.oregon.gov/deq/Regulations/rulemaking/Pages/Rcleanerair2017.aspx" TargetMode="External"/><Relationship Id="rId70" Type="http://schemas.openxmlformats.org/officeDocument/2006/relationships/hyperlink" Target="http://www.oregon.gov/deq/Regulations/rulemaking/Pages/Ccleanerair2017.aspx" TargetMode="External"/><Relationship Id="rId75" Type="http://schemas.openxmlformats.org/officeDocument/2006/relationships/hyperlink" Target="http://www.oregon.gov/deq/Rulemaking%20Docs/cao-pn-Div245tables.pdf" TargetMode="External"/><Relationship Id="rId83" Type="http://schemas.openxmlformats.org/officeDocument/2006/relationships/hyperlink" Target="http://www.oregon.gov/deq/Rulemaking%20Docs/cao-pn-feeExample.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oregon.gov/deq/Regulations/rulemaking/Pages/Rcleanerair2017.aspx" TargetMode="External"/><Relationship Id="rId23" Type="http://schemas.openxmlformats.org/officeDocument/2006/relationships/hyperlink" Target="https://www.epa.gov/ejscreen" TargetMode="External"/><Relationship Id="rId28" Type="http://schemas.openxmlformats.org/officeDocument/2006/relationships/hyperlink" Target="http://www.oehha.ca.gov" TargetMode="External"/><Relationship Id="rId36" Type="http://schemas.openxmlformats.org/officeDocument/2006/relationships/hyperlink" Target="https://www3.epa.gov/ttncatc1/cica/files/fadsorb.pdf" TargetMode="External"/><Relationship Id="rId49" Type="http://schemas.openxmlformats.org/officeDocument/2006/relationships/hyperlink" Target="https://www.epa.gov/iris" TargetMode="External"/><Relationship Id="rId57" Type="http://schemas.openxmlformats.org/officeDocument/2006/relationships/hyperlink" Target="https://www.epa.gov/air-pollution-%20%20%20transportation/accomplishments-and-success-air-pollution-transportation%20" TargetMode="External"/><Relationship Id="rId10" Type="http://schemas.openxmlformats.org/officeDocument/2006/relationships/endnotes" Target="endnotes.xml"/><Relationship Id="rId31" Type="http://schemas.openxmlformats.org/officeDocument/2006/relationships/hyperlink" Target="http://events.awma.org/files_original/ControlDevicesFactSheet07.pdf" TargetMode="External"/><Relationship Id="rId44" Type="http://schemas.openxmlformats.org/officeDocument/2006/relationships/hyperlink" Target="https://www3.epa.gov/ttncatc1/cica/files/fpte.pdf" TargetMode="External"/><Relationship Id="rId52" Type="http://schemas.openxmlformats.org/officeDocument/2006/relationships/hyperlink" Target="http://public.health.oregon.gov/ProviderPartnerResources/PublicHealthAccreditation/Documents/indicators/leadingcausesofdeath.pdf" TargetMode="External"/><Relationship Id="rId60" Type="http://schemas.openxmlformats.org/officeDocument/2006/relationships/hyperlink" Target="http://www.leg.state.or.us/ors/468a.html" TargetMode="External"/><Relationship Id="rId65" Type="http://schemas.openxmlformats.org/officeDocument/2006/relationships/hyperlink" Target="http://www.oregon.gov/deq/Regulations/rulemaking/Pages/Rcleanerair2017.aspx" TargetMode="External"/><Relationship Id="rId73" Type="http://schemas.openxmlformats.org/officeDocument/2006/relationships/hyperlink" Target="http://www.oregon.gov/deq/Rulemaking%20Docs/cao-pn-otherRules.pdf" TargetMode="External"/><Relationship Id="rId78" Type="http://schemas.openxmlformats.org/officeDocument/2006/relationships/hyperlink" Target="http://www.oregon.gov/deq/Rulemaking%20Docs/cao-pn-ATRA.pdf" TargetMode="External"/><Relationship Id="rId81" Type="http://schemas.openxmlformats.org/officeDocument/2006/relationships/hyperlink" Target="http://www.oregon.gov/deq/Rulemaking%20Docs/cao-pn-crosswalk.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pa.gov/air-pollution-transportation/accomplishments-and-success-air-pollution-transportation" TargetMode="External"/><Relationship Id="rId3" Type="http://schemas.openxmlformats.org/officeDocument/2006/relationships/hyperlink" Target="https://www.atsdr.cdc.gov/toxprofiles/index.asp" TargetMode="External"/><Relationship Id="rId7" Type="http://schemas.openxmlformats.org/officeDocument/2006/relationships/hyperlink" Target="http://public.health.oregon.gov/ProviderPartnerResources/PublicHealthAccreditation/Documents/indicators/leadingcausesofdeath.pdf" TargetMode="External"/><Relationship Id="rId2" Type="http://schemas.openxmlformats.org/officeDocument/2006/relationships/hyperlink" Target="https://www.epa.gov/iris" TargetMode="External"/><Relationship Id="rId1" Type="http://schemas.openxmlformats.org/officeDocument/2006/relationships/hyperlink" Target="https://www.epa.gov/iris" TargetMode="External"/><Relationship Id="rId6" Type="http://schemas.openxmlformats.org/officeDocument/2006/relationships/hyperlink" Target="http://public.health.oregon.gov/ProviderPartnerResources/PublicHealthAccreditation/Documents/indicators/leadingcausesofdeath.pdf" TargetMode="External"/><Relationship Id="rId11" Type="http://schemas.openxmlformats.org/officeDocument/2006/relationships/hyperlink" Target="https://www.epa.gov/clean-air-act-overview/clean-air-act-and-economy" TargetMode="External"/><Relationship Id="rId5" Type="http://schemas.openxmlformats.org/officeDocument/2006/relationships/hyperlink" Target="http://public.health.oregon.gov/ProviderPartnerResources/PublicHealthAccreditation/Documents/indicators/leadingcausesofdeath.pdf" TargetMode="External"/><Relationship Id="rId10" Type="http://schemas.openxmlformats.org/officeDocument/2006/relationships/hyperlink" Target="http://econweb.ucsd.edu/~elib/berman_bui2001" TargetMode="External"/><Relationship Id="rId4" Type="http://schemas.openxmlformats.org/officeDocument/2006/relationships/hyperlink" Target="http://public.health.oregon.gov/ProviderPartnerResources/PublicHealthAccreditation/Documents/indicators/leadingcausesofdeath.pdf" TargetMode="External"/><Relationship Id="rId9" Type="http://schemas.openxmlformats.org/officeDocument/2006/relationships/hyperlink" Target="https://www.epa.gov/air-pollution-transportation/accomplishments-and-success-air-pollution-transpor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BC4595577B740A0AADFF53B2ED06D" ma:contentTypeVersion="" ma:contentTypeDescription="Create a new document." ma:contentTypeScope="" ma:versionID="6122509f10bb36fa499ad2de70e9911c">
  <xsd:schema xmlns:xsd="http://www.w3.org/2001/XMLSchema" xmlns:xs="http://www.w3.org/2001/XMLSchema" xmlns:p="http://schemas.microsoft.com/office/2006/metadata/properties" xmlns:ns2="$ListId:docs;" xmlns:ns3="6d74fd01-c718-46ca-b310-3e8220f1f5ad" targetNamespace="http://schemas.microsoft.com/office/2006/metadata/properties" ma:root="true" ma:fieldsID="1b1201fad258ee0696801e572b4d6a12" ns2:_="" ns3:_="">
    <xsd:import namespace="$ListId:docs;"/>
    <xsd:import namespace="6d74fd01-c718-46ca-b310-3e8220f1f5ad"/>
    <xsd:element name="properties">
      <xsd:complexType>
        <xsd:sequence>
          <xsd:element name="documentManagement">
            <xsd:complexType>
              <xsd:all>
                <xsd:element ref="ns2:Topic" minOccurs="0"/>
                <xsd:element ref="ns3: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xsd="http://www.w3.org/2001/XMLSchema" xmlns:xs="http://www.w3.org/2001/XMLSchema" xmlns:dms="http://schemas.microsoft.com/office/2006/documentManagement/types" xmlns:pc="http://schemas.microsoft.com/office/infopath/2007/PartnerControls" targetNamespace="6d74fd01-c718-46ca-b310-3e8220f1f5ad" elementFormDefault="qualified">
    <xsd:import namespace="http://schemas.microsoft.com/office/2006/documentManagement/types"/>
    <xsd:import namespace="http://schemas.microsoft.com/office/infopath/2007/PartnerControls"/>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topic xmlns="6d74fd01-c718-46ca-b310-3e8220f1f5ad">Final Documents</Subtopic>
    <Topic xmlns="$ListId:docs;">D - Public Notice</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65E26-14BC-4C0A-854A-B58B2AAE1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6d74fd01-c718-46ca-b310-3e8220f1f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1DE38E-2C4F-49D4-9AC1-9017C2F3667F}">
  <ds:schemaRef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ListId:docs;"/>
    <ds:schemaRef ds:uri="http://www.w3.org/XML/1998/namespace"/>
    <ds:schemaRef ds:uri="http://schemas.microsoft.com/office/2006/metadata/properties"/>
    <ds:schemaRef ds:uri="6d74fd01-c718-46ca-b310-3e8220f1f5ad"/>
    <ds:schemaRef ds:uri="http://purl.org/dc/dcmitype/"/>
  </ds:schemaRefs>
</ds:datastoreItem>
</file>

<file path=customXml/itemProps3.xml><?xml version="1.0" encoding="utf-8"?>
<ds:datastoreItem xmlns:ds="http://schemas.openxmlformats.org/officeDocument/2006/customXml" ds:itemID="{361BA227-50BC-45E9-9B4B-C0A4BCBC1461}">
  <ds:schemaRefs>
    <ds:schemaRef ds:uri="http://schemas.microsoft.com/sharepoint/v3/contenttype/forms"/>
  </ds:schemaRefs>
</ds:datastoreItem>
</file>

<file path=customXml/itemProps4.xml><?xml version="1.0" encoding="utf-8"?>
<ds:datastoreItem xmlns:ds="http://schemas.openxmlformats.org/officeDocument/2006/customXml" ds:itemID="{7B4AD372-65C7-4E5E-8130-659833D8E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69</Pages>
  <Words>17082</Words>
  <Characters>97370</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114224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ARMITAGE Sarah</dc:creator>
  <cp:lastModifiedBy>INAHARA Jill</cp:lastModifiedBy>
  <cp:revision>2</cp:revision>
  <dcterms:created xsi:type="dcterms:W3CDTF">2017-10-24T23:18:00Z</dcterms:created>
  <dcterms:modified xsi:type="dcterms:W3CDTF">2017-10-24T23:18:00Z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0x010100BE8BC4595577B740A0AADFF53B2ED06D</vt:lpwstr>
  </property>
</Properties>
</file>