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5CAB9" w14:textId="77777777" w:rsidR="0084322B" w:rsidRPr="0084322B" w:rsidRDefault="0084322B" w:rsidP="0084322B">
      <w:pPr>
        <w:pStyle w:val="Normal1"/>
        <w:widowControl/>
        <w:jc w:val="left"/>
        <w:rPr>
          <w:b/>
          <w:sz w:val="48"/>
          <w:szCs w:val="48"/>
        </w:rPr>
      </w:pPr>
      <w:bookmarkStart w:id="0" w:name="_GoBack"/>
      <w:bookmarkEnd w:id="0"/>
      <w:r>
        <w:rPr>
          <w:b/>
          <w:sz w:val="48"/>
          <w:szCs w:val="48"/>
        </w:rPr>
        <w:t xml:space="preserve">DRAFT </w:t>
      </w:r>
      <w:r w:rsidRPr="0084322B">
        <w:rPr>
          <w:b/>
          <w:sz w:val="48"/>
          <w:szCs w:val="48"/>
        </w:rPr>
        <w:t>RECOMMENDED PROCEDURES FOR CONDUCTING AIR TOXICS HEALTH RISK ASSESSMENTS</w:t>
      </w:r>
    </w:p>
    <w:p w14:paraId="3D85CABA" w14:textId="77777777" w:rsidR="0084322B" w:rsidRDefault="0084322B" w:rsidP="0084322B">
      <w:pPr>
        <w:spacing w:line="360" w:lineRule="auto"/>
        <w:rPr>
          <w:rFonts w:ascii="Arial" w:hAnsi="Arial" w:cs="Arial"/>
          <w:b/>
          <w:sz w:val="24"/>
          <w:szCs w:val="24"/>
        </w:rPr>
      </w:pPr>
    </w:p>
    <w:p w14:paraId="3D85CABB" w14:textId="77777777" w:rsidR="008629E8" w:rsidRDefault="0084322B" w:rsidP="0084322B">
      <w:pPr>
        <w:spacing w:line="360" w:lineRule="auto"/>
        <w:rPr>
          <w:rFonts w:ascii="Arial" w:hAnsi="Arial" w:cs="Arial"/>
          <w:b/>
          <w:sz w:val="24"/>
          <w:szCs w:val="24"/>
        </w:rPr>
      </w:pPr>
      <w:r>
        <w:rPr>
          <w:rFonts w:ascii="Arial" w:hAnsi="Arial" w:cs="Arial"/>
          <w:b/>
          <w:sz w:val="24"/>
          <w:szCs w:val="24"/>
        </w:rPr>
        <w:t>October 2017</w:t>
      </w:r>
    </w:p>
    <w:p w14:paraId="3D85CABC" w14:textId="77777777" w:rsidR="009B2F54" w:rsidRPr="00892F77" w:rsidRDefault="009B2F54" w:rsidP="004A72C0">
      <w:pPr>
        <w:spacing w:line="480" w:lineRule="auto"/>
        <w:ind w:left="720"/>
        <w:rPr>
          <w:rFonts w:ascii="Arial" w:hAnsi="Arial" w:cs="Arial"/>
          <w:b/>
          <w:sz w:val="24"/>
          <w:szCs w:val="24"/>
        </w:rPr>
      </w:pPr>
    </w:p>
    <w:p w14:paraId="3D85CABD" w14:textId="77777777" w:rsidR="00823882" w:rsidRDefault="00D05E23" w:rsidP="00120A5B">
      <w:pPr>
        <w:sectPr w:rsidR="00823882">
          <w:headerReference w:type="default" r:id="rId11"/>
          <w:footerReference w:type="default" r:id="rId12"/>
          <w:footerReference w:type="first" r:id="rId13"/>
          <w:type w:val="continuous"/>
          <w:pgSz w:w="12240" w:h="15840"/>
          <w:pgMar w:top="1440" w:right="720" w:bottom="720" w:left="720" w:header="720" w:footer="720" w:gutter="0"/>
          <w:cols w:space="360"/>
          <w:titlePg/>
          <w:docGrid w:linePitch="326"/>
        </w:sectPr>
      </w:pPr>
      <w:r>
        <w:rPr>
          <w:noProof/>
          <w:sz w:val="20"/>
        </w:rPr>
        <mc:AlternateContent>
          <mc:Choice Requires="wps">
            <w:drawing>
              <wp:anchor distT="0" distB="0" distL="114300" distR="114300" simplePos="0" relativeHeight="251660800" behindDoc="0" locked="0" layoutInCell="1" allowOverlap="1" wp14:anchorId="3D85D500" wp14:editId="3D85D501">
                <wp:simplePos x="0" y="0"/>
                <wp:positionH relativeFrom="column">
                  <wp:posOffset>5781675</wp:posOffset>
                </wp:positionH>
                <wp:positionV relativeFrom="paragraph">
                  <wp:posOffset>2005330</wp:posOffset>
                </wp:positionV>
                <wp:extent cx="1285240" cy="2881630"/>
                <wp:effectExtent l="0" t="0" r="635" b="0"/>
                <wp:wrapNone/>
                <wp:docPr id="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288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551" w14:textId="77777777" w:rsidR="003C6ED1" w:rsidRDefault="003C6ED1" w:rsidP="00256BFA">
                            <w:pPr>
                              <w:pStyle w:val="DEQDIVISIONNAMEUNDERLOGO"/>
                              <w:ind w:right="-150"/>
                              <w:rPr>
                                <w:szCs w:val="20"/>
                              </w:rPr>
                            </w:pPr>
                            <w:r>
                              <w:t>Cleaner Air Oregon</w:t>
                            </w:r>
                          </w:p>
                          <w:p w14:paraId="3D85D552" w14:textId="77777777" w:rsidR="003C6ED1" w:rsidRDefault="003C6ED1" w:rsidP="00256BFA">
                            <w:pPr>
                              <w:pStyle w:val="DEQADDRESSUNDERLOGO"/>
                              <w:ind w:right="-150"/>
                            </w:pPr>
                            <w:r>
                              <w:t>700 NE Multnomah St.</w:t>
                            </w:r>
                          </w:p>
                          <w:p w14:paraId="3D85D553" w14:textId="77777777" w:rsidR="003C6ED1" w:rsidRDefault="003C6ED1" w:rsidP="00256BFA">
                            <w:pPr>
                              <w:pStyle w:val="DEQADDRESSUNDERLOGO"/>
                              <w:ind w:right="-150"/>
                            </w:pPr>
                            <w:r>
                              <w:t>Suite 600</w:t>
                            </w:r>
                          </w:p>
                          <w:p w14:paraId="3D85D554" w14:textId="77777777" w:rsidR="003C6ED1" w:rsidRDefault="003C6ED1" w:rsidP="00256BFA">
                            <w:pPr>
                              <w:pStyle w:val="DEQADDRESSUNDERLOGO"/>
                              <w:ind w:right="-150"/>
                            </w:pPr>
                            <w:r>
                              <w:t>Portland, OR 97232</w:t>
                            </w:r>
                          </w:p>
                          <w:p w14:paraId="3D85D555" w14:textId="77777777" w:rsidR="003C6ED1" w:rsidRDefault="003C6ED1" w:rsidP="00256BFA">
                            <w:pPr>
                              <w:pStyle w:val="DEQADDRESSUNDERLOGO"/>
                              <w:tabs>
                                <w:tab w:val="left" w:pos="540"/>
                              </w:tabs>
                              <w:ind w:right="-150"/>
                            </w:pPr>
                            <w:r>
                              <w:t>Phone:</w:t>
                            </w:r>
                            <w:r>
                              <w:tab/>
                              <w:t>503-229-6773</w:t>
                            </w:r>
                          </w:p>
                          <w:p w14:paraId="3D85D556" w14:textId="77777777" w:rsidR="003C6ED1" w:rsidRDefault="003C6ED1" w:rsidP="00256BFA">
                            <w:pPr>
                              <w:pStyle w:val="DEQADDRESSUNDERLOGO"/>
                              <w:tabs>
                                <w:tab w:val="left" w:pos="540"/>
                              </w:tabs>
                              <w:ind w:right="-150"/>
                            </w:pPr>
                            <w:r>
                              <w:tab/>
                              <w:t>800-452-4011</w:t>
                            </w:r>
                          </w:p>
                          <w:p w14:paraId="3D85D557" w14:textId="77777777" w:rsidR="003C6ED1" w:rsidRDefault="003C6ED1" w:rsidP="00256BFA">
                            <w:pPr>
                              <w:pStyle w:val="DEQADDRESSUNDERLOGO"/>
                              <w:tabs>
                                <w:tab w:val="left" w:pos="540"/>
                              </w:tabs>
                              <w:ind w:right="-150"/>
                            </w:pPr>
                            <w:r>
                              <w:t>Fax:</w:t>
                            </w:r>
                            <w:r>
                              <w:tab/>
                              <w:t>503-229-5850</w:t>
                            </w:r>
                          </w:p>
                          <w:p w14:paraId="3D85D558" w14:textId="77777777" w:rsidR="003C6ED1" w:rsidRDefault="003C6ED1" w:rsidP="00256BFA">
                            <w:pPr>
                              <w:pStyle w:val="DEQADDRESSUNDERLOGO"/>
                              <w:ind w:right="-150"/>
                            </w:pPr>
                            <w:r>
                              <w:t>Contact: Mike Poulsen</w:t>
                            </w:r>
                          </w:p>
                          <w:p w14:paraId="3D85D559" w14:textId="77777777" w:rsidR="003C6ED1" w:rsidRDefault="008C7A5C" w:rsidP="00256BFA">
                            <w:pPr>
                              <w:pStyle w:val="DEQADDRESSUNDERLOGO"/>
                              <w:ind w:right="-150"/>
                              <w:rPr>
                                <w:i/>
                              </w:rPr>
                            </w:pPr>
                            <w:hyperlink r:id="rId14" w:history="1">
                              <w:r w:rsidR="003C6ED1">
                                <w:rPr>
                                  <w:rStyle w:val="Hyperlink"/>
                                  <w:i/>
                                </w:rPr>
                                <w:t>www.oregon.gov/DEQ</w:t>
                              </w:r>
                            </w:hyperlink>
                          </w:p>
                          <w:p w14:paraId="3D85D55A" w14:textId="77777777" w:rsidR="003C6ED1" w:rsidRPr="00794FBB" w:rsidRDefault="003C6ED1" w:rsidP="00794FBB">
                            <w:pPr>
                              <w:rPr>
                                <w:sz w:val="16"/>
                                <w:szCs w:val="16"/>
                              </w:rPr>
                            </w:pPr>
                            <w:r w:rsidRPr="00794FBB">
                              <w:rPr>
                                <w:sz w:val="16"/>
                                <w:szCs w:val="16"/>
                              </w:rPr>
                              <w:t>DEQ is a leader in restoring, maintaining and enhancing the quality of Oregon’s air, land and 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5D500" id="_x0000_t202" coordsize="21600,21600" o:spt="202" path="m,l,21600r21600,l21600,xe">
                <v:stroke joinstyle="miter"/>
                <v:path gradientshapeok="t" o:connecttype="rect"/>
              </v:shapetype>
              <v:shape id="Text Box 41" o:spid="_x0000_s1026" type="#_x0000_t202" style="position:absolute;margin-left:455.25pt;margin-top:157.9pt;width:101.2pt;height:22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8xdhQIAABI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" stroked="f">
                <v:textbox>
                  <w:txbxContent>
                    <w:p w14:paraId="3D85D551" w14:textId="77777777" w:rsidR="003C6ED1" w:rsidRDefault="003C6ED1" w:rsidP="00256BFA">
                      <w:pPr>
                        <w:pStyle w:val="DEQDIVISIONNAMEUNDERLOGO"/>
                        <w:ind w:right="-150"/>
                        <w:rPr>
                          <w:szCs w:val="20"/>
                        </w:rPr>
                      </w:pPr>
                      <w:r>
                        <w:t>Cleaner Air Oregon</w:t>
                      </w:r>
                    </w:p>
                    <w:p w14:paraId="3D85D552" w14:textId="77777777" w:rsidR="003C6ED1" w:rsidRDefault="003C6ED1" w:rsidP="00256BFA">
                      <w:pPr>
                        <w:pStyle w:val="DEQADDRESSUNDERLOGO"/>
                        <w:ind w:right="-150"/>
                      </w:pPr>
                      <w:r>
                        <w:t>700 NE Multnomah St.</w:t>
                      </w:r>
                    </w:p>
                    <w:p w14:paraId="3D85D553" w14:textId="77777777" w:rsidR="003C6ED1" w:rsidRDefault="003C6ED1" w:rsidP="00256BFA">
                      <w:pPr>
                        <w:pStyle w:val="DEQADDRESSUNDERLOGO"/>
                        <w:ind w:right="-150"/>
                      </w:pPr>
                      <w:r>
                        <w:t>Suite 600</w:t>
                      </w:r>
                    </w:p>
                    <w:p w14:paraId="3D85D554" w14:textId="77777777" w:rsidR="003C6ED1" w:rsidRDefault="003C6ED1" w:rsidP="00256BFA">
                      <w:pPr>
                        <w:pStyle w:val="DEQADDRESSUNDERLOGO"/>
                        <w:ind w:right="-150"/>
                      </w:pPr>
                      <w:r>
                        <w:t>Portland, OR 97232</w:t>
                      </w:r>
                    </w:p>
                    <w:p w14:paraId="3D85D555" w14:textId="77777777" w:rsidR="003C6ED1" w:rsidRDefault="003C6ED1" w:rsidP="00256BFA">
                      <w:pPr>
                        <w:pStyle w:val="DEQADDRESSUNDERLOGO"/>
                        <w:tabs>
                          <w:tab w:val="left" w:pos="540"/>
                        </w:tabs>
                        <w:ind w:right="-150"/>
                      </w:pPr>
                      <w:r>
                        <w:t>Phone:</w:t>
                      </w:r>
                      <w:r>
                        <w:tab/>
                        <w:t>503-229-6773</w:t>
                      </w:r>
                    </w:p>
                    <w:p w14:paraId="3D85D556" w14:textId="77777777" w:rsidR="003C6ED1" w:rsidRDefault="003C6ED1" w:rsidP="00256BFA">
                      <w:pPr>
                        <w:pStyle w:val="DEQADDRESSUNDERLOGO"/>
                        <w:tabs>
                          <w:tab w:val="left" w:pos="540"/>
                        </w:tabs>
                        <w:ind w:right="-150"/>
                      </w:pPr>
                      <w:r>
                        <w:tab/>
                        <w:t>800-452-4011</w:t>
                      </w:r>
                    </w:p>
                    <w:p w14:paraId="3D85D557" w14:textId="77777777" w:rsidR="003C6ED1" w:rsidRDefault="003C6ED1" w:rsidP="00256BFA">
                      <w:pPr>
                        <w:pStyle w:val="DEQADDRESSUNDERLOGO"/>
                        <w:tabs>
                          <w:tab w:val="left" w:pos="540"/>
                        </w:tabs>
                        <w:ind w:right="-150"/>
                      </w:pPr>
                      <w:r>
                        <w:t>Fax:</w:t>
                      </w:r>
                      <w:r>
                        <w:tab/>
                        <w:t>503-229-5850</w:t>
                      </w:r>
                    </w:p>
                    <w:p w14:paraId="3D85D558" w14:textId="77777777" w:rsidR="003C6ED1" w:rsidRDefault="003C6ED1" w:rsidP="00256BFA">
                      <w:pPr>
                        <w:pStyle w:val="DEQADDRESSUNDERLOGO"/>
                        <w:ind w:right="-150"/>
                      </w:pPr>
                      <w:r>
                        <w:t>Contact: Mike Poulsen</w:t>
                      </w:r>
                    </w:p>
                    <w:p w14:paraId="3D85D559" w14:textId="77777777" w:rsidR="003C6ED1" w:rsidRDefault="008C7A5C" w:rsidP="00256BFA">
                      <w:pPr>
                        <w:pStyle w:val="DEQADDRESSUNDERLOGO"/>
                        <w:ind w:right="-150"/>
                        <w:rPr>
                          <w:i/>
                        </w:rPr>
                      </w:pPr>
                      <w:hyperlink r:id="rId15" w:history="1">
                        <w:r w:rsidR="003C6ED1">
                          <w:rPr>
                            <w:rStyle w:val="Hyperlink"/>
                            <w:i/>
                          </w:rPr>
                          <w:t>www.oregon.gov/DEQ</w:t>
                        </w:r>
                      </w:hyperlink>
                    </w:p>
                    <w:p w14:paraId="3D85D55A" w14:textId="77777777" w:rsidR="003C6ED1" w:rsidRPr="00794FBB" w:rsidRDefault="003C6ED1" w:rsidP="00794FBB">
                      <w:pPr>
                        <w:rPr>
                          <w:sz w:val="16"/>
                          <w:szCs w:val="16"/>
                        </w:rPr>
                      </w:pPr>
                      <w:r w:rsidRPr="00794FBB">
                        <w:rPr>
                          <w:sz w:val="16"/>
                          <w:szCs w:val="16"/>
                        </w:rPr>
                        <w:t>DEQ is a leader in restoring, maintaining and enhancing the quality of Oregon’s air, land and water.</w:t>
                      </w:r>
                    </w:p>
                  </w:txbxContent>
                </v:textbox>
              </v:shape>
            </w:pict>
          </mc:Fallback>
        </mc:AlternateContent>
      </w:r>
      <w:r w:rsidR="008C7A5C">
        <w:rPr>
          <w:rFonts w:ascii="Arial" w:hAnsi="Arial" w:cs="Arial"/>
          <w:b/>
          <w:noProof/>
          <w:sz w:val="24"/>
          <w:szCs w:val="24"/>
        </w:rPr>
        <w:object w:dxaOrig="1440" w:dyaOrig="1440" w14:anchorId="3D85D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margin-left:-82.1pt;margin-top:304.05pt;width:523.25pt;height:495.1pt;z-index:251661824;mso-position-horizontal-relative:text;mso-position-vertical-relative:page" o:allowincell="f" fillcolor="window">
            <v:imagedata r:id="rId16" o:title="" cropright="1516f"/>
            <w10:wrap anchory="page"/>
            <w10:anchorlock/>
          </v:shape>
          <o:OLEObject Type="Embed" ProgID="Word.Picture.8" ShapeID="_x0000_s1072" DrawAspect="Content" ObjectID="_1570368285" r:id="rId17"/>
        </w:object>
      </w:r>
      <w:r w:rsidR="00892F77">
        <w:rPr>
          <w:noProof/>
        </w:rPr>
        <w:drawing>
          <wp:anchor distT="0" distB="0" distL="114300" distR="114300" simplePos="0" relativeHeight="251644416" behindDoc="0" locked="0" layoutInCell="1" allowOverlap="1" wp14:anchorId="3D85D503" wp14:editId="3D85D504">
            <wp:simplePos x="0" y="0"/>
            <wp:positionH relativeFrom="margin">
              <wp:posOffset>6137275</wp:posOffset>
            </wp:positionH>
            <wp:positionV relativeFrom="margin">
              <wp:posOffset>7188200</wp:posOffset>
            </wp:positionV>
            <wp:extent cx="593725" cy="1371600"/>
            <wp:effectExtent l="19050" t="0" r="0" b="0"/>
            <wp:wrapSquare wrapText="bothSides"/>
            <wp:docPr id="1"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18" cstate="print"/>
                    <a:stretch>
                      <a:fillRect/>
                    </a:stretch>
                  </pic:blipFill>
                  <pic:spPr>
                    <a:xfrm>
                      <a:off x="0" y="0"/>
                      <a:ext cx="593725" cy="1371600"/>
                    </a:xfrm>
                    <a:prstGeom prst="rect">
                      <a:avLst/>
                    </a:prstGeom>
                  </pic:spPr>
                </pic:pic>
              </a:graphicData>
            </a:graphic>
          </wp:anchor>
        </w:drawing>
      </w:r>
    </w:p>
    <w:p w14:paraId="3D85CABE" w14:textId="77777777" w:rsidR="00823882" w:rsidRDefault="00823882" w:rsidP="00120A5B">
      <w:pPr>
        <w:jc w:val="center"/>
        <w:rPr>
          <w:rStyle w:val="Emphasis"/>
          <w:rFonts w:ascii="Times New Roman" w:hAnsi="Times New Roman" w:cs="Times New Roman"/>
          <w:b w:val="0"/>
          <w:sz w:val="22"/>
          <w:szCs w:val="22"/>
        </w:rPr>
      </w:pPr>
      <w:bookmarkStart w:id="1" w:name="_Toc225309234"/>
    </w:p>
    <w:p w14:paraId="3D85CABF" w14:textId="77777777" w:rsidR="008629E8" w:rsidRPr="006716C2" w:rsidRDefault="008629E8" w:rsidP="00120A5B">
      <w:pPr>
        <w:pStyle w:val="DEQTEXTforFACTSHEET"/>
        <w:jc w:val="center"/>
        <w:rPr>
          <w:rFonts w:ascii="Arial" w:hAnsi="Arial" w:cs="Arial"/>
        </w:rPr>
      </w:pPr>
      <w:r w:rsidRPr="006716C2">
        <w:rPr>
          <w:rFonts w:ascii="Arial" w:hAnsi="Arial" w:cs="Arial"/>
        </w:rPr>
        <w:t>This report prepared by:</w:t>
      </w:r>
    </w:p>
    <w:p w14:paraId="3D85CAC0" w14:textId="77777777" w:rsidR="008629E8" w:rsidRPr="006716C2" w:rsidRDefault="008629E8" w:rsidP="00120A5B">
      <w:pPr>
        <w:pStyle w:val="DEQTEXTforFACTSHEET"/>
        <w:jc w:val="center"/>
        <w:rPr>
          <w:rFonts w:ascii="Arial" w:hAnsi="Arial" w:cs="Arial"/>
        </w:rPr>
      </w:pPr>
    </w:p>
    <w:p w14:paraId="3D85CAC1" w14:textId="77777777" w:rsidR="008629E8" w:rsidRPr="006716C2" w:rsidRDefault="008629E8" w:rsidP="00120A5B">
      <w:pPr>
        <w:pStyle w:val="DEQTEXTforFACTSHEET"/>
        <w:jc w:val="center"/>
        <w:rPr>
          <w:rFonts w:ascii="Arial" w:hAnsi="Arial" w:cs="Arial"/>
        </w:rPr>
      </w:pPr>
      <w:r w:rsidRPr="006716C2">
        <w:rPr>
          <w:rFonts w:ascii="Arial" w:hAnsi="Arial" w:cs="Arial"/>
        </w:rPr>
        <w:t>Oregon Department of Environmental Quality</w:t>
      </w:r>
    </w:p>
    <w:p w14:paraId="3D85CAC2" w14:textId="77777777" w:rsidR="008629E8" w:rsidRPr="006716C2" w:rsidRDefault="0076000E" w:rsidP="00120A5B">
      <w:pPr>
        <w:pStyle w:val="DEQTEXTforFACTSHEET"/>
        <w:jc w:val="center"/>
        <w:rPr>
          <w:rFonts w:ascii="Arial" w:hAnsi="Arial" w:cs="Arial"/>
        </w:rPr>
      </w:pPr>
      <w:r w:rsidRPr="006716C2">
        <w:rPr>
          <w:rFonts w:ascii="Arial" w:hAnsi="Arial" w:cs="Arial"/>
        </w:rPr>
        <w:t>700 NE Multnomah Street, Suite 600</w:t>
      </w:r>
    </w:p>
    <w:p w14:paraId="3D85CAC3" w14:textId="77777777" w:rsidR="008629E8" w:rsidRPr="006716C2" w:rsidRDefault="008629E8" w:rsidP="00120A5B">
      <w:pPr>
        <w:pStyle w:val="DEQTEXTforFACTSHEET"/>
        <w:jc w:val="center"/>
        <w:rPr>
          <w:rFonts w:ascii="Arial" w:hAnsi="Arial" w:cs="Arial"/>
        </w:rPr>
      </w:pPr>
      <w:r w:rsidRPr="006716C2">
        <w:rPr>
          <w:rFonts w:ascii="Arial" w:hAnsi="Arial" w:cs="Arial"/>
        </w:rPr>
        <w:t>Portland, OR 97</w:t>
      </w:r>
      <w:r w:rsidR="0076000E" w:rsidRPr="006716C2">
        <w:rPr>
          <w:rFonts w:ascii="Arial" w:hAnsi="Arial" w:cs="Arial"/>
        </w:rPr>
        <w:t>232</w:t>
      </w:r>
    </w:p>
    <w:p w14:paraId="3D85CAC4" w14:textId="77777777" w:rsidR="008629E8" w:rsidRPr="006716C2" w:rsidRDefault="008629E8" w:rsidP="00120A5B">
      <w:pPr>
        <w:pStyle w:val="DEQTEXTforFACTSHEET"/>
        <w:jc w:val="center"/>
        <w:rPr>
          <w:rFonts w:ascii="Arial" w:hAnsi="Arial" w:cs="Arial"/>
        </w:rPr>
      </w:pPr>
      <w:r w:rsidRPr="006716C2">
        <w:rPr>
          <w:rFonts w:ascii="Arial" w:hAnsi="Arial" w:cs="Arial"/>
        </w:rPr>
        <w:t>1-800-452-4011</w:t>
      </w:r>
    </w:p>
    <w:p w14:paraId="3D85CAC5" w14:textId="77777777" w:rsidR="008629E8" w:rsidRPr="006716C2" w:rsidRDefault="008C7A5C" w:rsidP="00120A5B">
      <w:pPr>
        <w:pStyle w:val="DEQTEXTforFACTSHEET"/>
        <w:jc w:val="center"/>
        <w:rPr>
          <w:rFonts w:ascii="Arial" w:hAnsi="Arial" w:cs="Arial"/>
        </w:rPr>
      </w:pPr>
      <w:hyperlink r:id="rId19" w:history="1">
        <w:r w:rsidR="0076000E" w:rsidRPr="006716C2">
          <w:rPr>
            <w:rStyle w:val="Hyperlink"/>
            <w:rFonts w:ascii="Arial" w:hAnsi="Arial" w:cs="Arial"/>
          </w:rPr>
          <w:t>www.oregon.gov/deq</w:t>
        </w:r>
      </w:hyperlink>
      <w:r w:rsidR="0076000E" w:rsidRPr="006716C2">
        <w:rPr>
          <w:rFonts w:ascii="Arial" w:hAnsi="Arial" w:cs="Arial"/>
        </w:rPr>
        <w:t xml:space="preserve"> </w:t>
      </w:r>
    </w:p>
    <w:p w14:paraId="3D85CAC6" w14:textId="77777777" w:rsidR="008629E8" w:rsidRPr="006716C2" w:rsidRDefault="008629E8" w:rsidP="00120A5B">
      <w:pPr>
        <w:pStyle w:val="DEQTEXTforFACTSHEET"/>
        <w:jc w:val="center"/>
        <w:rPr>
          <w:rFonts w:ascii="Arial" w:hAnsi="Arial" w:cs="Arial"/>
        </w:rPr>
      </w:pPr>
    </w:p>
    <w:p w14:paraId="3D85CAC7" w14:textId="77777777" w:rsidR="008629E8" w:rsidRPr="006716C2" w:rsidRDefault="008629E8" w:rsidP="00120A5B">
      <w:pPr>
        <w:pStyle w:val="DEQTEXTforFACTSHEET"/>
        <w:jc w:val="center"/>
        <w:rPr>
          <w:rFonts w:ascii="Arial" w:hAnsi="Arial" w:cs="Arial"/>
        </w:rPr>
      </w:pPr>
      <w:r w:rsidRPr="006716C2">
        <w:rPr>
          <w:rFonts w:ascii="Arial" w:hAnsi="Arial" w:cs="Arial"/>
        </w:rPr>
        <w:t>Contact:</w:t>
      </w:r>
    </w:p>
    <w:p w14:paraId="3D85CAC8" w14:textId="77777777" w:rsidR="008629E8" w:rsidRPr="006716C2" w:rsidRDefault="003352F8" w:rsidP="00120A5B">
      <w:pPr>
        <w:pStyle w:val="DEQTEXTforFACTSHEET"/>
        <w:jc w:val="center"/>
        <w:rPr>
          <w:rFonts w:ascii="Arial" w:hAnsi="Arial" w:cs="Arial"/>
        </w:rPr>
      </w:pPr>
      <w:r>
        <w:rPr>
          <w:rFonts w:ascii="Arial" w:hAnsi="Arial" w:cs="Arial"/>
        </w:rPr>
        <w:t>Mike Poulsen</w:t>
      </w:r>
    </w:p>
    <w:p w14:paraId="3D85CAC9" w14:textId="77777777" w:rsidR="008629E8" w:rsidRPr="006716C2" w:rsidRDefault="00556C1A" w:rsidP="00120A5B">
      <w:pPr>
        <w:pStyle w:val="DEQTEXTforFACTSHEET"/>
        <w:jc w:val="center"/>
        <w:rPr>
          <w:rFonts w:ascii="Arial" w:hAnsi="Arial" w:cs="Arial"/>
        </w:rPr>
      </w:pPr>
      <w:r w:rsidRPr="006716C2">
        <w:rPr>
          <w:rFonts w:ascii="Arial" w:hAnsi="Arial" w:cs="Arial"/>
        </w:rPr>
        <w:t>503-</w:t>
      </w:r>
      <w:r w:rsidR="0084322B" w:rsidRPr="006716C2">
        <w:rPr>
          <w:rFonts w:ascii="Arial" w:hAnsi="Arial" w:cs="Arial"/>
        </w:rPr>
        <w:t>229-6</w:t>
      </w:r>
      <w:r w:rsidR="003352F8">
        <w:rPr>
          <w:rFonts w:ascii="Arial" w:hAnsi="Arial" w:cs="Arial"/>
        </w:rPr>
        <w:t>773</w:t>
      </w:r>
    </w:p>
    <w:p w14:paraId="3D85CACA" w14:textId="77777777" w:rsidR="00823882" w:rsidRPr="006716C2" w:rsidRDefault="00823882" w:rsidP="000E528E">
      <w:pPr>
        <w:rPr>
          <w:rStyle w:val="Emphasis"/>
          <w:b w:val="0"/>
          <w:sz w:val="22"/>
          <w:szCs w:val="22"/>
        </w:rPr>
      </w:pPr>
    </w:p>
    <w:p w14:paraId="3D85CACB" w14:textId="77777777" w:rsidR="0084322B" w:rsidRPr="006716C2" w:rsidRDefault="0084322B" w:rsidP="000E528E">
      <w:pPr>
        <w:rPr>
          <w:rStyle w:val="Emphasis"/>
          <w:b w:val="0"/>
          <w:sz w:val="22"/>
          <w:szCs w:val="22"/>
        </w:rPr>
      </w:pPr>
    </w:p>
    <w:p w14:paraId="3D85CACC" w14:textId="77777777" w:rsidR="0084322B" w:rsidRPr="006716C2" w:rsidRDefault="0084322B" w:rsidP="000E528E">
      <w:pPr>
        <w:rPr>
          <w:rStyle w:val="Emphasis"/>
          <w:b w:val="0"/>
          <w:sz w:val="22"/>
          <w:szCs w:val="22"/>
        </w:rPr>
      </w:pPr>
    </w:p>
    <w:p w14:paraId="3D85CACD" w14:textId="77777777" w:rsidR="00435AA9" w:rsidRPr="006716C2" w:rsidRDefault="00435AA9" w:rsidP="0084322B">
      <w:pPr>
        <w:pStyle w:val="Normal1"/>
        <w:widowControl/>
        <w:jc w:val="left"/>
      </w:pPr>
    </w:p>
    <w:p w14:paraId="3D85CACE" w14:textId="77777777" w:rsidR="00435AA9" w:rsidRPr="006716C2" w:rsidRDefault="00435AA9" w:rsidP="0084322B">
      <w:pPr>
        <w:pStyle w:val="Normal1"/>
        <w:widowControl/>
        <w:jc w:val="left"/>
      </w:pPr>
    </w:p>
    <w:p w14:paraId="3D85CACF" w14:textId="77777777" w:rsidR="00435AA9" w:rsidRPr="006716C2" w:rsidRDefault="00435AA9" w:rsidP="0084322B">
      <w:pPr>
        <w:pStyle w:val="Normal1"/>
        <w:widowControl/>
        <w:jc w:val="left"/>
      </w:pPr>
    </w:p>
    <w:p w14:paraId="3D85CAD0" w14:textId="77777777" w:rsidR="00435AA9" w:rsidRDefault="00435AA9" w:rsidP="0084322B">
      <w:pPr>
        <w:pStyle w:val="Normal1"/>
        <w:widowControl/>
        <w:jc w:val="left"/>
      </w:pPr>
    </w:p>
    <w:p w14:paraId="3D85CAD1" w14:textId="77777777" w:rsidR="0010235F" w:rsidRDefault="0010235F" w:rsidP="0084322B">
      <w:pPr>
        <w:pStyle w:val="Normal1"/>
        <w:widowControl/>
        <w:jc w:val="left"/>
      </w:pPr>
    </w:p>
    <w:p w14:paraId="3D85CAD2" w14:textId="77777777" w:rsidR="0010235F" w:rsidRDefault="0010235F" w:rsidP="0084322B">
      <w:pPr>
        <w:pStyle w:val="Normal1"/>
        <w:widowControl/>
        <w:jc w:val="left"/>
      </w:pPr>
    </w:p>
    <w:p w14:paraId="3D85CAD3" w14:textId="77777777" w:rsidR="0010235F" w:rsidRDefault="0010235F" w:rsidP="0084322B">
      <w:pPr>
        <w:pStyle w:val="Normal1"/>
        <w:widowControl/>
        <w:jc w:val="left"/>
      </w:pPr>
    </w:p>
    <w:p w14:paraId="3D85CAD4" w14:textId="77777777" w:rsidR="0010235F" w:rsidRPr="006716C2" w:rsidRDefault="0010235F" w:rsidP="0084322B">
      <w:pPr>
        <w:pStyle w:val="Normal1"/>
        <w:widowControl/>
        <w:jc w:val="left"/>
      </w:pPr>
    </w:p>
    <w:p w14:paraId="3D85CAD5" w14:textId="77777777" w:rsidR="0084322B" w:rsidRPr="006716C2" w:rsidRDefault="0084322B" w:rsidP="0084322B">
      <w:pPr>
        <w:pStyle w:val="Normal1"/>
        <w:widowControl/>
        <w:jc w:val="left"/>
      </w:pPr>
      <w:r w:rsidRPr="006716C2">
        <w:t>This document provides information and technical assistance to the public and employees of the Department of Environmental Quality regarding the Department’s Cleaner Air Oregon program. This information should be interpreted and used in a manner that is fully consistent with the state’s air quality laws and implementing rules.  This document does not constitute rulemaking by the Environmental Quality Commission, and may not be relied upon to create a right or benefit, substantive or procedural, enforceable at law or in equity, by any person including the Department. The Department may take action at variance with this document.</w:t>
      </w:r>
    </w:p>
    <w:p w14:paraId="3D85CAD6" w14:textId="77777777" w:rsidR="00823882" w:rsidRPr="006716C2" w:rsidRDefault="00823882" w:rsidP="000E528E">
      <w:pPr>
        <w:rPr>
          <w:rStyle w:val="Emphasis"/>
          <w:b w:val="0"/>
          <w:sz w:val="22"/>
          <w:szCs w:val="22"/>
        </w:rPr>
      </w:pPr>
    </w:p>
    <w:p w14:paraId="3D85CAD7" w14:textId="77777777" w:rsidR="00823882" w:rsidRPr="006716C2" w:rsidRDefault="00823882" w:rsidP="000E528E">
      <w:pPr>
        <w:rPr>
          <w:rStyle w:val="Emphasis"/>
          <w:b w:val="0"/>
          <w:sz w:val="22"/>
          <w:szCs w:val="22"/>
        </w:rPr>
      </w:pPr>
    </w:p>
    <w:p w14:paraId="3D85CAD8" w14:textId="77777777" w:rsidR="00AE3CA8" w:rsidRPr="006716C2" w:rsidRDefault="00AE3CA8" w:rsidP="00AE3CA8">
      <w:pPr>
        <w:rPr>
          <w:rFonts w:ascii="Arial" w:hAnsi="Arial" w:cs="Arial"/>
        </w:rPr>
      </w:pPr>
      <w:r w:rsidRPr="006716C2">
        <w:rPr>
          <w:rFonts w:ascii="Arial" w:hAnsi="Arial" w:cs="Arial"/>
        </w:rPr>
        <w:t xml:space="preserve">Documents can be provided upon request in an alternate format for individuals with disabilities or in a language other than English for people with limited English skills. To request a document in another format or language, call DEQ in Portland at 503-229-5696, or toll-free in Oregon at 1-800-452-4011, ext. 5696; or email </w:t>
      </w:r>
      <w:hyperlink r:id="rId20" w:history="1">
        <w:r w:rsidRPr="006716C2">
          <w:rPr>
            <w:rStyle w:val="Hyperlink"/>
            <w:rFonts w:ascii="Arial" w:hAnsi="Arial" w:cs="Arial"/>
          </w:rPr>
          <w:t>deqinfo@deq.state.or.us</w:t>
        </w:r>
      </w:hyperlink>
      <w:r w:rsidRPr="006716C2">
        <w:rPr>
          <w:rFonts w:ascii="Arial" w:hAnsi="Arial" w:cs="Arial"/>
        </w:rPr>
        <w:t>.</w:t>
      </w:r>
    </w:p>
    <w:p w14:paraId="3D85CAD9" w14:textId="77777777" w:rsidR="00823882" w:rsidRDefault="008629E8" w:rsidP="00120A5B">
      <w:pPr>
        <w:rPr>
          <w:rStyle w:val="Emphasis"/>
          <w:rFonts w:ascii="Times New Roman" w:hAnsi="Times New Roman" w:cs="Times New Roman"/>
          <w:b w:val="0"/>
          <w:sz w:val="22"/>
          <w:szCs w:val="22"/>
        </w:rPr>
      </w:pPr>
      <w:r w:rsidRPr="006716C2">
        <w:rPr>
          <w:rStyle w:val="Emphasis"/>
          <w:sz w:val="60"/>
        </w:rPr>
        <w:br w:type="page"/>
      </w:r>
    </w:p>
    <w:p w14:paraId="3D85CADA" w14:textId="77777777" w:rsidR="008629E8" w:rsidRDefault="008629E8" w:rsidP="00120A5B">
      <w:pPr>
        <w:rPr>
          <w:rStyle w:val="Emphasis"/>
          <w:rFonts w:cs="Times New Roman"/>
          <w:sz w:val="22"/>
          <w:szCs w:val="22"/>
        </w:rPr>
        <w:sectPr w:rsidR="008629E8" w:rsidSect="004A72C0">
          <w:headerReference w:type="first" r:id="rId21"/>
          <w:footerReference w:type="first" r:id="rId22"/>
          <w:pgSz w:w="12240" w:h="15840"/>
          <w:pgMar w:top="5580" w:right="1080" w:bottom="1080" w:left="1080" w:header="720" w:footer="576" w:gutter="0"/>
          <w:pgNumType w:fmt="lowerRoman"/>
          <w:cols w:space="360"/>
          <w:titlePg/>
          <w:docGrid w:linePitch="326"/>
        </w:sectPr>
      </w:pPr>
    </w:p>
    <w:p w14:paraId="3D85CADB" w14:textId="77777777" w:rsidR="00823882" w:rsidRDefault="00823882" w:rsidP="00120A5B">
      <w:pPr>
        <w:rPr>
          <w:rStyle w:val="Emphasis"/>
          <w:rFonts w:cs="Times New Roman"/>
          <w:sz w:val="22"/>
          <w:szCs w:val="22"/>
        </w:rPr>
      </w:pPr>
    </w:p>
    <w:p w14:paraId="3D85CADC" w14:textId="77777777" w:rsidR="00823882" w:rsidRDefault="008629E8" w:rsidP="00120A5B">
      <w:pPr>
        <w:pStyle w:val="Title"/>
        <w:rPr>
          <w:rStyle w:val="Emphasis"/>
          <w:rFonts w:cs="Times New Roman"/>
          <w:b/>
          <w:sz w:val="60"/>
        </w:rPr>
      </w:pPr>
      <w:r>
        <w:rPr>
          <w:rStyle w:val="Emphasis"/>
          <w:rFonts w:cs="Times New Roman"/>
          <w:b/>
          <w:sz w:val="60"/>
        </w:rPr>
        <w:t>Table of Contents</w:t>
      </w:r>
      <w:bookmarkEnd w:id="1"/>
    </w:p>
    <w:p w14:paraId="3D85CADD" w14:textId="77777777" w:rsidR="00823882" w:rsidRDefault="00823882" w:rsidP="00253FFC">
      <w:pPr>
        <w:pStyle w:val="TOC1"/>
      </w:pPr>
    </w:p>
    <w:p w14:paraId="3D85CADE" w14:textId="77777777" w:rsidR="00823882" w:rsidRDefault="00823882" w:rsidP="00253FFC">
      <w:pPr>
        <w:pStyle w:val="TOC1"/>
      </w:pPr>
    </w:p>
    <w:p w14:paraId="3D85CADF" w14:textId="77777777" w:rsidR="00D357EA" w:rsidRPr="00D357EA" w:rsidRDefault="00731A1D">
      <w:pPr>
        <w:pStyle w:val="TOC1"/>
        <w:rPr>
          <w:rFonts w:eastAsiaTheme="minorEastAsia"/>
          <w:caps w:val="0"/>
        </w:rPr>
      </w:pPr>
      <w:r w:rsidRPr="00D357EA">
        <w:rPr>
          <w:b/>
        </w:rPr>
        <w:fldChar w:fldCharType="begin"/>
      </w:r>
      <w:r w:rsidR="008629E8" w:rsidRPr="00D357EA">
        <w:rPr>
          <w:b/>
        </w:rPr>
        <w:instrText xml:space="preserve"> TOC \o "1-3" \h \z \u </w:instrText>
      </w:r>
      <w:r w:rsidRPr="00D357EA">
        <w:rPr>
          <w:b/>
        </w:rPr>
        <w:fldChar w:fldCharType="separate"/>
      </w:r>
      <w:hyperlink w:anchor="_Toc496183487" w:history="1">
        <w:r w:rsidR="00D357EA" w:rsidRPr="00D357EA">
          <w:rPr>
            <w:rStyle w:val="Hyperlink"/>
          </w:rPr>
          <w:t>1.</w:t>
        </w:r>
        <w:r w:rsidR="00D357EA" w:rsidRPr="00D357EA">
          <w:rPr>
            <w:rFonts w:eastAsiaTheme="minorEastAsia"/>
            <w:caps w:val="0"/>
          </w:rPr>
          <w:tab/>
        </w:r>
        <w:r w:rsidR="00D357EA" w:rsidRPr="00D357EA">
          <w:rPr>
            <w:rStyle w:val="Hyperlink"/>
          </w:rPr>
          <w:t>INTRODUCTION</w:t>
        </w:r>
        <w:r w:rsidR="00D357EA" w:rsidRPr="00D357EA">
          <w:rPr>
            <w:webHidden/>
          </w:rPr>
          <w:tab/>
        </w:r>
        <w:r w:rsidR="00D357EA" w:rsidRPr="00D357EA">
          <w:rPr>
            <w:webHidden/>
          </w:rPr>
          <w:fldChar w:fldCharType="begin"/>
        </w:r>
        <w:r w:rsidR="00D357EA" w:rsidRPr="00D357EA">
          <w:rPr>
            <w:webHidden/>
          </w:rPr>
          <w:instrText xml:space="preserve"> PAGEREF _Toc496183487 \h </w:instrText>
        </w:r>
        <w:r w:rsidR="00D357EA" w:rsidRPr="00D357EA">
          <w:rPr>
            <w:webHidden/>
          </w:rPr>
        </w:r>
        <w:r w:rsidR="00D357EA" w:rsidRPr="00D357EA">
          <w:rPr>
            <w:webHidden/>
          </w:rPr>
          <w:fldChar w:fldCharType="separate"/>
        </w:r>
        <w:r w:rsidR="00D357EA" w:rsidRPr="00D357EA">
          <w:rPr>
            <w:webHidden/>
          </w:rPr>
          <w:t>1</w:t>
        </w:r>
        <w:r w:rsidR="00D357EA" w:rsidRPr="00D357EA">
          <w:rPr>
            <w:webHidden/>
          </w:rPr>
          <w:fldChar w:fldCharType="end"/>
        </w:r>
      </w:hyperlink>
    </w:p>
    <w:p w14:paraId="3D85CAE0" w14:textId="77777777" w:rsidR="00D357EA" w:rsidRPr="00D357EA" w:rsidRDefault="008C7A5C">
      <w:pPr>
        <w:pStyle w:val="TOC2"/>
        <w:rPr>
          <w:rFonts w:ascii="Arial" w:eastAsiaTheme="minorEastAsia" w:hAnsi="Arial" w:cs="Arial"/>
          <w:b w:val="0"/>
          <w:sz w:val="22"/>
        </w:rPr>
      </w:pPr>
      <w:hyperlink w:anchor="_Toc496183488" w:history="1">
        <w:r w:rsidR="00D357EA" w:rsidRPr="00D357EA">
          <w:rPr>
            <w:rStyle w:val="Hyperlink"/>
            <w:rFonts w:ascii="Arial" w:hAnsi="Arial" w:cs="Arial"/>
            <w:sz w:val="22"/>
          </w:rPr>
          <w:t>1.1 Purpose and Organization</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_Toc496183488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1</w:t>
        </w:r>
        <w:r w:rsidR="00D357EA" w:rsidRPr="00D357EA">
          <w:rPr>
            <w:rFonts w:ascii="Arial" w:hAnsi="Arial" w:cs="Arial"/>
            <w:webHidden/>
            <w:sz w:val="22"/>
          </w:rPr>
          <w:fldChar w:fldCharType="end"/>
        </w:r>
      </w:hyperlink>
    </w:p>
    <w:p w14:paraId="3D85CAE1" w14:textId="77777777" w:rsidR="00D357EA" w:rsidRPr="00D357EA" w:rsidRDefault="008C7A5C">
      <w:pPr>
        <w:pStyle w:val="TOC2"/>
        <w:rPr>
          <w:rFonts w:ascii="Arial" w:eastAsiaTheme="minorEastAsia" w:hAnsi="Arial" w:cs="Arial"/>
          <w:b w:val="0"/>
          <w:sz w:val="22"/>
        </w:rPr>
      </w:pPr>
      <w:hyperlink w:anchor="_Toc496183489" w:history="1">
        <w:r w:rsidR="00D357EA" w:rsidRPr="00D357EA">
          <w:rPr>
            <w:rStyle w:val="Hyperlink"/>
            <w:rFonts w:ascii="Arial" w:hAnsi="Arial" w:cs="Arial"/>
            <w:sz w:val="22"/>
          </w:rPr>
          <w:t>1.2 Process Overview</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_Toc496183489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1</w:t>
        </w:r>
        <w:r w:rsidR="00D357EA" w:rsidRPr="00D357EA">
          <w:rPr>
            <w:rFonts w:ascii="Arial" w:hAnsi="Arial" w:cs="Arial"/>
            <w:webHidden/>
            <w:sz w:val="22"/>
          </w:rPr>
          <w:fldChar w:fldCharType="end"/>
        </w:r>
      </w:hyperlink>
    </w:p>
    <w:p w14:paraId="3D85CAE2" w14:textId="77777777" w:rsidR="00D357EA" w:rsidRPr="00D357EA" w:rsidRDefault="008C7A5C">
      <w:pPr>
        <w:pStyle w:val="TOC1"/>
        <w:rPr>
          <w:rFonts w:eastAsiaTheme="minorEastAsia"/>
          <w:caps w:val="0"/>
        </w:rPr>
      </w:pPr>
      <w:hyperlink w:anchor="_Toc496183490" w:history="1">
        <w:r w:rsidR="00D357EA" w:rsidRPr="00D357EA">
          <w:rPr>
            <w:rStyle w:val="Hyperlink"/>
          </w:rPr>
          <w:t>2. RISK SCREENING AND ASSESSMENT</w:t>
        </w:r>
        <w:r w:rsidR="00D357EA" w:rsidRPr="00D357EA">
          <w:rPr>
            <w:webHidden/>
          </w:rPr>
          <w:tab/>
        </w:r>
        <w:r w:rsidR="00D357EA" w:rsidRPr="00D357EA">
          <w:rPr>
            <w:webHidden/>
          </w:rPr>
          <w:fldChar w:fldCharType="begin"/>
        </w:r>
        <w:r w:rsidR="00D357EA" w:rsidRPr="00D357EA">
          <w:rPr>
            <w:webHidden/>
          </w:rPr>
          <w:instrText xml:space="preserve"> PAGEREF _Toc496183490 \h </w:instrText>
        </w:r>
        <w:r w:rsidR="00D357EA" w:rsidRPr="00D357EA">
          <w:rPr>
            <w:webHidden/>
          </w:rPr>
        </w:r>
        <w:r w:rsidR="00D357EA" w:rsidRPr="00D357EA">
          <w:rPr>
            <w:webHidden/>
          </w:rPr>
          <w:fldChar w:fldCharType="separate"/>
        </w:r>
        <w:r w:rsidR="00D357EA" w:rsidRPr="00D357EA">
          <w:rPr>
            <w:webHidden/>
          </w:rPr>
          <w:t>3</w:t>
        </w:r>
        <w:r w:rsidR="00D357EA" w:rsidRPr="00D357EA">
          <w:rPr>
            <w:webHidden/>
          </w:rPr>
          <w:fldChar w:fldCharType="end"/>
        </w:r>
      </w:hyperlink>
    </w:p>
    <w:p w14:paraId="3D85CAE3" w14:textId="77777777" w:rsidR="00D357EA" w:rsidRPr="00D357EA" w:rsidRDefault="008C7A5C">
      <w:pPr>
        <w:pStyle w:val="TOC2"/>
        <w:rPr>
          <w:rFonts w:ascii="Arial" w:eastAsiaTheme="minorEastAsia" w:hAnsi="Arial" w:cs="Arial"/>
          <w:b w:val="0"/>
          <w:sz w:val="22"/>
        </w:rPr>
      </w:pPr>
      <w:hyperlink w:anchor="_Toc496183491" w:history="1">
        <w:r w:rsidR="00D357EA" w:rsidRPr="00D357EA">
          <w:rPr>
            <w:rStyle w:val="Hyperlink"/>
            <w:rFonts w:ascii="Arial" w:hAnsi="Arial" w:cs="Arial"/>
            <w:sz w:val="22"/>
          </w:rPr>
          <w:t>2.1 Risk Assessment Concepts</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_Toc496183491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3</w:t>
        </w:r>
        <w:r w:rsidR="00D357EA" w:rsidRPr="00D357EA">
          <w:rPr>
            <w:rFonts w:ascii="Arial" w:hAnsi="Arial" w:cs="Arial"/>
            <w:webHidden/>
            <w:sz w:val="22"/>
          </w:rPr>
          <w:fldChar w:fldCharType="end"/>
        </w:r>
      </w:hyperlink>
    </w:p>
    <w:p w14:paraId="3D85CAE4" w14:textId="77777777" w:rsidR="00D357EA" w:rsidRPr="00D357EA" w:rsidRDefault="008C7A5C">
      <w:pPr>
        <w:pStyle w:val="TOC2"/>
        <w:rPr>
          <w:rFonts w:ascii="Arial" w:eastAsiaTheme="minorEastAsia" w:hAnsi="Arial" w:cs="Arial"/>
          <w:b w:val="0"/>
          <w:sz w:val="22"/>
        </w:rPr>
      </w:pPr>
      <w:hyperlink w:anchor="_Toc496183492" w:history="1">
        <w:r w:rsidR="00D357EA" w:rsidRPr="00D357EA">
          <w:rPr>
            <w:rStyle w:val="Hyperlink"/>
            <w:rFonts w:ascii="Arial" w:hAnsi="Arial" w:cs="Arial"/>
            <w:sz w:val="22"/>
          </w:rPr>
          <w:t>2.2 Risk-Based Concentrations</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_Toc496183492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4</w:t>
        </w:r>
        <w:r w:rsidR="00D357EA" w:rsidRPr="00D357EA">
          <w:rPr>
            <w:rFonts w:ascii="Arial" w:hAnsi="Arial" w:cs="Arial"/>
            <w:webHidden/>
            <w:sz w:val="22"/>
          </w:rPr>
          <w:fldChar w:fldCharType="end"/>
        </w:r>
      </w:hyperlink>
    </w:p>
    <w:p w14:paraId="3D85CAE5" w14:textId="77777777" w:rsidR="00D357EA" w:rsidRPr="00D357EA" w:rsidRDefault="008C7A5C">
      <w:pPr>
        <w:pStyle w:val="TOC3"/>
        <w:rPr>
          <w:rFonts w:ascii="Arial" w:eastAsiaTheme="minorEastAsia" w:hAnsi="Arial" w:cs="Arial"/>
          <w:noProof/>
        </w:rPr>
      </w:pPr>
      <w:hyperlink w:anchor="_Toc496183493" w:history="1">
        <w:r w:rsidR="00D357EA" w:rsidRPr="00D357EA">
          <w:rPr>
            <w:rStyle w:val="Hyperlink"/>
            <w:rFonts w:ascii="Arial" w:hAnsi="Arial" w:cs="Arial"/>
            <w:noProof/>
          </w:rPr>
          <w:t>2.2.1 Exposure Frequency and Duration Considerations</w:t>
        </w:r>
        <w:r w:rsidR="00D357EA" w:rsidRPr="00D357EA">
          <w:rPr>
            <w:rFonts w:ascii="Arial" w:hAnsi="Arial" w:cs="Arial"/>
            <w:noProof/>
            <w:webHidden/>
          </w:rPr>
          <w:tab/>
        </w:r>
        <w:r w:rsidR="00D357EA" w:rsidRPr="00D357EA">
          <w:rPr>
            <w:rFonts w:ascii="Arial" w:hAnsi="Arial" w:cs="Arial"/>
            <w:noProof/>
            <w:webHidden/>
          </w:rPr>
          <w:fldChar w:fldCharType="begin"/>
        </w:r>
        <w:r w:rsidR="00D357EA" w:rsidRPr="00D357EA">
          <w:rPr>
            <w:rFonts w:ascii="Arial" w:hAnsi="Arial" w:cs="Arial"/>
            <w:noProof/>
            <w:webHidden/>
          </w:rPr>
          <w:instrText xml:space="preserve"> PAGEREF _Toc496183493 \h </w:instrText>
        </w:r>
        <w:r w:rsidR="00D357EA" w:rsidRPr="00D357EA">
          <w:rPr>
            <w:rFonts w:ascii="Arial" w:hAnsi="Arial" w:cs="Arial"/>
            <w:noProof/>
            <w:webHidden/>
          </w:rPr>
        </w:r>
        <w:r w:rsidR="00D357EA" w:rsidRPr="00D357EA">
          <w:rPr>
            <w:rFonts w:ascii="Arial" w:hAnsi="Arial" w:cs="Arial"/>
            <w:noProof/>
            <w:webHidden/>
          </w:rPr>
          <w:fldChar w:fldCharType="separate"/>
        </w:r>
        <w:r w:rsidR="00D357EA" w:rsidRPr="00D357EA">
          <w:rPr>
            <w:rFonts w:ascii="Arial" w:hAnsi="Arial" w:cs="Arial"/>
            <w:noProof/>
            <w:webHidden/>
          </w:rPr>
          <w:t>4</w:t>
        </w:r>
        <w:r w:rsidR="00D357EA" w:rsidRPr="00D357EA">
          <w:rPr>
            <w:rFonts w:ascii="Arial" w:hAnsi="Arial" w:cs="Arial"/>
            <w:noProof/>
            <w:webHidden/>
          </w:rPr>
          <w:fldChar w:fldCharType="end"/>
        </w:r>
      </w:hyperlink>
    </w:p>
    <w:p w14:paraId="3D85CAE6" w14:textId="77777777" w:rsidR="00D357EA" w:rsidRPr="00D357EA" w:rsidRDefault="008C7A5C">
      <w:pPr>
        <w:pStyle w:val="TOC3"/>
        <w:rPr>
          <w:rFonts w:ascii="Arial" w:eastAsiaTheme="minorEastAsia" w:hAnsi="Arial" w:cs="Arial"/>
          <w:noProof/>
        </w:rPr>
      </w:pPr>
      <w:hyperlink w:anchor="_Toc496183494" w:history="1">
        <w:r w:rsidR="00D357EA" w:rsidRPr="00D357EA">
          <w:rPr>
            <w:rStyle w:val="Hyperlink"/>
            <w:rFonts w:ascii="Arial" w:hAnsi="Arial" w:cs="Arial"/>
            <w:noProof/>
          </w:rPr>
          <w:t>2.2.2 Multipathway Considerations</w:t>
        </w:r>
        <w:r w:rsidR="00D357EA" w:rsidRPr="00D357EA">
          <w:rPr>
            <w:rFonts w:ascii="Arial" w:hAnsi="Arial" w:cs="Arial"/>
            <w:noProof/>
            <w:webHidden/>
          </w:rPr>
          <w:tab/>
        </w:r>
        <w:r w:rsidR="00D357EA" w:rsidRPr="00D357EA">
          <w:rPr>
            <w:rFonts w:ascii="Arial" w:hAnsi="Arial" w:cs="Arial"/>
            <w:noProof/>
            <w:webHidden/>
          </w:rPr>
          <w:fldChar w:fldCharType="begin"/>
        </w:r>
        <w:r w:rsidR="00D357EA" w:rsidRPr="00D357EA">
          <w:rPr>
            <w:rFonts w:ascii="Arial" w:hAnsi="Arial" w:cs="Arial"/>
            <w:noProof/>
            <w:webHidden/>
          </w:rPr>
          <w:instrText xml:space="preserve"> PAGEREF _Toc496183494 \h </w:instrText>
        </w:r>
        <w:r w:rsidR="00D357EA" w:rsidRPr="00D357EA">
          <w:rPr>
            <w:rFonts w:ascii="Arial" w:hAnsi="Arial" w:cs="Arial"/>
            <w:noProof/>
            <w:webHidden/>
          </w:rPr>
        </w:r>
        <w:r w:rsidR="00D357EA" w:rsidRPr="00D357EA">
          <w:rPr>
            <w:rFonts w:ascii="Arial" w:hAnsi="Arial" w:cs="Arial"/>
            <w:noProof/>
            <w:webHidden/>
          </w:rPr>
          <w:fldChar w:fldCharType="separate"/>
        </w:r>
        <w:r w:rsidR="00D357EA" w:rsidRPr="00D357EA">
          <w:rPr>
            <w:rFonts w:ascii="Arial" w:hAnsi="Arial" w:cs="Arial"/>
            <w:noProof/>
            <w:webHidden/>
          </w:rPr>
          <w:t>4</w:t>
        </w:r>
        <w:r w:rsidR="00D357EA" w:rsidRPr="00D357EA">
          <w:rPr>
            <w:rFonts w:ascii="Arial" w:hAnsi="Arial" w:cs="Arial"/>
            <w:noProof/>
            <w:webHidden/>
          </w:rPr>
          <w:fldChar w:fldCharType="end"/>
        </w:r>
      </w:hyperlink>
    </w:p>
    <w:p w14:paraId="3D85CAE7" w14:textId="77777777" w:rsidR="00D357EA" w:rsidRPr="00D357EA" w:rsidRDefault="008C7A5C">
      <w:pPr>
        <w:pStyle w:val="TOC3"/>
        <w:rPr>
          <w:rFonts w:ascii="Arial" w:eastAsiaTheme="minorEastAsia" w:hAnsi="Arial" w:cs="Arial"/>
          <w:noProof/>
        </w:rPr>
      </w:pPr>
      <w:hyperlink w:anchor="_Toc496183495" w:history="1">
        <w:r w:rsidR="00D357EA" w:rsidRPr="00D357EA">
          <w:rPr>
            <w:rStyle w:val="Hyperlink"/>
            <w:rFonts w:ascii="Arial" w:hAnsi="Arial" w:cs="Arial"/>
            <w:noProof/>
          </w:rPr>
          <w:t>2.2.3 Early-Life Exposure</w:t>
        </w:r>
        <w:r w:rsidR="00D357EA" w:rsidRPr="00D357EA">
          <w:rPr>
            <w:rFonts w:ascii="Arial" w:hAnsi="Arial" w:cs="Arial"/>
            <w:noProof/>
            <w:webHidden/>
          </w:rPr>
          <w:tab/>
        </w:r>
        <w:r w:rsidR="00D357EA" w:rsidRPr="00D357EA">
          <w:rPr>
            <w:rFonts w:ascii="Arial" w:hAnsi="Arial" w:cs="Arial"/>
            <w:noProof/>
            <w:webHidden/>
          </w:rPr>
          <w:fldChar w:fldCharType="begin"/>
        </w:r>
        <w:r w:rsidR="00D357EA" w:rsidRPr="00D357EA">
          <w:rPr>
            <w:rFonts w:ascii="Arial" w:hAnsi="Arial" w:cs="Arial"/>
            <w:noProof/>
            <w:webHidden/>
          </w:rPr>
          <w:instrText xml:space="preserve"> PAGEREF _Toc496183495 \h </w:instrText>
        </w:r>
        <w:r w:rsidR="00D357EA" w:rsidRPr="00D357EA">
          <w:rPr>
            <w:rFonts w:ascii="Arial" w:hAnsi="Arial" w:cs="Arial"/>
            <w:noProof/>
            <w:webHidden/>
          </w:rPr>
        </w:r>
        <w:r w:rsidR="00D357EA" w:rsidRPr="00D357EA">
          <w:rPr>
            <w:rFonts w:ascii="Arial" w:hAnsi="Arial" w:cs="Arial"/>
            <w:noProof/>
            <w:webHidden/>
          </w:rPr>
          <w:fldChar w:fldCharType="separate"/>
        </w:r>
        <w:r w:rsidR="00D357EA" w:rsidRPr="00D357EA">
          <w:rPr>
            <w:rFonts w:ascii="Arial" w:hAnsi="Arial" w:cs="Arial"/>
            <w:noProof/>
            <w:webHidden/>
          </w:rPr>
          <w:t>5</w:t>
        </w:r>
        <w:r w:rsidR="00D357EA" w:rsidRPr="00D357EA">
          <w:rPr>
            <w:rFonts w:ascii="Arial" w:hAnsi="Arial" w:cs="Arial"/>
            <w:noProof/>
            <w:webHidden/>
          </w:rPr>
          <w:fldChar w:fldCharType="end"/>
        </w:r>
      </w:hyperlink>
    </w:p>
    <w:p w14:paraId="3D85CAE8" w14:textId="77777777" w:rsidR="00D357EA" w:rsidRPr="00D357EA" w:rsidRDefault="008C7A5C">
      <w:pPr>
        <w:pStyle w:val="TOC2"/>
        <w:rPr>
          <w:rFonts w:ascii="Arial" w:eastAsiaTheme="minorEastAsia" w:hAnsi="Arial" w:cs="Arial"/>
          <w:b w:val="0"/>
          <w:sz w:val="22"/>
        </w:rPr>
      </w:pPr>
      <w:hyperlink w:anchor="_Toc496183496" w:history="1">
        <w:r w:rsidR="00D357EA" w:rsidRPr="00D357EA">
          <w:rPr>
            <w:rStyle w:val="Hyperlink"/>
            <w:rFonts w:ascii="Arial" w:hAnsi="Arial" w:cs="Arial"/>
            <w:sz w:val="22"/>
          </w:rPr>
          <w:t>2.3 Risk Assessment Elements</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_Toc496183496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5</w:t>
        </w:r>
        <w:r w:rsidR="00D357EA" w:rsidRPr="00D357EA">
          <w:rPr>
            <w:rFonts w:ascii="Arial" w:hAnsi="Arial" w:cs="Arial"/>
            <w:webHidden/>
            <w:sz w:val="22"/>
          </w:rPr>
          <w:fldChar w:fldCharType="end"/>
        </w:r>
      </w:hyperlink>
    </w:p>
    <w:p w14:paraId="3D85CAE9" w14:textId="77777777" w:rsidR="00D357EA" w:rsidRPr="00D357EA" w:rsidRDefault="008C7A5C">
      <w:pPr>
        <w:pStyle w:val="TOC3"/>
        <w:rPr>
          <w:rFonts w:ascii="Arial" w:eastAsiaTheme="minorEastAsia" w:hAnsi="Arial" w:cs="Arial"/>
          <w:noProof/>
        </w:rPr>
      </w:pPr>
      <w:hyperlink w:anchor="_Toc496183497" w:history="1">
        <w:r w:rsidR="00D357EA" w:rsidRPr="00D357EA">
          <w:rPr>
            <w:rStyle w:val="Hyperlink"/>
            <w:rFonts w:ascii="Arial" w:hAnsi="Arial" w:cs="Arial"/>
            <w:noProof/>
          </w:rPr>
          <w:t>2.3.1 Conceptual Site Model</w:t>
        </w:r>
        <w:r w:rsidR="00D357EA" w:rsidRPr="00D357EA">
          <w:rPr>
            <w:rFonts w:ascii="Arial" w:hAnsi="Arial" w:cs="Arial"/>
            <w:noProof/>
            <w:webHidden/>
          </w:rPr>
          <w:tab/>
        </w:r>
        <w:r w:rsidR="00D357EA" w:rsidRPr="00D357EA">
          <w:rPr>
            <w:rFonts w:ascii="Arial" w:hAnsi="Arial" w:cs="Arial"/>
            <w:noProof/>
            <w:webHidden/>
          </w:rPr>
          <w:fldChar w:fldCharType="begin"/>
        </w:r>
        <w:r w:rsidR="00D357EA" w:rsidRPr="00D357EA">
          <w:rPr>
            <w:rFonts w:ascii="Arial" w:hAnsi="Arial" w:cs="Arial"/>
            <w:noProof/>
            <w:webHidden/>
          </w:rPr>
          <w:instrText xml:space="preserve"> PAGEREF _Toc496183497 \h </w:instrText>
        </w:r>
        <w:r w:rsidR="00D357EA" w:rsidRPr="00D357EA">
          <w:rPr>
            <w:rFonts w:ascii="Arial" w:hAnsi="Arial" w:cs="Arial"/>
            <w:noProof/>
            <w:webHidden/>
          </w:rPr>
        </w:r>
        <w:r w:rsidR="00D357EA" w:rsidRPr="00D357EA">
          <w:rPr>
            <w:rFonts w:ascii="Arial" w:hAnsi="Arial" w:cs="Arial"/>
            <w:noProof/>
            <w:webHidden/>
          </w:rPr>
          <w:fldChar w:fldCharType="separate"/>
        </w:r>
        <w:r w:rsidR="00D357EA" w:rsidRPr="00D357EA">
          <w:rPr>
            <w:rFonts w:ascii="Arial" w:hAnsi="Arial" w:cs="Arial"/>
            <w:noProof/>
            <w:webHidden/>
          </w:rPr>
          <w:t>6</w:t>
        </w:r>
        <w:r w:rsidR="00D357EA" w:rsidRPr="00D357EA">
          <w:rPr>
            <w:rFonts w:ascii="Arial" w:hAnsi="Arial" w:cs="Arial"/>
            <w:noProof/>
            <w:webHidden/>
          </w:rPr>
          <w:fldChar w:fldCharType="end"/>
        </w:r>
      </w:hyperlink>
    </w:p>
    <w:p w14:paraId="3D85CAEA" w14:textId="77777777" w:rsidR="00D357EA" w:rsidRPr="00D357EA" w:rsidRDefault="008C7A5C">
      <w:pPr>
        <w:pStyle w:val="TOC2"/>
        <w:rPr>
          <w:rFonts w:ascii="Arial" w:eastAsiaTheme="minorEastAsia" w:hAnsi="Arial" w:cs="Arial"/>
          <w:b w:val="0"/>
          <w:sz w:val="22"/>
        </w:rPr>
      </w:pPr>
      <w:hyperlink w:anchor="_Toc496183498" w:history="1">
        <w:r w:rsidR="00D357EA" w:rsidRPr="00D357EA">
          <w:rPr>
            <w:rStyle w:val="Hyperlink"/>
            <w:rFonts w:ascii="Arial" w:hAnsi="Arial" w:cs="Arial"/>
            <w:sz w:val="22"/>
          </w:rPr>
          <w:t>2.4 Exposure Assessment and Air Dispersion Modeling</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_Toc496183498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7</w:t>
        </w:r>
        <w:r w:rsidR="00D357EA" w:rsidRPr="00D357EA">
          <w:rPr>
            <w:rFonts w:ascii="Arial" w:hAnsi="Arial" w:cs="Arial"/>
            <w:webHidden/>
            <w:sz w:val="22"/>
          </w:rPr>
          <w:fldChar w:fldCharType="end"/>
        </w:r>
      </w:hyperlink>
    </w:p>
    <w:p w14:paraId="3D85CAEB" w14:textId="77777777" w:rsidR="00D357EA" w:rsidRPr="00D357EA" w:rsidRDefault="008C7A5C">
      <w:pPr>
        <w:pStyle w:val="TOC3"/>
        <w:rPr>
          <w:rFonts w:ascii="Arial" w:eastAsiaTheme="minorEastAsia" w:hAnsi="Arial" w:cs="Arial"/>
          <w:noProof/>
        </w:rPr>
      </w:pPr>
      <w:hyperlink w:anchor="_Toc496183499" w:history="1">
        <w:r w:rsidR="00D357EA" w:rsidRPr="00D357EA">
          <w:rPr>
            <w:rStyle w:val="Hyperlink"/>
            <w:rFonts w:ascii="Arial" w:hAnsi="Arial" w:cs="Arial"/>
            <w:noProof/>
          </w:rPr>
          <w:t>2.4.1 Air Dispersion Modeling</w:t>
        </w:r>
        <w:r w:rsidR="00D357EA" w:rsidRPr="00D357EA">
          <w:rPr>
            <w:rFonts w:ascii="Arial" w:hAnsi="Arial" w:cs="Arial"/>
            <w:noProof/>
            <w:webHidden/>
          </w:rPr>
          <w:tab/>
        </w:r>
        <w:r w:rsidR="00D357EA" w:rsidRPr="00D357EA">
          <w:rPr>
            <w:rFonts w:ascii="Arial" w:hAnsi="Arial" w:cs="Arial"/>
            <w:noProof/>
            <w:webHidden/>
          </w:rPr>
          <w:fldChar w:fldCharType="begin"/>
        </w:r>
        <w:r w:rsidR="00D357EA" w:rsidRPr="00D357EA">
          <w:rPr>
            <w:rFonts w:ascii="Arial" w:hAnsi="Arial" w:cs="Arial"/>
            <w:noProof/>
            <w:webHidden/>
          </w:rPr>
          <w:instrText xml:space="preserve"> PAGEREF _Toc496183499 \h </w:instrText>
        </w:r>
        <w:r w:rsidR="00D357EA" w:rsidRPr="00D357EA">
          <w:rPr>
            <w:rFonts w:ascii="Arial" w:hAnsi="Arial" w:cs="Arial"/>
            <w:noProof/>
            <w:webHidden/>
          </w:rPr>
        </w:r>
        <w:r w:rsidR="00D357EA" w:rsidRPr="00D357EA">
          <w:rPr>
            <w:rFonts w:ascii="Arial" w:hAnsi="Arial" w:cs="Arial"/>
            <w:noProof/>
            <w:webHidden/>
          </w:rPr>
          <w:fldChar w:fldCharType="separate"/>
        </w:r>
        <w:r w:rsidR="00D357EA" w:rsidRPr="00D357EA">
          <w:rPr>
            <w:rFonts w:ascii="Arial" w:hAnsi="Arial" w:cs="Arial"/>
            <w:noProof/>
            <w:webHidden/>
          </w:rPr>
          <w:t>7</w:t>
        </w:r>
        <w:r w:rsidR="00D357EA" w:rsidRPr="00D357EA">
          <w:rPr>
            <w:rFonts w:ascii="Arial" w:hAnsi="Arial" w:cs="Arial"/>
            <w:noProof/>
            <w:webHidden/>
          </w:rPr>
          <w:fldChar w:fldCharType="end"/>
        </w:r>
      </w:hyperlink>
    </w:p>
    <w:p w14:paraId="3D85CAEC" w14:textId="77777777" w:rsidR="00D357EA" w:rsidRPr="00D357EA" w:rsidRDefault="008C7A5C">
      <w:pPr>
        <w:pStyle w:val="TOC3"/>
        <w:rPr>
          <w:rFonts w:ascii="Arial" w:eastAsiaTheme="minorEastAsia" w:hAnsi="Arial" w:cs="Arial"/>
          <w:noProof/>
        </w:rPr>
      </w:pPr>
      <w:hyperlink w:anchor="_Toc496183500" w:history="1">
        <w:r w:rsidR="00D357EA" w:rsidRPr="00D357EA">
          <w:rPr>
            <w:rStyle w:val="Hyperlink"/>
            <w:rFonts w:ascii="Arial" w:hAnsi="Arial" w:cs="Arial"/>
            <w:noProof/>
          </w:rPr>
          <w:t>2.4.2 Use of Air Monitoring Data in Risk Assessments</w:t>
        </w:r>
        <w:r w:rsidR="00D357EA" w:rsidRPr="00D357EA">
          <w:rPr>
            <w:rFonts w:ascii="Arial" w:hAnsi="Arial" w:cs="Arial"/>
            <w:noProof/>
            <w:webHidden/>
          </w:rPr>
          <w:tab/>
        </w:r>
        <w:r w:rsidR="00D357EA" w:rsidRPr="00D357EA">
          <w:rPr>
            <w:rFonts w:ascii="Arial" w:hAnsi="Arial" w:cs="Arial"/>
            <w:noProof/>
            <w:webHidden/>
          </w:rPr>
          <w:fldChar w:fldCharType="begin"/>
        </w:r>
        <w:r w:rsidR="00D357EA" w:rsidRPr="00D357EA">
          <w:rPr>
            <w:rFonts w:ascii="Arial" w:hAnsi="Arial" w:cs="Arial"/>
            <w:noProof/>
            <w:webHidden/>
          </w:rPr>
          <w:instrText xml:space="preserve"> PAGEREF _Toc496183500 \h </w:instrText>
        </w:r>
        <w:r w:rsidR="00D357EA" w:rsidRPr="00D357EA">
          <w:rPr>
            <w:rFonts w:ascii="Arial" w:hAnsi="Arial" w:cs="Arial"/>
            <w:noProof/>
            <w:webHidden/>
          </w:rPr>
        </w:r>
        <w:r w:rsidR="00D357EA" w:rsidRPr="00D357EA">
          <w:rPr>
            <w:rFonts w:ascii="Arial" w:hAnsi="Arial" w:cs="Arial"/>
            <w:noProof/>
            <w:webHidden/>
          </w:rPr>
          <w:fldChar w:fldCharType="separate"/>
        </w:r>
        <w:r w:rsidR="00D357EA" w:rsidRPr="00D357EA">
          <w:rPr>
            <w:rFonts w:ascii="Arial" w:hAnsi="Arial" w:cs="Arial"/>
            <w:noProof/>
            <w:webHidden/>
          </w:rPr>
          <w:t>9</w:t>
        </w:r>
        <w:r w:rsidR="00D357EA" w:rsidRPr="00D357EA">
          <w:rPr>
            <w:rFonts w:ascii="Arial" w:hAnsi="Arial" w:cs="Arial"/>
            <w:noProof/>
            <w:webHidden/>
          </w:rPr>
          <w:fldChar w:fldCharType="end"/>
        </w:r>
      </w:hyperlink>
    </w:p>
    <w:p w14:paraId="3D85CAED" w14:textId="77777777" w:rsidR="00D357EA" w:rsidRPr="00D357EA" w:rsidRDefault="008C7A5C">
      <w:pPr>
        <w:pStyle w:val="TOC2"/>
        <w:rPr>
          <w:rFonts w:ascii="Arial" w:eastAsiaTheme="minorEastAsia" w:hAnsi="Arial" w:cs="Arial"/>
          <w:b w:val="0"/>
          <w:sz w:val="22"/>
        </w:rPr>
      </w:pPr>
      <w:hyperlink w:anchor="_Toc496183501" w:history="1">
        <w:r w:rsidR="00D357EA" w:rsidRPr="00D357EA">
          <w:rPr>
            <w:rStyle w:val="Hyperlink"/>
            <w:rFonts w:ascii="Arial" w:hAnsi="Arial" w:cs="Arial"/>
            <w:sz w:val="22"/>
          </w:rPr>
          <w:t>2.5 Toxicity Assessment</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_Toc496183501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9</w:t>
        </w:r>
        <w:r w:rsidR="00D357EA" w:rsidRPr="00D357EA">
          <w:rPr>
            <w:rFonts w:ascii="Arial" w:hAnsi="Arial" w:cs="Arial"/>
            <w:webHidden/>
            <w:sz w:val="22"/>
          </w:rPr>
          <w:fldChar w:fldCharType="end"/>
        </w:r>
      </w:hyperlink>
    </w:p>
    <w:p w14:paraId="3D85CAEE" w14:textId="77777777" w:rsidR="00D357EA" w:rsidRPr="00D357EA" w:rsidRDefault="008C7A5C">
      <w:pPr>
        <w:pStyle w:val="TOC3"/>
        <w:rPr>
          <w:rFonts w:ascii="Arial" w:eastAsiaTheme="minorEastAsia" w:hAnsi="Arial" w:cs="Arial"/>
          <w:noProof/>
        </w:rPr>
      </w:pPr>
      <w:hyperlink w:anchor="_Toc496183502" w:history="1">
        <w:r w:rsidR="00D357EA" w:rsidRPr="00D357EA">
          <w:rPr>
            <w:rStyle w:val="Hyperlink"/>
            <w:rFonts w:ascii="Arial" w:hAnsi="Arial" w:cs="Arial"/>
            <w:noProof/>
          </w:rPr>
          <w:t>2.5.1 Assessment of Noncancer Health Effects</w:t>
        </w:r>
        <w:r w:rsidR="00D357EA" w:rsidRPr="00D357EA">
          <w:rPr>
            <w:rFonts w:ascii="Arial" w:hAnsi="Arial" w:cs="Arial"/>
            <w:noProof/>
            <w:webHidden/>
          </w:rPr>
          <w:tab/>
        </w:r>
        <w:r w:rsidR="00D357EA" w:rsidRPr="00D357EA">
          <w:rPr>
            <w:rFonts w:ascii="Arial" w:hAnsi="Arial" w:cs="Arial"/>
            <w:noProof/>
            <w:webHidden/>
          </w:rPr>
          <w:fldChar w:fldCharType="begin"/>
        </w:r>
        <w:r w:rsidR="00D357EA" w:rsidRPr="00D357EA">
          <w:rPr>
            <w:rFonts w:ascii="Arial" w:hAnsi="Arial" w:cs="Arial"/>
            <w:noProof/>
            <w:webHidden/>
          </w:rPr>
          <w:instrText xml:space="preserve"> PAGEREF _Toc496183502 \h </w:instrText>
        </w:r>
        <w:r w:rsidR="00D357EA" w:rsidRPr="00D357EA">
          <w:rPr>
            <w:rFonts w:ascii="Arial" w:hAnsi="Arial" w:cs="Arial"/>
            <w:noProof/>
            <w:webHidden/>
          </w:rPr>
        </w:r>
        <w:r w:rsidR="00D357EA" w:rsidRPr="00D357EA">
          <w:rPr>
            <w:rFonts w:ascii="Arial" w:hAnsi="Arial" w:cs="Arial"/>
            <w:noProof/>
            <w:webHidden/>
          </w:rPr>
          <w:fldChar w:fldCharType="separate"/>
        </w:r>
        <w:r w:rsidR="00D357EA" w:rsidRPr="00D357EA">
          <w:rPr>
            <w:rFonts w:ascii="Arial" w:hAnsi="Arial" w:cs="Arial"/>
            <w:noProof/>
            <w:webHidden/>
          </w:rPr>
          <w:t>9</w:t>
        </w:r>
        <w:r w:rsidR="00D357EA" w:rsidRPr="00D357EA">
          <w:rPr>
            <w:rFonts w:ascii="Arial" w:hAnsi="Arial" w:cs="Arial"/>
            <w:noProof/>
            <w:webHidden/>
          </w:rPr>
          <w:fldChar w:fldCharType="end"/>
        </w:r>
      </w:hyperlink>
    </w:p>
    <w:p w14:paraId="3D85CAEF" w14:textId="77777777" w:rsidR="00D357EA" w:rsidRPr="00D357EA" w:rsidRDefault="008C7A5C">
      <w:pPr>
        <w:pStyle w:val="TOC3"/>
        <w:rPr>
          <w:rFonts w:ascii="Arial" w:eastAsiaTheme="minorEastAsia" w:hAnsi="Arial" w:cs="Arial"/>
          <w:noProof/>
        </w:rPr>
      </w:pPr>
      <w:hyperlink w:anchor="_Toc496183503" w:history="1">
        <w:r w:rsidR="00D357EA" w:rsidRPr="00D357EA">
          <w:rPr>
            <w:rStyle w:val="Hyperlink"/>
            <w:rFonts w:ascii="Arial" w:hAnsi="Arial" w:cs="Arial"/>
            <w:noProof/>
          </w:rPr>
          <w:t>2.5.2 Assessment of Cancer Effects</w:t>
        </w:r>
        <w:r w:rsidR="00D357EA" w:rsidRPr="00D357EA">
          <w:rPr>
            <w:rFonts w:ascii="Arial" w:hAnsi="Arial" w:cs="Arial"/>
            <w:noProof/>
            <w:webHidden/>
          </w:rPr>
          <w:tab/>
        </w:r>
        <w:r w:rsidR="00D357EA" w:rsidRPr="00D357EA">
          <w:rPr>
            <w:rFonts w:ascii="Arial" w:hAnsi="Arial" w:cs="Arial"/>
            <w:noProof/>
            <w:webHidden/>
          </w:rPr>
          <w:fldChar w:fldCharType="begin"/>
        </w:r>
        <w:r w:rsidR="00D357EA" w:rsidRPr="00D357EA">
          <w:rPr>
            <w:rFonts w:ascii="Arial" w:hAnsi="Arial" w:cs="Arial"/>
            <w:noProof/>
            <w:webHidden/>
          </w:rPr>
          <w:instrText xml:space="preserve"> PAGEREF _Toc496183503 \h </w:instrText>
        </w:r>
        <w:r w:rsidR="00D357EA" w:rsidRPr="00D357EA">
          <w:rPr>
            <w:rFonts w:ascii="Arial" w:hAnsi="Arial" w:cs="Arial"/>
            <w:noProof/>
            <w:webHidden/>
          </w:rPr>
        </w:r>
        <w:r w:rsidR="00D357EA" w:rsidRPr="00D357EA">
          <w:rPr>
            <w:rFonts w:ascii="Arial" w:hAnsi="Arial" w:cs="Arial"/>
            <w:noProof/>
            <w:webHidden/>
          </w:rPr>
          <w:fldChar w:fldCharType="separate"/>
        </w:r>
        <w:r w:rsidR="00D357EA" w:rsidRPr="00D357EA">
          <w:rPr>
            <w:rFonts w:ascii="Arial" w:hAnsi="Arial" w:cs="Arial"/>
            <w:noProof/>
            <w:webHidden/>
          </w:rPr>
          <w:t>10</w:t>
        </w:r>
        <w:r w:rsidR="00D357EA" w:rsidRPr="00D357EA">
          <w:rPr>
            <w:rFonts w:ascii="Arial" w:hAnsi="Arial" w:cs="Arial"/>
            <w:noProof/>
            <w:webHidden/>
          </w:rPr>
          <w:fldChar w:fldCharType="end"/>
        </w:r>
      </w:hyperlink>
    </w:p>
    <w:p w14:paraId="3D85CAF0" w14:textId="77777777" w:rsidR="00D357EA" w:rsidRPr="00D357EA" w:rsidRDefault="008C7A5C">
      <w:pPr>
        <w:pStyle w:val="TOC3"/>
        <w:rPr>
          <w:rFonts w:ascii="Arial" w:eastAsiaTheme="minorEastAsia" w:hAnsi="Arial" w:cs="Arial"/>
          <w:noProof/>
        </w:rPr>
      </w:pPr>
      <w:hyperlink w:anchor="_Toc496183504" w:history="1">
        <w:r w:rsidR="00D357EA" w:rsidRPr="00D357EA">
          <w:rPr>
            <w:rStyle w:val="Hyperlink"/>
            <w:rFonts w:ascii="Arial" w:hAnsi="Arial" w:cs="Arial"/>
            <w:noProof/>
          </w:rPr>
          <w:t>2.5.3 Assessment of Chemical Mixtures</w:t>
        </w:r>
        <w:r w:rsidR="00D357EA" w:rsidRPr="00D357EA">
          <w:rPr>
            <w:rFonts w:ascii="Arial" w:hAnsi="Arial" w:cs="Arial"/>
            <w:noProof/>
            <w:webHidden/>
          </w:rPr>
          <w:tab/>
        </w:r>
        <w:r w:rsidR="00D357EA" w:rsidRPr="00D357EA">
          <w:rPr>
            <w:rFonts w:ascii="Arial" w:hAnsi="Arial" w:cs="Arial"/>
            <w:noProof/>
            <w:webHidden/>
          </w:rPr>
          <w:fldChar w:fldCharType="begin"/>
        </w:r>
        <w:r w:rsidR="00D357EA" w:rsidRPr="00D357EA">
          <w:rPr>
            <w:rFonts w:ascii="Arial" w:hAnsi="Arial" w:cs="Arial"/>
            <w:noProof/>
            <w:webHidden/>
          </w:rPr>
          <w:instrText xml:space="preserve"> PAGEREF _Toc496183504 \h </w:instrText>
        </w:r>
        <w:r w:rsidR="00D357EA" w:rsidRPr="00D357EA">
          <w:rPr>
            <w:rFonts w:ascii="Arial" w:hAnsi="Arial" w:cs="Arial"/>
            <w:noProof/>
            <w:webHidden/>
          </w:rPr>
        </w:r>
        <w:r w:rsidR="00D357EA" w:rsidRPr="00D357EA">
          <w:rPr>
            <w:rFonts w:ascii="Arial" w:hAnsi="Arial" w:cs="Arial"/>
            <w:noProof/>
            <w:webHidden/>
          </w:rPr>
          <w:fldChar w:fldCharType="separate"/>
        </w:r>
        <w:r w:rsidR="00D357EA" w:rsidRPr="00D357EA">
          <w:rPr>
            <w:rFonts w:ascii="Arial" w:hAnsi="Arial" w:cs="Arial"/>
            <w:noProof/>
            <w:webHidden/>
          </w:rPr>
          <w:t>10</w:t>
        </w:r>
        <w:r w:rsidR="00D357EA" w:rsidRPr="00D357EA">
          <w:rPr>
            <w:rFonts w:ascii="Arial" w:hAnsi="Arial" w:cs="Arial"/>
            <w:noProof/>
            <w:webHidden/>
          </w:rPr>
          <w:fldChar w:fldCharType="end"/>
        </w:r>
      </w:hyperlink>
    </w:p>
    <w:p w14:paraId="3D85CAF1" w14:textId="77777777" w:rsidR="00D357EA" w:rsidRPr="00D357EA" w:rsidRDefault="008C7A5C">
      <w:pPr>
        <w:pStyle w:val="TOC3"/>
        <w:rPr>
          <w:rFonts w:ascii="Arial" w:eastAsiaTheme="minorEastAsia" w:hAnsi="Arial" w:cs="Arial"/>
          <w:noProof/>
        </w:rPr>
      </w:pPr>
      <w:hyperlink w:anchor="_Toc496183505" w:history="1">
        <w:r w:rsidR="00D357EA" w:rsidRPr="00D357EA">
          <w:rPr>
            <w:rStyle w:val="Hyperlink"/>
            <w:rFonts w:ascii="Arial" w:hAnsi="Arial" w:cs="Arial"/>
            <w:noProof/>
          </w:rPr>
          <w:t>2.5.4 Screening Terminology</w:t>
        </w:r>
        <w:r w:rsidR="00D357EA" w:rsidRPr="00D357EA">
          <w:rPr>
            <w:rFonts w:ascii="Arial" w:hAnsi="Arial" w:cs="Arial"/>
            <w:noProof/>
            <w:webHidden/>
          </w:rPr>
          <w:tab/>
        </w:r>
        <w:r w:rsidR="00D357EA" w:rsidRPr="00D357EA">
          <w:rPr>
            <w:rFonts w:ascii="Arial" w:hAnsi="Arial" w:cs="Arial"/>
            <w:noProof/>
            <w:webHidden/>
          </w:rPr>
          <w:fldChar w:fldCharType="begin"/>
        </w:r>
        <w:r w:rsidR="00D357EA" w:rsidRPr="00D357EA">
          <w:rPr>
            <w:rFonts w:ascii="Arial" w:hAnsi="Arial" w:cs="Arial"/>
            <w:noProof/>
            <w:webHidden/>
          </w:rPr>
          <w:instrText xml:space="preserve"> PAGEREF _Toc496183505 \h </w:instrText>
        </w:r>
        <w:r w:rsidR="00D357EA" w:rsidRPr="00D357EA">
          <w:rPr>
            <w:rFonts w:ascii="Arial" w:hAnsi="Arial" w:cs="Arial"/>
            <w:noProof/>
            <w:webHidden/>
          </w:rPr>
        </w:r>
        <w:r w:rsidR="00D357EA" w:rsidRPr="00D357EA">
          <w:rPr>
            <w:rFonts w:ascii="Arial" w:hAnsi="Arial" w:cs="Arial"/>
            <w:noProof/>
            <w:webHidden/>
          </w:rPr>
          <w:fldChar w:fldCharType="separate"/>
        </w:r>
        <w:r w:rsidR="00D357EA" w:rsidRPr="00D357EA">
          <w:rPr>
            <w:rFonts w:ascii="Arial" w:hAnsi="Arial" w:cs="Arial"/>
            <w:noProof/>
            <w:webHidden/>
          </w:rPr>
          <w:t>10</w:t>
        </w:r>
        <w:r w:rsidR="00D357EA" w:rsidRPr="00D357EA">
          <w:rPr>
            <w:rFonts w:ascii="Arial" w:hAnsi="Arial" w:cs="Arial"/>
            <w:noProof/>
            <w:webHidden/>
          </w:rPr>
          <w:fldChar w:fldCharType="end"/>
        </w:r>
      </w:hyperlink>
    </w:p>
    <w:p w14:paraId="3D85CAF2" w14:textId="77777777" w:rsidR="00D357EA" w:rsidRPr="00D357EA" w:rsidRDefault="008C7A5C">
      <w:pPr>
        <w:pStyle w:val="TOC2"/>
        <w:rPr>
          <w:rFonts w:ascii="Arial" w:eastAsiaTheme="minorEastAsia" w:hAnsi="Arial" w:cs="Arial"/>
          <w:b w:val="0"/>
          <w:sz w:val="22"/>
        </w:rPr>
      </w:pPr>
      <w:hyperlink w:anchor="_Toc496183506" w:history="1">
        <w:r w:rsidR="00D357EA" w:rsidRPr="00D357EA">
          <w:rPr>
            <w:rStyle w:val="Hyperlink"/>
            <w:rFonts w:ascii="Arial" w:hAnsi="Arial" w:cs="Arial"/>
            <w:sz w:val="22"/>
          </w:rPr>
          <w:t>2.6 Uncertainty Evaluation</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_Toc496183506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11</w:t>
        </w:r>
        <w:r w:rsidR="00D357EA" w:rsidRPr="00D357EA">
          <w:rPr>
            <w:rFonts w:ascii="Arial" w:hAnsi="Arial" w:cs="Arial"/>
            <w:webHidden/>
            <w:sz w:val="22"/>
          </w:rPr>
          <w:fldChar w:fldCharType="end"/>
        </w:r>
      </w:hyperlink>
    </w:p>
    <w:p w14:paraId="3D85CAF3" w14:textId="77777777" w:rsidR="00D357EA" w:rsidRPr="00D357EA" w:rsidRDefault="008C7A5C">
      <w:pPr>
        <w:pStyle w:val="TOC1"/>
        <w:rPr>
          <w:rFonts w:eastAsiaTheme="minorEastAsia"/>
          <w:caps w:val="0"/>
        </w:rPr>
      </w:pPr>
      <w:hyperlink w:anchor="_Toc496183507" w:history="1">
        <w:r w:rsidR="00D357EA" w:rsidRPr="00D357EA">
          <w:rPr>
            <w:rStyle w:val="Hyperlink"/>
          </w:rPr>
          <w:t>3. Level 1 and 2 Screening</w:t>
        </w:r>
        <w:r w:rsidR="00D357EA" w:rsidRPr="00D357EA">
          <w:rPr>
            <w:webHidden/>
          </w:rPr>
          <w:tab/>
        </w:r>
        <w:r w:rsidR="00D357EA" w:rsidRPr="00D357EA">
          <w:rPr>
            <w:webHidden/>
          </w:rPr>
          <w:fldChar w:fldCharType="begin"/>
        </w:r>
        <w:r w:rsidR="00D357EA" w:rsidRPr="00D357EA">
          <w:rPr>
            <w:webHidden/>
          </w:rPr>
          <w:instrText xml:space="preserve"> PAGEREF _Toc496183507 \h </w:instrText>
        </w:r>
        <w:r w:rsidR="00D357EA" w:rsidRPr="00D357EA">
          <w:rPr>
            <w:webHidden/>
          </w:rPr>
        </w:r>
        <w:r w:rsidR="00D357EA" w:rsidRPr="00D357EA">
          <w:rPr>
            <w:webHidden/>
          </w:rPr>
          <w:fldChar w:fldCharType="separate"/>
        </w:r>
        <w:r w:rsidR="00D357EA" w:rsidRPr="00D357EA">
          <w:rPr>
            <w:webHidden/>
          </w:rPr>
          <w:t>12</w:t>
        </w:r>
        <w:r w:rsidR="00D357EA" w:rsidRPr="00D357EA">
          <w:rPr>
            <w:webHidden/>
          </w:rPr>
          <w:fldChar w:fldCharType="end"/>
        </w:r>
      </w:hyperlink>
    </w:p>
    <w:p w14:paraId="3D85CAF4" w14:textId="77777777" w:rsidR="00D357EA" w:rsidRPr="00D357EA" w:rsidRDefault="008C7A5C">
      <w:pPr>
        <w:pStyle w:val="TOC2"/>
        <w:rPr>
          <w:rFonts w:ascii="Arial" w:eastAsiaTheme="minorEastAsia" w:hAnsi="Arial" w:cs="Arial"/>
          <w:b w:val="0"/>
          <w:sz w:val="22"/>
        </w:rPr>
      </w:pPr>
      <w:hyperlink w:anchor="_Toc496183508" w:history="1">
        <w:r w:rsidR="00D357EA" w:rsidRPr="00D357EA">
          <w:rPr>
            <w:rStyle w:val="Hyperlink"/>
            <w:rFonts w:ascii="Arial" w:hAnsi="Arial" w:cs="Arial"/>
            <w:sz w:val="22"/>
          </w:rPr>
          <w:t>3.1 Level 1 Screening Approach</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_Toc496183508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12</w:t>
        </w:r>
        <w:r w:rsidR="00D357EA" w:rsidRPr="00D357EA">
          <w:rPr>
            <w:rFonts w:ascii="Arial" w:hAnsi="Arial" w:cs="Arial"/>
            <w:webHidden/>
            <w:sz w:val="22"/>
          </w:rPr>
          <w:fldChar w:fldCharType="end"/>
        </w:r>
      </w:hyperlink>
    </w:p>
    <w:p w14:paraId="3D85CAF5" w14:textId="77777777" w:rsidR="00D357EA" w:rsidRPr="00D357EA" w:rsidRDefault="008C7A5C">
      <w:pPr>
        <w:pStyle w:val="TOC2"/>
        <w:rPr>
          <w:rFonts w:ascii="Arial" w:eastAsiaTheme="minorEastAsia" w:hAnsi="Arial" w:cs="Arial"/>
          <w:b w:val="0"/>
          <w:sz w:val="22"/>
        </w:rPr>
      </w:pPr>
      <w:hyperlink w:anchor="_Toc496183509" w:history="1">
        <w:r w:rsidR="00D357EA" w:rsidRPr="00D357EA">
          <w:rPr>
            <w:rStyle w:val="Hyperlink"/>
            <w:rFonts w:ascii="Arial" w:hAnsi="Arial" w:cs="Arial"/>
            <w:sz w:val="22"/>
          </w:rPr>
          <w:t>3.2 Level 2 Screening Approach</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_Toc496183509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13</w:t>
        </w:r>
        <w:r w:rsidR="00D357EA" w:rsidRPr="00D357EA">
          <w:rPr>
            <w:rFonts w:ascii="Arial" w:hAnsi="Arial" w:cs="Arial"/>
            <w:webHidden/>
            <w:sz w:val="22"/>
          </w:rPr>
          <w:fldChar w:fldCharType="end"/>
        </w:r>
      </w:hyperlink>
    </w:p>
    <w:p w14:paraId="3D85CAF6" w14:textId="77777777" w:rsidR="00D357EA" w:rsidRPr="00D357EA" w:rsidRDefault="008C7A5C">
      <w:pPr>
        <w:pStyle w:val="TOC1"/>
        <w:rPr>
          <w:rFonts w:eastAsiaTheme="minorEastAsia"/>
          <w:caps w:val="0"/>
        </w:rPr>
      </w:pPr>
      <w:hyperlink w:anchor="_Toc496183510" w:history="1">
        <w:r w:rsidR="00D357EA" w:rsidRPr="00D357EA">
          <w:rPr>
            <w:rStyle w:val="Hyperlink"/>
          </w:rPr>
          <w:t>4. LEVEL 3 ASSESSMENT AND LEVEL 4 COMPREHENSIVE HEALTH RISK ASSESSMENT</w:t>
        </w:r>
        <w:r w:rsidR="00D357EA" w:rsidRPr="00D357EA">
          <w:rPr>
            <w:webHidden/>
          </w:rPr>
          <w:tab/>
        </w:r>
        <w:r w:rsidR="00D357EA" w:rsidRPr="00D357EA">
          <w:rPr>
            <w:webHidden/>
          </w:rPr>
          <w:fldChar w:fldCharType="begin"/>
        </w:r>
        <w:r w:rsidR="00D357EA" w:rsidRPr="00D357EA">
          <w:rPr>
            <w:webHidden/>
          </w:rPr>
          <w:instrText xml:space="preserve"> PAGEREF _Toc496183510 \h </w:instrText>
        </w:r>
        <w:r w:rsidR="00D357EA" w:rsidRPr="00D357EA">
          <w:rPr>
            <w:webHidden/>
          </w:rPr>
        </w:r>
        <w:r w:rsidR="00D357EA" w:rsidRPr="00D357EA">
          <w:rPr>
            <w:webHidden/>
          </w:rPr>
          <w:fldChar w:fldCharType="separate"/>
        </w:r>
        <w:r w:rsidR="00D357EA" w:rsidRPr="00D357EA">
          <w:rPr>
            <w:webHidden/>
          </w:rPr>
          <w:t>15</w:t>
        </w:r>
        <w:r w:rsidR="00D357EA" w:rsidRPr="00D357EA">
          <w:rPr>
            <w:webHidden/>
          </w:rPr>
          <w:fldChar w:fldCharType="end"/>
        </w:r>
      </w:hyperlink>
    </w:p>
    <w:p w14:paraId="3D85CAF7" w14:textId="77777777" w:rsidR="00D357EA" w:rsidRPr="00D357EA" w:rsidRDefault="008C7A5C">
      <w:pPr>
        <w:pStyle w:val="TOC2"/>
        <w:rPr>
          <w:rFonts w:ascii="Arial" w:eastAsiaTheme="minorEastAsia" w:hAnsi="Arial" w:cs="Arial"/>
          <w:b w:val="0"/>
          <w:sz w:val="22"/>
        </w:rPr>
      </w:pPr>
      <w:hyperlink w:anchor="_Toc496183511" w:history="1">
        <w:r w:rsidR="00D357EA" w:rsidRPr="00D357EA">
          <w:rPr>
            <w:rStyle w:val="Hyperlink"/>
            <w:rFonts w:ascii="Arial" w:hAnsi="Arial" w:cs="Arial"/>
            <w:sz w:val="22"/>
          </w:rPr>
          <w:t>4.1 Level 3 Assessment</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_Toc496183511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15</w:t>
        </w:r>
        <w:r w:rsidR="00D357EA" w:rsidRPr="00D357EA">
          <w:rPr>
            <w:rFonts w:ascii="Arial" w:hAnsi="Arial" w:cs="Arial"/>
            <w:webHidden/>
            <w:sz w:val="22"/>
          </w:rPr>
          <w:fldChar w:fldCharType="end"/>
        </w:r>
      </w:hyperlink>
    </w:p>
    <w:p w14:paraId="3D85CAF8" w14:textId="77777777" w:rsidR="00D357EA" w:rsidRPr="00D357EA" w:rsidRDefault="008C7A5C">
      <w:pPr>
        <w:pStyle w:val="TOC2"/>
        <w:rPr>
          <w:rFonts w:ascii="Arial" w:eastAsiaTheme="minorEastAsia" w:hAnsi="Arial" w:cs="Arial"/>
          <w:b w:val="0"/>
          <w:sz w:val="22"/>
        </w:rPr>
      </w:pPr>
      <w:hyperlink w:anchor="_Toc496183512" w:history="1">
        <w:r w:rsidR="00D357EA" w:rsidRPr="00D357EA">
          <w:rPr>
            <w:rStyle w:val="Hyperlink"/>
            <w:rFonts w:ascii="Arial" w:hAnsi="Arial" w:cs="Arial"/>
            <w:sz w:val="22"/>
          </w:rPr>
          <w:t>4.2 Level 4 Comprehensive Risk Assessment</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_Toc496183512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16</w:t>
        </w:r>
        <w:r w:rsidR="00D357EA" w:rsidRPr="00D357EA">
          <w:rPr>
            <w:rFonts w:ascii="Arial" w:hAnsi="Arial" w:cs="Arial"/>
            <w:webHidden/>
            <w:sz w:val="22"/>
          </w:rPr>
          <w:fldChar w:fldCharType="end"/>
        </w:r>
      </w:hyperlink>
    </w:p>
    <w:p w14:paraId="3D85CAF9" w14:textId="77777777" w:rsidR="00D357EA" w:rsidRPr="00D357EA" w:rsidRDefault="008C7A5C">
      <w:pPr>
        <w:pStyle w:val="TOC3"/>
        <w:rPr>
          <w:rFonts w:ascii="Arial" w:eastAsiaTheme="minorEastAsia" w:hAnsi="Arial" w:cs="Arial"/>
          <w:noProof/>
        </w:rPr>
      </w:pPr>
      <w:hyperlink w:anchor="_Toc496183513" w:history="1">
        <w:r w:rsidR="00D357EA" w:rsidRPr="00D357EA">
          <w:rPr>
            <w:rStyle w:val="Hyperlink"/>
            <w:rFonts w:ascii="Arial" w:hAnsi="Arial" w:cs="Arial"/>
            <w:noProof/>
          </w:rPr>
          <w:t>4.2.1 Exposure Assumption Modifications</w:t>
        </w:r>
        <w:r w:rsidR="00D357EA" w:rsidRPr="00D357EA">
          <w:rPr>
            <w:rFonts w:ascii="Arial" w:hAnsi="Arial" w:cs="Arial"/>
            <w:noProof/>
            <w:webHidden/>
          </w:rPr>
          <w:tab/>
        </w:r>
        <w:r w:rsidR="00D357EA" w:rsidRPr="00D357EA">
          <w:rPr>
            <w:rFonts w:ascii="Arial" w:hAnsi="Arial" w:cs="Arial"/>
            <w:noProof/>
            <w:webHidden/>
          </w:rPr>
          <w:fldChar w:fldCharType="begin"/>
        </w:r>
        <w:r w:rsidR="00D357EA" w:rsidRPr="00D357EA">
          <w:rPr>
            <w:rFonts w:ascii="Arial" w:hAnsi="Arial" w:cs="Arial"/>
            <w:noProof/>
            <w:webHidden/>
          </w:rPr>
          <w:instrText xml:space="preserve"> PAGEREF _Toc496183513 \h </w:instrText>
        </w:r>
        <w:r w:rsidR="00D357EA" w:rsidRPr="00D357EA">
          <w:rPr>
            <w:rFonts w:ascii="Arial" w:hAnsi="Arial" w:cs="Arial"/>
            <w:noProof/>
            <w:webHidden/>
          </w:rPr>
        </w:r>
        <w:r w:rsidR="00D357EA" w:rsidRPr="00D357EA">
          <w:rPr>
            <w:rFonts w:ascii="Arial" w:hAnsi="Arial" w:cs="Arial"/>
            <w:noProof/>
            <w:webHidden/>
          </w:rPr>
          <w:fldChar w:fldCharType="separate"/>
        </w:r>
        <w:r w:rsidR="00D357EA" w:rsidRPr="00D357EA">
          <w:rPr>
            <w:rFonts w:ascii="Arial" w:hAnsi="Arial" w:cs="Arial"/>
            <w:noProof/>
            <w:webHidden/>
          </w:rPr>
          <w:t>16</w:t>
        </w:r>
        <w:r w:rsidR="00D357EA" w:rsidRPr="00D357EA">
          <w:rPr>
            <w:rFonts w:ascii="Arial" w:hAnsi="Arial" w:cs="Arial"/>
            <w:noProof/>
            <w:webHidden/>
          </w:rPr>
          <w:fldChar w:fldCharType="end"/>
        </w:r>
      </w:hyperlink>
    </w:p>
    <w:p w14:paraId="3D85CAFA" w14:textId="77777777" w:rsidR="00D357EA" w:rsidRPr="00D357EA" w:rsidRDefault="008C7A5C">
      <w:pPr>
        <w:pStyle w:val="TOC3"/>
        <w:rPr>
          <w:rFonts w:ascii="Arial" w:eastAsiaTheme="minorEastAsia" w:hAnsi="Arial" w:cs="Arial"/>
          <w:noProof/>
        </w:rPr>
      </w:pPr>
      <w:hyperlink w:anchor="_Toc496183514" w:history="1">
        <w:r w:rsidR="00D357EA" w:rsidRPr="00D357EA">
          <w:rPr>
            <w:rStyle w:val="Hyperlink"/>
            <w:rFonts w:ascii="Arial" w:hAnsi="Arial" w:cs="Arial"/>
            <w:noProof/>
          </w:rPr>
          <w:t>4.2.2 Relative Bioavailability</w:t>
        </w:r>
        <w:r w:rsidR="00D357EA" w:rsidRPr="00D357EA">
          <w:rPr>
            <w:rFonts w:ascii="Arial" w:hAnsi="Arial" w:cs="Arial"/>
            <w:noProof/>
            <w:webHidden/>
          </w:rPr>
          <w:tab/>
        </w:r>
        <w:r w:rsidR="00D357EA" w:rsidRPr="00D357EA">
          <w:rPr>
            <w:rFonts w:ascii="Arial" w:hAnsi="Arial" w:cs="Arial"/>
            <w:noProof/>
            <w:webHidden/>
          </w:rPr>
          <w:fldChar w:fldCharType="begin"/>
        </w:r>
        <w:r w:rsidR="00D357EA" w:rsidRPr="00D357EA">
          <w:rPr>
            <w:rFonts w:ascii="Arial" w:hAnsi="Arial" w:cs="Arial"/>
            <w:noProof/>
            <w:webHidden/>
          </w:rPr>
          <w:instrText xml:space="preserve"> PAGEREF _Toc496183514 \h </w:instrText>
        </w:r>
        <w:r w:rsidR="00D357EA" w:rsidRPr="00D357EA">
          <w:rPr>
            <w:rFonts w:ascii="Arial" w:hAnsi="Arial" w:cs="Arial"/>
            <w:noProof/>
            <w:webHidden/>
          </w:rPr>
        </w:r>
        <w:r w:rsidR="00D357EA" w:rsidRPr="00D357EA">
          <w:rPr>
            <w:rFonts w:ascii="Arial" w:hAnsi="Arial" w:cs="Arial"/>
            <w:noProof/>
            <w:webHidden/>
          </w:rPr>
          <w:fldChar w:fldCharType="separate"/>
        </w:r>
        <w:r w:rsidR="00D357EA" w:rsidRPr="00D357EA">
          <w:rPr>
            <w:rFonts w:ascii="Arial" w:hAnsi="Arial" w:cs="Arial"/>
            <w:noProof/>
            <w:webHidden/>
          </w:rPr>
          <w:t>16</w:t>
        </w:r>
        <w:r w:rsidR="00D357EA" w:rsidRPr="00D357EA">
          <w:rPr>
            <w:rFonts w:ascii="Arial" w:hAnsi="Arial" w:cs="Arial"/>
            <w:noProof/>
            <w:webHidden/>
          </w:rPr>
          <w:fldChar w:fldCharType="end"/>
        </w:r>
      </w:hyperlink>
    </w:p>
    <w:p w14:paraId="3D85CAFB" w14:textId="77777777" w:rsidR="00D357EA" w:rsidRPr="00D357EA" w:rsidRDefault="008C7A5C">
      <w:pPr>
        <w:pStyle w:val="TOC3"/>
        <w:rPr>
          <w:rFonts w:ascii="Arial" w:eastAsiaTheme="minorEastAsia" w:hAnsi="Arial" w:cs="Arial"/>
          <w:noProof/>
        </w:rPr>
      </w:pPr>
      <w:hyperlink w:anchor="_Toc496183515" w:history="1">
        <w:r w:rsidR="00D357EA" w:rsidRPr="00D357EA">
          <w:rPr>
            <w:rStyle w:val="Hyperlink"/>
            <w:rFonts w:ascii="Arial" w:hAnsi="Arial" w:cs="Arial"/>
            <w:noProof/>
          </w:rPr>
          <w:t>4.2.3 Multipathway Analysis</w:t>
        </w:r>
        <w:r w:rsidR="00D357EA" w:rsidRPr="00D357EA">
          <w:rPr>
            <w:rFonts w:ascii="Arial" w:hAnsi="Arial" w:cs="Arial"/>
            <w:noProof/>
            <w:webHidden/>
          </w:rPr>
          <w:tab/>
        </w:r>
        <w:r w:rsidR="00D357EA" w:rsidRPr="00D357EA">
          <w:rPr>
            <w:rFonts w:ascii="Arial" w:hAnsi="Arial" w:cs="Arial"/>
            <w:noProof/>
            <w:webHidden/>
          </w:rPr>
          <w:fldChar w:fldCharType="begin"/>
        </w:r>
        <w:r w:rsidR="00D357EA" w:rsidRPr="00D357EA">
          <w:rPr>
            <w:rFonts w:ascii="Arial" w:hAnsi="Arial" w:cs="Arial"/>
            <w:noProof/>
            <w:webHidden/>
          </w:rPr>
          <w:instrText xml:space="preserve"> PAGEREF _Toc496183515 \h </w:instrText>
        </w:r>
        <w:r w:rsidR="00D357EA" w:rsidRPr="00D357EA">
          <w:rPr>
            <w:rFonts w:ascii="Arial" w:hAnsi="Arial" w:cs="Arial"/>
            <w:noProof/>
            <w:webHidden/>
          </w:rPr>
        </w:r>
        <w:r w:rsidR="00D357EA" w:rsidRPr="00D357EA">
          <w:rPr>
            <w:rFonts w:ascii="Arial" w:hAnsi="Arial" w:cs="Arial"/>
            <w:noProof/>
            <w:webHidden/>
          </w:rPr>
          <w:fldChar w:fldCharType="separate"/>
        </w:r>
        <w:r w:rsidR="00D357EA" w:rsidRPr="00D357EA">
          <w:rPr>
            <w:rFonts w:ascii="Arial" w:hAnsi="Arial" w:cs="Arial"/>
            <w:noProof/>
            <w:webHidden/>
          </w:rPr>
          <w:t>17</w:t>
        </w:r>
        <w:r w:rsidR="00D357EA" w:rsidRPr="00D357EA">
          <w:rPr>
            <w:rFonts w:ascii="Arial" w:hAnsi="Arial" w:cs="Arial"/>
            <w:noProof/>
            <w:webHidden/>
          </w:rPr>
          <w:fldChar w:fldCharType="end"/>
        </w:r>
      </w:hyperlink>
    </w:p>
    <w:p w14:paraId="3D85CAFC" w14:textId="77777777" w:rsidR="00D357EA" w:rsidRPr="00D357EA" w:rsidRDefault="008C7A5C">
      <w:pPr>
        <w:pStyle w:val="TOC3"/>
        <w:rPr>
          <w:rFonts w:ascii="Arial" w:eastAsiaTheme="minorEastAsia" w:hAnsi="Arial" w:cs="Arial"/>
          <w:noProof/>
        </w:rPr>
      </w:pPr>
      <w:hyperlink w:anchor="_Toc496183516" w:history="1">
        <w:r w:rsidR="00D357EA" w:rsidRPr="00D357EA">
          <w:rPr>
            <w:rStyle w:val="Hyperlink"/>
            <w:rFonts w:ascii="Arial" w:hAnsi="Arial" w:cs="Arial"/>
            <w:noProof/>
          </w:rPr>
          <w:t>4.2.4 Alternate Noncancer Risk Action Level</w:t>
        </w:r>
        <w:r w:rsidR="00D357EA" w:rsidRPr="00D357EA">
          <w:rPr>
            <w:rFonts w:ascii="Arial" w:hAnsi="Arial" w:cs="Arial"/>
            <w:noProof/>
            <w:webHidden/>
          </w:rPr>
          <w:tab/>
        </w:r>
        <w:r w:rsidR="00D357EA" w:rsidRPr="00D357EA">
          <w:rPr>
            <w:rFonts w:ascii="Arial" w:hAnsi="Arial" w:cs="Arial"/>
            <w:noProof/>
            <w:webHidden/>
          </w:rPr>
          <w:fldChar w:fldCharType="begin"/>
        </w:r>
        <w:r w:rsidR="00D357EA" w:rsidRPr="00D357EA">
          <w:rPr>
            <w:rFonts w:ascii="Arial" w:hAnsi="Arial" w:cs="Arial"/>
            <w:noProof/>
            <w:webHidden/>
          </w:rPr>
          <w:instrText xml:space="preserve"> PAGEREF _Toc496183516 \h </w:instrText>
        </w:r>
        <w:r w:rsidR="00D357EA" w:rsidRPr="00D357EA">
          <w:rPr>
            <w:rFonts w:ascii="Arial" w:hAnsi="Arial" w:cs="Arial"/>
            <w:noProof/>
            <w:webHidden/>
          </w:rPr>
        </w:r>
        <w:r w:rsidR="00D357EA" w:rsidRPr="00D357EA">
          <w:rPr>
            <w:rFonts w:ascii="Arial" w:hAnsi="Arial" w:cs="Arial"/>
            <w:noProof/>
            <w:webHidden/>
          </w:rPr>
          <w:fldChar w:fldCharType="separate"/>
        </w:r>
        <w:r w:rsidR="00D357EA" w:rsidRPr="00D357EA">
          <w:rPr>
            <w:rFonts w:ascii="Arial" w:hAnsi="Arial" w:cs="Arial"/>
            <w:noProof/>
            <w:webHidden/>
          </w:rPr>
          <w:t>17</w:t>
        </w:r>
        <w:r w:rsidR="00D357EA" w:rsidRPr="00D357EA">
          <w:rPr>
            <w:rFonts w:ascii="Arial" w:hAnsi="Arial" w:cs="Arial"/>
            <w:noProof/>
            <w:webHidden/>
          </w:rPr>
          <w:fldChar w:fldCharType="end"/>
        </w:r>
      </w:hyperlink>
    </w:p>
    <w:p w14:paraId="3D85CAFD" w14:textId="77777777" w:rsidR="00D357EA" w:rsidRPr="00D357EA" w:rsidRDefault="008C7A5C">
      <w:pPr>
        <w:pStyle w:val="TOC1"/>
        <w:rPr>
          <w:rFonts w:eastAsiaTheme="minorEastAsia"/>
          <w:caps w:val="0"/>
        </w:rPr>
      </w:pPr>
      <w:hyperlink w:anchor="_Toc496183517" w:history="1">
        <w:r w:rsidR="00D357EA" w:rsidRPr="00D357EA">
          <w:rPr>
            <w:rStyle w:val="Hyperlink"/>
          </w:rPr>
          <w:t>5. REFERENCES</w:t>
        </w:r>
        <w:r w:rsidR="00D357EA" w:rsidRPr="00D357EA">
          <w:rPr>
            <w:webHidden/>
          </w:rPr>
          <w:tab/>
        </w:r>
        <w:r w:rsidR="00D357EA" w:rsidRPr="00D357EA">
          <w:rPr>
            <w:webHidden/>
          </w:rPr>
          <w:fldChar w:fldCharType="begin"/>
        </w:r>
        <w:r w:rsidR="00D357EA" w:rsidRPr="00D357EA">
          <w:rPr>
            <w:webHidden/>
          </w:rPr>
          <w:instrText xml:space="preserve"> PAGEREF _Toc496183517 \h </w:instrText>
        </w:r>
        <w:r w:rsidR="00D357EA" w:rsidRPr="00D357EA">
          <w:rPr>
            <w:webHidden/>
          </w:rPr>
        </w:r>
        <w:r w:rsidR="00D357EA" w:rsidRPr="00D357EA">
          <w:rPr>
            <w:webHidden/>
          </w:rPr>
          <w:fldChar w:fldCharType="separate"/>
        </w:r>
        <w:r w:rsidR="00D357EA" w:rsidRPr="00D357EA">
          <w:rPr>
            <w:webHidden/>
          </w:rPr>
          <w:t>21</w:t>
        </w:r>
        <w:r w:rsidR="00D357EA" w:rsidRPr="00D357EA">
          <w:rPr>
            <w:webHidden/>
          </w:rPr>
          <w:fldChar w:fldCharType="end"/>
        </w:r>
      </w:hyperlink>
    </w:p>
    <w:p w14:paraId="3D85CAFE" w14:textId="77777777" w:rsidR="00D357EA" w:rsidRDefault="00D357EA">
      <w:pPr>
        <w:pStyle w:val="TOC1"/>
        <w:rPr>
          <w:rStyle w:val="Hyperlink"/>
        </w:rPr>
      </w:pPr>
    </w:p>
    <w:p w14:paraId="3D85CAFF" w14:textId="77777777" w:rsidR="00D357EA" w:rsidRDefault="00D357EA">
      <w:pPr>
        <w:pStyle w:val="TOC1"/>
        <w:rPr>
          <w:rStyle w:val="Hyperlink"/>
        </w:rPr>
      </w:pPr>
    </w:p>
    <w:p w14:paraId="3D85CB00" w14:textId="77777777" w:rsidR="00D357EA" w:rsidRPr="00AD6B35" w:rsidRDefault="00D357EA" w:rsidP="00D357EA">
      <w:pPr>
        <w:pStyle w:val="TOC1"/>
      </w:pPr>
      <w:r w:rsidRPr="00AD6B35">
        <w:t>SCREENING EXAMPLES</w:t>
      </w:r>
    </w:p>
    <w:p w14:paraId="3D85CB01" w14:textId="77777777" w:rsidR="00D357EA" w:rsidRDefault="00D357EA">
      <w:pPr>
        <w:pStyle w:val="TOC1"/>
        <w:rPr>
          <w:rStyle w:val="Hyperlink"/>
        </w:rPr>
      </w:pPr>
    </w:p>
    <w:p w14:paraId="3D85CB02" w14:textId="77777777" w:rsidR="00D357EA" w:rsidRDefault="00D357EA">
      <w:pPr>
        <w:pStyle w:val="TOC1"/>
        <w:rPr>
          <w:rStyle w:val="Hyperlink"/>
        </w:rPr>
      </w:pPr>
    </w:p>
    <w:p w14:paraId="3D85CB03" w14:textId="77777777" w:rsidR="00D357EA" w:rsidRPr="00D357EA" w:rsidRDefault="008C7A5C">
      <w:pPr>
        <w:pStyle w:val="TOC1"/>
        <w:rPr>
          <w:rFonts w:eastAsiaTheme="minorEastAsia"/>
          <w:caps w:val="0"/>
        </w:rPr>
      </w:pPr>
      <w:hyperlink w:anchor="_Toc496183518" w:history="1">
        <w:r w:rsidR="00D357EA" w:rsidRPr="00D357EA">
          <w:rPr>
            <w:rStyle w:val="Hyperlink"/>
          </w:rPr>
          <w:t>APPENDIX A</w:t>
        </w:r>
        <w:r w:rsidR="00D357EA" w:rsidRPr="00D357EA">
          <w:rPr>
            <w:webHidden/>
          </w:rPr>
          <w:tab/>
        </w:r>
        <w:r w:rsidR="00D357EA" w:rsidRPr="00D357EA">
          <w:rPr>
            <w:webHidden/>
          </w:rPr>
          <w:fldChar w:fldCharType="begin"/>
        </w:r>
        <w:r w:rsidR="00D357EA" w:rsidRPr="00D357EA">
          <w:rPr>
            <w:webHidden/>
          </w:rPr>
          <w:instrText xml:space="preserve"> PAGEREF _Toc496183518 \h </w:instrText>
        </w:r>
        <w:r w:rsidR="00D357EA" w:rsidRPr="00D357EA">
          <w:rPr>
            <w:webHidden/>
          </w:rPr>
        </w:r>
        <w:r w:rsidR="00D357EA" w:rsidRPr="00D357EA">
          <w:rPr>
            <w:webHidden/>
          </w:rPr>
          <w:fldChar w:fldCharType="separate"/>
        </w:r>
        <w:r w:rsidR="00D357EA" w:rsidRPr="00D357EA">
          <w:rPr>
            <w:webHidden/>
          </w:rPr>
          <w:t>29</w:t>
        </w:r>
        <w:r w:rsidR="00D357EA" w:rsidRPr="00D357EA">
          <w:rPr>
            <w:webHidden/>
          </w:rPr>
          <w:fldChar w:fldCharType="end"/>
        </w:r>
      </w:hyperlink>
    </w:p>
    <w:p w14:paraId="3D85CB04" w14:textId="77777777" w:rsidR="00D357EA" w:rsidRPr="00D357EA" w:rsidRDefault="008C7A5C">
      <w:pPr>
        <w:pStyle w:val="TOC2"/>
        <w:rPr>
          <w:rFonts w:ascii="Arial" w:eastAsiaTheme="minorEastAsia" w:hAnsi="Arial" w:cs="Arial"/>
          <w:b w:val="0"/>
          <w:sz w:val="22"/>
        </w:rPr>
      </w:pPr>
      <w:hyperlink w:anchor="_Toc496183519" w:history="1">
        <w:r w:rsidR="00D357EA" w:rsidRPr="00D357EA">
          <w:rPr>
            <w:rStyle w:val="Hyperlink"/>
            <w:rFonts w:ascii="Arial" w:hAnsi="Arial" w:cs="Arial"/>
            <w:sz w:val="22"/>
          </w:rPr>
          <w:t>Hierarchy for Authoritative Sources of Toxicity Reference Values</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_Toc496183519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29</w:t>
        </w:r>
        <w:r w:rsidR="00D357EA" w:rsidRPr="00D357EA">
          <w:rPr>
            <w:rFonts w:ascii="Arial" w:hAnsi="Arial" w:cs="Arial"/>
            <w:webHidden/>
            <w:sz w:val="22"/>
          </w:rPr>
          <w:fldChar w:fldCharType="end"/>
        </w:r>
      </w:hyperlink>
    </w:p>
    <w:p w14:paraId="3D85CB05" w14:textId="77777777" w:rsidR="00D357EA" w:rsidRPr="00D357EA" w:rsidRDefault="008C7A5C">
      <w:pPr>
        <w:pStyle w:val="TOC1"/>
        <w:rPr>
          <w:rFonts w:eastAsiaTheme="minorEastAsia"/>
          <w:caps w:val="0"/>
        </w:rPr>
      </w:pPr>
      <w:hyperlink w:anchor="_Toc496183520" w:history="1">
        <w:r w:rsidR="00D357EA" w:rsidRPr="00D357EA">
          <w:rPr>
            <w:rStyle w:val="Hyperlink"/>
          </w:rPr>
          <w:t>APPENDIX B</w:t>
        </w:r>
        <w:r w:rsidR="00D357EA" w:rsidRPr="00D357EA">
          <w:rPr>
            <w:webHidden/>
          </w:rPr>
          <w:tab/>
        </w:r>
        <w:r w:rsidR="00D357EA" w:rsidRPr="00D357EA">
          <w:rPr>
            <w:webHidden/>
          </w:rPr>
          <w:fldChar w:fldCharType="begin"/>
        </w:r>
        <w:r w:rsidR="00D357EA" w:rsidRPr="00D357EA">
          <w:rPr>
            <w:webHidden/>
          </w:rPr>
          <w:instrText xml:space="preserve"> PAGEREF _Toc496183520 \h </w:instrText>
        </w:r>
        <w:r w:rsidR="00D357EA" w:rsidRPr="00D357EA">
          <w:rPr>
            <w:webHidden/>
          </w:rPr>
        </w:r>
        <w:r w:rsidR="00D357EA" w:rsidRPr="00D357EA">
          <w:rPr>
            <w:webHidden/>
          </w:rPr>
          <w:fldChar w:fldCharType="separate"/>
        </w:r>
        <w:r w:rsidR="00D357EA" w:rsidRPr="00D357EA">
          <w:rPr>
            <w:webHidden/>
          </w:rPr>
          <w:t>31</w:t>
        </w:r>
        <w:r w:rsidR="00D357EA" w:rsidRPr="00D357EA">
          <w:rPr>
            <w:webHidden/>
          </w:rPr>
          <w:fldChar w:fldCharType="end"/>
        </w:r>
      </w:hyperlink>
    </w:p>
    <w:p w14:paraId="3D85CB06" w14:textId="77777777" w:rsidR="00D357EA" w:rsidRPr="00D357EA" w:rsidRDefault="008C7A5C">
      <w:pPr>
        <w:pStyle w:val="TOC2"/>
        <w:rPr>
          <w:rFonts w:ascii="Arial" w:eastAsiaTheme="minorEastAsia" w:hAnsi="Arial" w:cs="Arial"/>
          <w:b w:val="0"/>
          <w:sz w:val="22"/>
        </w:rPr>
      </w:pPr>
      <w:hyperlink w:anchor="_Toc496183521" w:history="1">
        <w:r w:rsidR="00D357EA" w:rsidRPr="00D357EA">
          <w:rPr>
            <w:rStyle w:val="Hyperlink"/>
            <w:rFonts w:ascii="Arial" w:hAnsi="Arial" w:cs="Arial"/>
            <w:sz w:val="22"/>
          </w:rPr>
          <w:t>Development of Adjustment Factors and Calculation of Risk-Based Concentrations</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_Toc496183521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31</w:t>
        </w:r>
        <w:r w:rsidR="00D357EA" w:rsidRPr="00D357EA">
          <w:rPr>
            <w:rFonts w:ascii="Arial" w:hAnsi="Arial" w:cs="Arial"/>
            <w:webHidden/>
            <w:sz w:val="22"/>
          </w:rPr>
          <w:fldChar w:fldCharType="end"/>
        </w:r>
      </w:hyperlink>
    </w:p>
    <w:p w14:paraId="3D85CB07" w14:textId="77777777" w:rsidR="00D357EA" w:rsidRPr="00D357EA" w:rsidRDefault="008C7A5C">
      <w:pPr>
        <w:pStyle w:val="TOC1"/>
        <w:rPr>
          <w:rFonts w:eastAsiaTheme="minorEastAsia"/>
          <w:caps w:val="0"/>
        </w:rPr>
      </w:pPr>
      <w:hyperlink w:anchor="_Toc496183522" w:history="1">
        <w:r w:rsidR="00D357EA" w:rsidRPr="00D357EA">
          <w:rPr>
            <w:rStyle w:val="Hyperlink"/>
          </w:rPr>
          <w:t>APPENDIX C</w:t>
        </w:r>
        <w:r w:rsidR="00D357EA" w:rsidRPr="00D357EA">
          <w:rPr>
            <w:webHidden/>
          </w:rPr>
          <w:tab/>
        </w:r>
        <w:r w:rsidR="00D357EA" w:rsidRPr="00D357EA">
          <w:rPr>
            <w:webHidden/>
          </w:rPr>
          <w:fldChar w:fldCharType="begin"/>
        </w:r>
        <w:r w:rsidR="00D357EA" w:rsidRPr="00D357EA">
          <w:rPr>
            <w:webHidden/>
          </w:rPr>
          <w:instrText xml:space="preserve"> PAGEREF _Toc496183522 \h </w:instrText>
        </w:r>
        <w:r w:rsidR="00D357EA" w:rsidRPr="00D357EA">
          <w:rPr>
            <w:webHidden/>
          </w:rPr>
        </w:r>
        <w:r w:rsidR="00D357EA" w:rsidRPr="00D357EA">
          <w:rPr>
            <w:webHidden/>
          </w:rPr>
          <w:fldChar w:fldCharType="separate"/>
        </w:r>
        <w:r w:rsidR="00D357EA" w:rsidRPr="00D357EA">
          <w:rPr>
            <w:webHidden/>
          </w:rPr>
          <w:t>35</w:t>
        </w:r>
        <w:r w:rsidR="00D357EA" w:rsidRPr="00D357EA">
          <w:rPr>
            <w:webHidden/>
          </w:rPr>
          <w:fldChar w:fldCharType="end"/>
        </w:r>
      </w:hyperlink>
    </w:p>
    <w:p w14:paraId="3D85CB08" w14:textId="77777777" w:rsidR="00D357EA" w:rsidRDefault="008C7A5C">
      <w:pPr>
        <w:pStyle w:val="TOC2"/>
        <w:rPr>
          <w:rFonts w:asciiTheme="minorHAnsi" w:eastAsiaTheme="minorEastAsia" w:hAnsiTheme="minorHAnsi" w:cstheme="minorBidi"/>
          <w:b w:val="0"/>
          <w:sz w:val="22"/>
        </w:rPr>
      </w:pPr>
      <w:hyperlink w:anchor="_Toc496183523" w:history="1">
        <w:r w:rsidR="00D357EA" w:rsidRPr="00D357EA">
          <w:rPr>
            <w:rStyle w:val="Hyperlink"/>
            <w:rFonts w:ascii="Arial" w:hAnsi="Arial" w:cs="Arial"/>
            <w:sz w:val="22"/>
          </w:rPr>
          <w:t>Derivation of Early-Life Adjustment Factors</w:t>
        </w:r>
        <w:r w:rsidR="00D357EA" w:rsidRPr="00D357EA">
          <w:rPr>
            <w:rFonts w:ascii="Arial" w:hAnsi="Arial" w:cs="Arial"/>
            <w:webHidden/>
            <w:sz w:val="22"/>
          </w:rPr>
          <w:tab/>
        </w:r>
        <w:r w:rsidR="00D357EA" w:rsidRPr="00D357EA">
          <w:rPr>
            <w:rFonts w:ascii="Arial" w:hAnsi="Arial" w:cs="Arial"/>
            <w:webHidden/>
            <w:sz w:val="22"/>
          </w:rPr>
          <w:fldChar w:fldCharType="begin"/>
        </w:r>
        <w:r w:rsidR="00D357EA" w:rsidRPr="00D357EA">
          <w:rPr>
            <w:rFonts w:ascii="Arial" w:hAnsi="Arial" w:cs="Arial"/>
            <w:webHidden/>
            <w:sz w:val="22"/>
          </w:rPr>
          <w:instrText xml:space="preserve"> PAGEREF _Toc496183523 \h </w:instrText>
        </w:r>
        <w:r w:rsidR="00D357EA" w:rsidRPr="00D357EA">
          <w:rPr>
            <w:rFonts w:ascii="Arial" w:hAnsi="Arial" w:cs="Arial"/>
            <w:webHidden/>
            <w:sz w:val="22"/>
          </w:rPr>
        </w:r>
        <w:r w:rsidR="00D357EA" w:rsidRPr="00D357EA">
          <w:rPr>
            <w:rFonts w:ascii="Arial" w:hAnsi="Arial" w:cs="Arial"/>
            <w:webHidden/>
            <w:sz w:val="22"/>
          </w:rPr>
          <w:fldChar w:fldCharType="separate"/>
        </w:r>
        <w:r w:rsidR="00D357EA" w:rsidRPr="00D357EA">
          <w:rPr>
            <w:rFonts w:ascii="Arial" w:hAnsi="Arial" w:cs="Arial"/>
            <w:webHidden/>
            <w:sz w:val="22"/>
          </w:rPr>
          <w:t>35</w:t>
        </w:r>
        <w:r w:rsidR="00D357EA" w:rsidRPr="00D357EA">
          <w:rPr>
            <w:rFonts w:ascii="Arial" w:hAnsi="Arial" w:cs="Arial"/>
            <w:webHidden/>
            <w:sz w:val="22"/>
          </w:rPr>
          <w:fldChar w:fldCharType="end"/>
        </w:r>
      </w:hyperlink>
    </w:p>
    <w:p w14:paraId="3D85CB09" w14:textId="77777777" w:rsidR="00823882" w:rsidRPr="00D357EA" w:rsidRDefault="00731A1D" w:rsidP="00892F77">
      <w:pPr>
        <w:tabs>
          <w:tab w:val="right" w:leader="dot" w:pos="10080"/>
        </w:tabs>
        <w:rPr>
          <w:rFonts w:ascii="Arial" w:hAnsi="Arial" w:cs="Arial"/>
        </w:rPr>
      </w:pPr>
      <w:r w:rsidRPr="00D357EA">
        <w:rPr>
          <w:rFonts w:ascii="Arial" w:hAnsi="Arial" w:cs="Arial"/>
        </w:rPr>
        <w:fldChar w:fldCharType="end"/>
      </w:r>
    </w:p>
    <w:p w14:paraId="3D85CB0A" w14:textId="77777777" w:rsidR="00823882" w:rsidRDefault="00823882" w:rsidP="00120A5B">
      <w:pPr>
        <w:pStyle w:val="DEQTEXTforFACTSHEET"/>
      </w:pPr>
    </w:p>
    <w:p w14:paraId="3D85CB0B" w14:textId="77777777" w:rsidR="005F216F" w:rsidRPr="005F216F" w:rsidRDefault="005F216F" w:rsidP="005F216F">
      <w:pPr>
        <w:pStyle w:val="DEQTEXTforFACTSHEET"/>
        <w:rPr>
          <w:rFonts w:ascii="Arial" w:hAnsi="Arial" w:cs="Arial"/>
          <w:sz w:val="22"/>
        </w:rPr>
      </w:pPr>
      <w:r w:rsidRPr="005F216F">
        <w:rPr>
          <w:rFonts w:ascii="Arial" w:hAnsi="Arial" w:cs="Arial"/>
          <w:sz w:val="22"/>
        </w:rPr>
        <w:t>T</w:t>
      </w:r>
      <w:r>
        <w:rPr>
          <w:rFonts w:ascii="Arial" w:hAnsi="Arial" w:cs="Arial"/>
          <w:sz w:val="22"/>
        </w:rPr>
        <w:t>ABLES</w:t>
      </w:r>
      <w:r w:rsidRPr="005F216F">
        <w:rPr>
          <w:rFonts w:ascii="Arial" w:hAnsi="Arial" w:cs="Arial"/>
          <w:sz w:val="22"/>
        </w:rPr>
        <w:t xml:space="preserve"> (from OAR 340-245)</w:t>
      </w:r>
    </w:p>
    <w:p w14:paraId="3D85CB0C" w14:textId="77777777" w:rsidR="005F216F" w:rsidRDefault="005F216F" w:rsidP="005F216F">
      <w:pPr>
        <w:pStyle w:val="DEQTEXTforFACTSHEET"/>
        <w:rPr>
          <w:rFonts w:ascii="Arial" w:hAnsi="Arial" w:cs="Arial"/>
          <w:sz w:val="22"/>
        </w:rPr>
      </w:pPr>
    </w:p>
    <w:p w14:paraId="3D85CB0D" w14:textId="77777777" w:rsidR="005F216F" w:rsidRPr="005F216F" w:rsidRDefault="005F216F" w:rsidP="005F216F">
      <w:pPr>
        <w:pStyle w:val="DEQTEXTforFACTSHEET"/>
        <w:rPr>
          <w:rFonts w:ascii="Arial" w:hAnsi="Arial" w:cs="Arial"/>
          <w:sz w:val="22"/>
        </w:rPr>
      </w:pPr>
      <w:r w:rsidRPr="005F216F">
        <w:rPr>
          <w:rFonts w:ascii="Arial" w:hAnsi="Arial" w:cs="Arial"/>
          <w:sz w:val="22"/>
        </w:rPr>
        <w:t>Table 1 – Risk Action Levels and De Minimis Levels (OAR 340-245-8010)</w:t>
      </w:r>
    </w:p>
    <w:p w14:paraId="3D85CB0E" w14:textId="77777777" w:rsidR="005F216F" w:rsidRPr="005F216F" w:rsidRDefault="005F216F" w:rsidP="005F216F">
      <w:pPr>
        <w:pStyle w:val="DEQTEXTforFACTSHEET"/>
        <w:rPr>
          <w:rFonts w:ascii="Arial" w:hAnsi="Arial" w:cs="Arial"/>
          <w:sz w:val="22"/>
        </w:rPr>
      </w:pPr>
      <w:r w:rsidRPr="005F216F">
        <w:rPr>
          <w:rFonts w:ascii="Arial" w:hAnsi="Arial" w:cs="Arial"/>
          <w:sz w:val="22"/>
        </w:rPr>
        <w:t>Table 2 – Air Toxics Reporting List (OAR 340-245-8020)</w:t>
      </w:r>
    </w:p>
    <w:p w14:paraId="3D85CB0F" w14:textId="77777777" w:rsidR="005F216F" w:rsidRPr="005F216F" w:rsidRDefault="005F216F" w:rsidP="005F216F">
      <w:pPr>
        <w:pStyle w:val="DEQTEXTforFACTSHEET"/>
        <w:rPr>
          <w:rFonts w:ascii="Arial" w:hAnsi="Arial" w:cs="Arial"/>
          <w:sz w:val="22"/>
        </w:rPr>
      </w:pPr>
      <w:r w:rsidRPr="005F216F">
        <w:rPr>
          <w:rFonts w:ascii="Arial" w:hAnsi="Arial" w:cs="Arial"/>
          <w:sz w:val="22"/>
        </w:rPr>
        <w:t>Table 3 – Toxicity Reference Values (OAR 340-245-8030)</w:t>
      </w:r>
    </w:p>
    <w:p w14:paraId="3D85CB10" w14:textId="77777777" w:rsidR="005F216F" w:rsidRPr="005F216F" w:rsidRDefault="005F216F" w:rsidP="005F216F">
      <w:pPr>
        <w:pStyle w:val="DEQTEXTforFACTSHEET"/>
        <w:rPr>
          <w:rFonts w:ascii="Arial" w:hAnsi="Arial" w:cs="Arial"/>
          <w:sz w:val="22"/>
        </w:rPr>
      </w:pPr>
      <w:r w:rsidRPr="005F216F">
        <w:rPr>
          <w:rFonts w:ascii="Arial" w:hAnsi="Arial" w:cs="Arial"/>
          <w:sz w:val="22"/>
        </w:rPr>
        <w:t>Table 4 – Adjustment Factors for Risk-Based Concentrations (OAR 340-245-8040)</w:t>
      </w:r>
    </w:p>
    <w:p w14:paraId="3D85CB11" w14:textId="77777777" w:rsidR="005F216F" w:rsidRPr="005F216F" w:rsidRDefault="005F216F" w:rsidP="005F216F">
      <w:pPr>
        <w:pStyle w:val="DEQTEXTforFACTSHEET"/>
        <w:rPr>
          <w:rFonts w:ascii="Arial" w:hAnsi="Arial" w:cs="Arial"/>
          <w:sz w:val="22"/>
        </w:rPr>
      </w:pPr>
      <w:r w:rsidRPr="005F216F">
        <w:rPr>
          <w:rFonts w:ascii="Arial" w:hAnsi="Arial" w:cs="Arial"/>
          <w:sz w:val="22"/>
        </w:rPr>
        <w:t>Table 5 – Risk-Based Concentrations (OAR 340-245-8050)</w:t>
      </w:r>
    </w:p>
    <w:p w14:paraId="3D85CB12" w14:textId="77777777" w:rsidR="005F216F" w:rsidRPr="005F216F" w:rsidRDefault="005F216F" w:rsidP="005F216F">
      <w:pPr>
        <w:pStyle w:val="DEQTEXTforFACTSHEET"/>
        <w:rPr>
          <w:rFonts w:ascii="Arial" w:hAnsi="Arial" w:cs="Arial"/>
          <w:sz w:val="22"/>
        </w:rPr>
      </w:pPr>
      <w:r w:rsidRPr="005F216F">
        <w:rPr>
          <w:rFonts w:ascii="Arial" w:hAnsi="Arial" w:cs="Arial"/>
          <w:sz w:val="22"/>
        </w:rPr>
        <w:t>Table 6 -- Level 1 Risk Assessment Took, Dispersion Factors (OAR 340-245-8060)</w:t>
      </w:r>
    </w:p>
    <w:p w14:paraId="3D85CB13" w14:textId="77777777" w:rsidR="005F216F" w:rsidRPr="005F216F" w:rsidRDefault="005F216F" w:rsidP="005F216F">
      <w:pPr>
        <w:pStyle w:val="DEQTEXTforFACTSHEET"/>
        <w:rPr>
          <w:rFonts w:ascii="Arial" w:hAnsi="Arial" w:cs="Arial"/>
          <w:sz w:val="22"/>
        </w:rPr>
      </w:pPr>
    </w:p>
    <w:p w14:paraId="3D85CB14" w14:textId="77777777" w:rsidR="00D357EA" w:rsidRDefault="00D357EA" w:rsidP="005F216F">
      <w:pPr>
        <w:pStyle w:val="DEQTEXTforFACTSHEET"/>
        <w:rPr>
          <w:rFonts w:ascii="Arial" w:hAnsi="Arial" w:cs="Arial"/>
          <w:sz w:val="22"/>
        </w:rPr>
      </w:pPr>
    </w:p>
    <w:p w14:paraId="3D85CB15" w14:textId="77777777" w:rsidR="00823882" w:rsidRDefault="00823882" w:rsidP="00120A5B">
      <w:pPr>
        <w:pStyle w:val="DEQTEXTforFACTSHEET"/>
      </w:pPr>
    </w:p>
    <w:p w14:paraId="3D85CB16" w14:textId="77777777" w:rsidR="00823882" w:rsidRDefault="00823882" w:rsidP="00120A5B">
      <w:pPr>
        <w:pStyle w:val="DEQTEXTforFACTSHEET"/>
      </w:pPr>
    </w:p>
    <w:p w14:paraId="3D85CB17" w14:textId="77777777" w:rsidR="00823882" w:rsidRDefault="00823882" w:rsidP="00120A5B">
      <w:pPr>
        <w:pStyle w:val="DEQTEXTforFACTSHEET"/>
      </w:pPr>
    </w:p>
    <w:p w14:paraId="3D85CB18" w14:textId="77777777" w:rsidR="00823882" w:rsidRDefault="00823882" w:rsidP="00120A5B">
      <w:pPr>
        <w:pStyle w:val="DEQTEXTforFACTSHEET"/>
      </w:pPr>
    </w:p>
    <w:p w14:paraId="3D85CB19" w14:textId="77777777" w:rsidR="00823882" w:rsidRDefault="00823882" w:rsidP="00120A5B">
      <w:pPr>
        <w:pStyle w:val="DEQTEXTforFACTSHEET"/>
      </w:pPr>
    </w:p>
    <w:p w14:paraId="3D85CB1A" w14:textId="77777777" w:rsidR="00823882" w:rsidRDefault="00823882" w:rsidP="00120A5B">
      <w:pPr>
        <w:pStyle w:val="DEQTEXTforFACTSHEET"/>
      </w:pPr>
    </w:p>
    <w:p w14:paraId="3D85CB1B" w14:textId="77777777" w:rsidR="00823882" w:rsidRDefault="00823882" w:rsidP="00120A5B">
      <w:pPr>
        <w:pStyle w:val="DEQTEXTforFACTSHEET"/>
      </w:pPr>
    </w:p>
    <w:p w14:paraId="3D85CB1C" w14:textId="77777777" w:rsidR="006716C2" w:rsidRDefault="006716C2">
      <w:pPr>
        <w:outlineLvl w:val="9"/>
        <w:rPr>
          <w:sz w:val="20"/>
        </w:rPr>
      </w:pPr>
      <w:r>
        <w:br w:type="page"/>
      </w:r>
    </w:p>
    <w:p w14:paraId="3D85CB1D" w14:textId="77777777" w:rsidR="006716C2" w:rsidRPr="006716C2" w:rsidRDefault="006716C2" w:rsidP="006716C2">
      <w:pPr>
        <w:pStyle w:val="Normal1"/>
        <w:widowControl/>
        <w:spacing w:after="200" w:line="276" w:lineRule="auto"/>
        <w:jc w:val="left"/>
        <w:rPr>
          <w:b/>
          <w:sz w:val="28"/>
          <w:szCs w:val="28"/>
        </w:rPr>
      </w:pPr>
      <w:r w:rsidRPr="006716C2">
        <w:rPr>
          <w:b/>
          <w:sz w:val="28"/>
          <w:szCs w:val="28"/>
        </w:rPr>
        <w:t>LIST OF ABBREVIATIONS</w:t>
      </w:r>
    </w:p>
    <w:p w14:paraId="3D85CB1E" w14:textId="77777777" w:rsidR="006716C2" w:rsidRDefault="006716C2" w:rsidP="006716C2">
      <w:pPr>
        <w:pStyle w:val="NoSpacing"/>
        <w:rPr>
          <w:rFonts w:ascii="Arial" w:hAnsi="Arial" w:cs="Arial"/>
        </w:rPr>
      </w:pPr>
    </w:p>
    <w:p w14:paraId="3D85CB1F" w14:textId="77777777" w:rsidR="006716C2" w:rsidRPr="006716C2" w:rsidRDefault="006716C2" w:rsidP="006716C2">
      <w:pPr>
        <w:pStyle w:val="NoSpacing"/>
        <w:rPr>
          <w:rFonts w:ascii="Arial" w:hAnsi="Arial" w:cs="Arial"/>
        </w:rPr>
      </w:pPr>
      <w:r w:rsidRPr="006716C2">
        <w:rPr>
          <w:rFonts w:ascii="Arial" w:hAnsi="Arial" w:cs="Arial"/>
        </w:rPr>
        <w:t>ADAF</w:t>
      </w:r>
      <w:r w:rsidRPr="006716C2">
        <w:rPr>
          <w:rFonts w:ascii="Arial" w:hAnsi="Arial" w:cs="Arial"/>
        </w:rPr>
        <w:tab/>
      </w:r>
      <w:r w:rsidRPr="006716C2">
        <w:rPr>
          <w:rFonts w:ascii="Arial" w:hAnsi="Arial" w:cs="Arial"/>
        </w:rPr>
        <w:tab/>
        <w:t>Age Dependent Adjustment Factor</w:t>
      </w:r>
    </w:p>
    <w:p w14:paraId="3D85CB20" w14:textId="77777777" w:rsidR="006716C2" w:rsidRPr="006716C2" w:rsidRDefault="006716C2" w:rsidP="006716C2">
      <w:pPr>
        <w:pStyle w:val="NoSpacing"/>
        <w:rPr>
          <w:rFonts w:ascii="Arial" w:hAnsi="Arial" w:cs="Arial"/>
        </w:rPr>
      </w:pPr>
      <w:r w:rsidRPr="006716C2">
        <w:rPr>
          <w:rFonts w:ascii="Arial" w:hAnsi="Arial" w:cs="Arial"/>
        </w:rPr>
        <w:t>AERMOD</w:t>
      </w:r>
      <w:r w:rsidRPr="006716C2">
        <w:rPr>
          <w:rFonts w:ascii="Arial" w:hAnsi="Arial" w:cs="Arial"/>
        </w:rPr>
        <w:tab/>
        <w:t>American Meteorological Society/EPA preferred air dispersion modeling program</w:t>
      </w:r>
    </w:p>
    <w:p w14:paraId="3D85CB21" w14:textId="77777777" w:rsidR="006716C2" w:rsidRPr="006716C2" w:rsidRDefault="006716C2" w:rsidP="006716C2">
      <w:pPr>
        <w:pStyle w:val="NoSpacing"/>
        <w:rPr>
          <w:rFonts w:ascii="Arial" w:hAnsi="Arial" w:cs="Arial"/>
        </w:rPr>
      </w:pPr>
      <w:r w:rsidRPr="006716C2">
        <w:rPr>
          <w:rFonts w:ascii="Arial" w:hAnsi="Arial" w:cs="Arial"/>
        </w:rPr>
        <w:t>AERSCREEN</w:t>
      </w:r>
      <w:r w:rsidRPr="006716C2">
        <w:rPr>
          <w:rFonts w:ascii="Arial" w:hAnsi="Arial" w:cs="Arial"/>
        </w:rPr>
        <w:tab/>
        <w:t>Program to run AERMOD in screening mode</w:t>
      </w:r>
    </w:p>
    <w:p w14:paraId="3D85CB22" w14:textId="77777777" w:rsidR="006716C2" w:rsidRPr="006716C2" w:rsidRDefault="006716C2" w:rsidP="006716C2">
      <w:pPr>
        <w:pStyle w:val="NoSpacing"/>
        <w:rPr>
          <w:rFonts w:ascii="Arial" w:hAnsi="Arial" w:cs="Arial"/>
        </w:rPr>
      </w:pPr>
      <w:r w:rsidRPr="006716C2">
        <w:rPr>
          <w:rFonts w:ascii="Arial" w:hAnsi="Arial" w:cs="Arial"/>
        </w:rPr>
        <w:t>ANRAL</w:t>
      </w:r>
      <w:r w:rsidRPr="006716C2">
        <w:rPr>
          <w:rFonts w:ascii="Arial" w:hAnsi="Arial" w:cs="Arial"/>
        </w:rPr>
        <w:tab/>
        <w:t>Alternate Noncancer Risk Action Level</w:t>
      </w:r>
    </w:p>
    <w:p w14:paraId="3D85CB23" w14:textId="77777777" w:rsidR="006716C2" w:rsidRPr="006716C2" w:rsidRDefault="006716C2" w:rsidP="006716C2">
      <w:pPr>
        <w:pStyle w:val="NoSpacing"/>
        <w:rPr>
          <w:rFonts w:ascii="Arial" w:hAnsi="Arial" w:cs="Arial"/>
        </w:rPr>
      </w:pPr>
      <w:r w:rsidRPr="006716C2">
        <w:rPr>
          <w:rFonts w:ascii="Arial" w:hAnsi="Arial" w:cs="Arial"/>
        </w:rPr>
        <w:t>ATSAC</w:t>
      </w:r>
      <w:r w:rsidRPr="006716C2">
        <w:rPr>
          <w:rFonts w:ascii="Arial" w:hAnsi="Arial" w:cs="Arial"/>
        </w:rPr>
        <w:tab/>
        <w:t>DEQ’s Air Toxics Science Advisory Committee</w:t>
      </w:r>
    </w:p>
    <w:p w14:paraId="3D85CB24" w14:textId="77777777" w:rsidR="006716C2" w:rsidRPr="006716C2" w:rsidRDefault="006716C2" w:rsidP="006716C2">
      <w:pPr>
        <w:pStyle w:val="NoSpacing"/>
        <w:rPr>
          <w:rFonts w:ascii="Arial" w:hAnsi="Arial" w:cs="Arial"/>
        </w:rPr>
      </w:pPr>
      <w:r w:rsidRPr="006716C2">
        <w:rPr>
          <w:rFonts w:ascii="Arial" w:hAnsi="Arial" w:cs="Arial"/>
        </w:rPr>
        <w:t>ATSDR</w:t>
      </w:r>
      <w:r w:rsidRPr="006716C2">
        <w:rPr>
          <w:rFonts w:ascii="Arial" w:hAnsi="Arial" w:cs="Arial"/>
        </w:rPr>
        <w:tab/>
        <w:t>Agency for Toxic Substances and Disease Registry</w:t>
      </w:r>
    </w:p>
    <w:p w14:paraId="3D85CB25" w14:textId="77777777" w:rsidR="006716C2" w:rsidRPr="006716C2" w:rsidRDefault="006716C2" w:rsidP="006716C2">
      <w:pPr>
        <w:pStyle w:val="NoSpacing"/>
        <w:rPr>
          <w:rFonts w:ascii="Arial" w:hAnsi="Arial" w:cs="Arial"/>
        </w:rPr>
      </w:pPr>
      <w:r w:rsidRPr="006716C2">
        <w:rPr>
          <w:rFonts w:ascii="Arial" w:hAnsi="Arial" w:cs="Arial"/>
        </w:rPr>
        <w:t>CAO</w:t>
      </w:r>
      <w:r w:rsidRPr="006716C2">
        <w:rPr>
          <w:rFonts w:ascii="Arial" w:hAnsi="Arial" w:cs="Arial"/>
        </w:rPr>
        <w:tab/>
      </w:r>
      <w:r w:rsidRPr="006716C2">
        <w:rPr>
          <w:rFonts w:ascii="Arial" w:hAnsi="Arial" w:cs="Arial"/>
        </w:rPr>
        <w:tab/>
        <w:t>Cleaner Air Oregon</w:t>
      </w:r>
    </w:p>
    <w:p w14:paraId="3D85CB26" w14:textId="77777777" w:rsidR="006716C2" w:rsidRPr="006716C2" w:rsidRDefault="006716C2" w:rsidP="006716C2">
      <w:pPr>
        <w:pStyle w:val="NoSpacing"/>
        <w:rPr>
          <w:rFonts w:ascii="Arial" w:hAnsi="Arial" w:cs="Arial"/>
        </w:rPr>
      </w:pPr>
      <w:r w:rsidRPr="006716C2">
        <w:rPr>
          <w:rFonts w:ascii="Arial" w:hAnsi="Arial" w:cs="Arial"/>
        </w:rPr>
        <w:t>CDDs/CDFs</w:t>
      </w:r>
      <w:r w:rsidRPr="006716C2">
        <w:rPr>
          <w:rFonts w:ascii="Arial" w:hAnsi="Arial" w:cs="Arial"/>
        </w:rPr>
        <w:tab/>
        <w:t>Chlorinated Dibenzo-</w:t>
      </w:r>
      <w:r w:rsidRPr="006716C2">
        <w:rPr>
          <w:rFonts w:ascii="Arial" w:hAnsi="Arial" w:cs="Arial"/>
          <w:i/>
        </w:rPr>
        <w:t>p</w:t>
      </w:r>
      <w:r w:rsidRPr="006716C2">
        <w:rPr>
          <w:rFonts w:ascii="Arial" w:hAnsi="Arial" w:cs="Arial"/>
        </w:rPr>
        <w:t>-dioxins and Chlorinated Dibenzofurans</w:t>
      </w:r>
    </w:p>
    <w:p w14:paraId="3D85CB27" w14:textId="77777777" w:rsidR="006716C2" w:rsidRPr="006716C2" w:rsidRDefault="006716C2" w:rsidP="006716C2">
      <w:pPr>
        <w:pStyle w:val="NoSpacing"/>
        <w:rPr>
          <w:rFonts w:ascii="Arial" w:hAnsi="Arial" w:cs="Arial"/>
        </w:rPr>
      </w:pPr>
      <w:r w:rsidRPr="006716C2">
        <w:rPr>
          <w:rFonts w:ascii="Arial" w:hAnsi="Arial" w:cs="Arial"/>
        </w:rPr>
        <w:t>COC</w:t>
      </w:r>
      <w:r w:rsidRPr="006716C2">
        <w:rPr>
          <w:rFonts w:ascii="Arial" w:hAnsi="Arial" w:cs="Arial"/>
        </w:rPr>
        <w:tab/>
      </w:r>
      <w:r w:rsidRPr="006716C2">
        <w:rPr>
          <w:rFonts w:ascii="Arial" w:hAnsi="Arial" w:cs="Arial"/>
        </w:rPr>
        <w:tab/>
        <w:t>Chemical of Concern</w:t>
      </w:r>
    </w:p>
    <w:p w14:paraId="3D85CB28" w14:textId="77777777" w:rsidR="006716C2" w:rsidRPr="006716C2" w:rsidRDefault="006716C2" w:rsidP="006716C2">
      <w:pPr>
        <w:pStyle w:val="NoSpacing"/>
        <w:rPr>
          <w:rFonts w:ascii="Arial" w:hAnsi="Arial" w:cs="Arial"/>
        </w:rPr>
      </w:pPr>
      <w:r w:rsidRPr="006716C2">
        <w:rPr>
          <w:rFonts w:ascii="Arial" w:hAnsi="Arial" w:cs="Arial"/>
        </w:rPr>
        <w:t>COI</w:t>
      </w:r>
      <w:r w:rsidRPr="006716C2">
        <w:rPr>
          <w:rFonts w:ascii="Arial" w:hAnsi="Arial" w:cs="Arial"/>
        </w:rPr>
        <w:tab/>
      </w:r>
      <w:r w:rsidRPr="006716C2">
        <w:rPr>
          <w:rFonts w:ascii="Arial" w:hAnsi="Arial" w:cs="Arial"/>
        </w:rPr>
        <w:tab/>
        <w:t>Chemical of Interest</w:t>
      </w:r>
    </w:p>
    <w:p w14:paraId="3D85CB29" w14:textId="77777777" w:rsidR="006716C2" w:rsidRPr="006716C2" w:rsidRDefault="006716C2" w:rsidP="006716C2">
      <w:pPr>
        <w:pStyle w:val="NoSpacing"/>
        <w:rPr>
          <w:rFonts w:ascii="Arial" w:hAnsi="Arial" w:cs="Arial"/>
        </w:rPr>
      </w:pPr>
      <w:r w:rsidRPr="006716C2">
        <w:rPr>
          <w:rFonts w:ascii="Arial" w:hAnsi="Arial" w:cs="Arial"/>
        </w:rPr>
        <w:t>COPC</w:t>
      </w:r>
      <w:r w:rsidRPr="006716C2">
        <w:rPr>
          <w:rFonts w:ascii="Arial" w:hAnsi="Arial" w:cs="Arial"/>
        </w:rPr>
        <w:tab/>
      </w:r>
      <w:r w:rsidRPr="006716C2">
        <w:rPr>
          <w:rFonts w:ascii="Arial" w:hAnsi="Arial" w:cs="Arial"/>
        </w:rPr>
        <w:tab/>
        <w:t>Chemical of Potential Concern</w:t>
      </w:r>
    </w:p>
    <w:p w14:paraId="3D85CB2A" w14:textId="77777777" w:rsidR="006716C2" w:rsidRPr="006716C2" w:rsidRDefault="006716C2" w:rsidP="006716C2">
      <w:pPr>
        <w:pStyle w:val="NoSpacing"/>
        <w:rPr>
          <w:rFonts w:ascii="Arial" w:hAnsi="Arial" w:cs="Arial"/>
        </w:rPr>
      </w:pPr>
      <w:r w:rsidRPr="006716C2">
        <w:rPr>
          <w:rFonts w:ascii="Arial" w:hAnsi="Arial" w:cs="Arial"/>
        </w:rPr>
        <w:t>CSM</w:t>
      </w:r>
      <w:r w:rsidRPr="006716C2">
        <w:rPr>
          <w:rFonts w:ascii="Arial" w:hAnsi="Arial" w:cs="Arial"/>
        </w:rPr>
        <w:tab/>
      </w:r>
      <w:r w:rsidRPr="006716C2">
        <w:rPr>
          <w:rFonts w:ascii="Arial" w:hAnsi="Arial" w:cs="Arial"/>
        </w:rPr>
        <w:tab/>
        <w:t>Conceptual Site Model</w:t>
      </w:r>
    </w:p>
    <w:p w14:paraId="3D85CB2B" w14:textId="77777777" w:rsidR="006716C2" w:rsidRPr="006716C2" w:rsidRDefault="006716C2" w:rsidP="006716C2">
      <w:pPr>
        <w:pStyle w:val="NoSpacing"/>
        <w:rPr>
          <w:rFonts w:ascii="Arial" w:hAnsi="Arial" w:cs="Arial"/>
        </w:rPr>
      </w:pPr>
      <w:r w:rsidRPr="006716C2">
        <w:rPr>
          <w:rFonts w:ascii="Arial" w:hAnsi="Arial" w:cs="Arial"/>
        </w:rPr>
        <w:t>DEQ</w:t>
      </w:r>
      <w:r w:rsidRPr="006716C2">
        <w:rPr>
          <w:rFonts w:ascii="Arial" w:hAnsi="Arial" w:cs="Arial"/>
        </w:rPr>
        <w:tab/>
      </w:r>
      <w:r w:rsidRPr="006716C2">
        <w:rPr>
          <w:rFonts w:ascii="Arial" w:hAnsi="Arial" w:cs="Arial"/>
        </w:rPr>
        <w:tab/>
        <w:t>Oregon Department of Environmental Quality</w:t>
      </w:r>
    </w:p>
    <w:p w14:paraId="3D85CB2C" w14:textId="77777777" w:rsidR="006716C2" w:rsidRPr="006716C2" w:rsidRDefault="006716C2" w:rsidP="006716C2">
      <w:pPr>
        <w:pStyle w:val="NoSpacing"/>
        <w:rPr>
          <w:rFonts w:ascii="Arial" w:hAnsi="Arial" w:cs="Arial"/>
        </w:rPr>
      </w:pPr>
      <w:r w:rsidRPr="006716C2">
        <w:rPr>
          <w:rFonts w:ascii="Arial" w:hAnsi="Arial" w:cs="Arial"/>
        </w:rPr>
        <w:t>ED</w:t>
      </w:r>
      <w:r w:rsidRPr="006716C2">
        <w:rPr>
          <w:rFonts w:ascii="Arial" w:hAnsi="Arial" w:cs="Arial"/>
        </w:rPr>
        <w:tab/>
      </w:r>
      <w:r w:rsidRPr="006716C2">
        <w:rPr>
          <w:rFonts w:ascii="Arial" w:hAnsi="Arial" w:cs="Arial"/>
        </w:rPr>
        <w:tab/>
        <w:t>Exposure Duration</w:t>
      </w:r>
    </w:p>
    <w:p w14:paraId="3D85CB2D" w14:textId="77777777" w:rsidR="006716C2" w:rsidRPr="006716C2" w:rsidRDefault="006716C2" w:rsidP="006716C2">
      <w:pPr>
        <w:pStyle w:val="NoSpacing"/>
        <w:rPr>
          <w:rFonts w:ascii="Arial" w:hAnsi="Arial" w:cs="Arial"/>
        </w:rPr>
      </w:pPr>
      <w:r w:rsidRPr="006716C2">
        <w:rPr>
          <w:rFonts w:ascii="Arial" w:hAnsi="Arial" w:cs="Arial"/>
        </w:rPr>
        <w:t>ELAF</w:t>
      </w:r>
      <w:r w:rsidRPr="006716C2">
        <w:rPr>
          <w:rFonts w:ascii="Arial" w:hAnsi="Arial" w:cs="Arial"/>
        </w:rPr>
        <w:tab/>
      </w:r>
      <w:r w:rsidRPr="006716C2">
        <w:rPr>
          <w:rFonts w:ascii="Arial" w:hAnsi="Arial" w:cs="Arial"/>
        </w:rPr>
        <w:tab/>
        <w:t>Early-Life Adjustment Factor</w:t>
      </w:r>
    </w:p>
    <w:p w14:paraId="3D85CB2E" w14:textId="77777777" w:rsidR="006716C2" w:rsidRPr="006716C2" w:rsidRDefault="006716C2" w:rsidP="006716C2">
      <w:pPr>
        <w:pStyle w:val="NoSpacing"/>
        <w:rPr>
          <w:rFonts w:ascii="Arial" w:hAnsi="Arial" w:cs="Arial"/>
        </w:rPr>
      </w:pPr>
      <w:r w:rsidRPr="006716C2">
        <w:rPr>
          <w:rFonts w:ascii="Arial" w:hAnsi="Arial" w:cs="Arial"/>
        </w:rPr>
        <w:t>EPA</w:t>
      </w:r>
      <w:r w:rsidRPr="006716C2">
        <w:rPr>
          <w:rFonts w:ascii="Arial" w:hAnsi="Arial" w:cs="Arial"/>
        </w:rPr>
        <w:tab/>
      </w:r>
      <w:r w:rsidRPr="006716C2">
        <w:rPr>
          <w:rFonts w:ascii="Arial" w:hAnsi="Arial" w:cs="Arial"/>
        </w:rPr>
        <w:tab/>
        <w:t>U.S. Environmental Protection Agency</w:t>
      </w:r>
    </w:p>
    <w:p w14:paraId="3D85CB2F" w14:textId="77777777" w:rsidR="006716C2" w:rsidRPr="006716C2" w:rsidRDefault="006716C2" w:rsidP="006716C2">
      <w:pPr>
        <w:pStyle w:val="NoSpacing"/>
        <w:rPr>
          <w:rFonts w:ascii="Arial" w:hAnsi="Arial" w:cs="Arial"/>
        </w:rPr>
      </w:pPr>
      <w:r w:rsidRPr="006716C2">
        <w:rPr>
          <w:rFonts w:ascii="Arial" w:hAnsi="Arial" w:cs="Arial"/>
        </w:rPr>
        <w:t>EQC</w:t>
      </w:r>
      <w:r w:rsidRPr="006716C2">
        <w:rPr>
          <w:rFonts w:ascii="Arial" w:hAnsi="Arial" w:cs="Arial"/>
        </w:rPr>
        <w:tab/>
      </w:r>
      <w:r w:rsidRPr="006716C2">
        <w:rPr>
          <w:rFonts w:ascii="Arial" w:hAnsi="Arial" w:cs="Arial"/>
        </w:rPr>
        <w:tab/>
        <w:t>Environmental Quality Commission</w:t>
      </w:r>
    </w:p>
    <w:p w14:paraId="3D85CB30" w14:textId="77777777" w:rsidR="006716C2" w:rsidRPr="006716C2" w:rsidRDefault="006716C2" w:rsidP="006716C2">
      <w:pPr>
        <w:pStyle w:val="NoSpacing"/>
        <w:rPr>
          <w:rFonts w:ascii="Arial" w:hAnsi="Arial" w:cs="Arial"/>
        </w:rPr>
      </w:pPr>
      <w:r w:rsidRPr="006716C2">
        <w:rPr>
          <w:rFonts w:ascii="Arial" w:hAnsi="Arial" w:cs="Arial"/>
        </w:rPr>
        <w:t>HI</w:t>
      </w:r>
      <w:r w:rsidRPr="006716C2">
        <w:rPr>
          <w:rFonts w:ascii="Arial" w:hAnsi="Arial" w:cs="Arial"/>
        </w:rPr>
        <w:tab/>
      </w:r>
      <w:r w:rsidRPr="006716C2">
        <w:rPr>
          <w:rFonts w:ascii="Arial" w:hAnsi="Arial" w:cs="Arial"/>
        </w:rPr>
        <w:tab/>
        <w:t>Hazard Index</w:t>
      </w:r>
    </w:p>
    <w:p w14:paraId="3D85CB31" w14:textId="77777777" w:rsidR="006716C2" w:rsidRPr="006716C2" w:rsidRDefault="006716C2" w:rsidP="006716C2">
      <w:pPr>
        <w:pStyle w:val="NoSpacing"/>
        <w:rPr>
          <w:rFonts w:ascii="Arial" w:hAnsi="Arial" w:cs="Arial"/>
        </w:rPr>
      </w:pPr>
      <w:r w:rsidRPr="006716C2">
        <w:rPr>
          <w:rFonts w:ascii="Arial" w:hAnsi="Arial" w:cs="Arial"/>
        </w:rPr>
        <w:t>HQ</w:t>
      </w:r>
      <w:r w:rsidRPr="006716C2">
        <w:rPr>
          <w:rFonts w:ascii="Arial" w:hAnsi="Arial" w:cs="Arial"/>
        </w:rPr>
        <w:tab/>
      </w:r>
      <w:r w:rsidRPr="006716C2">
        <w:rPr>
          <w:rFonts w:ascii="Arial" w:hAnsi="Arial" w:cs="Arial"/>
        </w:rPr>
        <w:tab/>
        <w:t>Hazard Quotient</w:t>
      </w:r>
    </w:p>
    <w:p w14:paraId="3D85CB32" w14:textId="77777777" w:rsidR="006716C2" w:rsidRPr="006716C2" w:rsidRDefault="006716C2" w:rsidP="006716C2">
      <w:pPr>
        <w:pStyle w:val="NoSpacing"/>
        <w:rPr>
          <w:rFonts w:ascii="Arial" w:hAnsi="Arial" w:cs="Arial"/>
        </w:rPr>
      </w:pPr>
      <w:r w:rsidRPr="006716C2">
        <w:rPr>
          <w:rFonts w:ascii="Arial" w:hAnsi="Arial" w:cs="Arial"/>
        </w:rPr>
        <w:t>IRIS</w:t>
      </w:r>
      <w:r w:rsidRPr="006716C2">
        <w:rPr>
          <w:rFonts w:ascii="Arial" w:hAnsi="Arial" w:cs="Arial"/>
        </w:rPr>
        <w:tab/>
      </w:r>
      <w:r w:rsidRPr="006716C2">
        <w:rPr>
          <w:rFonts w:ascii="Arial" w:hAnsi="Arial" w:cs="Arial"/>
        </w:rPr>
        <w:tab/>
        <w:t>EPA’s Integrated Risk Information System</w:t>
      </w:r>
    </w:p>
    <w:p w14:paraId="3D85CB33" w14:textId="77777777" w:rsidR="006716C2" w:rsidRPr="006716C2" w:rsidRDefault="006716C2" w:rsidP="006716C2">
      <w:pPr>
        <w:pStyle w:val="NoSpacing"/>
        <w:rPr>
          <w:rFonts w:ascii="Arial" w:hAnsi="Arial" w:cs="Arial"/>
        </w:rPr>
      </w:pPr>
      <w:r w:rsidRPr="006716C2">
        <w:rPr>
          <w:rFonts w:ascii="Arial" w:hAnsi="Arial" w:cs="Arial"/>
        </w:rPr>
        <w:t>IUR</w:t>
      </w:r>
      <w:r w:rsidRPr="006716C2">
        <w:rPr>
          <w:rFonts w:ascii="Arial" w:hAnsi="Arial" w:cs="Arial"/>
        </w:rPr>
        <w:tab/>
      </w:r>
      <w:r w:rsidRPr="006716C2">
        <w:rPr>
          <w:rFonts w:ascii="Arial" w:hAnsi="Arial" w:cs="Arial"/>
        </w:rPr>
        <w:tab/>
        <w:t>Inhalation Unit Risk</w:t>
      </w:r>
    </w:p>
    <w:p w14:paraId="3D85CB34" w14:textId="77777777" w:rsidR="006716C2" w:rsidRPr="006716C2" w:rsidRDefault="006716C2" w:rsidP="006716C2">
      <w:pPr>
        <w:pStyle w:val="NoSpacing"/>
        <w:ind w:left="1440" w:hanging="1440"/>
        <w:rPr>
          <w:rFonts w:ascii="Arial" w:hAnsi="Arial" w:cs="Arial"/>
        </w:rPr>
      </w:pPr>
      <w:r w:rsidRPr="006716C2">
        <w:rPr>
          <w:rFonts w:ascii="Arial" w:hAnsi="Arial" w:cs="Arial"/>
        </w:rPr>
        <w:t>MAKEMET</w:t>
      </w:r>
      <w:r w:rsidRPr="006716C2">
        <w:rPr>
          <w:rFonts w:ascii="Arial" w:hAnsi="Arial" w:cs="Arial"/>
        </w:rPr>
        <w:tab/>
        <w:t xml:space="preserve">Program that generates a site-specific matrix of meteorological conditions for </w:t>
      </w:r>
      <w:r w:rsidRPr="006716C2">
        <w:rPr>
          <w:rFonts w:ascii="Arial" w:hAnsi="Arial" w:cs="Arial"/>
        </w:rPr>
        <w:br/>
      </w:r>
      <w:r w:rsidR="0010235F">
        <w:rPr>
          <w:rFonts w:ascii="Arial" w:hAnsi="Arial" w:cs="Arial"/>
        </w:rPr>
        <w:t xml:space="preserve">     </w:t>
      </w:r>
      <w:r w:rsidRPr="006716C2">
        <w:rPr>
          <w:rFonts w:ascii="Arial" w:hAnsi="Arial" w:cs="Arial"/>
        </w:rPr>
        <w:t>input to AERMOD or AERSCREEN</w:t>
      </w:r>
    </w:p>
    <w:p w14:paraId="3D85CB35" w14:textId="77777777" w:rsidR="006716C2" w:rsidRPr="006716C2" w:rsidRDefault="006716C2" w:rsidP="006716C2">
      <w:pPr>
        <w:pStyle w:val="NoSpacing"/>
        <w:rPr>
          <w:rFonts w:ascii="Arial" w:hAnsi="Arial" w:cs="Arial"/>
        </w:rPr>
      </w:pPr>
      <w:r w:rsidRPr="006716C2">
        <w:rPr>
          <w:rFonts w:ascii="Arial" w:hAnsi="Arial" w:cs="Arial"/>
        </w:rPr>
        <w:t>MPAF</w:t>
      </w:r>
      <w:r w:rsidRPr="006716C2">
        <w:rPr>
          <w:rFonts w:ascii="Arial" w:hAnsi="Arial" w:cs="Arial"/>
        </w:rPr>
        <w:tab/>
      </w:r>
      <w:r w:rsidRPr="006716C2">
        <w:rPr>
          <w:rFonts w:ascii="Arial" w:hAnsi="Arial" w:cs="Arial"/>
        </w:rPr>
        <w:tab/>
        <w:t>Multipathway Adjustment Factor</w:t>
      </w:r>
    </w:p>
    <w:p w14:paraId="3D85CB36" w14:textId="77777777" w:rsidR="006716C2" w:rsidRPr="006716C2" w:rsidRDefault="006716C2" w:rsidP="006716C2">
      <w:pPr>
        <w:pStyle w:val="NoSpacing"/>
        <w:rPr>
          <w:rFonts w:ascii="Arial" w:hAnsi="Arial" w:cs="Arial"/>
        </w:rPr>
      </w:pPr>
      <w:r w:rsidRPr="006716C2">
        <w:rPr>
          <w:rFonts w:ascii="Arial" w:hAnsi="Arial" w:cs="Arial"/>
        </w:rPr>
        <w:t>MRL</w:t>
      </w:r>
      <w:r w:rsidRPr="006716C2">
        <w:rPr>
          <w:rFonts w:ascii="Arial" w:hAnsi="Arial" w:cs="Arial"/>
        </w:rPr>
        <w:tab/>
      </w:r>
      <w:r w:rsidRPr="006716C2">
        <w:rPr>
          <w:rFonts w:ascii="Arial" w:hAnsi="Arial" w:cs="Arial"/>
        </w:rPr>
        <w:tab/>
        <w:t>ATSDR’s Minimal Risk Level</w:t>
      </w:r>
    </w:p>
    <w:p w14:paraId="3D85CB37" w14:textId="77777777" w:rsidR="006716C2" w:rsidRDefault="006716C2" w:rsidP="006716C2">
      <w:pPr>
        <w:pStyle w:val="NoSpacing"/>
        <w:rPr>
          <w:rFonts w:ascii="Arial" w:hAnsi="Arial" w:cs="Arial"/>
        </w:rPr>
      </w:pPr>
      <w:r w:rsidRPr="006716C2">
        <w:rPr>
          <w:rFonts w:ascii="Arial" w:hAnsi="Arial" w:cs="Arial"/>
        </w:rPr>
        <w:t>NRAF</w:t>
      </w:r>
      <w:r w:rsidRPr="006716C2">
        <w:rPr>
          <w:rFonts w:ascii="Arial" w:hAnsi="Arial" w:cs="Arial"/>
        </w:rPr>
        <w:tab/>
      </w:r>
      <w:r w:rsidRPr="006716C2">
        <w:rPr>
          <w:rFonts w:ascii="Arial" w:hAnsi="Arial" w:cs="Arial"/>
        </w:rPr>
        <w:tab/>
        <w:t>Nonresident Adjustment Factor</w:t>
      </w:r>
    </w:p>
    <w:p w14:paraId="3D85CB38" w14:textId="77777777" w:rsidR="00931AFF" w:rsidRPr="006716C2" w:rsidRDefault="00931AFF" w:rsidP="006716C2">
      <w:pPr>
        <w:pStyle w:val="NoSpacing"/>
        <w:rPr>
          <w:rFonts w:ascii="Arial" w:hAnsi="Arial" w:cs="Arial"/>
        </w:rPr>
      </w:pPr>
      <w:r>
        <w:rPr>
          <w:rFonts w:ascii="Arial" w:hAnsi="Arial" w:cs="Arial"/>
        </w:rPr>
        <w:t>NSR</w:t>
      </w:r>
      <w:r>
        <w:rPr>
          <w:rFonts w:ascii="Arial" w:hAnsi="Arial" w:cs="Arial"/>
        </w:rPr>
        <w:tab/>
      </w:r>
      <w:r>
        <w:rPr>
          <w:rFonts w:ascii="Arial" w:hAnsi="Arial" w:cs="Arial"/>
        </w:rPr>
        <w:tab/>
        <w:t>New Source Review</w:t>
      </w:r>
    </w:p>
    <w:p w14:paraId="3D85CB39" w14:textId="77777777" w:rsidR="006716C2" w:rsidRPr="006716C2" w:rsidRDefault="006716C2" w:rsidP="006716C2">
      <w:pPr>
        <w:pStyle w:val="NoSpacing"/>
        <w:rPr>
          <w:rFonts w:ascii="Arial" w:hAnsi="Arial" w:cs="Arial"/>
        </w:rPr>
      </w:pPr>
      <w:r w:rsidRPr="006716C2">
        <w:rPr>
          <w:rFonts w:ascii="Arial" w:hAnsi="Arial" w:cs="Arial"/>
        </w:rPr>
        <w:t>OAR</w:t>
      </w:r>
      <w:r w:rsidRPr="006716C2">
        <w:rPr>
          <w:rFonts w:ascii="Arial" w:hAnsi="Arial" w:cs="Arial"/>
        </w:rPr>
        <w:tab/>
      </w:r>
      <w:r w:rsidRPr="006716C2">
        <w:rPr>
          <w:rFonts w:ascii="Arial" w:hAnsi="Arial" w:cs="Arial"/>
        </w:rPr>
        <w:tab/>
        <w:t>Oregon Administrative Rules</w:t>
      </w:r>
    </w:p>
    <w:p w14:paraId="3D85CB3A" w14:textId="77777777" w:rsidR="006716C2" w:rsidRPr="006716C2" w:rsidRDefault="006716C2" w:rsidP="006716C2">
      <w:pPr>
        <w:pStyle w:val="NoSpacing"/>
        <w:rPr>
          <w:rFonts w:ascii="Arial" w:hAnsi="Arial" w:cs="Arial"/>
        </w:rPr>
      </w:pPr>
      <w:r w:rsidRPr="006716C2">
        <w:rPr>
          <w:rFonts w:ascii="Arial" w:hAnsi="Arial" w:cs="Arial"/>
        </w:rPr>
        <w:t>OEHHA</w:t>
      </w:r>
      <w:r w:rsidRPr="006716C2">
        <w:rPr>
          <w:rFonts w:ascii="Arial" w:hAnsi="Arial" w:cs="Arial"/>
        </w:rPr>
        <w:tab/>
        <w:t>California’s Office of Environmental Health Hazard Assessment</w:t>
      </w:r>
    </w:p>
    <w:p w14:paraId="3D85CB3B" w14:textId="77777777" w:rsidR="006716C2" w:rsidRDefault="006716C2" w:rsidP="006716C2">
      <w:pPr>
        <w:pStyle w:val="NoSpacing"/>
        <w:rPr>
          <w:rFonts w:ascii="Arial" w:hAnsi="Arial" w:cs="Arial"/>
        </w:rPr>
      </w:pPr>
      <w:r w:rsidRPr="006716C2">
        <w:rPr>
          <w:rFonts w:ascii="Arial" w:hAnsi="Arial" w:cs="Arial"/>
        </w:rPr>
        <w:t>OHA</w:t>
      </w:r>
      <w:r w:rsidRPr="006716C2">
        <w:rPr>
          <w:rFonts w:ascii="Arial" w:hAnsi="Arial" w:cs="Arial"/>
        </w:rPr>
        <w:tab/>
      </w:r>
      <w:r w:rsidRPr="006716C2">
        <w:rPr>
          <w:rFonts w:ascii="Arial" w:hAnsi="Arial" w:cs="Arial"/>
        </w:rPr>
        <w:tab/>
        <w:t>Oregon Health Authority</w:t>
      </w:r>
    </w:p>
    <w:p w14:paraId="3D85CB3C" w14:textId="77777777" w:rsidR="009C1D8E" w:rsidRPr="006716C2" w:rsidRDefault="009C1D8E" w:rsidP="006716C2">
      <w:pPr>
        <w:pStyle w:val="NoSpacing"/>
        <w:rPr>
          <w:rFonts w:ascii="Arial" w:hAnsi="Arial" w:cs="Arial"/>
        </w:rPr>
      </w:pPr>
      <w:r>
        <w:rPr>
          <w:rFonts w:ascii="Arial" w:hAnsi="Arial" w:cs="Arial"/>
        </w:rPr>
        <w:t>OSHA</w:t>
      </w:r>
      <w:r>
        <w:rPr>
          <w:rFonts w:ascii="Arial" w:hAnsi="Arial" w:cs="Arial"/>
        </w:rPr>
        <w:tab/>
      </w:r>
      <w:r>
        <w:rPr>
          <w:rFonts w:ascii="Arial" w:hAnsi="Arial" w:cs="Arial"/>
        </w:rPr>
        <w:tab/>
        <w:t>Occupational Safety and Health Administration</w:t>
      </w:r>
    </w:p>
    <w:p w14:paraId="3D85CB3D" w14:textId="77777777" w:rsidR="006716C2" w:rsidRPr="006716C2" w:rsidRDefault="006716C2" w:rsidP="006716C2">
      <w:pPr>
        <w:pStyle w:val="NoSpacing"/>
        <w:rPr>
          <w:rFonts w:ascii="Arial" w:hAnsi="Arial" w:cs="Arial"/>
        </w:rPr>
      </w:pPr>
      <w:r w:rsidRPr="006716C2">
        <w:rPr>
          <w:rFonts w:ascii="Arial" w:hAnsi="Arial" w:cs="Arial"/>
        </w:rPr>
        <w:t>PAH</w:t>
      </w:r>
      <w:r w:rsidRPr="006716C2">
        <w:rPr>
          <w:rFonts w:ascii="Arial" w:hAnsi="Arial" w:cs="Arial"/>
        </w:rPr>
        <w:tab/>
      </w:r>
      <w:r w:rsidRPr="006716C2">
        <w:rPr>
          <w:rFonts w:ascii="Arial" w:hAnsi="Arial" w:cs="Arial"/>
        </w:rPr>
        <w:tab/>
        <w:t>Polycyclic Aromatic Hydrocarbon</w:t>
      </w:r>
    </w:p>
    <w:p w14:paraId="3D85CB3E" w14:textId="77777777" w:rsidR="006716C2" w:rsidRPr="006716C2" w:rsidRDefault="006716C2" w:rsidP="006716C2">
      <w:pPr>
        <w:pStyle w:val="NoSpacing"/>
        <w:rPr>
          <w:rFonts w:ascii="Arial" w:hAnsi="Arial" w:cs="Arial"/>
        </w:rPr>
      </w:pPr>
      <w:r w:rsidRPr="006716C2">
        <w:rPr>
          <w:rFonts w:ascii="Arial" w:hAnsi="Arial" w:cs="Arial"/>
        </w:rPr>
        <w:t>PBT</w:t>
      </w:r>
      <w:r w:rsidRPr="006716C2">
        <w:rPr>
          <w:rFonts w:ascii="Arial" w:hAnsi="Arial" w:cs="Arial"/>
        </w:rPr>
        <w:tab/>
      </w:r>
      <w:r w:rsidRPr="006716C2">
        <w:rPr>
          <w:rFonts w:ascii="Arial" w:hAnsi="Arial" w:cs="Arial"/>
        </w:rPr>
        <w:tab/>
        <w:t>Persistent, Bioaccumulative, and Toxic chemical</w:t>
      </w:r>
    </w:p>
    <w:p w14:paraId="3D85CB3F" w14:textId="77777777" w:rsidR="006716C2" w:rsidRPr="006716C2" w:rsidRDefault="006716C2" w:rsidP="006716C2">
      <w:pPr>
        <w:pStyle w:val="NoSpacing"/>
        <w:rPr>
          <w:rFonts w:ascii="Arial" w:hAnsi="Arial" w:cs="Arial"/>
        </w:rPr>
      </w:pPr>
      <w:r w:rsidRPr="006716C2">
        <w:rPr>
          <w:rFonts w:ascii="Arial" w:hAnsi="Arial" w:cs="Arial"/>
        </w:rPr>
        <w:t>PCB</w:t>
      </w:r>
      <w:r w:rsidRPr="006716C2">
        <w:rPr>
          <w:rFonts w:ascii="Arial" w:hAnsi="Arial" w:cs="Arial"/>
        </w:rPr>
        <w:tab/>
      </w:r>
      <w:r w:rsidRPr="006716C2">
        <w:rPr>
          <w:rFonts w:ascii="Arial" w:hAnsi="Arial" w:cs="Arial"/>
        </w:rPr>
        <w:tab/>
        <w:t>Polychlorinated Biphenyl</w:t>
      </w:r>
    </w:p>
    <w:p w14:paraId="3D85CB40" w14:textId="77777777" w:rsidR="006716C2" w:rsidRPr="006716C2" w:rsidRDefault="006716C2" w:rsidP="006716C2">
      <w:pPr>
        <w:pStyle w:val="NoSpacing"/>
        <w:rPr>
          <w:rFonts w:ascii="Arial" w:hAnsi="Arial" w:cs="Arial"/>
        </w:rPr>
      </w:pPr>
      <w:r w:rsidRPr="006716C2">
        <w:rPr>
          <w:rFonts w:ascii="Arial" w:hAnsi="Arial" w:cs="Arial"/>
        </w:rPr>
        <w:t>PPRTV</w:t>
      </w:r>
      <w:r w:rsidRPr="006716C2">
        <w:rPr>
          <w:rFonts w:ascii="Arial" w:hAnsi="Arial" w:cs="Arial"/>
        </w:rPr>
        <w:tab/>
        <w:t>EPA’s Provisional Peer-Reviewed Toxicity Value</w:t>
      </w:r>
    </w:p>
    <w:p w14:paraId="3D85CB41" w14:textId="77777777" w:rsidR="006716C2" w:rsidRPr="006716C2" w:rsidRDefault="006716C2" w:rsidP="006716C2">
      <w:pPr>
        <w:pStyle w:val="NoSpacing"/>
        <w:rPr>
          <w:rFonts w:ascii="Arial" w:hAnsi="Arial" w:cs="Arial"/>
        </w:rPr>
      </w:pPr>
      <w:r w:rsidRPr="006716C2">
        <w:rPr>
          <w:rFonts w:ascii="Arial" w:hAnsi="Arial" w:cs="Arial"/>
        </w:rPr>
        <w:t>RAL</w:t>
      </w:r>
      <w:r w:rsidRPr="006716C2">
        <w:rPr>
          <w:rFonts w:ascii="Arial" w:hAnsi="Arial" w:cs="Arial"/>
        </w:rPr>
        <w:tab/>
      </w:r>
      <w:r w:rsidRPr="006716C2">
        <w:rPr>
          <w:rFonts w:ascii="Arial" w:hAnsi="Arial" w:cs="Arial"/>
        </w:rPr>
        <w:tab/>
        <w:t>Risk Action Level</w:t>
      </w:r>
    </w:p>
    <w:p w14:paraId="3D85CB42" w14:textId="77777777" w:rsidR="006716C2" w:rsidRPr="006716C2" w:rsidRDefault="006716C2" w:rsidP="006716C2">
      <w:pPr>
        <w:pStyle w:val="NoSpacing"/>
        <w:rPr>
          <w:rFonts w:ascii="Arial" w:hAnsi="Arial" w:cs="Arial"/>
        </w:rPr>
      </w:pPr>
      <w:r w:rsidRPr="006716C2">
        <w:rPr>
          <w:rFonts w:ascii="Arial" w:hAnsi="Arial" w:cs="Arial"/>
        </w:rPr>
        <w:t>RBC</w:t>
      </w:r>
      <w:r w:rsidRPr="006716C2">
        <w:rPr>
          <w:rFonts w:ascii="Arial" w:hAnsi="Arial" w:cs="Arial"/>
        </w:rPr>
        <w:tab/>
      </w:r>
      <w:r w:rsidRPr="006716C2">
        <w:rPr>
          <w:rFonts w:ascii="Arial" w:hAnsi="Arial" w:cs="Arial"/>
        </w:rPr>
        <w:tab/>
        <w:t>Risk-Based Concentration</w:t>
      </w:r>
    </w:p>
    <w:p w14:paraId="3D85CB43" w14:textId="77777777" w:rsidR="006716C2" w:rsidRPr="006716C2" w:rsidRDefault="006716C2" w:rsidP="006716C2">
      <w:pPr>
        <w:pStyle w:val="NoSpacing"/>
        <w:rPr>
          <w:rFonts w:ascii="Arial" w:hAnsi="Arial" w:cs="Arial"/>
        </w:rPr>
      </w:pPr>
      <w:r w:rsidRPr="006716C2">
        <w:rPr>
          <w:rFonts w:ascii="Arial" w:hAnsi="Arial" w:cs="Arial"/>
        </w:rPr>
        <w:t>RBDM</w:t>
      </w:r>
      <w:r w:rsidRPr="006716C2">
        <w:rPr>
          <w:rFonts w:ascii="Arial" w:hAnsi="Arial" w:cs="Arial"/>
        </w:rPr>
        <w:tab/>
      </w:r>
      <w:r w:rsidRPr="006716C2">
        <w:rPr>
          <w:rFonts w:ascii="Arial" w:hAnsi="Arial" w:cs="Arial"/>
        </w:rPr>
        <w:tab/>
        <w:t>Risk-Based Decision Making</w:t>
      </w:r>
    </w:p>
    <w:p w14:paraId="3D85CB44" w14:textId="77777777" w:rsidR="006716C2" w:rsidRPr="006716C2" w:rsidRDefault="006716C2" w:rsidP="006716C2">
      <w:pPr>
        <w:pStyle w:val="NoSpacing"/>
        <w:rPr>
          <w:rFonts w:ascii="Arial" w:hAnsi="Arial" w:cs="Arial"/>
        </w:rPr>
      </w:pPr>
      <w:r w:rsidRPr="006716C2">
        <w:rPr>
          <w:rFonts w:ascii="Arial" w:hAnsi="Arial" w:cs="Arial"/>
        </w:rPr>
        <w:t>RfC</w:t>
      </w:r>
      <w:r w:rsidRPr="006716C2">
        <w:rPr>
          <w:rFonts w:ascii="Arial" w:hAnsi="Arial" w:cs="Arial"/>
        </w:rPr>
        <w:tab/>
      </w:r>
      <w:r w:rsidRPr="006716C2">
        <w:rPr>
          <w:rFonts w:ascii="Arial" w:hAnsi="Arial" w:cs="Arial"/>
        </w:rPr>
        <w:tab/>
        <w:t>Reference Concentration</w:t>
      </w:r>
    </w:p>
    <w:p w14:paraId="3D85CB45" w14:textId="77777777" w:rsidR="006716C2" w:rsidRPr="006716C2" w:rsidRDefault="006716C2" w:rsidP="006716C2">
      <w:pPr>
        <w:pStyle w:val="NoSpacing"/>
        <w:rPr>
          <w:rFonts w:ascii="Arial" w:hAnsi="Arial" w:cs="Arial"/>
        </w:rPr>
      </w:pPr>
      <w:r w:rsidRPr="006716C2">
        <w:rPr>
          <w:rFonts w:ascii="Arial" w:hAnsi="Arial" w:cs="Arial"/>
        </w:rPr>
        <w:t>SCAQMD</w:t>
      </w:r>
      <w:r w:rsidRPr="006716C2">
        <w:rPr>
          <w:rFonts w:ascii="Arial" w:hAnsi="Arial" w:cs="Arial"/>
        </w:rPr>
        <w:tab/>
        <w:t>California’s South Coast Air Quality Management District</w:t>
      </w:r>
    </w:p>
    <w:p w14:paraId="3D85CB46" w14:textId="77777777" w:rsidR="006716C2" w:rsidRPr="006716C2" w:rsidRDefault="006716C2" w:rsidP="006716C2">
      <w:pPr>
        <w:pStyle w:val="NoSpacing"/>
        <w:rPr>
          <w:rFonts w:ascii="Arial" w:hAnsi="Arial" w:cs="Arial"/>
        </w:rPr>
      </w:pPr>
      <w:r w:rsidRPr="006716C2">
        <w:rPr>
          <w:rFonts w:ascii="Arial" w:hAnsi="Arial" w:cs="Arial"/>
        </w:rPr>
        <w:t>TEF</w:t>
      </w:r>
      <w:r w:rsidRPr="006716C2">
        <w:rPr>
          <w:rFonts w:ascii="Arial" w:hAnsi="Arial" w:cs="Arial"/>
        </w:rPr>
        <w:tab/>
      </w:r>
      <w:r w:rsidRPr="006716C2">
        <w:rPr>
          <w:rFonts w:ascii="Arial" w:hAnsi="Arial" w:cs="Arial"/>
        </w:rPr>
        <w:tab/>
        <w:t>Toxic Equivalency Factor</w:t>
      </w:r>
    </w:p>
    <w:p w14:paraId="3D85CB47" w14:textId="77777777" w:rsidR="006716C2" w:rsidRPr="006716C2" w:rsidRDefault="006716C2" w:rsidP="006716C2">
      <w:pPr>
        <w:pStyle w:val="NoSpacing"/>
        <w:rPr>
          <w:rFonts w:ascii="Arial" w:hAnsi="Arial" w:cs="Arial"/>
        </w:rPr>
      </w:pPr>
      <w:r w:rsidRPr="006716C2">
        <w:rPr>
          <w:rFonts w:ascii="Arial" w:hAnsi="Arial" w:cs="Arial"/>
        </w:rPr>
        <w:t>TRV</w:t>
      </w:r>
      <w:r w:rsidRPr="006716C2">
        <w:rPr>
          <w:rFonts w:ascii="Arial" w:hAnsi="Arial" w:cs="Arial"/>
        </w:rPr>
        <w:tab/>
      </w:r>
      <w:r w:rsidRPr="006716C2">
        <w:rPr>
          <w:rFonts w:ascii="Arial" w:hAnsi="Arial" w:cs="Arial"/>
        </w:rPr>
        <w:tab/>
        <w:t>Toxicity Reference Value</w:t>
      </w:r>
    </w:p>
    <w:p w14:paraId="3D85CB48" w14:textId="77777777" w:rsidR="00823882" w:rsidRPr="006716C2" w:rsidRDefault="00823882" w:rsidP="00120A5B">
      <w:pPr>
        <w:pStyle w:val="DEQTEXTforFACTSHEET"/>
        <w:rPr>
          <w:rFonts w:ascii="Arial" w:hAnsi="Arial" w:cs="Arial"/>
        </w:rPr>
      </w:pPr>
    </w:p>
    <w:p w14:paraId="3D85CB49" w14:textId="77777777" w:rsidR="00823882" w:rsidRPr="006716C2" w:rsidRDefault="00823882" w:rsidP="00120A5B">
      <w:pPr>
        <w:pStyle w:val="DEQTEXTforFACTSHEET"/>
        <w:rPr>
          <w:rFonts w:ascii="Arial" w:hAnsi="Arial" w:cs="Arial"/>
        </w:rPr>
      </w:pPr>
    </w:p>
    <w:p w14:paraId="3D85CB4A" w14:textId="77777777" w:rsidR="00823882" w:rsidRDefault="00823882" w:rsidP="00120A5B">
      <w:pPr>
        <w:pStyle w:val="DEQTEXTforFACTSHEET"/>
      </w:pPr>
    </w:p>
    <w:p w14:paraId="3D85CB4B" w14:textId="77777777" w:rsidR="00823882" w:rsidRDefault="00823882" w:rsidP="00120A5B">
      <w:pPr>
        <w:pStyle w:val="DEQTEXTforFACTSHEET"/>
      </w:pPr>
    </w:p>
    <w:p w14:paraId="3D85CB4C" w14:textId="77777777" w:rsidR="00823882" w:rsidRDefault="00823882" w:rsidP="00120A5B">
      <w:pPr>
        <w:pStyle w:val="DEQTEXTforFACTSHEET"/>
      </w:pPr>
    </w:p>
    <w:p w14:paraId="3D85CB4D" w14:textId="77777777" w:rsidR="00823882" w:rsidRDefault="00823882" w:rsidP="00120A5B">
      <w:pPr>
        <w:pStyle w:val="DEQTEXTforFACTSHEET"/>
      </w:pPr>
    </w:p>
    <w:p w14:paraId="3D85CB4E" w14:textId="77777777" w:rsidR="00823882" w:rsidRDefault="00823882" w:rsidP="00120A5B">
      <w:pPr>
        <w:pStyle w:val="DEQTEXTforFACTSHEET"/>
      </w:pPr>
    </w:p>
    <w:p w14:paraId="3D85CB4F" w14:textId="77777777" w:rsidR="00823882" w:rsidRDefault="00823882" w:rsidP="00120A5B">
      <w:pPr>
        <w:pStyle w:val="DEQTEXTforFACTSHEET"/>
      </w:pPr>
    </w:p>
    <w:p w14:paraId="3D85CB50" w14:textId="77777777" w:rsidR="00823882" w:rsidRDefault="00823882" w:rsidP="00120A5B">
      <w:pPr>
        <w:pStyle w:val="DEQTEXTforFACTSHEET"/>
        <w:sectPr w:rsidR="00823882" w:rsidSect="00892F77">
          <w:headerReference w:type="first" r:id="rId23"/>
          <w:pgSz w:w="12240" w:h="15840"/>
          <w:pgMar w:top="1080" w:right="1080" w:bottom="1080" w:left="1080" w:header="576" w:footer="576" w:gutter="0"/>
          <w:pgNumType w:fmt="lowerRoman"/>
          <w:cols w:space="360"/>
          <w:titlePg/>
          <w:docGrid w:linePitch="326"/>
        </w:sectPr>
      </w:pPr>
    </w:p>
    <w:p w14:paraId="3D85CB51" w14:textId="77777777" w:rsidR="006716C2" w:rsidRDefault="006716C2" w:rsidP="00713CB5">
      <w:pPr>
        <w:pStyle w:val="Heading1"/>
        <w:numPr>
          <w:ilvl w:val="0"/>
          <w:numId w:val="18"/>
        </w:numPr>
      </w:pPr>
      <w:bookmarkStart w:id="2" w:name="_Toc496183487"/>
      <w:r>
        <w:t>INTRODUCTION</w:t>
      </w:r>
      <w:bookmarkEnd w:id="2"/>
    </w:p>
    <w:p w14:paraId="3D85CB52" w14:textId="77777777" w:rsidR="006716C2" w:rsidRDefault="006716C2" w:rsidP="006716C2">
      <w:pPr>
        <w:pStyle w:val="Normal1"/>
        <w:widowControl/>
        <w:jc w:val="left"/>
        <w:rPr>
          <w:b/>
        </w:rPr>
      </w:pPr>
    </w:p>
    <w:p w14:paraId="3D85CB53" w14:textId="77777777" w:rsidR="006716C2" w:rsidRDefault="006716C2" w:rsidP="006716C2">
      <w:pPr>
        <w:pStyle w:val="Heading2"/>
      </w:pPr>
      <w:bookmarkStart w:id="3" w:name="_Toc496183488"/>
      <w:r>
        <w:t>1.1 Purpose and Organization</w:t>
      </w:r>
      <w:bookmarkEnd w:id="3"/>
    </w:p>
    <w:p w14:paraId="3D85CB54" w14:textId="77777777" w:rsidR="006716C2" w:rsidRDefault="006716C2" w:rsidP="006716C2">
      <w:pPr>
        <w:pStyle w:val="Normal1"/>
        <w:widowControl/>
        <w:jc w:val="left"/>
      </w:pPr>
    </w:p>
    <w:p w14:paraId="3D85CB55" w14:textId="77777777" w:rsidR="006716C2" w:rsidRDefault="006716C2" w:rsidP="006716C2">
      <w:pPr>
        <w:pStyle w:val="Normal1"/>
        <w:widowControl/>
        <w:jc w:val="left"/>
      </w:pPr>
      <w:r>
        <w:t>This document provides DEQ’s recommended procedures for conducting air toxics screening and health risk assessments in compliance with OAR chapter 340, division 245. A risk assessment can be a screening risk assessment (Levels 1 and 2), a simple risk assessment (Level 3), or a complex risk assessment (Level 4). Risk screening values are based on both short-term and long-term exposure, and are established in rule.</w:t>
      </w:r>
    </w:p>
    <w:p w14:paraId="3D85CB56" w14:textId="77777777" w:rsidR="006716C2" w:rsidRDefault="006716C2" w:rsidP="006716C2">
      <w:pPr>
        <w:pStyle w:val="Normal1"/>
        <w:widowControl/>
        <w:jc w:val="left"/>
      </w:pPr>
    </w:p>
    <w:p w14:paraId="3D85CB57" w14:textId="77777777" w:rsidR="006716C2" w:rsidRDefault="006716C2" w:rsidP="006716C2">
      <w:pPr>
        <w:pStyle w:val="Normal1"/>
        <w:widowControl/>
        <w:jc w:val="left"/>
      </w:pPr>
      <w:r>
        <w:t>The methods to perform human health risk assessments at air toxics sites in Oregon are based primarily on U.S. Environmental Protection Agency</w:t>
      </w:r>
      <w:r w:rsidR="00931AFF">
        <w:t xml:space="preserve"> </w:t>
      </w:r>
      <w:r>
        <w:t>guidance (EPA 1989), and are consistent with and make reference to human health risk assessment guidance under DEQ’s Cleanup Program (DEQ 20</w:t>
      </w:r>
      <w:r w:rsidR="001870D8">
        <w:t>1</w:t>
      </w:r>
      <w:r>
        <w:t>0). In general, the exposure factors and equations described in this document are sufficient for calculating exposure and risk from existing, modified, or new facilities.</w:t>
      </w:r>
    </w:p>
    <w:p w14:paraId="3D85CB58" w14:textId="77777777" w:rsidR="006716C2" w:rsidRDefault="006716C2" w:rsidP="006716C2">
      <w:pPr>
        <w:pStyle w:val="Normal1"/>
        <w:widowControl/>
        <w:jc w:val="left"/>
      </w:pPr>
    </w:p>
    <w:p w14:paraId="3D85CB59" w14:textId="77777777" w:rsidR="006716C2" w:rsidRDefault="006716C2" w:rsidP="006716C2">
      <w:pPr>
        <w:pStyle w:val="Normal1"/>
        <w:widowControl/>
        <w:jc w:val="left"/>
      </w:pPr>
      <w:r>
        <w:t xml:space="preserve">Screening procedures are presented first. It is possible that your facility may screen out at Level 1 or 2, and you do not need to do more complicated modeling and risk assessment. Section 2 provides an overview of the risk assessment process, including development of a conceptual site model. </w:t>
      </w:r>
      <w:r>
        <w:br/>
      </w:r>
    </w:p>
    <w:p w14:paraId="3D85CB5A" w14:textId="77777777" w:rsidR="006716C2" w:rsidRDefault="006716C2" w:rsidP="006716C2">
      <w:pPr>
        <w:pStyle w:val="Normal1"/>
        <w:widowControl/>
        <w:jc w:val="left"/>
      </w:pPr>
      <w:r>
        <w:t>Prior to conducting a Level 3 simple risk assessment, you should prepare an air dispersion Modeling Protocol, and meet with DEQ staff to discuss your plans for conducting the assessment. A Level 4 comprehensive health risk assessment will require preparation of a risk assessment workplan and discussions with DEQ before approval is provided to complete the risk assessment.</w:t>
      </w:r>
    </w:p>
    <w:p w14:paraId="3D85CB5B" w14:textId="77777777" w:rsidR="006716C2" w:rsidRDefault="006716C2" w:rsidP="006716C2">
      <w:pPr>
        <w:pStyle w:val="Normal1"/>
        <w:widowControl/>
        <w:jc w:val="left"/>
        <w:rPr>
          <w:sz w:val="24"/>
          <w:szCs w:val="24"/>
        </w:rPr>
      </w:pPr>
    </w:p>
    <w:p w14:paraId="3D85CB5C" w14:textId="77777777" w:rsidR="006716C2" w:rsidRDefault="006716C2" w:rsidP="006716C2">
      <w:pPr>
        <w:pStyle w:val="Heading2"/>
      </w:pPr>
      <w:bookmarkStart w:id="4" w:name="_30j0zll" w:colFirst="0" w:colLast="0"/>
      <w:bookmarkStart w:id="5" w:name="_Toc496183489"/>
      <w:bookmarkEnd w:id="4"/>
      <w:r>
        <w:t>1.2 Process Overview</w:t>
      </w:r>
      <w:bookmarkEnd w:id="5"/>
    </w:p>
    <w:p w14:paraId="3D85CB5D" w14:textId="77777777" w:rsidR="006716C2" w:rsidRDefault="006716C2" w:rsidP="006716C2">
      <w:pPr>
        <w:pStyle w:val="Normal1"/>
        <w:widowControl/>
        <w:jc w:val="left"/>
      </w:pPr>
      <w:r>
        <w:t xml:space="preserve">The overall recommended human health risk assessment process involves the general steps </w:t>
      </w:r>
      <w:r w:rsidR="00931AFF">
        <w:t>discussed below</w:t>
      </w:r>
      <w:r>
        <w:t>. Information on existing site conditions, and the nature of properties potentially impacted by site emissions are key prerequisites for screening steps and risk assessment</w:t>
      </w:r>
      <w:r w:rsidR="001870D8">
        <w:t>s</w:t>
      </w:r>
      <w:r>
        <w:t xml:space="preserve">. </w:t>
      </w:r>
    </w:p>
    <w:p w14:paraId="3D85CB5E" w14:textId="77777777" w:rsidR="006716C2" w:rsidRDefault="006716C2" w:rsidP="006716C2">
      <w:pPr>
        <w:pStyle w:val="Normal1"/>
        <w:widowControl/>
        <w:jc w:val="left"/>
      </w:pPr>
    </w:p>
    <w:p w14:paraId="3D85CB5F" w14:textId="77777777" w:rsidR="006716C2" w:rsidRDefault="006716C2" w:rsidP="006716C2">
      <w:pPr>
        <w:pStyle w:val="Normal1"/>
        <w:widowControl/>
        <w:jc w:val="left"/>
      </w:pPr>
      <w:r>
        <w:t xml:space="preserve">The elements of the different levels of evaluation are </w:t>
      </w:r>
      <w:r w:rsidR="00931AFF">
        <w:t>the following</w:t>
      </w:r>
      <w:r>
        <w:t>.</w:t>
      </w:r>
    </w:p>
    <w:p w14:paraId="3D85CB60" w14:textId="77777777" w:rsidR="006716C2" w:rsidRDefault="006716C2" w:rsidP="006716C2">
      <w:pPr>
        <w:pStyle w:val="Normal1"/>
        <w:widowControl/>
        <w:jc w:val="left"/>
      </w:pPr>
    </w:p>
    <w:p w14:paraId="3D85CB61" w14:textId="77777777" w:rsidR="006716C2" w:rsidRDefault="006716C2" w:rsidP="006716C2">
      <w:pPr>
        <w:pStyle w:val="Normal1"/>
        <w:widowControl/>
        <w:jc w:val="left"/>
      </w:pPr>
      <w:r>
        <w:rPr>
          <w:b/>
        </w:rPr>
        <w:t>Level 1 – Screening Level Risk Assessment</w:t>
      </w:r>
      <w:r>
        <w:t>. The first screening step involves choosing dispersion factors from OAR 340-245-8060 Table 6 based on site-specific information (stack height and distances to various receptors). In the absence of site-specific information, you can use a default dispersion factor. To screen your emissions, multiply your chemical-specific emission rates by the dispersion factor, and compare the resulting calculated air concentrations with appropriate Risk-Based Concentrations (RBCs) in OAR 340-245-8050 Table 5. Finally, compare the summed excess cancer risks and hazard indices with the Risk Action Levels (RALs) in OAR 340-245-8010 Table 1. Separate RALs apply to new and existing facilities.</w:t>
      </w:r>
    </w:p>
    <w:p w14:paraId="3D85CB62" w14:textId="77777777" w:rsidR="006716C2" w:rsidRDefault="006716C2" w:rsidP="006716C2">
      <w:pPr>
        <w:pStyle w:val="Normal1"/>
        <w:widowControl/>
        <w:jc w:val="left"/>
      </w:pPr>
    </w:p>
    <w:p w14:paraId="3D85CB63" w14:textId="77777777" w:rsidR="006716C2" w:rsidRDefault="006716C2" w:rsidP="006716C2">
      <w:pPr>
        <w:pStyle w:val="Normal1"/>
        <w:widowControl/>
        <w:jc w:val="left"/>
      </w:pPr>
      <w:r>
        <w:t>RBCs are developed both for chronic exposure (for cancer and noncancer) and acute exposure</w:t>
      </w:r>
      <w:r w:rsidR="00931AFF">
        <w:t xml:space="preserve">. </w:t>
      </w:r>
      <w:r>
        <w:t>DEQ will conduct a Level 1 evaluation based on emission information provided by your facility during initiation of the program to identify a priority order for DEQ to contact sources that must demonstrate compliance under the rules. After that, facilities contacted by DEQ will conduct their own emission rate screening.</w:t>
      </w:r>
    </w:p>
    <w:p w14:paraId="3D85CB64" w14:textId="77777777" w:rsidR="006716C2" w:rsidRDefault="006716C2" w:rsidP="006716C2">
      <w:pPr>
        <w:pStyle w:val="Normal1"/>
        <w:widowControl/>
        <w:jc w:val="left"/>
      </w:pPr>
    </w:p>
    <w:p w14:paraId="3D85CB65" w14:textId="77777777" w:rsidR="006716C2" w:rsidRDefault="006716C2" w:rsidP="006716C2">
      <w:pPr>
        <w:pStyle w:val="Normal1"/>
        <w:widowControl/>
        <w:jc w:val="left"/>
      </w:pPr>
      <w:r>
        <w:rPr>
          <w:b/>
        </w:rPr>
        <w:t>Level 2 – Augmented Screening Level Risk Assessment</w:t>
      </w:r>
      <w:r>
        <w:t>. If you think it will be helpful, you can use site-specific information (stack height and distances to various exposure locations) and perform simple modeling using EPA’s AERSCREEN model to calculate air concentrations for comparison with RBCs. The RBCs are the same as those for Level 1, covering residential and non-residential scenarios, and acute exposure.</w:t>
      </w:r>
    </w:p>
    <w:p w14:paraId="3D85CB66" w14:textId="77777777" w:rsidR="006716C2" w:rsidRDefault="006716C2" w:rsidP="006716C2">
      <w:pPr>
        <w:pStyle w:val="Normal1"/>
        <w:widowControl/>
        <w:jc w:val="left"/>
      </w:pPr>
    </w:p>
    <w:p w14:paraId="3D85CB67" w14:textId="77777777" w:rsidR="006716C2" w:rsidRDefault="006716C2" w:rsidP="006716C2">
      <w:pPr>
        <w:pStyle w:val="Normal1"/>
        <w:widowControl/>
        <w:jc w:val="left"/>
      </w:pPr>
      <w:r>
        <w:rPr>
          <w:b/>
        </w:rPr>
        <w:t>Level 3 – Simple Risk Assessment</w:t>
      </w:r>
      <w:r>
        <w:t xml:space="preserve">. At this level, you can use detailed site-specific information (stack heights, building heights, topography, distances to various exposure locations) and perform complex modeling using EPA’s AERMOD model to calculate air concentrations for comparison with RBCs. </w:t>
      </w:r>
    </w:p>
    <w:p w14:paraId="3D85CB68" w14:textId="77777777" w:rsidR="006716C2" w:rsidRDefault="006716C2" w:rsidP="006716C2">
      <w:pPr>
        <w:pStyle w:val="Normal1"/>
        <w:widowControl/>
        <w:jc w:val="left"/>
      </w:pPr>
    </w:p>
    <w:p w14:paraId="3D85CB69" w14:textId="77777777" w:rsidR="006716C2" w:rsidRDefault="006716C2" w:rsidP="006716C2">
      <w:pPr>
        <w:pStyle w:val="Normal1"/>
        <w:widowControl/>
        <w:jc w:val="left"/>
      </w:pPr>
      <w:r>
        <w:rPr>
          <w:b/>
        </w:rPr>
        <w:t>Level 4 – Comprehensive Health Risk Assessment</w:t>
      </w:r>
      <w:r>
        <w:t xml:space="preserve">. The most comprehensive risk assessment uses the same air dispersion modeling conducted in Level 3, with detailed site-specific information and more complex air dispersion modeling. In addition, factors can be considered </w:t>
      </w:r>
      <w:r w:rsidR="00931AFF">
        <w:t>to refine the</w:t>
      </w:r>
      <w:r>
        <w:t xml:space="preserve"> exposure assessment. These factors can include </w:t>
      </w:r>
      <w:r w:rsidR="00931AFF">
        <w:t xml:space="preserve">exposure assumptions, </w:t>
      </w:r>
      <w:r>
        <w:t>relative bioavailability of chemicals, or multipathway considerations not covered by the values used to develop RBCs. At this level, you may also propose Alternate Noncancer Risk Assessment Levels</w:t>
      </w:r>
      <w:r w:rsidR="00931AFF">
        <w:t>, discussed in Section 4.2.4.</w:t>
      </w:r>
    </w:p>
    <w:p w14:paraId="3D85CB6A" w14:textId="77777777" w:rsidR="006716C2" w:rsidRDefault="006716C2" w:rsidP="006716C2">
      <w:pPr>
        <w:pStyle w:val="Normal1"/>
        <w:widowControl/>
        <w:spacing w:after="200" w:line="276" w:lineRule="auto"/>
        <w:jc w:val="left"/>
      </w:pPr>
      <w:r>
        <w:br w:type="page"/>
      </w:r>
    </w:p>
    <w:p w14:paraId="3D85CB6B" w14:textId="77777777" w:rsidR="006716C2" w:rsidRDefault="0010235F" w:rsidP="006716C2">
      <w:pPr>
        <w:pStyle w:val="Heading1"/>
      </w:pPr>
      <w:bookmarkStart w:id="6" w:name="_Toc496183490"/>
      <w:r>
        <w:t xml:space="preserve">2. </w:t>
      </w:r>
      <w:r w:rsidR="006716C2">
        <w:t>RISK SCREENING AND ASSESSMENT</w:t>
      </w:r>
      <w:bookmarkEnd w:id="6"/>
    </w:p>
    <w:p w14:paraId="3D85CB6C" w14:textId="77777777" w:rsidR="006716C2" w:rsidRDefault="006716C2" w:rsidP="006716C2">
      <w:pPr>
        <w:pStyle w:val="Normal1"/>
        <w:widowControl/>
        <w:jc w:val="left"/>
        <w:rPr>
          <w:b/>
        </w:rPr>
      </w:pPr>
    </w:p>
    <w:p w14:paraId="3D85CB6D" w14:textId="77777777" w:rsidR="006716C2" w:rsidRDefault="006716C2" w:rsidP="006716C2">
      <w:pPr>
        <w:pStyle w:val="Heading2"/>
      </w:pPr>
      <w:bookmarkStart w:id="7" w:name="_Toc496183491"/>
      <w:r>
        <w:t>2.1 Risk Assessment Concepts</w:t>
      </w:r>
      <w:bookmarkEnd w:id="7"/>
    </w:p>
    <w:p w14:paraId="3D85CB6E" w14:textId="77777777" w:rsidR="006716C2" w:rsidRDefault="006716C2" w:rsidP="006716C2">
      <w:pPr>
        <w:pStyle w:val="Normal1"/>
        <w:widowControl/>
        <w:jc w:val="left"/>
        <w:rPr>
          <w:b/>
        </w:rPr>
      </w:pPr>
    </w:p>
    <w:p w14:paraId="3D85CB6F" w14:textId="77777777" w:rsidR="006716C2" w:rsidRDefault="006716C2" w:rsidP="006716C2">
      <w:pPr>
        <w:pStyle w:val="Normal1"/>
        <w:spacing w:after="120"/>
        <w:ind w:right="18"/>
        <w:jc w:val="left"/>
      </w:pPr>
      <w:r>
        <w:t>The goal of the Cleaner Air Oregon program is to evaluate potential risks to people near facilities that emit any of the regulated air toxics in OAR 340-245-8050 Table 5, and ultimately reduce unacceptable risks to acceptable levels. Because the concept of risk is fundamental to the program, we begin with a consideration of risk. Basically, risk is a combination of exposure and toxicity:</w:t>
      </w:r>
    </w:p>
    <w:p w14:paraId="3D85CB70" w14:textId="77777777" w:rsidR="00412C30" w:rsidRPr="00803C4E" w:rsidRDefault="006716C2" w:rsidP="00412C30">
      <w:pPr>
        <w:pStyle w:val="Normal1"/>
        <w:rPr>
          <w:b/>
        </w:rPr>
      </w:pPr>
      <w:r>
        <w:rPr>
          <w:noProof/>
        </w:rPr>
        <w:drawing>
          <wp:anchor distT="0" distB="0" distL="114300" distR="114300" simplePos="0" relativeHeight="251645440" behindDoc="0" locked="0" layoutInCell="1" allowOverlap="1" wp14:anchorId="3D85D505" wp14:editId="3D85D506">
            <wp:simplePos x="0" y="0"/>
            <wp:positionH relativeFrom="margin">
              <wp:posOffset>571500</wp:posOffset>
            </wp:positionH>
            <wp:positionV relativeFrom="paragraph">
              <wp:posOffset>76200</wp:posOffset>
            </wp:positionV>
            <wp:extent cx="838200" cy="279400"/>
            <wp:effectExtent l="0" t="0" r="0" b="0"/>
            <wp:wrapSquare wrapText="bothSides" distT="0" distB="0" distL="114300" distR="114300"/>
            <wp:docPr id="18"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24"/>
                    <a:srcRect/>
                    <a:stretch>
                      <a:fillRect/>
                    </a:stretch>
                  </pic:blipFill>
                  <pic:spPr>
                    <a:xfrm>
                      <a:off x="0" y="0"/>
                      <a:ext cx="838200" cy="279400"/>
                    </a:xfrm>
                    <a:prstGeom prst="rect">
                      <a:avLst/>
                    </a:prstGeom>
                    <a:ln/>
                  </pic:spPr>
                </pic:pic>
              </a:graphicData>
            </a:graphic>
          </wp:anchor>
        </w:drawing>
      </w:r>
      <w:r>
        <w:rPr>
          <w:noProof/>
        </w:rPr>
        <w:drawing>
          <wp:anchor distT="0" distB="0" distL="114300" distR="114300" simplePos="0" relativeHeight="251646464" behindDoc="0" locked="0" layoutInCell="1" allowOverlap="1" wp14:anchorId="3D85D507" wp14:editId="3D85D508">
            <wp:simplePos x="0" y="0"/>
            <wp:positionH relativeFrom="margin">
              <wp:posOffset>1600200</wp:posOffset>
            </wp:positionH>
            <wp:positionV relativeFrom="paragraph">
              <wp:posOffset>12700</wp:posOffset>
            </wp:positionV>
            <wp:extent cx="266700" cy="342900"/>
            <wp:effectExtent l="0" t="0" r="0" b="0"/>
            <wp:wrapSquare wrapText="bothSides" distT="0" distB="0" distL="114300" distR="114300"/>
            <wp:docPr id="15"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5"/>
                    <a:srcRect/>
                    <a:stretch>
                      <a:fillRect/>
                    </a:stretch>
                  </pic:blipFill>
                  <pic:spPr>
                    <a:xfrm>
                      <a:off x="0" y="0"/>
                      <a:ext cx="266700" cy="342900"/>
                    </a:xfrm>
                    <a:prstGeom prst="rect">
                      <a:avLst/>
                    </a:prstGeom>
                    <a:ln/>
                  </pic:spPr>
                </pic:pic>
              </a:graphicData>
            </a:graphic>
          </wp:anchor>
        </w:drawing>
      </w:r>
      <w:r>
        <w:rPr>
          <w:noProof/>
        </w:rPr>
        <w:drawing>
          <wp:anchor distT="0" distB="0" distL="114300" distR="114300" simplePos="0" relativeHeight="251647488" behindDoc="0" locked="0" layoutInCell="1" allowOverlap="1" wp14:anchorId="3D85D509" wp14:editId="3D85D50A">
            <wp:simplePos x="0" y="0"/>
            <wp:positionH relativeFrom="margin">
              <wp:posOffset>2019300</wp:posOffset>
            </wp:positionH>
            <wp:positionV relativeFrom="paragraph">
              <wp:posOffset>76200</wp:posOffset>
            </wp:positionV>
            <wp:extent cx="711200" cy="279400"/>
            <wp:effectExtent l="0" t="0" r="0" b="0"/>
            <wp:wrapSquare wrapText="bothSides" distT="0" distB="0" distL="114300" distR="114300"/>
            <wp:docPr id="22"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26"/>
                    <a:srcRect/>
                    <a:stretch>
                      <a:fillRect/>
                    </a:stretch>
                  </pic:blipFill>
                  <pic:spPr>
                    <a:xfrm>
                      <a:off x="0" y="0"/>
                      <a:ext cx="711200" cy="279400"/>
                    </a:xfrm>
                    <a:prstGeom prst="rect">
                      <a:avLst/>
                    </a:prstGeom>
                    <a:ln/>
                  </pic:spPr>
                </pic:pic>
              </a:graphicData>
            </a:graphic>
          </wp:anchor>
        </w:drawing>
      </w:r>
      <w:r>
        <w:rPr>
          <w:noProof/>
        </w:rPr>
        <w:drawing>
          <wp:anchor distT="0" distB="0" distL="114300" distR="114300" simplePos="0" relativeHeight="251648512" behindDoc="0" locked="0" layoutInCell="1" allowOverlap="1" wp14:anchorId="3D85D50B" wp14:editId="3D85D50C">
            <wp:simplePos x="0" y="0"/>
            <wp:positionH relativeFrom="margin">
              <wp:posOffset>3784600</wp:posOffset>
            </wp:positionH>
            <wp:positionV relativeFrom="paragraph">
              <wp:posOffset>76200</wp:posOffset>
            </wp:positionV>
            <wp:extent cx="495300" cy="279400"/>
            <wp:effectExtent l="0" t="0" r="0" b="0"/>
            <wp:wrapSquare wrapText="bothSides" distT="0" distB="0" distL="114300" distR="114300"/>
            <wp:docPr id="17"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27"/>
                    <a:srcRect/>
                    <a:stretch>
                      <a:fillRect/>
                    </a:stretch>
                  </pic:blipFill>
                  <pic:spPr>
                    <a:xfrm>
                      <a:off x="0" y="0"/>
                      <a:ext cx="495300" cy="279400"/>
                    </a:xfrm>
                    <a:prstGeom prst="rect">
                      <a:avLst/>
                    </a:prstGeom>
                    <a:ln/>
                  </pic:spPr>
                </pic:pic>
              </a:graphicData>
            </a:graphic>
          </wp:anchor>
        </w:drawing>
      </w:r>
      <w:r>
        <w:rPr>
          <w:noProof/>
        </w:rPr>
        <w:drawing>
          <wp:anchor distT="0" distB="0" distL="114300" distR="114300" simplePos="0" relativeHeight="251649536" behindDoc="0" locked="0" layoutInCell="1" allowOverlap="1" wp14:anchorId="3D85D50D" wp14:editId="3D85D50E">
            <wp:simplePos x="0" y="0"/>
            <wp:positionH relativeFrom="margin">
              <wp:posOffset>3009900</wp:posOffset>
            </wp:positionH>
            <wp:positionV relativeFrom="paragraph">
              <wp:posOffset>50800</wp:posOffset>
            </wp:positionV>
            <wp:extent cx="571500" cy="342900"/>
            <wp:effectExtent l="0" t="0" r="0" b="0"/>
            <wp:wrapNone/>
            <wp:docPr id="14"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8"/>
                    <a:srcRect/>
                    <a:stretch>
                      <a:fillRect/>
                    </a:stretch>
                  </pic:blipFill>
                  <pic:spPr>
                    <a:xfrm>
                      <a:off x="0" y="0"/>
                      <a:ext cx="571500" cy="342900"/>
                    </a:xfrm>
                    <a:prstGeom prst="rect">
                      <a:avLst/>
                    </a:prstGeom>
                    <a:ln/>
                  </pic:spPr>
                </pic:pic>
              </a:graphicData>
            </a:graphic>
          </wp:anchor>
        </w:drawing>
      </w:r>
    </w:p>
    <w:p w14:paraId="3D85CB71" w14:textId="77777777" w:rsidR="00412C30" w:rsidRPr="00803C4E" w:rsidRDefault="00D05E23" w:rsidP="00412C30">
      <w:pPr>
        <w:rPr>
          <w:b/>
        </w:rPr>
      </w:pPr>
      <w:r>
        <w:rPr>
          <w:b/>
          <w:noProof/>
        </w:rPr>
        <mc:AlternateContent>
          <mc:Choice Requires="wps">
            <w:drawing>
              <wp:anchor distT="0" distB="0" distL="114300" distR="114300" simplePos="0" relativeHeight="251655680" behindDoc="0" locked="0" layoutInCell="1" allowOverlap="1" wp14:anchorId="3D85D50F" wp14:editId="3D85D510">
                <wp:simplePos x="0" y="0"/>
                <wp:positionH relativeFrom="column">
                  <wp:posOffset>3021965</wp:posOffset>
                </wp:positionH>
                <wp:positionV relativeFrom="paragraph">
                  <wp:posOffset>56515</wp:posOffset>
                </wp:positionV>
                <wp:extent cx="571500" cy="342900"/>
                <wp:effectExtent l="2540" t="0" r="0" b="3810"/>
                <wp:wrapNone/>
                <wp:docPr id="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55B" w14:textId="77777777" w:rsidR="003C6ED1" w:rsidRPr="002C3BBF" w:rsidRDefault="003C6ED1" w:rsidP="00412C30">
                            <w:pPr>
                              <w:jc w:val="center"/>
                              <w:rPr>
                                <w:sz w:val="40"/>
                                <w:szCs w:val="40"/>
                              </w:rPr>
                            </w:pPr>
                            <w:r w:rsidRPr="002C3BBF">
                              <w:rPr>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5D50F" id="Text Box 54" o:spid="_x0000_s1027" type="#_x0000_t202" style="position:absolute;margin-left:237.95pt;margin-top:4.45pt;width:4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vAgwIAABc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" stroked="f">
                <v:textbox>
                  <w:txbxContent>
                    <w:p w14:paraId="3D85D55B" w14:textId="77777777" w:rsidR="003C6ED1" w:rsidRPr="002C3BBF" w:rsidRDefault="003C6ED1" w:rsidP="00412C30">
                      <w:pPr>
                        <w:jc w:val="center"/>
                        <w:rPr>
                          <w:sz w:val="40"/>
                          <w:szCs w:val="40"/>
                        </w:rPr>
                      </w:pPr>
                      <w:r w:rsidRPr="002C3BBF">
                        <w:rPr>
                          <w:sz w:val="40"/>
                          <w:szCs w:val="40"/>
                        </w:rPr>
                        <w: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D85D511" wp14:editId="3D85D512">
                <wp:simplePos x="0" y="0"/>
                <wp:positionH relativeFrom="column">
                  <wp:posOffset>3792220</wp:posOffset>
                </wp:positionH>
                <wp:positionV relativeFrom="paragraph">
                  <wp:posOffset>89535</wp:posOffset>
                </wp:positionV>
                <wp:extent cx="488950" cy="276225"/>
                <wp:effectExtent l="10795" t="10160" r="5080" b="8890"/>
                <wp:wrapSquare wrapText="bothSides"/>
                <wp:docPr id="2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276225"/>
                        </a:xfrm>
                        <a:prstGeom prst="rect">
                          <a:avLst/>
                        </a:prstGeom>
                        <a:solidFill>
                          <a:srgbClr val="FFFFFF"/>
                        </a:solidFill>
                        <a:ln w="9525">
                          <a:solidFill>
                            <a:srgbClr val="000000"/>
                          </a:solidFill>
                          <a:miter lim="800000"/>
                          <a:headEnd/>
                          <a:tailEnd/>
                        </a:ln>
                      </wps:spPr>
                      <wps:txbx>
                        <w:txbxContent>
                          <w:p w14:paraId="3D85D55C" w14:textId="77777777" w:rsidR="003C6ED1" w:rsidRPr="00412C30" w:rsidRDefault="003C6ED1" w:rsidP="00412C30">
                            <w:pPr>
                              <w:jc w:val="center"/>
                              <w:rPr>
                                <w:rFonts w:ascii="Arial" w:hAnsi="Arial" w:cs="Arial"/>
                                <w:noProof/>
                                <w:sz w:val="24"/>
                                <w:szCs w:val="24"/>
                              </w:rPr>
                            </w:pPr>
                            <w:r w:rsidRPr="00412C30">
                              <w:rPr>
                                <w:rFonts w:ascii="Arial" w:hAnsi="Arial" w:cs="Arial"/>
                                <w:sz w:val="24"/>
                                <w:szCs w:val="24"/>
                              </w:rPr>
                              <w:t>Risk</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85D511" id="Text Box 53" o:spid="_x0000_s1028" type="#_x0000_t202" style="position:absolute;margin-left:298.6pt;margin-top:7.05pt;width:38.5pt;height:21.7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">
                <v:textbox style="mso-fit-shape-to-text:t">
                  <w:txbxContent>
                    <w:p w14:paraId="3D85D55C" w14:textId="77777777" w:rsidR="003C6ED1" w:rsidRPr="00412C30" w:rsidRDefault="003C6ED1" w:rsidP="00412C30">
                      <w:pPr>
                        <w:jc w:val="center"/>
                        <w:rPr>
                          <w:rFonts w:ascii="Arial" w:hAnsi="Arial" w:cs="Arial"/>
                          <w:noProof/>
                          <w:sz w:val="24"/>
                          <w:szCs w:val="24"/>
                        </w:rPr>
                      </w:pPr>
                      <w:r w:rsidRPr="00412C30">
                        <w:rPr>
                          <w:rFonts w:ascii="Arial" w:hAnsi="Arial" w:cs="Arial"/>
                          <w:sz w:val="24"/>
                          <w:szCs w:val="24"/>
                        </w:rPr>
                        <w:t>Risk</w:t>
                      </w:r>
                    </w:p>
                  </w:txbxContent>
                </v:textbox>
                <w10:wrap type="square"/>
              </v:shape>
            </w:pict>
          </mc:Fallback>
        </mc:AlternateContent>
      </w:r>
      <w:r>
        <w:rPr>
          <w:noProof/>
        </w:rPr>
        <mc:AlternateContent>
          <mc:Choice Requires="wps">
            <w:drawing>
              <wp:anchor distT="0" distB="0" distL="114300" distR="114300" simplePos="0" relativeHeight="251657728" behindDoc="0" locked="0" layoutInCell="1" allowOverlap="1" wp14:anchorId="3D85D513" wp14:editId="3D85D514">
                <wp:simplePos x="0" y="0"/>
                <wp:positionH relativeFrom="column">
                  <wp:posOffset>2035810</wp:posOffset>
                </wp:positionH>
                <wp:positionV relativeFrom="paragraph">
                  <wp:posOffset>89535</wp:posOffset>
                </wp:positionV>
                <wp:extent cx="709295" cy="276225"/>
                <wp:effectExtent l="6985" t="10160" r="7620" b="8890"/>
                <wp:wrapSquare wrapText="bothSides"/>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76225"/>
                        </a:xfrm>
                        <a:prstGeom prst="rect">
                          <a:avLst/>
                        </a:prstGeom>
                        <a:solidFill>
                          <a:srgbClr val="FFFFFF"/>
                        </a:solidFill>
                        <a:ln w="9525">
                          <a:solidFill>
                            <a:srgbClr val="000000"/>
                          </a:solidFill>
                          <a:miter lim="800000"/>
                          <a:headEnd/>
                          <a:tailEnd/>
                        </a:ln>
                      </wps:spPr>
                      <wps:txbx>
                        <w:txbxContent>
                          <w:p w14:paraId="3D85D55D" w14:textId="77777777" w:rsidR="003C6ED1" w:rsidRPr="00412C30" w:rsidRDefault="003C6ED1" w:rsidP="00412C30">
                            <w:pPr>
                              <w:jc w:val="center"/>
                              <w:rPr>
                                <w:rFonts w:ascii="Arial" w:hAnsi="Arial" w:cs="Arial"/>
                                <w:noProof/>
                                <w:sz w:val="24"/>
                                <w:szCs w:val="24"/>
                              </w:rPr>
                            </w:pPr>
                            <w:r w:rsidRPr="00412C30">
                              <w:rPr>
                                <w:rFonts w:ascii="Arial" w:hAnsi="Arial" w:cs="Arial"/>
                                <w:sz w:val="24"/>
                                <w:szCs w:val="24"/>
                              </w:rPr>
                              <w:t>Toxicity</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85D513" id="Text Box 52" o:spid="_x0000_s1029" type="#_x0000_t202" style="position:absolute;margin-left:160.3pt;margin-top:7.05pt;width:55.85pt;height:21.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">
                <v:textbox style="mso-fit-shape-to-text:t">
                  <w:txbxContent>
                    <w:p w14:paraId="3D85D55D" w14:textId="77777777" w:rsidR="003C6ED1" w:rsidRPr="00412C30" w:rsidRDefault="003C6ED1" w:rsidP="00412C30">
                      <w:pPr>
                        <w:jc w:val="center"/>
                        <w:rPr>
                          <w:rFonts w:ascii="Arial" w:hAnsi="Arial" w:cs="Arial"/>
                          <w:noProof/>
                          <w:sz w:val="24"/>
                          <w:szCs w:val="24"/>
                        </w:rPr>
                      </w:pPr>
                      <w:r w:rsidRPr="00412C30">
                        <w:rPr>
                          <w:rFonts w:ascii="Arial" w:hAnsi="Arial" w:cs="Arial"/>
                          <w:sz w:val="24"/>
                          <w:szCs w:val="24"/>
                        </w:rPr>
                        <w:t>Toxicity</w:t>
                      </w:r>
                    </w:p>
                  </w:txbxContent>
                </v:textbox>
                <w10:wrap type="square"/>
              </v:shape>
            </w:pict>
          </mc:Fallback>
        </mc:AlternateContent>
      </w:r>
      <w:r>
        <w:rPr>
          <w:noProof/>
        </w:rPr>
        <mc:AlternateContent>
          <mc:Choice Requires="wps">
            <w:drawing>
              <wp:anchor distT="0" distB="0" distL="114300" distR="114300" simplePos="0" relativeHeight="251658752" behindDoc="0" locked="0" layoutInCell="1" allowOverlap="1" wp14:anchorId="3D85D515" wp14:editId="3D85D516">
                <wp:simplePos x="0" y="0"/>
                <wp:positionH relativeFrom="column">
                  <wp:posOffset>1616710</wp:posOffset>
                </wp:positionH>
                <wp:positionV relativeFrom="paragraph">
                  <wp:posOffset>22860</wp:posOffset>
                </wp:positionV>
                <wp:extent cx="263525" cy="342900"/>
                <wp:effectExtent l="0" t="635" r="0" b="0"/>
                <wp:wrapSquare wrapText="bothSides"/>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55E" w14:textId="77777777" w:rsidR="003C6ED1" w:rsidRPr="00F24526" w:rsidRDefault="003C6ED1" w:rsidP="00412C30">
                            <w:pPr>
                              <w:rPr>
                                <w:szCs w:val="36"/>
                              </w:rPr>
                            </w:pPr>
                            <w:r>
                              <w:rPr>
                                <w:sz w:val="36"/>
                                <w:szCs w:val="36"/>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5D515" id="Text Box 51" o:spid="_x0000_s1030" type="#_x0000_t202" style="position:absolute;margin-left:127.3pt;margin-top:1.8pt;width:20.75pt;height:27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" stroked="f">
                <v:textbox>
                  <w:txbxContent>
                    <w:p w14:paraId="3D85D55E" w14:textId="77777777" w:rsidR="003C6ED1" w:rsidRPr="00F24526" w:rsidRDefault="003C6ED1" w:rsidP="00412C30">
                      <w:pPr>
                        <w:rPr>
                          <w:szCs w:val="36"/>
                        </w:rPr>
                      </w:pPr>
                      <w:r>
                        <w:rPr>
                          <w:sz w:val="36"/>
                          <w:szCs w:val="36"/>
                        </w:rPr>
                        <w:t>•</w:t>
                      </w:r>
                    </w:p>
                  </w:txbxContent>
                </v:textbox>
                <w10:wrap type="square"/>
              </v:shape>
            </w:pict>
          </mc:Fallback>
        </mc:AlternateContent>
      </w:r>
      <w:r>
        <w:rPr>
          <w:noProof/>
        </w:rPr>
        <mc:AlternateContent>
          <mc:Choice Requires="wps">
            <w:drawing>
              <wp:anchor distT="0" distB="0" distL="114300" distR="114300" simplePos="0" relativeHeight="251659776" behindDoc="0" locked="0" layoutInCell="1" allowOverlap="1" wp14:anchorId="3D85D517" wp14:editId="3D85D518">
                <wp:simplePos x="0" y="0"/>
                <wp:positionH relativeFrom="column">
                  <wp:posOffset>581660</wp:posOffset>
                </wp:positionH>
                <wp:positionV relativeFrom="paragraph">
                  <wp:posOffset>89535</wp:posOffset>
                </wp:positionV>
                <wp:extent cx="836295" cy="276225"/>
                <wp:effectExtent l="10160" t="10160" r="10795" b="8890"/>
                <wp:wrapSquare wrapText="bothSides"/>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76225"/>
                        </a:xfrm>
                        <a:prstGeom prst="rect">
                          <a:avLst/>
                        </a:prstGeom>
                        <a:solidFill>
                          <a:srgbClr val="FFFFFF"/>
                        </a:solidFill>
                        <a:ln w="9525">
                          <a:solidFill>
                            <a:srgbClr val="000000"/>
                          </a:solidFill>
                          <a:miter lim="800000"/>
                          <a:headEnd/>
                          <a:tailEnd/>
                        </a:ln>
                      </wps:spPr>
                      <wps:txbx>
                        <w:txbxContent>
                          <w:p w14:paraId="3D85D55F" w14:textId="77777777" w:rsidR="003C6ED1" w:rsidRPr="00412C30" w:rsidRDefault="003C6ED1" w:rsidP="00412C30">
                            <w:pPr>
                              <w:jc w:val="center"/>
                              <w:rPr>
                                <w:rFonts w:ascii="Arial" w:hAnsi="Arial" w:cs="Arial"/>
                                <w:sz w:val="24"/>
                                <w:szCs w:val="24"/>
                              </w:rPr>
                            </w:pPr>
                            <w:r w:rsidRPr="00412C30">
                              <w:rPr>
                                <w:rFonts w:ascii="Arial" w:hAnsi="Arial" w:cs="Arial"/>
                                <w:sz w:val="24"/>
                                <w:szCs w:val="24"/>
                              </w:rPr>
                              <w:t>Exposure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85D517" id="Text Box 50" o:spid="_x0000_s1031" type="#_x0000_t202" style="position:absolute;margin-left:45.8pt;margin-top:7.05pt;width:65.85pt;height:21.7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">
                <v:textbox style="mso-fit-shape-to-text:t">
                  <w:txbxContent>
                    <w:p w14:paraId="3D85D55F" w14:textId="77777777" w:rsidR="003C6ED1" w:rsidRPr="00412C30" w:rsidRDefault="003C6ED1" w:rsidP="00412C30">
                      <w:pPr>
                        <w:jc w:val="center"/>
                        <w:rPr>
                          <w:rFonts w:ascii="Arial" w:hAnsi="Arial" w:cs="Arial"/>
                          <w:sz w:val="24"/>
                          <w:szCs w:val="24"/>
                        </w:rPr>
                      </w:pPr>
                      <w:r w:rsidRPr="00412C30">
                        <w:rPr>
                          <w:rFonts w:ascii="Arial" w:hAnsi="Arial" w:cs="Arial"/>
                          <w:sz w:val="24"/>
                          <w:szCs w:val="24"/>
                        </w:rPr>
                        <w:t>Exposure</w:t>
                      </w:r>
                    </w:p>
                  </w:txbxContent>
                </v:textbox>
                <w10:wrap type="square"/>
              </v:shape>
            </w:pict>
          </mc:Fallback>
        </mc:AlternateContent>
      </w:r>
    </w:p>
    <w:p w14:paraId="3D85CB72" w14:textId="77777777" w:rsidR="00412C30" w:rsidRDefault="00412C30" w:rsidP="00412C30"/>
    <w:p w14:paraId="3D85CB73" w14:textId="77777777" w:rsidR="00412C30" w:rsidRDefault="00412C30" w:rsidP="00412C30"/>
    <w:p w14:paraId="3D85CB74" w14:textId="77777777" w:rsidR="006716C2" w:rsidRDefault="006716C2" w:rsidP="006716C2">
      <w:pPr>
        <w:pStyle w:val="Normal1"/>
      </w:pPr>
    </w:p>
    <w:p w14:paraId="3D85CB75" w14:textId="77777777" w:rsidR="006716C2" w:rsidRDefault="006716C2" w:rsidP="006716C2">
      <w:pPr>
        <w:pStyle w:val="Normal1"/>
        <w:spacing w:after="120"/>
        <w:ind w:right="18"/>
        <w:jc w:val="left"/>
      </w:pPr>
      <w:r>
        <w:t>Exposure is how much contact someone has with a chemical. This mainly includes the concentration of the chemical in air, typically expressed as micrograms of chemical per cubic meter of air (µg/m</w:t>
      </w:r>
      <w:r>
        <w:rPr>
          <w:vertAlign w:val="superscript"/>
        </w:rPr>
        <w:t>3</w:t>
      </w:r>
      <w:r>
        <w:t xml:space="preserve">). The greater the concentration of a chemical in air, the greater the risk. Other considerations for exposure include how long the exposure occurs, which for chronic exposure would include both exposure frequency, such as 8 hours per day for workers, and exposure duration, such as 25 years. Acute effects are evaluated for exposure to a chemical for a day or less. </w:t>
      </w:r>
    </w:p>
    <w:p w14:paraId="3D85CB76" w14:textId="77777777" w:rsidR="006716C2" w:rsidRDefault="006716C2" w:rsidP="006716C2">
      <w:pPr>
        <w:pStyle w:val="Normal1"/>
        <w:spacing w:after="120"/>
        <w:ind w:right="18"/>
        <w:jc w:val="left"/>
      </w:pPr>
      <w:r>
        <w:t xml:space="preserve">Toxicity is a measure of how harmful a chemical is if someone is exposed to it. The two general types of toxic effects, noncancer and cancer, are evaluated separately. For noncancer effects, we assume there is a threshold below which toxic effects are unlikely to occur. This level is called a reference concentration (RfC). </w:t>
      </w:r>
    </w:p>
    <w:p w14:paraId="3D85CB77" w14:textId="77777777" w:rsidR="006716C2" w:rsidRDefault="006716C2" w:rsidP="006716C2">
      <w:pPr>
        <w:pStyle w:val="Normal1"/>
        <w:spacing w:after="120"/>
        <w:ind w:right="18"/>
        <w:jc w:val="left"/>
      </w:pPr>
      <w:r>
        <w:t>For cancer effects, the assumption is that there is no threshold for adverse effects. Although the risk at a very low concentration of a carcinogen may be very low, we assume it is not zero. Because of this assumption, the toxicity of carcinogens is given not as a threshold concentration, but instead as a probability of getting cancer if exposed to a concentration of 1 microgram per cubic meter, or µg/m</w:t>
      </w:r>
      <w:r>
        <w:rPr>
          <w:vertAlign w:val="superscript"/>
        </w:rPr>
        <w:t>3</w:t>
      </w:r>
      <w:r>
        <w:t xml:space="preserve">. This value is called the Inhalation Unit Risk (IUR) value. For ease of use in assessing risk in the Cleaner Air Oregon program, IURs were converted to concentrations using a target excess lifetime cancer risk level of one in one million. </w:t>
      </w:r>
    </w:p>
    <w:p w14:paraId="3D85CB78" w14:textId="77777777" w:rsidR="006716C2" w:rsidRDefault="006716C2" w:rsidP="006716C2">
      <w:pPr>
        <w:pStyle w:val="Normal1"/>
        <w:spacing w:after="120"/>
        <w:ind w:right="18"/>
        <w:jc w:val="left"/>
      </w:pPr>
      <w:r>
        <w:t xml:space="preserve">Roughly speaking, if one million people are exposed to an excess cancer risk of one in one million, we would expect about one additional cancer in the population, compared with the already-existing nationwide background level of approximately 400,000 cancers per million people. We expect the number of people exposed to air toxics from a single facility to be far less than one million, so the calculated excess cancers in the exposed population (called a cancer burden) as a result of emissions from a facility is expected to be much less than 1. To be clear, DEQ looks at individual probabilities resulting from exposure to air toxics, and not a total population cancer burden. </w:t>
      </w:r>
    </w:p>
    <w:p w14:paraId="3D85CB79" w14:textId="77777777" w:rsidR="006716C2" w:rsidRDefault="006716C2" w:rsidP="006716C2">
      <w:pPr>
        <w:pStyle w:val="Normal1"/>
        <w:spacing w:after="120"/>
        <w:ind w:right="18"/>
        <w:jc w:val="left"/>
      </w:pPr>
      <w:r>
        <w:t xml:space="preserve">Chemicals may have both noncancer and cancer effects. As a general term, we use Toxicity Reference Value (TRV) to mean either the noncancer reference concentration, or a concentration based on the cancer inhalation unit risk value. Toxicity reference values only consider risks from direct inhalation of some concentration of a chemical in the air. They do not consider risks from cross-media exposure, such as eating vegetables grown in soil where chemicals settled out of air into the soil and got taken up into the vegetables. To address cross-media risk, an adjustment </w:t>
      </w:r>
      <w:r w:rsidR="008F0F3B">
        <w:t>is</w:t>
      </w:r>
      <w:r>
        <w:t xml:space="preserve"> made to the toxicity reference value like the ones described in Section 2.2.2 later in this document, and presented in OAR 340-245-8040 Table 4.  </w:t>
      </w:r>
    </w:p>
    <w:p w14:paraId="3D85CB7A" w14:textId="77777777" w:rsidR="006716C2" w:rsidRDefault="006716C2" w:rsidP="006716C2">
      <w:pPr>
        <w:pStyle w:val="Normal1"/>
        <w:ind w:right="18"/>
        <w:jc w:val="left"/>
      </w:pPr>
      <w:r>
        <w:t>DEQ developed RBCs for each air toxic from a selected risk level using standard exposure and toxicity assumptions. Separate RBCs are identified for cancer risk, acute noncancer risk, and chronic noncancer risk. Developing RBCs is essentially the inverse of calculating risk.</w:t>
      </w:r>
    </w:p>
    <w:p w14:paraId="3D85CB7B" w14:textId="77777777" w:rsidR="006716C2" w:rsidRDefault="006716C2" w:rsidP="006716C2">
      <w:pPr>
        <w:pStyle w:val="Normal1"/>
        <w:jc w:val="left"/>
      </w:pPr>
    </w:p>
    <w:p w14:paraId="3D85CB7C" w14:textId="77777777" w:rsidR="00412C30" w:rsidRDefault="00D05E23" w:rsidP="00412C30">
      <w:r>
        <w:rPr>
          <w:noProof/>
        </w:rPr>
        <mc:AlternateContent>
          <mc:Choice Requires="wps">
            <w:drawing>
              <wp:anchor distT="0" distB="0" distL="114300" distR="114300" simplePos="0" relativeHeight="251663872" behindDoc="0" locked="0" layoutInCell="1" allowOverlap="1" wp14:anchorId="3D85D519" wp14:editId="3D85D51A">
                <wp:simplePos x="0" y="0"/>
                <wp:positionH relativeFrom="column">
                  <wp:posOffset>3063240</wp:posOffset>
                </wp:positionH>
                <wp:positionV relativeFrom="paragraph">
                  <wp:posOffset>150495</wp:posOffset>
                </wp:positionV>
                <wp:extent cx="571500" cy="342900"/>
                <wp:effectExtent l="0" t="1270" r="381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560" w14:textId="77777777" w:rsidR="003C6ED1" w:rsidRPr="002C3BBF" w:rsidRDefault="003C6ED1" w:rsidP="00412C30">
                            <w:pPr>
                              <w:rPr>
                                <w:sz w:val="40"/>
                                <w:szCs w:val="40"/>
                              </w:rPr>
                            </w:pPr>
                            <w:r w:rsidRPr="002C3BBF">
                              <w:rPr>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5D519" id="Text Box 56" o:spid="_x0000_s1032" type="#_x0000_t202" style="position:absolute;margin-left:241.2pt;margin-top:11.85pt;width:4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" stroked="f">
                <v:textbox>
                  <w:txbxContent>
                    <w:p w14:paraId="3D85D560" w14:textId="77777777" w:rsidR="003C6ED1" w:rsidRPr="002C3BBF" w:rsidRDefault="003C6ED1" w:rsidP="00412C30">
                      <w:pPr>
                        <w:rPr>
                          <w:sz w:val="40"/>
                          <w:szCs w:val="40"/>
                        </w:rPr>
                      </w:pPr>
                      <w:r w:rsidRPr="002C3BBF">
                        <w:rPr>
                          <w:sz w:val="40"/>
                          <w:szCs w:val="40"/>
                        </w:rPr>
                        <w:t>→</w:t>
                      </w:r>
                    </w:p>
                  </w:txbxContent>
                </v:textbox>
              </v:shape>
            </w:pict>
          </mc:Fallback>
        </mc:AlternateContent>
      </w:r>
    </w:p>
    <w:p w14:paraId="3D85CB7D" w14:textId="77777777" w:rsidR="00412C30" w:rsidRDefault="00D05E23" w:rsidP="00412C30">
      <w:r>
        <w:rPr>
          <w:noProof/>
        </w:rPr>
        <mc:AlternateContent>
          <mc:Choice Requires="wps">
            <w:drawing>
              <wp:anchor distT="0" distB="0" distL="114300" distR="114300" simplePos="0" relativeHeight="251665920" behindDoc="0" locked="0" layoutInCell="1" allowOverlap="1" wp14:anchorId="3D85D51B" wp14:editId="3D85D51C">
                <wp:simplePos x="0" y="0"/>
                <wp:positionH relativeFrom="column">
                  <wp:posOffset>3792220</wp:posOffset>
                </wp:positionH>
                <wp:positionV relativeFrom="paragraph">
                  <wp:posOffset>56515</wp:posOffset>
                </wp:positionV>
                <wp:extent cx="1963420" cy="276225"/>
                <wp:effectExtent l="10795" t="10795" r="6985" b="8255"/>
                <wp:wrapSquare wrapText="bothSides"/>
                <wp:docPr id="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276225"/>
                        </a:xfrm>
                        <a:prstGeom prst="rect">
                          <a:avLst/>
                        </a:prstGeom>
                        <a:solidFill>
                          <a:srgbClr val="FFFFFF"/>
                        </a:solidFill>
                        <a:ln w="9525">
                          <a:solidFill>
                            <a:srgbClr val="000000"/>
                          </a:solidFill>
                          <a:miter lim="800000"/>
                          <a:headEnd/>
                          <a:tailEnd/>
                        </a:ln>
                      </wps:spPr>
                      <wps:txbx>
                        <w:txbxContent>
                          <w:p w14:paraId="3D85D561" w14:textId="77777777" w:rsidR="003C6ED1" w:rsidRPr="00412C30" w:rsidRDefault="003C6ED1" w:rsidP="00412C30">
                            <w:pPr>
                              <w:jc w:val="center"/>
                              <w:rPr>
                                <w:rFonts w:ascii="Arial" w:hAnsi="Arial" w:cs="Arial"/>
                                <w:noProof/>
                                <w:sz w:val="24"/>
                                <w:szCs w:val="24"/>
                              </w:rPr>
                            </w:pPr>
                            <w:r w:rsidRPr="00412C30">
                              <w:rPr>
                                <w:rFonts w:ascii="Arial" w:hAnsi="Arial" w:cs="Arial"/>
                                <w:sz w:val="24"/>
                                <w:szCs w:val="24"/>
                              </w:rPr>
                              <w:t>Risk-Based Concentration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85D51B" id="Text Box 58" o:spid="_x0000_s1033" type="#_x0000_t202" style="position:absolute;margin-left:298.6pt;margin-top:4.45pt;width:154.6pt;height:21.7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">
                <v:textbox style="mso-fit-shape-to-text:t">
                  <w:txbxContent>
                    <w:p w14:paraId="3D85D561" w14:textId="77777777" w:rsidR="003C6ED1" w:rsidRPr="00412C30" w:rsidRDefault="003C6ED1" w:rsidP="00412C30">
                      <w:pPr>
                        <w:jc w:val="center"/>
                        <w:rPr>
                          <w:rFonts w:ascii="Arial" w:hAnsi="Arial" w:cs="Arial"/>
                          <w:noProof/>
                          <w:sz w:val="24"/>
                          <w:szCs w:val="24"/>
                        </w:rPr>
                      </w:pPr>
                      <w:r w:rsidRPr="00412C30">
                        <w:rPr>
                          <w:rFonts w:ascii="Arial" w:hAnsi="Arial" w:cs="Arial"/>
                          <w:sz w:val="24"/>
                          <w:szCs w:val="24"/>
                        </w:rPr>
                        <w:t>Risk-Based Concentration</w:t>
                      </w:r>
                    </w:p>
                  </w:txbxContent>
                </v:textbox>
                <w10:wrap type="square"/>
              </v:shape>
            </w:pict>
          </mc:Fallback>
        </mc:AlternateContent>
      </w:r>
      <w:r>
        <w:rPr>
          <w:noProof/>
        </w:rPr>
        <mc:AlternateContent>
          <mc:Choice Requires="wps">
            <w:drawing>
              <wp:anchor distT="0" distB="0" distL="114300" distR="114300" simplePos="0" relativeHeight="251662848" behindDoc="0" locked="0" layoutInCell="1" allowOverlap="1" wp14:anchorId="3D85D51D" wp14:editId="3D85D51E">
                <wp:simplePos x="0" y="0"/>
                <wp:positionH relativeFrom="column">
                  <wp:posOffset>1772285</wp:posOffset>
                </wp:positionH>
                <wp:positionV relativeFrom="paragraph">
                  <wp:posOffset>7620</wp:posOffset>
                </wp:positionV>
                <wp:extent cx="263525" cy="342900"/>
                <wp:effectExtent l="635" t="0" r="2540" b="0"/>
                <wp:wrapSquare wrapText="bothSides"/>
                <wp:docPr id="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562" w14:textId="77777777" w:rsidR="003C6ED1" w:rsidRPr="00F24526" w:rsidRDefault="003C6ED1" w:rsidP="00412C30">
                            <w:pPr>
                              <w:rPr>
                                <w:szCs w:val="36"/>
                              </w:rPr>
                            </w:pPr>
                            <w:r>
                              <w:rPr>
                                <w:sz w:val="36"/>
                                <w:szCs w:val="36"/>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5D51D" id="Text Box 55" o:spid="_x0000_s1034" type="#_x0000_t202" style="position:absolute;margin-left:139.55pt;margin-top:.6pt;width:20.75pt;height:27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" stroked="f">
                <v:textbox>
                  <w:txbxContent>
                    <w:p w14:paraId="3D85D562" w14:textId="77777777" w:rsidR="003C6ED1" w:rsidRPr="00F24526" w:rsidRDefault="003C6ED1" w:rsidP="00412C30">
                      <w:pPr>
                        <w:rPr>
                          <w:szCs w:val="36"/>
                        </w:rPr>
                      </w:pPr>
                      <w:r>
                        <w:rPr>
                          <w:sz w:val="36"/>
                          <w:szCs w:val="36"/>
                        </w:rPr>
                        <w:t>•</w:t>
                      </w:r>
                    </w:p>
                  </w:txbxContent>
                </v:textbox>
                <w10:wrap type="square"/>
              </v:shape>
            </w:pict>
          </mc:Fallback>
        </mc:AlternateContent>
      </w:r>
      <w:r>
        <w:rPr>
          <w:noProof/>
        </w:rPr>
        <mc:AlternateContent>
          <mc:Choice Requires="wps">
            <w:drawing>
              <wp:anchor distT="0" distB="0" distL="114300" distR="114300" simplePos="0" relativeHeight="251666944" behindDoc="0" locked="0" layoutInCell="1" allowOverlap="1" wp14:anchorId="3D85D51F" wp14:editId="3D85D520">
                <wp:simplePos x="0" y="0"/>
                <wp:positionH relativeFrom="column">
                  <wp:posOffset>2084070</wp:posOffset>
                </wp:positionH>
                <wp:positionV relativeFrom="paragraph">
                  <wp:posOffset>56515</wp:posOffset>
                </wp:positionV>
                <wp:extent cx="709295" cy="276225"/>
                <wp:effectExtent l="7620" t="10795" r="6985" b="8255"/>
                <wp:wrapSquare wrapText="bothSides"/>
                <wp:docPr id="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76225"/>
                        </a:xfrm>
                        <a:prstGeom prst="rect">
                          <a:avLst/>
                        </a:prstGeom>
                        <a:solidFill>
                          <a:srgbClr val="FFFFFF"/>
                        </a:solidFill>
                        <a:ln w="9525">
                          <a:solidFill>
                            <a:srgbClr val="000000"/>
                          </a:solidFill>
                          <a:miter lim="800000"/>
                          <a:headEnd/>
                          <a:tailEnd/>
                        </a:ln>
                      </wps:spPr>
                      <wps:txbx>
                        <w:txbxContent>
                          <w:p w14:paraId="3D85D563" w14:textId="77777777" w:rsidR="003C6ED1" w:rsidRPr="00412C30" w:rsidRDefault="003C6ED1" w:rsidP="00412C30">
                            <w:pPr>
                              <w:jc w:val="center"/>
                              <w:rPr>
                                <w:rFonts w:ascii="Arial" w:hAnsi="Arial" w:cs="Arial"/>
                                <w:noProof/>
                                <w:sz w:val="24"/>
                                <w:szCs w:val="24"/>
                              </w:rPr>
                            </w:pPr>
                            <w:r w:rsidRPr="00412C30">
                              <w:rPr>
                                <w:rFonts w:ascii="Arial" w:hAnsi="Arial" w:cs="Arial"/>
                                <w:sz w:val="24"/>
                                <w:szCs w:val="24"/>
                              </w:rPr>
                              <w:t>Toxicity</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85D51F" id="Text Box 59" o:spid="_x0000_s1035" type="#_x0000_t202" style="position:absolute;margin-left:164.1pt;margin-top:4.45pt;width:55.85pt;height:21.75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">
                <v:textbox style="mso-fit-shape-to-text:t">
                  <w:txbxContent>
                    <w:p w14:paraId="3D85D563" w14:textId="77777777" w:rsidR="003C6ED1" w:rsidRPr="00412C30" w:rsidRDefault="003C6ED1" w:rsidP="00412C30">
                      <w:pPr>
                        <w:jc w:val="center"/>
                        <w:rPr>
                          <w:rFonts w:ascii="Arial" w:hAnsi="Arial" w:cs="Arial"/>
                          <w:noProof/>
                          <w:sz w:val="24"/>
                          <w:szCs w:val="24"/>
                        </w:rPr>
                      </w:pPr>
                      <w:r w:rsidRPr="00412C30">
                        <w:rPr>
                          <w:rFonts w:ascii="Arial" w:hAnsi="Arial" w:cs="Arial"/>
                          <w:sz w:val="24"/>
                          <w:szCs w:val="24"/>
                        </w:rPr>
                        <w:t>Toxicity</w:t>
                      </w:r>
                    </w:p>
                  </w:txbxContent>
                </v:textbox>
                <w10:wrap type="square"/>
              </v:shape>
            </w:pict>
          </mc:Fallback>
        </mc:AlternateContent>
      </w:r>
      <w:r>
        <w:rPr>
          <w:noProof/>
        </w:rPr>
        <mc:AlternateContent>
          <mc:Choice Requires="wps">
            <w:drawing>
              <wp:anchor distT="0" distB="0" distL="114300" distR="114300" simplePos="0" relativeHeight="251664896" behindDoc="0" locked="0" layoutInCell="1" allowOverlap="1" wp14:anchorId="3D85D521" wp14:editId="3D85D522">
                <wp:simplePos x="0" y="0"/>
                <wp:positionH relativeFrom="column">
                  <wp:posOffset>55245</wp:posOffset>
                </wp:positionH>
                <wp:positionV relativeFrom="paragraph">
                  <wp:posOffset>56515</wp:posOffset>
                </wp:positionV>
                <wp:extent cx="1662430" cy="276225"/>
                <wp:effectExtent l="7620" t="10795" r="6350" b="8255"/>
                <wp:wrapSquare wrapText="bothSides"/>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276225"/>
                        </a:xfrm>
                        <a:prstGeom prst="rect">
                          <a:avLst/>
                        </a:prstGeom>
                        <a:solidFill>
                          <a:srgbClr val="FFFFFF"/>
                        </a:solidFill>
                        <a:ln w="9525">
                          <a:solidFill>
                            <a:srgbClr val="000000"/>
                          </a:solidFill>
                          <a:miter lim="800000"/>
                          <a:headEnd/>
                          <a:tailEnd/>
                        </a:ln>
                      </wps:spPr>
                      <wps:txbx>
                        <w:txbxContent>
                          <w:p w14:paraId="3D85D564" w14:textId="77777777" w:rsidR="003C6ED1" w:rsidRPr="00412C30" w:rsidRDefault="003C6ED1" w:rsidP="00412C30">
                            <w:pPr>
                              <w:jc w:val="center"/>
                              <w:rPr>
                                <w:rFonts w:ascii="Arial" w:hAnsi="Arial" w:cs="Arial"/>
                                <w:sz w:val="24"/>
                                <w:szCs w:val="24"/>
                              </w:rPr>
                            </w:pPr>
                            <w:r w:rsidRPr="00412C30">
                              <w:rPr>
                                <w:rFonts w:ascii="Arial" w:hAnsi="Arial" w:cs="Arial"/>
                                <w:sz w:val="24"/>
                                <w:szCs w:val="24"/>
                              </w:rPr>
                              <w:t>Target Risk</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85D521" id="Text Box 57" o:spid="_x0000_s1036" type="#_x0000_t202" style="position:absolute;margin-left:4.35pt;margin-top:4.45pt;width:130.9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">
                <v:textbox style="mso-fit-shape-to-text:t">
                  <w:txbxContent>
                    <w:p w14:paraId="3D85D564" w14:textId="77777777" w:rsidR="003C6ED1" w:rsidRPr="00412C30" w:rsidRDefault="003C6ED1" w:rsidP="00412C30">
                      <w:pPr>
                        <w:jc w:val="center"/>
                        <w:rPr>
                          <w:rFonts w:ascii="Arial" w:hAnsi="Arial" w:cs="Arial"/>
                          <w:sz w:val="24"/>
                          <w:szCs w:val="24"/>
                        </w:rPr>
                      </w:pPr>
                      <w:r w:rsidRPr="00412C30">
                        <w:rPr>
                          <w:rFonts w:ascii="Arial" w:hAnsi="Arial" w:cs="Arial"/>
                          <w:sz w:val="24"/>
                          <w:szCs w:val="24"/>
                        </w:rPr>
                        <w:t>Target Risk</w:t>
                      </w:r>
                    </w:p>
                  </w:txbxContent>
                </v:textbox>
                <w10:wrap type="square"/>
              </v:shape>
            </w:pict>
          </mc:Fallback>
        </mc:AlternateContent>
      </w:r>
    </w:p>
    <w:p w14:paraId="3D85CB7E" w14:textId="77777777" w:rsidR="00412C30" w:rsidRDefault="00412C30" w:rsidP="00412C30"/>
    <w:p w14:paraId="3D85CB7F" w14:textId="77777777" w:rsidR="006716C2" w:rsidRDefault="006716C2" w:rsidP="00412C30">
      <w:pPr>
        <w:pStyle w:val="Normal1"/>
        <w:jc w:val="left"/>
      </w:pPr>
      <w:r>
        <w:rPr>
          <w:noProof/>
        </w:rPr>
        <w:drawing>
          <wp:anchor distT="0" distB="0" distL="114300" distR="114300" simplePos="0" relativeHeight="251650560" behindDoc="0" locked="0" layoutInCell="1" allowOverlap="1" wp14:anchorId="3D85D523" wp14:editId="3D85D524">
            <wp:simplePos x="0" y="0"/>
            <wp:positionH relativeFrom="margin">
              <wp:posOffset>3048000</wp:posOffset>
            </wp:positionH>
            <wp:positionV relativeFrom="paragraph">
              <wp:posOffset>139700</wp:posOffset>
            </wp:positionV>
            <wp:extent cx="571500" cy="342900"/>
            <wp:effectExtent l="0" t="0" r="0" b="0"/>
            <wp:wrapNone/>
            <wp:docPr id="19"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9"/>
                    <a:srcRect/>
                    <a:stretch>
                      <a:fillRect/>
                    </a:stretch>
                  </pic:blipFill>
                  <pic:spPr>
                    <a:xfrm>
                      <a:off x="0" y="0"/>
                      <a:ext cx="571500" cy="342900"/>
                    </a:xfrm>
                    <a:prstGeom prst="rect">
                      <a:avLst/>
                    </a:prstGeom>
                    <a:ln/>
                  </pic:spPr>
                </pic:pic>
              </a:graphicData>
            </a:graphic>
          </wp:anchor>
        </w:drawing>
      </w:r>
      <w:r>
        <w:rPr>
          <w:noProof/>
        </w:rPr>
        <w:drawing>
          <wp:anchor distT="0" distB="0" distL="114300" distR="114300" simplePos="0" relativeHeight="251651584" behindDoc="0" locked="0" layoutInCell="1" allowOverlap="1" wp14:anchorId="3D85D525" wp14:editId="3D85D526">
            <wp:simplePos x="0" y="0"/>
            <wp:positionH relativeFrom="margin">
              <wp:posOffset>1765300</wp:posOffset>
            </wp:positionH>
            <wp:positionV relativeFrom="paragraph">
              <wp:posOffset>0</wp:posOffset>
            </wp:positionV>
            <wp:extent cx="266700" cy="342900"/>
            <wp:effectExtent l="0" t="0" r="0" b="0"/>
            <wp:wrapSquare wrapText="bothSides" distT="0" distB="0" distL="114300" distR="114300"/>
            <wp:docPr id="16"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30"/>
                    <a:srcRect/>
                    <a:stretch>
                      <a:fillRect/>
                    </a:stretch>
                  </pic:blipFill>
                  <pic:spPr>
                    <a:xfrm>
                      <a:off x="0" y="0"/>
                      <a:ext cx="266700" cy="342900"/>
                    </a:xfrm>
                    <a:prstGeom prst="rect">
                      <a:avLst/>
                    </a:prstGeom>
                    <a:ln/>
                  </pic:spPr>
                </pic:pic>
              </a:graphicData>
            </a:graphic>
          </wp:anchor>
        </w:drawing>
      </w:r>
      <w:r>
        <w:rPr>
          <w:noProof/>
        </w:rPr>
        <w:drawing>
          <wp:anchor distT="0" distB="0" distL="114300" distR="114300" simplePos="0" relativeHeight="251652608" behindDoc="0" locked="0" layoutInCell="1" allowOverlap="1" wp14:anchorId="3D85D527" wp14:editId="3D85D528">
            <wp:simplePos x="0" y="0"/>
            <wp:positionH relativeFrom="margin">
              <wp:posOffset>38100</wp:posOffset>
            </wp:positionH>
            <wp:positionV relativeFrom="paragraph">
              <wp:posOffset>38100</wp:posOffset>
            </wp:positionV>
            <wp:extent cx="1663700" cy="279400"/>
            <wp:effectExtent l="0" t="0" r="0" b="0"/>
            <wp:wrapSquare wrapText="bothSides" distT="0" distB="0" distL="114300" distR="114300"/>
            <wp:docPr id="20"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31"/>
                    <a:srcRect/>
                    <a:stretch>
                      <a:fillRect/>
                    </a:stretch>
                  </pic:blipFill>
                  <pic:spPr>
                    <a:xfrm>
                      <a:off x="0" y="0"/>
                      <a:ext cx="1663700" cy="279400"/>
                    </a:xfrm>
                    <a:prstGeom prst="rect">
                      <a:avLst/>
                    </a:prstGeom>
                    <a:ln/>
                  </pic:spPr>
                </pic:pic>
              </a:graphicData>
            </a:graphic>
          </wp:anchor>
        </w:drawing>
      </w:r>
      <w:r>
        <w:rPr>
          <w:noProof/>
        </w:rPr>
        <w:drawing>
          <wp:anchor distT="0" distB="0" distL="114300" distR="114300" simplePos="0" relativeHeight="251653632" behindDoc="0" locked="0" layoutInCell="1" allowOverlap="1" wp14:anchorId="3D85D529" wp14:editId="3D85D52A">
            <wp:simplePos x="0" y="0"/>
            <wp:positionH relativeFrom="margin">
              <wp:posOffset>3784600</wp:posOffset>
            </wp:positionH>
            <wp:positionV relativeFrom="paragraph">
              <wp:posOffset>38100</wp:posOffset>
            </wp:positionV>
            <wp:extent cx="1968500" cy="279400"/>
            <wp:effectExtent l="0" t="0" r="0" b="0"/>
            <wp:wrapSquare wrapText="bothSides" distT="0" distB="0" distL="114300" distR="114300"/>
            <wp:docPr id="1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32"/>
                    <a:srcRect/>
                    <a:stretch>
                      <a:fillRect/>
                    </a:stretch>
                  </pic:blipFill>
                  <pic:spPr>
                    <a:xfrm>
                      <a:off x="0" y="0"/>
                      <a:ext cx="1968500" cy="279400"/>
                    </a:xfrm>
                    <a:prstGeom prst="rect">
                      <a:avLst/>
                    </a:prstGeom>
                    <a:ln/>
                  </pic:spPr>
                </pic:pic>
              </a:graphicData>
            </a:graphic>
          </wp:anchor>
        </w:drawing>
      </w:r>
      <w:r>
        <w:rPr>
          <w:noProof/>
        </w:rPr>
        <w:drawing>
          <wp:anchor distT="0" distB="0" distL="114300" distR="114300" simplePos="0" relativeHeight="251654656" behindDoc="0" locked="0" layoutInCell="1" allowOverlap="1" wp14:anchorId="3D85D52B" wp14:editId="3D85D52C">
            <wp:simplePos x="0" y="0"/>
            <wp:positionH relativeFrom="margin">
              <wp:posOffset>2070100</wp:posOffset>
            </wp:positionH>
            <wp:positionV relativeFrom="paragraph">
              <wp:posOffset>38100</wp:posOffset>
            </wp:positionV>
            <wp:extent cx="711200" cy="279400"/>
            <wp:effectExtent l="0" t="0" r="0" b="0"/>
            <wp:wrapSquare wrapText="bothSides" distT="0" distB="0" distL="114300" distR="114300"/>
            <wp:docPr id="23"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33"/>
                    <a:srcRect/>
                    <a:stretch>
                      <a:fillRect/>
                    </a:stretch>
                  </pic:blipFill>
                  <pic:spPr>
                    <a:xfrm>
                      <a:off x="0" y="0"/>
                      <a:ext cx="711200" cy="279400"/>
                    </a:xfrm>
                    <a:prstGeom prst="rect">
                      <a:avLst/>
                    </a:prstGeom>
                    <a:ln/>
                  </pic:spPr>
                </pic:pic>
              </a:graphicData>
            </a:graphic>
          </wp:anchor>
        </w:drawing>
      </w:r>
    </w:p>
    <w:p w14:paraId="3D85CB80" w14:textId="77777777" w:rsidR="006716C2" w:rsidRDefault="006716C2" w:rsidP="006716C2">
      <w:pPr>
        <w:pStyle w:val="Normal1"/>
      </w:pPr>
    </w:p>
    <w:p w14:paraId="3D85CB81" w14:textId="77777777" w:rsidR="006716C2" w:rsidRDefault="006716C2" w:rsidP="006716C2">
      <w:pPr>
        <w:pStyle w:val="Normal1"/>
        <w:spacing w:after="120"/>
        <w:ind w:right="18"/>
        <w:jc w:val="left"/>
        <w:rPr>
          <w:rFonts w:ascii="Times New Roman" w:eastAsia="Times New Roman" w:hAnsi="Times New Roman" w:cs="Times New Roman"/>
          <w:sz w:val="24"/>
          <w:szCs w:val="24"/>
        </w:rPr>
      </w:pPr>
      <w:r>
        <w:t>For the purpose of establishing RBCs for noncarcinogens, target risk is set at a hazard quotient, or HQ, of 1. A hazard quotient is the ratio of the concentration of chemical in air to the RBC. An HQ below 1 means there is little likelihood that even sensitive people will experience adverse health effects. To establish RBCs for carcinogens, target risk is set at an excess cancer risk of one in one million.</w:t>
      </w:r>
      <w:r>
        <w:rPr>
          <w:rFonts w:ascii="Times New Roman" w:eastAsia="Times New Roman" w:hAnsi="Times New Roman" w:cs="Times New Roman"/>
          <w:sz w:val="24"/>
          <w:szCs w:val="24"/>
        </w:rPr>
        <w:t xml:space="preserve"> </w:t>
      </w:r>
    </w:p>
    <w:p w14:paraId="3D85CB82" w14:textId="77777777" w:rsidR="006716C2" w:rsidRDefault="006716C2" w:rsidP="006716C2">
      <w:pPr>
        <w:pStyle w:val="Normal1"/>
        <w:jc w:val="left"/>
      </w:pPr>
      <w:r>
        <w:t>The choices of a HQ of one and an excess lifetime cancer risk level of one in one million are for convenience in establishing RBCs. These levels are not necessarily intended to be acceptable risk levels or RALs. OAR 340-245-8010 Table 1 shows RALs, which are the levels at which facilities must take action to address risk. DEQ developed separate RALs for new and existing facilities.</w:t>
      </w:r>
    </w:p>
    <w:p w14:paraId="3D85CB83" w14:textId="77777777" w:rsidR="006716C2" w:rsidRDefault="006716C2" w:rsidP="006716C2">
      <w:pPr>
        <w:pStyle w:val="Normal1"/>
      </w:pPr>
    </w:p>
    <w:p w14:paraId="3D85CB84" w14:textId="77777777" w:rsidR="006716C2" w:rsidRDefault="006716C2" w:rsidP="006716C2">
      <w:pPr>
        <w:pStyle w:val="Heading2"/>
      </w:pPr>
      <w:bookmarkStart w:id="8" w:name="_Toc496183492"/>
      <w:r>
        <w:t>2.2 Risk-Based Concentrations</w:t>
      </w:r>
      <w:bookmarkEnd w:id="8"/>
    </w:p>
    <w:p w14:paraId="3D85CB85" w14:textId="77777777" w:rsidR="006716C2" w:rsidRDefault="006716C2" w:rsidP="006716C2">
      <w:pPr>
        <w:pStyle w:val="Normal1"/>
      </w:pPr>
    </w:p>
    <w:p w14:paraId="3D85CB86" w14:textId="77777777" w:rsidR="006716C2" w:rsidRDefault="006716C2" w:rsidP="006716C2">
      <w:pPr>
        <w:pStyle w:val="Normal1"/>
        <w:widowControl/>
        <w:jc w:val="left"/>
      </w:pPr>
      <w:r>
        <w:t>TRVs serve as the basis for RBCs. To establish TRVs for each chemical, DEQ relied on the scientific conclusions of agencies like the U.S. Environmental Protection Agency and the Agency for Toxic Substances and Disease Registry. DEQ used the preferred sources of chronic and acute TRVs identified in Appendix A. Three adjustments of TRVs were made, if appropriate, to calculate RBCs. The first addresses scenario-specific consideration of exposure frequency and duration that are appropriate for chronic exposure scenarios. Another adjustment considers deposition and bioaccumulation of chemicals, which involves exposure other than by inhalation alone. This is a multipathway adjustment. The third adjustment is for early-life exposure to chemicals that exhibit greater toxicity to infants</w:t>
      </w:r>
      <w:r w:rsidR="00931AFF">
        <w:t xml:space="preserve"> and children</w:t>
      </w:r>
      <w:r>
        <w:t xml:space="preserve">. </w:t>
      </w:r>
    </w:p>
    <w:p w14:paraId="3D85CB87" w14:textId="77777777" w:rsidR="006716C2" w:rsidRDefault="006716C2" w:rsidP="006716C2">
      <w:pPr>
        <w:pStyle w:val="Normal1"/>
        <w:widowControl/>
        <w:jc w:val="left"/>
      </w:pPr>
    </w:p>
    <w:p w14:paraId="3D85CB88" w14:textId="77777777" w:rsidR="006716C2" w:rsidRDefault="006716C2" w:rsidP="006716C2">
      <w:pPr>
        <w:pStyle w:val="Normal1"/>
        <w:widowControl/>
        <w:jc w:val="left"/>
      </w:pPr>
      <w:r>
        <w:t>Adjustment factors are provided in OAR 340-245-8040 Table 4. Appendix B shows how the adjustment factors were used to develop the RBCs shown in OAR 340-245-8050 Table 5.</w:t>
      </w:r>
    </w:p>
    <w:p w14:paraId="3D85CB89" w14:textId="77777777" w:rsidR="006716C2" w:rsidRDefault="006716C2" w:rsidP="006716C2">
      <w:pPr>
        <w:pStyle w:val="Normal1"/>
        <w:widowControl/>
        <w:jc w:val="left"/>
      </w:pPr>
    </w:p>
    <w:p w14:paraId="3D85CB8A" w14:textId="77777777" w:rsidR="006716C2" w:rsidRDefault="006716C2" w:rsidP="006716C2">
      <w:pPr>
        <w:pStyle w:val="Heading3"/>
      </w:pPr>
      <w:bookmarkStart w:id="9" w:name="_Toc496183493"/>
      <w:r>
        <w:t>2.2.1 Exposure Frequency and Duration Considerations</w:t>
      </w:r>
      <w:bookmarkEnd w:id="9"/>
    </w:p>
    <w:p w14:paraId="3D85CB8B" w14:textId="77777777" w:rsidR="005D4872" w:rsidRDefault="005D4872" w:rsidP="006716C2">
      <w:pPr>
        <w:pStyle w:val="Normal1"/>
        <w:widowControl/>
        <w:jc w:val="left"/>
      </w:pPr>
    </w:p>
    <w:p w14:paraId="3D85CB8C" w14:textId="77777777" w:rsidR="006716C2" w:rsidRDefault="006716C2" w:rsidP="006716C2">
      <w:pPr>
        <w:pStyle w:val="Normal1"/>
        <w:widowControl/>
        <w:jc w:val="left"/>
      </w:pPr>
      <w:r>
        <w:t>Residential exposure assumes continual, long-term exposure. Because continual, long-term exposure is the basis of most chronic toxicity values, chronic TRVs are most directly appropriate for residential exposure. For other exposure, including shorter term, nonresidential child exposure such as at schools, and worker exposure at commercial or industrial facilities, modifications to TRVs are needed to take into consideration the differences in exposure frequency and duration. Modifying factors for chronic exposure are discussed in Appendix B. There are no modifying factors for acute exposure.</w:t>
      </w:r>
    </w:p>
    <w:p w14:paraId="3D85CB8D" w14:textId="77777777" w:rsidR="006716C2" w:rsidRDefault="006716C2" w:rsidP="006716C2">
      <w:pPr>
        <w:pStyle w:val="Normal1"/>
        <w:widowControl/>
        <w:jc w:val="left"/>
        <w:rPr>
          <w:b/>
        </w:rPr>
      </w:pPr>
    </w:p>
    <w:p w14:paraId="3D85CB8E" w14:textId="77777777" w:rsidR="006716C2" w:rsidRDefault="006716C2" w:rsidP="006716C2">
      <w:pPr>
        <w:pStyle w:val="Heading3"/>
      </w:pPr>
      <w:bookmarkStart w:id="10" w:name="_Toc496183494"/>
      <w:r>
        <w:t>2.2.2 Multipathway Considerations</w:t>
      </w:r>
      <w:bookmarkEnd w:id="10"/>
    </w:p>
    <w:p w14:paraId="3D85CB8F" w14:textId="77777777" w:rsidR="005D4872" w:rsidRDefault="005D4872" w:rsidP="006716C2">
      <w:pPr>
        <w:pStyle w:val="Normal1"/>
        <w:widowControl/>
        <w:jc w:val="left"/>
      </w:pPr>
    </w:p>
    <w:p w14:paraId="3D85CB90" w14:textId="77777777" w:rsidR="006716C2" w:rsidRDefault="006716C2" w:rsidP="006716C2">
      <w:pPr>
        <w:pStyle w:val="Normal1"/>
        <w:widowControl/>
        <w:jc w:val="left"/>
      </w:pPr>
      <w:r>
        <w:t>DEQ recommends use of nearby land use information, along with that on existing site conditions, to help identify potentially exposed human receptors, including any sensitive groups. For example, pregnant women and infants are sensitive groups for mercury exposure. Information on potentially exposed populations allows for the identification of site-specific exposure scenarios and exposure routes. This is especially important if your facility is emitting persistent, bioaccumulating, and toxic (PBT) chemicals. For bioaccumulating chemicals, DEQ considered multipathway effects on residents in developing RBCs. DEQ developed multipathway adjustment factors (MPAFs) for residential exposure scenarios that consider:</w:t>
      </w:r>
    </w:p>
    <w:p w14:paraId="3D85CB91" w14:textId="77777777" w:rsidR="006716C2" w:rsidRDefault="006716C2" w:rsidP="006716C2">
      <w:pPr>
        <w:pStyle w:val="Normal1"/>
        <w:widowControl/>
        <w:jc w:val="left"/>
      </w:pPr>
    </w:p>
    <w:p w14:paraId="3D85CB92" w14:textId="77777777" w:rsidR="006716C2" w:rsidRDefault="006716C2" w:rsidP="00713CB5">
      <w:pPr>
        <w:pStyle w:val="Normal1"/>
        <w:widowControl/>
        <w:numPr>
          <w:ilvl w:val="0"/>
          <w:numId w:val="4"/>
        </w:numPr>
        <w:jc w:val="left"/>
      </w:pPr>
      <w:r>
        <w:t>Inhalation of chemicals in air</w:t>
      </w:r>
    </w:p>
    <w:p w14:paraId="3D85CB93" w14:textId="77777777" w:rsidR="006716C2" w:rsidRDefault="006716C2" w:rsidP="00713CB5">
      <w:pPr>
        <w:pStyle w:val="Normal1"/>
        <w:widowControl/>
        <w:numPr>
          <w:ilvl w:val="0"/>
          <w:numId w:val="4"/>
        </w:numPr>
        <w:jc w:val="left"/>
      </w:pPr>
      <w:r>
        <w:t>Deposition of airborne chemicals to backyard soil</w:t>
      </w:r>
    </w:p>
    <w:p w14:paraId="3D85CB94" w14:textId="77777777" w:rsidR="006716C2" w:rsidRDefault="006716C2" w:rsidP="00713CB5">
      <w:pPr>
        <w:pStyle w:val="Normal1"/>
        <w:widowControl/>
        <w:numPr>
          <w:ilvl w:val="0"/>
          <w:numId w:val="4"/>
        </w:numPr>
        <w:jc w:val="left"/>
      </w:pPr>
      <w:r>
        <w:t>Contact with soil by incidental ingestion and dermal exposure</w:t>
      </w:r>
    </w:p>
    <w:p w14:paraId="3D85CB95" w14:textId="77777777" w:rsidR="006716C2" w:rsidRDefault="006716C2" w:rsidP="00713CB5">
      <w:pPr>
        <w:pStyle w:val="Normal1"/>
        <w:widowControl/>
        <w:numPr>
          <w:ilvl w:val="0"/>
          <w:numId w:val="4"/>
        </w:numPr>
        <w:jc w:val="left"/>
      </w:pPr>
      <w:r>
        <w:t>Uptake into garden vegetables, and ingestion of vegetables</w:t>
      </w:r>
    </w:p>
    <w:p w14:paraId="3D85CB96" w14:textId="77777777" w:rsidR="006716C2" w:rsidRDefault="006716C2" w:rsidP="00713CB5">
      <w:pPr>
        <w:pStyle w:val="Normal1"/>
        <w:widowControl/>
        <w:numPr>
          <w:ilvl w:val="0"/>
          <w:numId w:val="4"/>
        </w:numPr>
        <w:jc w:val="left"/>
      </w:pPr>
      <w:r>
        <w:t>Bioaccumulation into women, and infant ingestion of breastmilk</w:t>
      </w:r>
    </w:p>
    <w:p w14:paraId="3D85CB97" w14:textId="77777777" w:rsidR="006716C2" w:rsidRDefault="006716C2" w:rsidP="006716C2">
      <w:pPr>
        <w:pStyle w:val="Normal1"/>
        <w:widowControl/>
        <w:jc w:val="left"/>
      </w:pPr>
    </w:p>
    <w:p w14:paraId="3D85CB98" w14:textId="77777777" w:rsidR="006716C2" w:rsidRDefault="006716C2" w:rsidP="006716C2">
      <w:pPr>
        <w:pStyle w:val="Normal1"/>
        <w:widowControl/>
        <w:jc w:val="left"/>
      </w:pPr>
      <w:r>
        <w:t>For nonresidential exposure, different MPAFs are used because some considerations, such as uptake into garden vegetables, are not appropriate. MPAFs do not include exposure scenarios that incorporate airborne deposition of chemicals to:</w:t>
      </w:r>
    </w:p>
    <w:p w14:paraId="3D85CB99" w14:textId="77777777" w:rsidR="006716C2" w:rsidRDefault="006716C2" w:rsidP="006716C2">
      <w:pPr>
        <w:pStyle w:val="Normal1"/>
        <w:widowControl/>
        <w:jc w:val="left"/>
      </w:pPr>
    </w:p>
    <w:p w14:paraId="3D85CB9A" w14:textId="77777777" w:rsidR="006716C2" w:rsidRDefault="006716C2" w:rsidP="00713CB5">
      <w:pPr>
        <w:pStyle w:val="Normal1"/>
        <w:widowControl/>
        <w:numPr>
          <w:ilvl w:val="0"/>
          <w:numId w:val="6"/>
        </w:numPr>
        <w:jc w:val="left"/>
      </w:pPr>
      <w:r>
        <w:t>Agricultural land</w:t>
      </w:r>
    </w:p>
    <w:p w14:paraId="3D85CB9B" w14:textId="77777777" w:rsidR="006716C2" w:rsidRDefault="006716C2" w:rsidP="00713CB5">
      <w:pPr>
        <w:pStyle w:val="Normal1"/>
        <w:widowControl/>
        <w:numPr>
          <w:ilvl w:val="0"/>
          <w:numId w:val="6"/>
        </w:numPr>
        <w:jc w:val="left"/>
      </w:pPr>
      <w:r>
        <w:t>Livestock grazing areas</w:t>
      </w:r>
    </w:p>
    <w:p w14:paraId="3D85CB9C" w14:textId="77777777" w:rsidR="006716C2" w:rsidRDefault="006716C2" w:rsidP="00713CB5">
      <w:pPr>
        <w:pStyle w:val="Normal1"/>
        <w:widowControl/>
        <w:numPr>
          <w:ilvl w:val="0"/>
          <w:numId w:val="6"/>
        </w:numPr>
        <w:jc w:val="left"/>
      </w:pPr>
      <w:r>
        <w:t>Drinking water reservoirs</w:t>
      </w:r>
    </w:p>
    <w:p w14:paraId="3D85CB9D" w14:textId="77777777" w:rsidR="006716C2" w:rsidRDefault="006716C2" w:rsidP="00713CB5">
      <w:pPr>
        <w:pStyle w:val="Normal1"/>
        <w:widowControl/>
        <w:numPr>
          <w:ilvl w:val="0"/>
          <w:numId w:val="6"/>
        </w:numPr>
        <w:jc w:val="left"/>
      </w:pPr>
      <w:r>
        <w:t>Lakes or ponds used for fishing</w:t>
      </w:r>
    </w:p>
    <w:p w14:paraId="3D85CB9E" w14:textId="77777777" w:rsidR="006716C2" w:rsidRDefault="006716C2" w:rsidP="006716C2">
      <w:pPr>
        <w:pStyle w:val="Normal1"/>
        <w:widowControl/>
        <w:jc w:val="left"/>
      </w:pPr>
    </w:p>
    <w:p w14:paraId="3D85CB9F" w14:textId="77777777" w:rsidR="006716C2" w:rsidRDefault="006716C2" w:rsidP="006716C2">
      <w:pPr>
        <w:pStyle w:val="Normal1"/>
        <w:widowControl/>
        <w:jc w:val="left"/>
      </w:pPr>
      <w:r>
        <w:t xml:space="preserve">If PBT </w:t>
      </w:r>
      <w:r w:rsidR="003C6ED1">
        <w:t xml:space="preserve">chemical </w:t>
      </w:r>
      <w:r>
        <w:t>emissions from your facility could impact the above areas, DEQ may require a more complex Level 4 multipathway risk assessment even if your emissions pass the Level 1 to Level 3 screens using default MPAFs. DEQ recommends that this process start with development of a more extensive conceptual site model.</w:t>
      </w:r>
    </w:p>
    <w:p w14:paraId="3D85CBA0" w14:textId="77777777" w:rsidR="006716C2" w:rsidRDefault="006716C2" w:rsidP="006716C2">
      <w:pPr>
        <w:pStyle w:val="Normal1"/>
        <w:widowControl/>
        <w:jc w:val="left"/>
      </w:pPr>
    </w:p>
    <w:p w14:paraId="3D85CBA1" w14:textId="77777777" w:rsidR="006716C2" w:rsidRDefault="006716C2" w:rsidP="006716C2">
      <w:pPr>
        <w:pStyle w:val="Heading3"/>
      </w:pPr>
      <w:bookmarkStart w:id="11" w:name="_Toc496183495"/>
      <w:r>
        <w:t>2.2.3 Early-Life Exposure</w:t>
      </w:r>
      <w:bookmarkEnd w:id="11"/>
    </w:p>
    <w:p w14:paraId="3D85CBA2" w14:textId="77777777" w:rsidR="005D4872" w:rsidRDefault="005D4872" w:rsidP="006716C2">
      <w:pPr>
        <w:pStyle w:val="Normal1"/>
        <w:widowControl/>
        <w:jc w:val="left"/>
      </w:pPr>
    </w:p>
    <w:p w14:paraId="3D85CBA3" w14:textId="77777777" w:rsidR="006716C2" w:rsidRDefault="006716C2" w:rsidP="006716C2">
      <w:pPr>
        <w:pStyle w:val="Normal1"/>
        <w:widowControl/>
        <w:jc w:val="left"/>
      </w:pPr>
      <w:r>
        <w:t xml:space="preserve">Carcinogens that act by a mutagenic mode of action can have greater toxicity during early-life stages (EPA 2005a). In these cases, we need to modify the cancer TRV. Currently, the chemicals of primary interest for consideration of early-life exposure are listed in </w:t>
      </w:r>
      <w:r w:rsidR="00253FFC">
        <w:t xml:space="preserve">OAR 340-245-8020 </w:t>
      </w:r>
      <w:r>
        <w:t xml:space="preserve">Table 2 with early-life adjustment factors (ELAFs). </w:t>
      </w:r>
      <w:r w:rsidR="00931AFF">
        <w:t>A</w:t>
      </w:r>
      <w:r>
        <w:t>s more information becomes available, EPA may determine that additional carcinogens act by a mutagenic mode of action. For this reason, DEQ may in the future recommend that the Environmental Quality Commission (EQC) expand the list of chemicals for which ELAF values are needed.</w:t>
      </w:r>
    </w:p>
    <w:p w14:paraId="3D85CBA4" w14:textId="77777777" w:rsidR="006716C2" w:rsidRDefault="006716C2" w:rsidP="006716C2">
      <w:pPr>
        <w:pStyle w:val="Normal1"/>
        <w:widowControl/>
        <w:jc w:val="left"/>
      </w:pPr>
    </w:p>
    <w:p w14:paraId="3D85CBA5" w14:textId="77777777" w:rsidR="006716C2" w:rsidRDefault="006716C2" w:rsidP="006716C2">
      <w:pPr>
        <w:pStyle w:val="Heading2"/>
      </w:pPr>
      <w:bookmarkStart w:id="12" w:name="_1fob9te" w:colFirst="0" w:colLast="0"/>
      <w:bookmarkStart w:id="13" w:name="_Toc496183496"/>
      <w:bookmarkEnd w:id="12"/>
      <w:r>
        <w:t>2.3 Risk Assessment Elements</w:t>
      </w:r>
      <w:bookmarkEnd w:id="13"/>
      <w:r>
        <w:t xml:space="preserve"> </w:t>
      </w:r>
    </w:p>
    <w:p w14:paraId="3D85CBA6" w14:textId="77777777" w:rsidR="006716C2" w:rsidRDefault="006716C2" w:rsidP="006716C2">
      <w:pPr>
        <w:pStyle w:val="Normal1"/>
        <w:widowControl/>
        <w:jc w:val="left"/>
        <w:rPr>
          <w:b/>
        </w:rPr>
      </w:pPr>
    </w:p>
    <w:p w14:paraId="3D85CBA7" w14:textId="77777777" w:rsidR="006716C2" w:rsidRDefault="006716C2" w:rsidP="006716C2">
      <w:pPr>
        <w:pStyle w:val="Normal1"/>
        <w:widowControl/>
        <w:jc w:val="left"/>
      </w:pPr>
      <w:r>
        <w:t>A number of elements are important to conducting a risk assessment. The first risk assessment elements are important even at a simple screening evaluation. Some of the later elements are important only in a Level 4 risk assessment. The first element is the establishment of a conceptual site model to understand the various chemical sources, exposure pathways, routes of exposure, and types of exposure areas near your site. To evaluate the types of exposure areas, DEQ recommends that you conduct a land use determination, and, if appropriate, a water use determination if significant airborne deposition to water is expected. Once you establish a conceptual site model, you can proceed with the main exposure and toxicity assessments</w:t>
      </w:r>
      <w:r w:rsidR="001870D8">
        <w:t>, and risk characterizations</w:t>
      </w:r>
      <w:r>
        <w:t>. Finally, you may want to include an uncertainty section to document qualitative or quantitative evaluations of variability and uncertainty.</w:t>
      </w:r>
    </w:p>
    <w:p w14:paraId="3D85CBA8" w14:textId="77777777" w:rsidR="006716C2" w:rsidRDefault="006716C2" w:rsidP="006716C2">
      <w:pPr>
        <w:pStyle w:val="Normal1"/>
        <w:widowControl/>
        <w:jc w:val="left"/>
      </w:pPr>
    </w:p>
    <w:p w14:paraId="3D85CBA9" w14:textId="77777777" w:rsidR="006716C2" w:rsidRDefault="006716C2" w:rsidP="006716C2">
      <w:pPr>
        <w:pStyle w:val="Normal1"/>
        <w:widowControl/>
        <w:jc w:val="left"/>
      </w:pPr>
      <w:r>
        <w:t>The risk assessment can be conducted with the RBC approach presented here, or follow the traditional method (EPA 1989). DEQ recommends using the RBC approach, given the relative simplicity of the method and DEQ’s confidence in the appropriateness of the default values and equations.</w:t>
      </w:r>
    </w:p>
    <w:p w14:paraId="3D85CBAA" w14:textId="77777777" w:rsidR="006716C2" w:rsidRDefault="006716C2" w:rsidP="006716C2">
      <w:pPr>
        <w:pStyle w:val="Normal1"/>
        <w:widowControl/>
        <w:jc w:val="left"/>
      </w:pPr>
    </w:p>
    <w:p w14:paraId="3D85CBAB" w14:textId="77777777" w:rsidR="006716C2" w:rsidRDefault="006716C2" w:rsidP="006716C2">
      <w:pPr>
        <w:pStyle w:val="Normal1"/>
        <w:widowControl/>
        <w:jc w:val="left"/>
      </w:pPr>
      <w:r>
        <w:t xml:space="preserve">A risk assessment includes: </w:t>
      </w:r>
    </w:p>
    <w:p w14:paraId="3D85CBAC" w14:textId="77777777" w:rsidR="006716C2" w:rsidRDefault="006716C2" w:rsidP="00713CB5">
      <w:pPr>
        <w:pStyle w:val="Normal1"/>
        <w:widowControl/>
        <w:numPr>
          <w:ilvl w:val="0"/>
          <w:numId w:val="2"/>
        </w:numPr>
        <w:jc w:val="left"/>
      </w:pPr>
      <w:r>
        <w:t>a problem formulation step ending with a conceptual site model (CSM) describing air toxic releases and relevant exposure scenarios based on current and reasonably likely future exposure populations;</w:t>
      </w:r>
    </w:p>
    <w:p w14:paraId="3D85CBAD" w14:textId="77777777" w:rsidR="006716C2" w:rsidRDefault="006716C2" w:rsidP="00713CB5">
      <w:pPr>
        <w:pStyle w:val="Normal1"/>
        <w:widowControl/>
        <w:numPr>
          <w:ilvl w:val="0"/>
          <w:numId w:val="2"/>
        </w:numPr>
        <w:jc w:val="left"/>
      </w:pPr>
      <w:r>
        <w:t>an exposure analysis, which includes calculating exposure point concentrations based on the CSM, selecting exposure model equations, and selecting exposure factor values;</w:t>
      </w:r>
    </w:p>
    <w:p w14:paraId="3D85CBAE" w14:textId="77777777" w:rsidR="006716C2" w:rsidRDefault="006716C2" w:rsidP="00713CB5">
      <w:pPr>
        <w:pStyle w:val="Normal1"/>
        <w:widowControl/>
        <w:numPr>
          <w:ilvl w:val="0"/>
          <w:numId w:val="2"/>
        </w:numPr>
        <w:jc w:val="left"/>
      </w:pPr>
      <w:r>
        <w:t xml:space="preserve">a toxicity analysis evaluating the inherent toxicity of chemicals; </w:t>
      </w:r>
    </w:p>
    <w:p w14:paraId="3D85CBAF" w14:textId="77777777" w:rsidR="006716C2" w:rsidRDefault="006716C2" w:rsidP="00713CB5">
      <w:pPr>
        <w:pStyle w:val="Normal1"/>
        <w:widowControl/>
        <w:numPr>
          <w:ilvl w:val="0"/>
          <w:numId w:val="2"/>
        </w:numPr>
        <w:jc w:val="left"/>
      </w:pPr>
      <w:r>
        <w:t>a risk characterization combining the results of the exposure and toxicity analyses to evaluate risk;</w:t>
      </w:r>
      <w:r w:rsidR="00487636">
        <w:t xml:space="preserve"> and</w:t>
      </w:r>
    </w:p>
    <w:p w14:paraId="3D85CBB0" w14:textId="77777777" w:rsidR="006716C2" w:rsidRDefault="006716C2" w:rsidP="00713CB5">
      <w:pPr>
        <w:pStyle w:val="Normal1"/>
        <w:widowControl/>
        <w:numPr>
          <w:ilvl w:val="0"/>
          <w:numId w:val="2"/>
        </w:numPr>
        <w:jc w:val="left"/>
      </w:pPr>
      <w:r>
        <w:t xml:space="preserve">a quantitative or qualitative uncertainty analysis covering all aspects of the risk assessment. </w:t>
      </w:r>
    </w:p>
    <w:p w14:paraId="3D85CBB1" w14:textId="77777777" w:rsidR="006716C2" w:rsidRDefault="006716C2" w:rsidP="006716C2">
      <w:pPr>
        <w:pStyle w:val="Normal1"/>
        <w:widowControl/>
        <w:jc w:val="left"/>
      </w:pPr>
    </w:p>
    <w:p w14:paraId="3D85CBB2" w14:textId="77777777" w:rsidR="006716C2" w:rsidRDefault="006716C2" w:rsidP="006716C2">
      <w:pPr>
        <w:pStyle w:val="Normal1"/>
        <w:widowControl/>
        <w:jc w:val="left"/>
      </w:pPr>
      <w:r>
        <w:t>If you document the risk assessment results in a clear and consistent manner, it will be easier for DEQ staff to review it quickly. To further expedite review of the risk assessment, we recommend that you provide DEQ with electronic copies of spreadsheets of data and calculations with functioning (unlocked) formulas as part of the documentation.</w:t>
      </w:r>
    </w:p>
    <w:p w14:paraId="3D85CBB3" w14:textId="77777777" w:rsidR="006716C2" w:rsidRDefault="006716C2" w:rsidP="006716C2">
      <w:pPr>
        <w:pStyle w:val="Normal1"/>
        <w:widowControl/>
        <w:jc w:val="left"/>
      </w:pPr>
    </w:p>
    <w:p w14:paraId="3D85CBB4" w14:textId="77777777" w:rsidR="006716C2" w:rsidRDefault="006716C2" w:rsidP="006716C2">
      <w:pPr>
        <w:pStyle w:val="Heading3"/>
      </w:pPr>
      <w:bookmarkStart w:id="14" w:name="_Toc496183497"/>
      <w:r>
        <w:t>2.3.1 Conceptual Site Model</w:t>
      </w:r>
      <w:bookmarkEnd w:id="14"/>
    </w:p>
    <w:p w14:paraId="3D85CBB5" w14:textId="77777777" w:rsidR="006716C2" w:rsidRDefault="006716C2" w:rsidP="006716C2">
      <w:pPr>
        <w:pStyle w:val="Normal1"/>
        <w:jc w:val="left"/>
      </w:pPr>
    </w:p>
    <w:p w14:paraId="3D85CBB6" w14:textId="77777777" w:rsidR="006716C2" w:rsidRDefault="006716C2" w:rsidP="006716C2">
      <w:pPr>
        <w:pStyle w:val="Normal1"/>
        <w:jc w:val="left"/>
      </w:pPr>
      <w:r>
        <w:t xml:space="preserve">Before you proceed to the risk assessment, it is important to have a clear conceptual understanding of the various chemical sources, exposure pathways, routes of exposure, and types of receptors at your site. A good way of presenting a conceptual site model (CSM) is in a chart, although for most air emission evaluations, a brief narrative is sufficient. If you have bioaccumulating chemicals, and therefore may be required to conduct a multipathway risk assessment, we recommend a more extensive CSM to adequately describe the site. An example multipathway conceptual site model is provided as Figure 2 in DEQ’s risk assessment guidance for the Cleanup Program (DEQ 2010). </w:t>
      </w:r>
    </w:p>
    <w:p w14:paraId="3D85CBB7" w14:textId="77777777" w:rsidR="006716C2" w:rsidRDefault="006716C2" w:rsidP="006716C2">
      <w:pPr>
        <w:pStyle w:val="Normal1"/>
        <w:jc w:val="left"/>
      </w:pPr>
    </w:p>
    <w:p w14:paraId="3D85CBB8" w14:textId="77777777" w:rsidR="006716C2" w:rsidRDefault="006716C2" w:rsidP="006716C2">
      <w:pPr>
        <w:pStyle w:val="Normal1"/>
        <w:jc w:val="left"/>
      </w:pPr>
      <w:r>
        <w:t xml:space="preserve">A high-quality CSM should combine information on contaminants, receptors, and exposure pathways to summarize relevant site information and set the stage for the risk assessment. It is important that you consider both current and potential future exposure when identifying exposure routes at your site. Future exposure for residential exposure includes consideration of land which is zoned, or </w:t>
      </w:r>
      <w:r w:rsidR="00931AFF">
        <w:t xml:space="preserve">documented as </w:t>
      </w:r>
      <w:r>
        <w:t>planned to be zoned, for uses allowing residents. Include reasonably likely exposure areas. For example, for farmland where a residence is allowed, include exposure to any current houses. However, it is not necessary to consider an unreasonable future addition of a house in an agricultural field. For areas zoned only for residential use, evaluate residential exposure to the entire area.</w:t>
      </w:r>
    </w:p>
    <w:p w14:paraId="3D85CBB9" w14:textId="77777777" w:rsidR="006716C2" w:rsidRDefault="006716C2" w:rsidP="006716C2">
      <w:pPr>
        <w:pStyle w:val="Normal1"/>
        <w:jc w:val="left"/>
        <w:rPr>
          <w:i/>
        </w:rPr>
      </w:pPr>
    </w:p>
    <w:p w14:paraId="3D85CBBA" w14:textId="77777777" w:rsidR="006716C2" w:rsidRDefault="006716C2" w:rsidP="006716C2">
      <w:pPr>
        <w:pStyle w:val="Normal1"/>
        <w:tabs>
          <w:tab w:val="left" w:pos="-720"/>
        </w:tabs>
        <w:jc w:val="left"/>
      </w:pPr>
      <w:bookmarkStart w:id="15" w:name="_3znysh7" w:colFirst="0" w:colLast="0"/>
      <w:bookmarkEnd w:id="15"/>
      <w:r>
        <w:t>Land and water use determinations are important starting points for identifying potentially exposed populations for a risk assessment.</w:t>
      </w:r>
      <w:r w:rsidR="00931AFF">
        <w:t xml:space="preserve"> For complex facilities, especially those with bioaccumulating chemicals, it may be useful to follow DEQ's guidance on land and water use determinations (DEQ 1</w:t>
      </w:r>
      <w:r>
        <w:t>998a</w:t>
      </w:r>
      <w:r w:rsidR="00931AFF">
        <w:t>, DEQ</w:t>
      </w:r>
      <w:r>
        <w:t xml:space="preserve"> 1998b). A specific combination of receptors, exposure routes, and land and water uses can be described as an exposure scenario. Once you have determined potential risks for the set of land and water use designations appropriate to the facility, any changes to designations</w:t>
      </w:r>
      <w:r w:rsidR="00931AFF">
        <w:t xml:space="preserve"> means</w:t>
      </w:r>
      <w:r>
        <w:t xml:space="preserve"> that risks </w:t>
      </w:r>
      <w:r w:rsidR="00931AFF">
        <w:t xml:space="preserve">should </w:t>
      </w:r>
      <w:r>
        <w:t>be re-evaluated in some manner. The key point is that if land and water uses are changed without a reassessment of risk appropriate for that site, the risk assessment may no longer be protective.</w:t>
      </w:r>
    </w:p>
    <w:p w14:paraId="3D85CBBB" w14:textId="77777777" w:rsidR="006716C2" w:rsidRDefault="006716C2" w:rsidP="006716C2">
      <w:pPr>
        <w:pStyle w:val="Normal1"/>
        <w:tabs>
          <w:tab w:val="left" w:pos="-720"/>
        </w:tabs>
        <w:jc w:val="left"/>
      </w:pPr>
    </w:p>
    <w:p w14:paraId="3D85CBBC" w14:textId="77777777" w:rsidR="005D4872" w:rsidRDefault="005D4872" w:rsidP="006716C2">
      <w:pPr>
        <w:pStyle w:val="Normal1"/>
        <w:tabs>
          <w:tab w:val="left" w:pos="-720"/>
        </w:tabs>
        <w:jc w:val="left"/>
      </w:pPr>
    </w:p>
    <w:p w14:paraId="3D85CBBD" w14:textId="77777777" w:rsidR="006716C2" w:rsidRDefault="006716C2" w:rsidP="006716C2">
      <w:pPr>
        <w:pStyle w:val="Heading2"/>
      </w:pPr>
      <w:bookmarkStart w:id="16" w:name="_Toc496183498"/>
      <w:r>
        <w:t>2.4 Exposure Assessment and Air Dispersion Modeling</w:t>
      </w:r>
      <w:bookmarkEnd w:id="16"/>
    </w:p>
    <w:p w14:paraId="3D85CBBE" w14:textId="77777777" w:rsidR="006716C2" w:rsidRDefault="006716C2" w:rsidP="006716C2">
      <w:pPr>
        <w:pStyle w:val="Normal1"/>
        <w:tabs>
          <w:tab w:val="left" w:pos="-720"/>
        </w:tabs>
        <w:jc w:val="left"/>
      </w:pPr>
    </w:p>
    <w:p w14:paraId="3D85CBBF" w14:textId="77777777" w:rsidR="006716C2" w:rsidRDefault="006716C2" w:rsidP="006716C2">
      <w:pPr>
        <w:pStyle w:val="Normal1"/>
        <w:tabs>
          <w:tab w:val="left" w:pos="-720"/>
        </w:tabs>
        <w:jc w:val="left"/>
      </w:pPr>
      <w:r>
        <w:t>Estimation of exposure involves the identification of exposure pathways, scenarios, and routes. The initial identification of these elements is in the conceptual site model. An exposure pathway is the course a chemical or physical agent takes from a source to an exposed organism (EPA 1989). Exposure scenarios (designated “residential”, “industrial”, etc.) are comprised of one or more exposure routes appropriate to the potentially exposed population. An exposure route is the way a chemical or physical agent comes in contact with a person. Inhalation is the primary route of exposure for air emissions, although other routes (ingestion, dermal contact) may be important for bioaccumulating chemicals.</w:t>
      </w:r>
    </w:p>
    <w:p w14:paraId="3D85CBC0" w14:textId="77777777" w:rsidR="006716C2" w:rsidRDefault="006716C2" w:rsidP="006716C2">
      <w:pPr>
        <w:pStyle w:val="Normal1"/>
        <w:tabs>
          <w:tab w:val="left" w:pos="-720"/>
        </w:tabs>
        <w:jc w:val="left"/>
      </w:pPr>
    </w:p>
    <w:p w14:paraId="3D85CBC1" w14:textId="77777777" w:rsidR="006716C2" w:rsidRDefault="006716C2" w:rsidP="006716C2">
      <w:pPr>
        <w:pStyle w:val="Normal1"/>
        <w:tabs>
          <w:tab w:val="left" w:pos="-720"/>
        </w:tabs>
        <w:jc w:val="left"/>
      </w:pPr>
      <w:r>
        <w:t>RBCs were developed for the following scenarios:</w:t>
      </w:r>
    </w:p>
    <w:p w14:paraId="3D85CBC2" w14:textId="77777777" w:rsidR="006716C2" w:rsidRDefault="006716C2" w:rsidP="00713CB5">
      <w:pPr>
        <w:pStyle w:val="Normal1"/>
        <w:widowControl/>
        <w:numPr>
          <w:ilvl w:val="0"/>
          <w:numId w:val="10"/>
        </w:numPr>
        <w:tabs>
          <w:tab w:val="left" w:pos="-720"/>
        </w:tabs>
        <w:contextualSpacing/>
        <w:jc w:val="left"/>
      </w:pPr>
      <w:r>
        <w:t>Residential exposure, which includes long-term exposure to children and adults, in areas where residential houses already exist, or are zoned, or documented as planned to be zoned, for uses that include residential.</w:t>
      </w:r>
    </w:p>
    <w:p w14:paraId="3D85CBC3" w14:textId="77777777" w:rsidR="006716C2" w:rsidRDefault="006716C2" w:rsidP="00713CB5">
      <w:pPr>
        <w:pStyle w:val="Normal1"/>
        <w:widowControl/>
        <w:numPr>
          <w:ilvl w:val="0"/>
          <w:numId w:val="10"/>
        </w:numPr>
        <w:tabs>
          <w:tab w:val="left" w:pos="-720"/>
        </w:tabs>
        <w:contextualSpacing/>
        <w:jc w:val="left"/>
      </w:pPr>
      <w:r>
        <w:t>Nonresident adult exposure, which includes adults in commercial or industrial facilities.</w:t>
      </w:r>
    </w:p>
    <w:p w14:paraId="3D85CBC4" w14:textId="77777777" w:rsidR="006716C2" w:rsidRDefault="006716C2" w:rsidP="00713CB5">
      <w:pPr>
        <w:pStyle w:val="Normal1"/>
        <w:widowControl/>
        <w:numPr>
          <w:ilvl w:val="0"/>
          <w:numId w:val="10"/>
        </w:numPr>
        <w:tabs>
          <w:tab w:val="left" w:pos="-720"/>
        </w:tabs>
        <w:contextualSpacing/>
        <w:jc w:val="left"/>
      </w:pPr>
      <w:r>
        <w:t>Nonresident child exposure, which includes schools and daycare facilities</w:t>
      </w:r>
    </w:p>
    <w:p w14:paraId="3D85CBC5" w14:textId="77777777" w:rsidR="006716C2" w:rsidRDefault="006716C2" w:rsidP="00713CB5">
      <w:pPr>
        <w:pStyle w:val="Normal1"/>
        <w:widowControl/>
        <w:numPr>
          <w:ilvl w:val="0"/>
          <w:numId w:val="10"/>
        </w:numPr>
        <w:tabs>
          <w:tab w:val="left" w:pos="-720"/>
        </w:tabs>
        <w:contextualSpacing/>
        <w:jc w:val="left"/>
      </w:pPr>
      <w:r>
        <w:t>Acute exposure, which includes areas where someone may spend all or a portion of a day, such as parks, sports fields, or agricultural fields.</w:t>
      </w:r>
    </w:p>
    <w:p w14:paraId="3D85CBC6" w14:textId="77777777" w:rsidR="006716C2" w:rsidRDefault="006716C2" w:rsidP="006716C2">
      <w:pPr>
        <w:pStyle w:val="Normal1"/>
        <w:tabs>
          <w:tab w:val="left" w:pos="-720"/>
        </w:tabs>
        <w:jc w:val="left"/>
      </w:pPr>
    </w:p>
    <w:p w14:paraId="3D85CBC7" w14:textId="77777777" w:rsidR="006716C2" w:rsidRDefault="006716C2" w:rsidP="006716C2">
      <w:pPr>
        <w:pStyle w:val="Normal1"/>
        <w:tabs>
          <w:tab w:val="left" w:pos="-720"/>
        </w:tabs>
        <w:jc w:val="left"/>
      </w:pPr>
      <w:r>
        <w:t>Level</w:t>
      </w:r>
      <w:r w:rsidR="00931AFF">
        <w:t xml:space="preserve"> 1,</w:t>
      </w:r>
      <w:r>
        <w:t xml:space="preserve"> 2, 3 and 4 risk assessments include evaluating potential exposure for all relevant exposure scenarios through </w:t>
      </w:r>
      <w:r w:rsidR="00931AFF">
        <w:t xml:space="preserve">some form of </w:t>
      </w:r>
      <w:r>
        <w:t>air disper</w:t>
      </w:r>
      <w:r w:rsidR="00931AFF">
        <w:t>sion modeling, from lookup tables, simple models, or complex models.</w:t>
      </w:r>
    </w:p>
    <w:p w14:paraId="3D85CBC8" w14:textId="77777777" w:rsidR="006716C2" w:rsidRDefault="006716C2" w:rsidP="006716C2">
      <w:pPr>
        <w:pStyle w:val="Normal1"/>
        <w:tabs>
          <w:tab w:val="left" w:pos="-720"/>
        </w:tabs>
        <w:jc w:val="left"/>
      </w:pPr>
    </w:p>
    <w:p w14:paraId="3D85CBC9" w14:textId="77777777" w:rsidR="006716C2" w:rsidRDefault="006716C2" w:rsidP="006716C2">
      <w:pPr>
        <w:pStyle w:val="Normal1"/>
        <w:tabs>
          <w:tab w:val="left" w:pos="-720"/>
        </w:tabs>
        <w:jc w:val="left"/>
      </w:pPr>
      <w:r>
        <w:t>For bioaccumulating chemicals, additional scenarios such as agricultural or recreational use may be relevant. Details about these exposure scenarios are not provided in this document, and should be discussed with DEQ prior to conducting a risk assessment.</w:t>
      </w:r>
    </w:p>
    <w:p w14:paraId="3D85CBCA" w14:textId="77777777" w:rsidR="006716C2" w:rsidRDefault="006716C2" w:rsidP="006716C2">
      <w:pPr>
        <w:pStyle w:val="Normal1"/>
        <w:widowControl/>
        <w:jc w:val="left"/>
        <w:rPr>
          <w:b/>
        </w:rPr>
      </w:pPr>
    </w:p>
    <w:p w14:paraId="3D85CBCB" w14:textId="77777777" w:rsidR="006716C2" w:rsidRDefault="006716C2" w:rsidP="006716C2">
      <w:pPr>
        <w:pStyle w:val="Heading3"/>
      </w:pPr>
      <w:bookmarkStart w:id="17" w:name="_Toc496183499"/>
      <w:r>
        <w:t>2.4.1 Air Dispersion Modeling</w:t>
      </w:r>
      <w:bookmarkEnd w:id="17"/>
    </w:p>
    <w:p w14:paraId="3D85CBCC" w14:textId="77777777" w:rsidR="006716C2" w:rsidRDefault="006716C2" w:rsidP="006716C2">
      <w:pPr>
        <w:pStyle w:val="Normal1"/>
        <w:widowControl/>
        <w:jc w:val="left"/>
        <w:rPr>
          <w:b/>
        </w:rPr>
      </w:pPr>
    </w:p>
    <w:p w14:paraId="3D85CBCD" w14:textId="77777777" w:rsidR="006716C2" w:rsidRDefault="006716C2" w:rsidP="006716C2">
      <w:pPr>
        <w:pStyle w:val="Normal1"/>
        <w:tabs>
          <w:tab w:val="left" w:pos="-720"/>
        </w:tabs>
        <w:jc w:val="left"/>
      </w:pPr>
      <w:r>
        <w:t xml:space="preserve">The primary element of an exposure assessment for air toxics is dispersion modeling. Air quality dispersion modeling underlies the analyses in all levels of the risk assessment, from Level 1 through Level 4. A dispersion model is a mathematical way to emulate the physical, and sometimes chemical, processes in the atmosphere that produce an ambient air concentration of a compound based on emissions data. More simply put, a model calculates a concentration of a pollutant as a result of an emission of that pollutant, and physical dispersion in air. Modeled concentrations are estimated at specific locations called modeling receptors. These modeling receptors can be considered virtual monitors, and the dispersion model </w:t>
      </w:r>
      <w:r w:rsidR="00931AFF">
        <w:t>calculates</w:t>
      </w:r>
      <w:r>
        <w:t xml:space="preserve"> modeled concentrations at these locations to </w:t>
      </w:r>
      <w:r w:rsidR="006F72F3">
        <w:t>simulate</w:t>
      </w:r>
      <w:r>
        <w:t xml:space="preserve">  concentrations as if measured by real monitors at those locations. Modeling receptors can also be positioned where sensitive receptors, such as houses or schools, are located.</w:t>
      </w:r>
    </w:p>
    <w:p w14:paraId="3D85CBCE" w14:textId="77777777" w:rsidR="006716C2" w:rsidRDefault="006716C2" w:rsidP="006716C2">
      <w:pPr>
        <w:pStyle w:val="Normal1"/>
        <w:jc w:val="left"/>
      </w:pPr>
    </w:p>
    <w:p w14:paraId="3D85CBCF" w14:textId="77777777" w:rsidR="006716C2" w:rsidRDefault="006716C2" w:rsidP="006716C2">
      <w:pPr>
        <w:pStyle w:val="Normal1"/>
        <w:jc w:val="left"/>
      </w:pPr>
      <w:r>
        <w:t>OAR 340-245-8060 Table 6 in the Level 1 analysis was developed using dispersion modeling, although running a dispersion model directly is not required for its use. Risk assessments at Level 2 through Level 4 require the direct use of dispersion modeling, ranging from the relatively simple EPA AERSCREEN at Level 2, to the refined analysis at Level 3 or 4 using EPA’s AERMOD.</w:t>
      </w:r>
    </w:p>
    <w:p w14:paraId="3D85CBD0" w14:textId="77777777" w:rsidR="006716C2" w:rsidRDefault="006716C2" w:rsidP="006716C2">
      <w:pPr>
        <w:pStyle w:val="Normal1"/>
        <w:jc w:val="left"/>
      </w:pPr>
    </w:p>
    <w:p w14:paraId="3D85CBD1" w14:textId="77777777" w:rsidR="006716C2" w:rsidRDefault="006716C2" w:rsidP="006716C2">
      <w:pPr>
        <w:pStyle w:val="Normal1"/>
        <w:jc w:val="left"/>
      </w:pPr>
      <w:r>
        <w:t>AERSCREEN is a screening version of AERMOD, and with the exception of actual meteorology and topographic data required for AERMOD, the data necessary to run either model is the same.  These include the following parameters:</w:t>
      </w:r>
    </w:p>
    <w:p w14:paraId="3D85CBD2" w14:textId="77777777" w:rsidR="006716C2" w:rsidRDefault="006716C2" w:rsidP="006716C2">
      <w:pPr>
        <w:pStyle w:val="Normal1"/>
      </w:pPr>
    </w:p>
    <w:p w14:paraId="3D85CBD3" w14:textId="77777777" w:rsidR="006716C2" w:rsidRDefault="006716C2" w:rsidP="00713CB5">
      <w:pPr>
        <w:pStyle w:val="Normal1"/>
        <w:widowControl/>
        <w:numPr>
          <w:ilvl w:val="0"/>
          <w:numId w:val="9"/>
        </w:numPr>
        <w:contextualSpacing/>
        <w:jc w:val="left"/>
      </w:pPr>
      <w:r>
        <w:t>Emission rate (may vary by period, such as by month or season)</w:t>
      </w:r>
    </w:p>
    <w:p w14:paraId="3D85CBD4" w14:textId="77777777" w:rsidR="006716C2" w:rsidRDefault="006716C2" w:rsidP="00713CB5">
      <w:pPr>
        <w:pStyle w:val="Normal1"/>
        <w:widowControl/>
        <w:numPr>
          <w:ilvl w:val="0"/>
          <w:numId w:val="9"/>
        </w:numPr>
        <w:contextualSpacing/>
        <w:jc w:val="left"/>
      </w:pPr>
      <w:r>
        <w:t>Stack Height</w:t>
      </w:r>
    </w:p>
    <w:p w14:paraId="3D85CBD5" w14:textId="77777777" w:rsidR="006716C2" w:rsidRDefault="006716C2" w:rsidP="00713CB5">
      <w:pPr>
        <w:pStyle w:val="Normal1"/>
        <w:widowControl/>
        <w:numPr>
          <w:ilvl w:val="0"/>
          <w:numId w:val="9"/>
        </w:numPr>
        <w:contextualSpacing/>
        <w:jc w:val="left"/>
      </w:pPr>
      <w:r>
        <w:t>Stack Diameter</w:t>
      </w:r>
    </w:p>
    <w:p w14:paraId="3D85CBD6" w14:textId="77777777" w:rsidR="006716C2" w:rsidRDefault="006716C2" w:rsidP="00713CB5">
      <w:pPr>
        <w:pStyle w:val="Normal1"/>
        <w:widowControl/>
        <w:numPr>
          <w:ilvl w:val="0"/>
          <w:numId w:val="9"/>
        </w:numPr>
        <w:contextualSpacing/>
        <w:jc w:val="left"/>
      </w:pPr>
      <w:r>
        <w:t>Stack Velocity or Flow Rate</w:t>
      </w:r>
    </w:p>
    <w:p w14:paraId="3D85CBD7" w14:textId="77777777" w:rsidR="006716C2" w:rsidRDefault="006716C2" w:rsidP="00713CB5">
      <w:pPr>
        <w:pStyle w:val="Normal1"/>
        <w:widowControl/>
        <w:numPr>
          <w:ilvl w:val="0"/>
          <w:numId w:val="9"/>
        </w:numPr>
        <w:contextualSpacing/>
        <w:jc w:val="left"/>
      </w:pPr>
      <w:r>
        <w:t>Stack Temperature</w:t>
      </w:r>
    </w:p>
    <w:p w14:paraId="3D85CBD8" w14:textId="77777777" w:rsidR="006716C2" w:rsidRDefault="006716C2" w:rsidP="00713CB5">
      <w:pPr>
        <w:pStyle w:val="Normal1"/>
        <w:widowControl/>
        <w:numPr>
          <w:ilvl w:val="0"/>
          <w:numId w:val="9"/>
        </w:numPr>
        <w:contextualSpacing/>
        <w:jc w:val="left"/>
      </w:pPr>
      <w:r>
        <w:t>Building Heights</w:t>
      </w:r>
    </w:p>
    <w:p w14:paraId="3D85CBD9" w14:textId="77777777" w:rsidR="006716C2" w:rsidRDefault="006716C2" w:rsidP="00713CB5">
      <w:pPr>
        <w:pStyle w:val="Normal1"/>
        <w:widowControl/>
        <w:numPr>
          <w:ilvl w:val="0"/>
          <w:numId w:val="9"/>
        </w:numPr>
        <w:contextualSpacing/>
        <w:jc w:val="left"/>
      </w:pPr>
      <w:r>
        <w:t>Building Horizontal Dimensions</w:t>
      </w:r>
    </w:p>
    <w:p w14:paraId="3D85CBDA" w14:textId="77777777" w:rsidR="006716C2" w:rsidRDefault="006716C2" w:rsidP="00713CB5">
      <w:pPr>
        <w:pStyle w:val="Normal1"/>
        <w:widowControl/>
        <w:numPr>
          <w:ilvl w:val="0"/>
          <w:numId w:val="9"/>
        </w:numPr>
        <w:contextualSpacing/>
        <w:jc w:val="left"/>
      </w:pPr>
      <w:r>
        <w:t xml:space="preserve">Land surface characteristics for estimating </w:t>
      </w:r>
      <w:r>
        <w:rPr>
          <w:highlight w:val="white"/>
        </w:rPr>
        <w:t>albedo, Bowen ratio, and surface roughness</w:t>
      </w:r>
    </w:p>
    <w:p w14:paraId="3D85CBDB" w14:textId="77777777" w:rsidR="006716C2" w:rsidRDefault="006716C2" w:rsidP="006716C2">
      <w:pPr>
        <w:pStyle w:val="Normal1"/>
      </w:pPr>
    </w:p>
    <w:p w14:paraId="3D85CBDC" w14:textId="77777777" w:rsidR="006716C2" w:rsidRDefault="006716C2" w:rsidP="006716C2">
      <w:pPr>
        <w:pStyle w:val="Normal1"/>
        <w:jc w:val="left"/>
      </w:pPr>
      <w:r>
        <w:t>AERMOD is an EPA approved dispersion model for regulatory modeling in the New Source Review (NSR) program, and is the primary refined dispersion model for the CAO program. In addition to the parameters shared with AERSCREEN, AERMOD is a refined model that requires actual, representative meteorology, terrain information, and a gridded field of modeling receptors where concentrations will be evaluated. This meteorology can be obtained from the following sources:</w:t>
      </w:r>
    </w:p>
    <w:p w14:paraId="3D85CBDD" w14:textId="77777777" w:rsidR="006716C2" w:rsidRDefault="006716C2" w:rsidP="006716C2">
      <w:pPr>
        <w:pStyle w:val="Normal1"/>
        <w:jc w:val="left"/>
      </w:pPr>
    </w:p>
    <w:p w14:paraId="3D85CBDE" w14:textId="77777777" w:rsidR="006716C2" w:rsidRDefault="006716C2" w:rsidP="00713CB5">
      <w:pPr>
        <w:pStyle w:val="Normal1"/>
        <w:widowControl/>
        <w:numPr>
          <w:ilvl w:val="0"/>
          <w:numId w:val="11"/>
        </w:numPr>
        <w:contextualSpacing/>
        <w:jc w:val="left"/>
      </w:pPr>
      <w:r>
        <w:t>Onsite collection</w:t>
      </w:r>
    </w:p>
    <w:p w14:paraId="3D85CBDF" w14:textId="77777777" w:rsidR="006716C2" w:rsidRDefault="006716C2" w:rsidP="00713CB5">
      <w:pPr>
        <w:pStyle w:val="Normal1"/>
        <w:widowControl/>
        <w:numPr>
          <w:ilvl w:val="0"/>
          <w:numId w:val="11"/>
        </w:numPr>
        <w:contextualSpacing/>
        <w:jc w:val="left"/>
      </w:pPr>
      <w:r>
        <w:t>Representative National Weather Service (NWS) data</w:t>
      </w:r>
    </w:p>
    <w:p w14:paraId="3D85CBE0" w14:textId="77777777" w:rsidR="006716C2" w:rsidRDefault="006716C2" w:rsidP="00713CB5">
      <w:pPr>
        <w:pStyle w:val="Normal1"/>
        <w:widowControl/>
        <w:numPr>
          <w:ilvl w:val="0"/>
          <w:numId w:val="11"/>
        </w:numPr>
        <w:contextualSpacing/>
        <w:jc w:val="left"/>
      </w:pPr>
      <w:r>
        <w:t>DEQ weather data</w:t>
      </w:r>
    </w:p>
    <w:p w14:paraId="3D85CBE1" w14:textId="77777777" w:rsidR="006716C2" w:rsidRDefault="006716C2" w:rsidP="00713CB5">
      <w:pPr>
        <w:pStyle w:val="Normal1"/>
        <w:widowControl/>
        <w:numPr>
          <w:ilvl w:val="0"/>
          <w:numId w:val="11"/>
        </w:numPr>
        <w:contextualSpacing/>
        <w:jc w:val="left"/>
      </w:pPr>
      <w:r>
        <w:t xml:space="preserve">Weather Research and Forecasting model (WRF) prognostic data produced by the University of Washington </w:t>
      </w:r>
    </w:p>
    <w:p w14:paraId="3D85CBE2" w14:textId="77777777" w:rsidR="006716C2" w:rsidRDefault="006716C2" w:rsidP="006716C2">
      <w:pPr>
        <w:pStyle w:val="Normal1"/>
        <w:jc w:val="left"/>
      </w:pPr>
    </w:p>
    <w:p w14:paraId="3D85CBE3" w14:textId="77777777" w:rsidR="006716C2" w:rsidRDefault="006716C2" w:rsidP="006716C2">
      <w:pPr>
        <w:pStyle w:val="Normal1"/>
        <w:jc w:val="left"/>
      </w:pPr>
      <w:r>
        <w:t>All meteorological data, and options for its use, that may be proposed for running in AERMOD, must be approved by DEQ.</w:t>
      </w:r>
    </w:p>
    <w:p w14:paraId="3D85CBE4" w14:textId="77777777" w:rsidR="006716C2" w:rsidRDefault="006716C2" w:rsidP="006716C2">
      <w:pPr>
        <w:pStyle w:val="Normal1"/>
        <w:jc w:val="left"/>
      </w:pPr>
    </w:p>
    <w:p w14:paraId="3D85CBE5" w14:textId="77777777" w:rsidR="006716C2" w:rsidRDefault="006716C2" w:rsidP="006716C2">
      <w:pPr>
        <w:pStyle w:val="Normal1"/>
        <w:jc w:val="left"/>
      </w:pPr>
      <w:r>
        <w:t>AERMOD can also be run in screening mode using screening meteorology generated by MAKEMET, the meteorological pre-processor in AERSCREEN. DEQ considers the results as equivalent to running AERSCREEN in a Level 2 assessment. As in AERSCREEN, the MAKEMET screening meteorology is a worst-case set of conditions that</w:t>
      </w:r>
      <w:r w:rsidR="006F72F3">
        <w:t>,</w:t>
      </w:r>
      <w:r>
        <w:t xml:space="preserve"> together with stack and building data, is designed to produce the highest or most conservative concentrations. The advantages of using MAKEMET in AERMOD are the ability to incorporate terrain information and to model multiple stacks from the facility being studied.</w:t>
      </w:r>
    </w:p>
    <w:p w14:paraId="3D85CBE6" w14:textId="77777777" w:rsidR="006716C2" w:rsidRDefault="006716C2" w:rsidP="006716C2">
      <w:pPr>
        <w:pStyle w:val="Normal1"/>
        <w:widowControl/>
        <w:jc w:val="left"/>
      </w:pPr>
    </w:p>
    <w:p w14:paraId="3D85CBE7" w14:textId="77777777" w:rsidR="006716C2" w:rsidRDefault="006716C2" w:rsidP="006716C2">
      <w:pPr>
        <w:pStyle w:val="Normal1"/>
        <w:widowControl/>
        <w:jc w:val="left"/>
        <w:rPr>
          <w:b/>
        </w:rPr>
      </w:pPr>
      <w:r>
        <w:t>Detail</w:t>
      </w:r>
      <w:r w:rsidR="006F72F3">
        <w:t>s</w:t>
      </w:r>
      <w:r>
        <w:t xml:space="preserve"> for using EPA’s AERSCREEN or AERMOD, and their pre and post-processors, can be found in their respective user’s manuals</w:t>
      </w:r>
      <w:r w:rsidR="006F72F3">
        <w:t xml:space="preserve"> (EPA 2016</w:t>
      </w:r>
      <w:r w:rsidR="008F0F3B">
        <w:t>a,</w:t>
      </w:r>
      <w:r w:rsidR="006F72F3">
        <w:t xml:space="preserve"> EPA</w:t>
      </w:r>
      <w:r w:rsidR="008F0F3B">
        <w:t xml:space="preserve"> 2016b).</w:t>
      </w:r>
      <w:r>
        <w:t xml:space="preserve"> In addition, dispersion modeling used in the CAO program should follow the EPA’s </w:t>
      </w:r>
      <w:r>
        <w:rPr>
          <w:i/>
          <w:highlight w:val="white"/>
        </w:rPr>
        <w:t>Guideline on Air Quality Models</w:t>
      </w:r>
      <w:r>
        <w:rPr>
          <w:highlight w:val="white"/>
        </w:rPr>
        <w:t xml:space="preserve"> (EPA 2017a)</w:t>
      </w:r>
      <w:r>
        <w:t>, commonly called Appendix W. Prior to conducting air dispersion modeling, develop and prepare a Modeling Protocol for DEQ approval. Although the Protocol is site-specific to each source, there are common elements that may include</w:t>
      </w:r>
      <w:r w:rsidR="006F72F3">
        <w:t>,</w:t>
      </w:r>
      <w:r>
        <w:t xml:space="preserve"> but are not limited to</w:t>
      </w:r>
      <w:r w:rsidR="006F72F3">
        <w:t>,</w:t>
      </w:r>
      <w:r>
        <w:t xml:space="preserve"> the following:</w:t>
      </w:r>
    </w:p>
    <w:p w14:paraId="3D85CBE8" w14:textId="77777777" w:rsidR="006716C2" w:rsidRDefault="006716C2" w:rsidP="006716C2">
      <w:pPr>
        <w:pStyle w:val="Normal1"/>
      </w:pPr>
    </w:p>
    <w:p w14:paraId="3D85CBE9" w14:textId="77777777" w:rsidR="006716C2" w:rsidRDefault="006716C2" w:rsidP="00713CB5">
      <w:pPr>
        <w:pStyle w:val="Normal1"/>
        <w:widowControl/>
        <w:numPr>
          <w:ilvl w:val="0"/>
          <w:numId w:val="13"/>
        </w:numPr>
        <w:contextualSpacing/>
        <w:jc w:val="left"/>
      </w:pPr>
      <w:r>
        <w:t>Annual and short term emission rates, depending on the toxic chemicals emitted by the facility.</w:t>
      </w:r>
    </w:p>
    <w:p w14:paraId="3D85CBEA" w14:textId="77777777" w:rsidR="006716C2" w:rsidRDefault="006716C2" w:rsidP="00713CB5">
      <w:pPr>
        <w:pStyle w:val="Normal1"/>
        <w:widowControl/>
        <w:numPr>
          <w:ilvl w:val="0"/>
          <w:numId w:val="13"/>
        </w:numPr>
        <w:contextualSpacing/>
        <w:jc w:val="left"/>
      </w:pPr>
      <w:r>
        <w:t>Stack parameters for all operating conditions.</w:t>
      </w:r>
    </w:p>
    <w:p w14:paraId="3D85CBEB" w14:textId="77777777" w:rsidR="006716C2" w:rsidRDefault="006716C2" w:rsidP="00713CB5">
      <w:pPr>
        <w:pStyle w:val="Normal1"/>
        <w:widowControl/>
        <w:numPr>
          <w:ilvl w:val="0"/>
          <w:numId w:val="13"/>
        </w:numPr>
        <w:contextualSpacing/>
        <w:jc w:val="left"/>
      </w:pPr>
      <w:r>
        <w:t>Building dimensions for evaluating building downwash.</w:t>
      </w:r>
    </w:p>
    <w:p w14:paraId="3D85CBEC" w14:textId="77777777" w:rsidR="006716C2" w:rsidRDefault="006716C2" w:rsidP="00713CB5">
      <w:pPr>
        <w:pStyle w:val="Normal1"/>
        <w:widowControl/>
        <w:numPr>
          <w:ilvl w:val="0"/>
          <w:numId w:val="13"/>
        </w:numPr>
        <w:contextualSpacing/>
        <w:jc w:val="left"/>
      </w:pPr>
      <w:r>
        <w:t>Dispersion and associated models: including but not limited to AERMOD, AERMET, and their preprocessor programs AERMAP, AERSURFACE, BPIP. You may propose other equivalent models for approval by DEQ.</w:t>
      </w:r>
    </w:p>
    <w:p w14:paraId="3D85CBED" w14:textId="77777777" w:rsidR="006716C2" w:rsidRDefault="006716C2" w:rsidP="00713CB5">
      <w:pPr>
        <w:pStyle w:val="Normal1"/>
        <w:widowControl/>
        <w:numPr>
          <w:ilvl w:val="0"/>
          <w:numId w:val="13"/>
        </w:numPr>
        <w:contextualSpacing/>
        <w:jc w:val="left"/>
      </w:pPr>
      <w:r>
        <w:t>Modeling parameters such as terrain, dispersion options, surface characteristics including albedo, Bowen ratio, and surface roughness.</w:t>
      </w:r>
    </w:p>
    <w:p w14:paraId="3D85CBEE" w14:textId="77777777" w:rsidR="006716C2" w:rsidRDefault="006716C2" w:rsidP="00713CB5">
      <w:pPr>
        <w:pStyle w:val="Normal1"/>
        <w:widowControl/>
        <w:numPr>
          <w:ilvl w:val="0"/>
          <w:numId w:val="13"/>
        </w:numPr>
        <w:contextualSpacing/>
        <w:jc w:val="left"/>
      </w:pPr>
      <w:r>
        <w:t>Extent and refinement of the modeling receptor grid.</w:t>
      </w:r>
    </w:p>
    <w:p w14:paraId="3D85CBEF" w14:textId="77777777" w:rsidR="006716C2" w:rsidRDefault="006716C2" w:rsidP="00713CB5">
      <w:pPr>
        <w:pStyle w:val="Normal1"/>
        <w:widowControl/>
        <w:numPr>
          <w:ilvl w:val="0"/>
          <w:numId w:val="13"/>
        </w:numPr>
        <w:contextualSpacing/>
        <w:jc w:val="left"/>
      </w:pPr>
      <w:r>
        <w:t>Identification of modeling receptors at locations of exposure populations, such as residential, commercial/industrial, schools/daycare facilities, and sensitive populations.</w:t>
      </w:r>
    </w:p>
    <w:p w14:paraId="3D85CBF0" w14:textId="77777777" w:rsidR="006716C2" w:rsidRDefault="006716C2" w:rsidP="006716C2">
      <w:pPr>
        <w:pStyle w:val="Normal1"/>
      </w:pPr>
    </w:p>
    <w:p w14:paraId="3D85CBF1" w14:textId="77777777" w:rsidR="005D4872" w:rsidRDefault="005D4872" w:rsidP="006716C2">
      <w:pPr>
        <w:pStyle w:val="Normal1"/>
      </w:pPr>
    </w:p>
    <w:p w14:paraId="3D85CBF2" w14:textId="77777777" w:rsidR="005D4872" w:rsidRDefault="005D4872" w:rsidP="006716C2">
      <w:pPr>
        <w:pStyle w:val="Normal1"/>
      </w:pPr>
    </w:p>
    <w:p w14:paraId="3D85CBF3" w14:textId="77777777" w:rsidR="005D4872" w:rsidRDefault="005D4872" w:rsidP="006716C2">
      <w:pPr>
        <w:pStyle w:val="Normal1"/>
      </w:pPr>
    </w:p>
    <w:p w14:paraId="3D85CBF4" w14:textId="77777777" w:rsidR="005D4872" w:rsidRDefault="005D4872" w:rsidP="006716C2">
      <w:pPr>
        <w:pStyle w:val="Normal1"/>
      </w:pPr>
    </w:p>
    <w:p w14:paraId="3D85CBF5" w14:textId="77777777" w:rsidR="006716C2" w:rsidRDefault="006716C2" w:rsidP="006716C2">
      <w:pPr>
        <w:pStyle w:val="Heading3"/>
      </w:pPr>
      <w:bookmarkStart w:id="18" w:name="_Toc496183500"/>
      <w:r>
        <w:t>2.4.2 Use of Air Monitoring Data in Risk Assessments</w:t>
      </w:r>
      <w:bookmarkEnd w:id="18"/>
    </w:p>
    <w:p w14:paraId="3D85CBF6" w14:textId="77777777" w:rsidR="006716C2" w:rsidRDefault="006716C2" w:rsidP="006716C2">
      <w:pPr>
        <w:pStyle w:val="Normal1"/>
        <w:widowControl/>
        <w:jc w:val="left"/>
      </w:pPr>
    </w:p>
    <w:p w14:paraId="3D85CBF7" w14:textId="77777777" w:rsidR="006716C2" w:rsidRDefault="006716C2" w:rsidP="006716C2">
      <w:pPr>
        <w:pStyle w:val="Normal1"/>
        <w:widowControl/>
        <w:jc w:val="left"/>
      </w:pPr>
      <w:r>
        <w:t xml:space="preserve">You may request to conduct ambient air monitoring to supplement air modeling. However, there are a number of </w:t>
      </w:r>
      <w:r w:rsidR="00DE397E">
        <w:t>complexities</w:t>
      </w:r>
      <w:r>
        <w:t xml:space="preserve"> to using air mo</w:t>
      </w:r>
      <w:r w:rsidR="00221547">
        <w:t>nitoring</w:t>
      </w:r>
      <w:r>
        <w:t xml:space="preserve"> data in a risk assessment. Ambient monitoring results can be complicated by the presence of multiple sources of the air contaminants. This may require the simultaneous monitoring upwind and downwind of a facility. This is further complicated by varying wind directions over the year. A year of monitoring results may reasonably provide an annual average concentration at the monitoring station, suitable for comparison with chronic RBCs; however, it is far more difficult to determine the highest daily concentration that could occur at </w:t>
      </w:r>
      <w:r w:rsidR="001870D8">
        <w:t xml:space="preserve">a </w:t>
      </w:r>
      <w:r>
        <w:t xml:space="preserve">monitoring location. This uncertainty could underestimate acute risks. </w:t>
      </w:r>
    </w:p>
    <w:p w14:paraId="3D85CBF8" w14:textId="77777777" w:rsidR="006716C2" w:rsidRDefault="006716C2" w:rsidP="006716C2">
      <w:pPr>
        <w:pStyle w:val="Normal1"/>
        <w:widowControl/>
        <w:jc w:val="left"/>
      </w:pPr>
    </w:p>
    <w:p w14:paraId="3D85CBF9" w14:textId="77777777" w:rsidR="006716C2" w:rsidRDefault="006716C2" w:rsidP="006716C2">
      <w:pPr>
        <w:pStyle w:val="Normal1"/>
        <w:widowControl/>
        <w:jc w:val="left"/>
      </w:pPr>
      <w:r>
        <w:t>Ambient monitoring would likely take a minimum of 1.5 years to: 1) develop an adequate monitoring p</w:t>
      </w:r>
      <w:r w:rsidR="006F72F3">
        <w:t>rotocol</w:t>
      </w:r>
      <w:r>
        <w:t>, 2) receive DEQ approval</w:t>
      </w:r>
      <w:r w:rsidR="006F72F3">
        <w:t xml:space="preserve"> for monitoring</w:t>
      </w:r>
      <w:r>
        <w:t>, and 3) obtain and deploy sampling equipment. Another six months may be required to analyze the data, develop conclusions, and obtain DEQ approval of the conclusions</w:t>
      </w:r>
      <w:r w:rsidR="00DE397E">
        <w:t>.</w:t>
      </w:r>
    </w:p>
    <w:p w14:paraId="3D85CBFA" w14:textId="77777777" w:rsidR="006716C2" w:rsidRDefault="006716C2" w:rsidP="006716C2">
      <w:pPr>
        <w:pStyle w:val="Normal1"/>
        <w:widowControl/>
        <w:jc w:val="left"/>
      </w:pPr>
    </w:p>
    <w:p w14:paraId="3D85CBFB" w14:textId="77777777" w:rsidR="006716C2" w:rsidRDefault="006716C2" w:rsidP="006716C2">
      <w:pPr>
        <w:pStyle w:val="Normal1"/>
        <w:widowControl/>
        <w:jc w:val="left"/>
      </w:pPr>
      <w:r>
        <w:t>I</w:t>
      </w:r>
      <w:r w:rsidR="00DE397E">
        <w:t>n consideration of the above complexities, i</w:t>
      </w:r>
      <w:r>
        <w:t>f DEQ approves monitoring results, and a facility shows that they are in compliance with applicable RALs, then they can request to withdraw the Risk Reduction Plan on the basis that it is not necessary.</w:t>
      </w:r>
      <w:r w:rsidR="00DE397E">
        <w:t xml:space="preserve"> I</w:t>
      </w:r>
      <w:r>
        <w:t>f the monitoring results show that emissions exceed a RAL, then they would need to follow a compliance schedule based on the Risk Reduction Plan, putting their schedule on the same basis as a facility that did not perform air monitoring.</w:t>
      </w:r>
    </w:p>
    <w:p w14:paraId="3D85CBFC" w14:textId="77777777" w:rsidR="006716C2" w:rsidRDefault="006716C2" w:rsidP="006716C2">
      <w:pPr>
        <w:pStyle w:val="Normal1"/>
        <w:widowControl/>
        <w:jc w:val="left"/>
      </w:pPr>
    </w:p>
    <w:p w14:paraId="3D85CBFD" w14:textId="77777777" w:rsidR="006716C2" w:rsidRDefault="006716C2" w:rsidP="006716C2">
      <w:pPr>
        <w:pStyle w:val="Normal1"/>
        <w:widowControl/>
        <w:jc w:val="left"/>
      </w:pPr>
      <w:r>
        <w:t>Cleaner Air Oregon rules allow you to request additional time to complete a Risk Reduction Plan. However, there is also a provision that DEQ may not consider time lost in performing ambient air monitoring as a reason for granting a time extension.</w:t>
      </w:r>
    </w:p>
    <w:p w14:paraId="3D85CBFE" w14:textId="77777777" w:rsidR="006716C2" w:rsidRDefault="006716C2" w:rsidP="006716C2">
      <w:pPr>
        <w:pStyle w:val="Normal1"/>
        <w:widowControl/>
        <w:jc w:val="left"/>
        <w:rPr>
          <w:b/>
        </w:rPr>
      </w:pPr>
    </w:p>
    <w:p w14:paraId="3D85CBFF" w14:textId="77777777" w:rsidR="006716C2" w:rsidRDefault="006716C2" w:rsidP="006716C2">
      <w:pPr>
        <w:pStyle w:val="Heading2"/>
      </w:pPr>
      <w:bookmarkStart w:id="19" w:name="_Toc496183501"/>
      <w:r>
        <w:t>2.5 Toxicity Assessment</w:t>
      </w:r>
      <w:bookmarkEnd w:id="19"/>
    </w:p>
    <w:p w14:paraId="3D85CC00" w14:textId="77777777" w:rsidR="006716C2" w:rsidRDefault="006716C2" w:rsidP="006716C2">
      <w:pPr>
        <w:pStyle w:val="Normal1"/>
        <w:widowControl/>
        <w:jc w:val="left"/>
      </w:pPr>
    </w:p>
    <w:p w14:paraId="3D85CC01" w14:textId="77777777" w:rsidR="006716C2" w:rsidRDefault="006716C2" w:rsidP="006716C2">
      <w:pPr>
        <w:pStyle w:val="Normal1"/>
        <w:widowControl/>
        <w:jc w:val="left"/>
        <w:rPr>
          <w:b/>
        </w:rPr>
      </w:pPr>
      <w:r>
        <w:t>The purpose of the toxicity assessment is to compile toxicity data for the air toxics chemicals a facility emits or may emit, and to estimate the relationship between the amount of exposure of an air toxic and the likelihood of adverse effects. You should evaluate the potential cumulative cancer risks and noncancer risks from all chemicals your facility emits. You should also provide qualitative descriptions of the potential toxic properties of the air toxics. These details are most appropriate in a Level 4 risk assessment, unless you want to evaluate noncancer effects by organ system in a lower level risk assessment.</w:t>
      </w:r>
    </w:p>
    <w:p w14:paraId="3D85CC02" w14:textId="77777777" w:rsidR="006716C2" w:rsidRDefault="006716C2" w:rsidP="006716C2">
      <w:pPr>
        <w:pStyle w:val="Normal1"/>
        <w:widowControl/>
        <w:jc w:val="left"/>
        <w:rPr>
          <w:b/>
        </w:rPr>
      </w:pPr>
    </w:p>
    <w:p w14:paraId="3D85CC03" w14:textId="77777777" w:rsidR="006716C2" w:rsidRDefault="006716C2" w:rsidP="006716C2">
      <w:pPr>
        <w:pStyle w:val="Heading3"/>
      </w:pPr>
      <w:bookmarkStart w:id="20" w:name="_Toc496183502"/>
      <w:r>
        <w:t>2.5.1 Assessment of Noncancer Health Effects</w:t>
      </w:r>
      <w:bookmarkEnd w:id="20"/>
    </w:p>
    <w:p w14:paraId="3D85CC04" w14:textId="77777777" w:rsidR="006716C2" w:rsidRDefault="006716C2" w:rsidP="006716C2">
      <w:pPr>
        <w:pStyle w:val="Normal1"/>
        <w:widowControl/>
        <w:jc w:val="left"/>
      </w:pPr>
    </w:p>
    <w:p w14:paraId="3D85CC05" w14:textId="77777777" w:rsidR="006716C2" w:rsidRDefault="006716C2" w:rsidP="006716C2">
      <w:pPr>
        <w:pStyle w:val="Normal1"/>
        <w:widowControl/>
        <w:jc w:val="left"/>
      </w:pPr>
      <w:r>
        <w:t>The potential for noncancer health effects, such as organ damage, immunological effects, birth defects, or skin irritation, is assessed by comparison with what EPA calls a Reference Concentration (RfC) in units of ug/m</w:t>
      </w:r>
      <w:r>
        <w:rPr>
          <w:vertAlign w:val="superscript"/>
        </w:rPr>
        <w:t>3</w:t>
      </w:r>
      <w:r>
        <w:t xml:space="preserve"> or mg/m</w:t>
      </w:r>
      <w:r>
        <w:rPr>
          <w:vertAlign w:val="superscript"/>
        </w:rPr>
        <w:t>3</w:t>
      </w:r>
      <w:r>
        <w:t>. The federal Agency for Toxic Substances and Disease Registry call</w:t>
      </w:r>
      <w:r w:rsidR="006F72F3">
        <w:t>s</w:t>
      </w:r>
      <w:r>
        <w:t xml:space="preserve"> these concentrations Minimal Risk Levels (MRLs), and California’s Office of Environmental Health Hazard Assessment calls them Risk Exposure Levels (RELs). For the purpose of this document, we will use Reference Concentration as a general term. CAO rules require that RfCs are developed using the hierarchy in Appendix A, and that risk assessments performed for the program use the RfCs provided in OAR 340-245-8030 Table 3 as TRVs.</w:t>
      </w:r>
    </w:p>
    <w:p w14:paraId="3D85CC06" w14:textId="77777777" w:rsidR="006716C2" w:rsidRDefault="006716C2" w:rsidP="006716C2">
      <w:pPr>
        <w:pStyle w:val="Normal1"/>
        <w:widowControl/>
        <w:jc w:val="left"/>
      </w:pPr>
    </w:p>
    <w:p w14:paraId="3D85CC07" w14:textId="77777777" w:rsidR="006716C2" w:rsidRDefault="006716C2" w:rsidP="006716C2">
      <w:pPr>
        <w:pStyle w:val="Normal1"/>
        <w:widowControl/>
        <w:jc w:val="left"/>
      </w:pPr>
      <w:r>
        <w:t>An RfC is considered a threshold below which adverse effects are not likely even in sensitive groups. Often, RfCs are based on data from test animals. Because the goal of human health risk assessments is to protect humans, including sensitive humans, toxicologists use uncertainty factors to develop reference concentrations to ensure that the levels are protective of sensitive people.</w:t>
      </w:r>
    </w:p>
    <w:p w14:paraId="3D85CC08" w14:textId="77777777" w:rsidR="006716C2" w:rsidRDefault="006716C2" w:rsidP="006716C2">
      <w:pPr>
        <w:pStyle w:val="Normal1"/>
        <w:widowControl/>
        <w:jc w:val="left"/>
      </w:pPr>
    </w:p>
    <w:p w14:paraId="3D85CC09" w14:textId="77777777" w:rsidR="006716C2" w:rsidRDefault="006716C2" w:rsidP="006716C2">
      <w:pPr>
        <w:pStyle w:val="Normal1"/>
        <w:jc w:val="left"/>
      </w:pPr>
      <w:r>
        <w:t xml:space="preserve">For simplicity, noncancer effects are evaluated by summing hazard quotients, as discussed in Section 3. The sum of hazard quotients for multiple chemicals is known as a hazard index. In some cases, this will be an overestimate of risk if the chemicals act on different organ systems such that the effects are not additive. If your noncancer hazard index is greater than 1, you can refine the evaluation by summing ratios of chemicals with effects on the same organ system. Note, however, that many chemicals cause effects on more than one organ. All health effects, regardless of whether the effects were used to derive the RfC, should be considered when determining whether to include a chemical in an organ-specific hazard index evaluation. </w:t>
      </w:r>
    </w:p>
    <w:p w14:paraId="3D85CC0A" w14:textId="77777777" w:rsidR="006716C2" w:rsidRDefault="006716C2" w:rsidP="006716C2">
      <w:pPr>
        <w:pStyle w:val="Normal1"/>
        <w:jc w:val="left"/>
      </w:pPr>
    </w:p>
    <w:p w14:paraId="3D85CC0B" w14:textId="77777777" w:rsidR="006716C2" w:rsidRDefault="006716C2" w:rsidP="006716C2">
      <w:pPr>
        <w:pStyle w:val="Heading3"/>
      </w:pPr>
      <w:bookmarkStart w:id="21" w:name="_Toc496183503"/>
      <w:r>
        <w:t>2.5.2 Assessment of Cancer Effects</w:t>
      </w:r>
      <w:bookmarkEnd w:id="21"/>
    </w:p>
    <w:p w14:paraId="3D85CC0C" w14:textId="77777777" w:rsidR="006716C2" w:rsidRDefault="006716C2" w:rsidP="006716C2">
      <w:pPr>
        <w:pStyle w:val="Normal1"/>
        <w:widowControl/>
        <w:jc w:val="left"/>
      </w:pPr>
    </w:p>
    <w:p w14:paraId="3D85CC0D" w14:textId="77777777" w:rsidR="006716C2" w:rsidRDefault="006716C2" w:rsidP="006716C2">
      <w:pPr>
        <w:pStyle w:val="Normal1"/>
        <w:spacing w:after="120"/>
        <w:ind w:right="18"/>
        <w:jc w:val="left"/>
      </w:pPr>
      <w:r>
        <w:t>For cancer effects, the assumption is that there is no threshold for adverse effects. That is, we assume that exposure to even very small concentrations of the chemical could contribute a small amount towards cancer risk. Because of this assumption, the toxicity of carcinogens is given not as a threshold concentration, but instead as a probability of getting cancer at a concentration of 1 µg/m</w:t>
      </w:r>
      <w:r>
        <w:rPr>
          <w:vertAlign w:val="superscript"/>
        </w:rPr>
        <w:t>3</w:t>
      </w:r>
      <w:r>
        <w:t>. This value is called the inhalation unit risk (IUR) value, in units of risk per microgram per cubic meter (ug/m</w:t>
      </w:r>
      <w:r>
        <w:rPr>
          <w:vertAlign w:val="superscript"/>
        </w:rPr>
        <w:t>3</w:t>
      </w:r>
      <w:r>
        <w:t>)</w:t>
      </w:r>
      <w:r>
        <w:rPr>
          <w:vertAlign w:val="superscript"/>
        </w:rPr>
        <w:t>-1</w:t>
      </w:r>
      <w:r>
        <w:t xml:space="preserve">. For ease of use in assessing risk in the CAO program, IURs were converted to TRVs using a target excess cancer risk level of one in one million. For ingestion exposure, EPA provides oral </w:t>
      </w:r>
      <w:r w:rsidR="006F72F3">
        <w:t xml:space="preserve">cancer </w:t>
      </w:r>
      <w:r>
        <w:t>slope factors (SFs), which are expressed as risk per milligram per kilogram body weight per day (mg/kg/day)</w:t>
      </w:r>
      <w:r>
        <w:rPr>
          <w:vertAlign w:val="superscript"/>
        </w:rPr>
        <w:t>-1</w:t>
      </w:r>
      <w:r>
        <w:t>.</w:t>
      </w:r>
    </w:p>
    <w:p w14:paraId="3D85CC0E" w14:textId="77777777" w:rsidR="006716C2" w:rsidRDefault="006716C2" w:rsidP="006716C2">
      <w:pPr>
        <w:pStyle w:val="Normal1"/>
        <w:jc w:val="left"/>
        <w:rPr>
          <w:b/>
        </w:rPr>
      </w:pPr>
    </w:p>
    <w:p w14:paraId="3D85CC0F" w14:textId="77777777" w:rsidR="006716C2" w:rsidRDefault="006716C2" w:rsidP="006716C2">
      <w:pPr>
        <w:pStyle w:val="Heading3"/>
      </w:pPr>
      <w:bookmarkStart w:id="22" w:name="_Toc496183504"/>
      <w:r>
        <w:t>2.5.3 Assessment of Chemical Mixtures</w:t>
      </w:r>
      <w:bookmarkEnd w:id="22"/>
    </w:p>
    <w:p w14:paraId="3D85CC10" w14:textId="77777777" w:rsidR="006716C2" w:rsidRDefault="006716C2" w:rsidP="006716C2">
      <w:pPr>
        <w:pStyle w:val="Normal1"/>
        <w:jc w:val="left"/>
      </w:pPr>
    </w:p>
    <w:p w14:paraId="3D85CC11" w14:textId="77777777" w:rsidR="006716C2" w:rsidRDefault="006716C2" w:rsidP="006716C2">
      <w:pPr>
        <w:pStyle w:val="Normal1"/>
        <w:jc w:val="left"/>
      </w:pPr>
      <w:r>
        <w:t xml:space="preserve">For some chemical classes, it is preferable to evaluate risk as a single value for the entire class. DEQ’s recommendations on how to conduct evaluations for </w:t>
      </w:r>
      <w:r w:rsidR="006F72F3">
        <w:t xml:space="preserve">two important </w:t>
      </w:r>
      <w:r>
        <w:t xml:space="preserve">chemical classes </w:t>
      </w:r>
      <w:r w:rsidR="006F72F3">
        <w:t>are</w:t>
      </w:r>
      <w:r>
        <w:t xml:space="preserve"> provided below.</w:t>
      </w:r>
    </w:p>
    <w:p w14:paraId="3D85CC12" w14:textId="77777777" w:rsidR="006716C2" w:rsidRDefault="006716C2" w:rsidP="006716C2">
      <w:pPr>
        <w:pStyle w:val="Normal1"/>
        <w:jc w:val="left"/>
      </w:pPr>
    </w:p>
    <w:p w14:paraId="3D85CC13" w14:textId="77777777" w:rsidR="006716C2" w:rsidRDefault="006716C2" w:rsidP="006716C2">
      <w:pPr>
        <w:pStyle w:val="Normal1"/>
        <w:widowControl/>
        <w:jc w:val="left"/>
        <w:rPr>
          <w:b/>
          <w:u w:val="single"/>
        </w:rPr>
      </w:pPr>
      <w:r>
        <w:rPr>
          <w:b/>
          <w:u w:val="single"/>
        </w:rPr>
        <w:t>Toxicity of CDDs/CDFs and Dioxin-like PCBs</w:t>
      </w:r>
    </w:p>
    <w:p w14:paraId="3D85CC14" w14:textId="77777777" w:rsidR="006716C2" w:rsidRDefault="006716C2" w:rsidP="006716C2">
      <w:pPr>
        <w:pStyle w:val="Normal1"/>
        <w:widowControl/>
        <w:jc w:val="left"/>
      </w:pPr>
      <w:r>
        <w:t>Consistent with EPA, DEQ recommends use of toxicity equivalency factors (TEFs) to evaluate toxic effects of polychlorinated dibenzo-</w:t>
      </w:r>
      <w:r>
        <w:rPr>
          <w:i/>
        </w:rPr>
        <w:t>p</w:t>
      </w:r>
      <w:r>
        <w:t>-dioxins (CDDs), polychlorinated dibenzofurans (CDFs), and co-planar (dioxin-like) polychlorinated biphenyl (PCB) congeners relative to the toxicity of 2,3,7,8-tetrachlorodibenzo-</w:t>
      </w:r>
      <w:r>
        <w:rPr>
          <w:i/>
        </w:rPr>
        <w:t>p</w:t>
      </w:r>
      <w:r>
        <w:t>-dioxin (2,3,7,8-TCDD). Concentrations of congeners are multiplied by their TEFs to estimate the toxicity of these congeners relative to 2,3,7,8-TCDD; the resulting concentrations may be summed into a total 2,3,7,8-TCDD toxic equivalent (TEQ) concentration. EPA and DEQ use World Health Organization TEFs for humans from Van den Berg 2006.</w:t>
      </w:r>
    </w:p>
    <w:p w14:paraId="3D85CC15" w14:textId="77777777" w:rsidR="006716C2" w:rsidRDefault="006716C2" w:rsidP="006716C2">
      <w:pPr>
        <w:pStyle w:val="Normal1"/>
        <w:widowControl/>
        <w:jc w:val="left"/>
      </w:pPr>
    </w:p>
    <w:p w14:paraId="3D85CC16" w14:textId="77777777" w:rsidR="006716C2" w:rsidRDefault="006716C2" w:rsidP="006716C2">
      <w:pPr>
        <w:pStyle w:val="Normal1"/>
        <w:widowControl/>
        <w:jc w:val="left"/>
        <w:rPr>
          <w:b/>
          <w:u w:val="single"/>
        </w:rPr>
      </w:pPr>
      <w:r>
        <w:rPr>
          <w:b/>
          <w:u w:val="single"/>
        </w:rPr>
        <w:t>Toxicity of Polycyclic Aromatic Hydrocarbons</w:t>
      </w:r>
    </w:p>
    <w:p w14:paraId="3D85CC17" w14:textId="77777777" w:rsidR="006716C2" w:rsidRDefault="006716C2" w:rsidP="006716C2">
      <w:pPr>
        <w:pStyle w:val="Normal1"/>
        <w:widowControl/>
        <w:jc w:val="left"/>
      </w:pPr>
      <w:r>
        <w:t xml:space="preserve">DEQ recommends use of TEFs to evaluate cancer risk of polycyclic aromatic hydrocarbons (PAHs) relative to the toxicity of  benzo[a]pyrene. Concentrations of other PAHs are multiplied by their TEFs to estimate their toxicity relative to benzo[a]pyrene; the resulting concentrations may be summed into a total benzo[a]pyrene toxic equivalent concentration. TEFs for humans are provided ATSDR 1995. Typically, however, </w:t>
      </w:r>
      <w:r w:rsidR="006F72F3">
        <w:t xml:space="preserve">IURs and </w:t>
      </w:r>
      <w:r>
        <w:t>slope factors based on the TEFs are available from EPA for the individual PAHs, so an evaluation of total carcinogenic PAHs using TEFs is not necessarily required.</w:t>
      </w:r>
    </w:p>
    <w:p w14:paraId="3D85CC18" w14:textId="77777777" w:rsidR="006716C2" w:rsidRDefault="006716C2" w:rsidP="006716C2">
      <w:pPr>
        <w:pStyle w:val="Normal1"/>
        <w:widowControl/>
        <w:jc w:val="left"/>
      </w:pPr>
    </w:p>
    <w:p w14:paraId="3D85CC19" w14:textId="77777777" w:rsidR="006716C2" w:rsidRDefault="006716C2" w:rsidP="006716C2">
      <w:pPr>
        <w:pStyle w:val="Heading3"/>
      </w:pPr>
      <w:bookmarkStart w:id="23" w:name="_Toc496183505"/>
      <w:r>
        <w:t>2.5.4 Screening Terminology</w:t>
      </w:r>
      <w:bookmarkEnd w:id="23"/>
    </w:p>
    <w:p w14:paraId="3D85CC1A" w14:textId="77777777" w:rsidR="006716C2" w:rsidRDefault="006716C2" w:rsidP="006716C2">
      <w:pPr>
        <w:pStyle w:val="Normal1"/>
        <w:tabs>
          <w:tab w:val="left" w:pos="3755"/>
          <w:tab w:val="left" w:pos="4933"/>
          <w:tab w:val="left" w:pos="5978"/>
          <w:tab w:val="left" w:pos="7022"/>
          <w:tab w:val="left" w:pos="8066"/>
          <w:tab w:val="left" w:pos="9111"/>
          <w:tab w:val="left" w:pos="11093"/>
          <w:tab w:val="left" w:pos="12990"/>
        </w:tabs>
        <w:jc w:val="left"/>
      </w:pPr>
    </w:p>
    <w:p w14:paraId="3D85CC1B" w14:textId="77777777" w:rsidR="006716C2" w:rsidRDefault="006716C2" w:rsidP="006716C2">
      <w:pPr>
        <w:pStyle w:val="Normal1"/>
        <w:tabs>
          <w:tab w:val="left" w:pos="3755"/>
          <w:tab w:val="left" w:pos="4933"/>
          <w:tab w:val="left" w:pos="5978"/>
          <w:tab w:val="left" w:pos="7022"/>
          <w:tab w:val="left" w:pos="8066"/>
          <w:tab w:val="left" w:pos="9111"/>
          <w:tab w:val="left" w:pos="11093"/>
          <w:tab w:val="left" w:pos="12990"/>
        </w:tabs>
        <w:jc w:val="left"/>
      </w:pPr>
      <w:r>
        <w:t xml:space="preserve">Screening of air toxics is part of the overall risk evaluation approach. Air toxics emitted at the site which have not been screened should be designated as “Chemicals of Interest” (COIs). If RALs are exceeded at screening Level 1 or 2, air toxics contributing to risk should be designated as “Chemicals of Potential Concern” (COPCs). At the more advanced evaluations, Level 3 or 4, if RALs are exceeded, air toxics contributing to risk should be designated as “Chemicals of Concern” (COCs). </w:t>
      </w:r>
    </w:p>
    <w:p w14:paraId="3D85CC1C" w14:textId="77777777" w:rsidR="006716C2" w:rsidRDefault="006716C2" w:rsidP="006716C2">
      <w:pPr>
        <w:pStyle w:val="Normal1"/>
        <w:jc w:val="left"/>
      </w:pPr>
    </w:p>
    <w:p w14:paraId="3D85CC1D" w14:textId="77777777" w:rsidR="006716C2" w:rsidRDefault="006716C2" w:rsidP="006716C2">
      <w:pPr>
        <w:pStyle w:val="Heading2"/>
      </w:pPr>
      <w:bookmarkStart w:id="24" w:name="_Toc496183506"/>
      <w:r>
        <w:t>2.6 Uncertainty Evaluation</w:t>
      </w:r>
      <w:bookmarkEnd w:id="24"/>
    </w:p>
    <w:p w14:paraId="3D85CC1E" w14:textId="77777777" w:rsidR="006716C2" w:rsidRDefault="006716C2" w:rsidP="006716C2">
      <w:pPr>
        <w:pStyle w:val="Normal1"/>
        <w:jc w:val="left"/>
      </w:pPr>
    </w:p>
    <w:p w14:paraId="3D85CC1F" w14:textId="77777777" w:rsidR="006716C2" w:rsidRDefault="006716C2" w:rsidP="006716C2">
      <w:pPr>
        <w:pStyle w:val="Normal1"/>
        <w:jc w:val="left"/>
      </w:pPr>
      <w:r>
        <w:t xml:space="preserve">A section on uncertainty should be included in </w:t>
      </w:r>
      <w:r w:rsidR="006F72F3">
        <w:t>a risk assessment, especially a Level 4 comprehensive health risk assessment</w:t>
      </w:r>
      <w:r>
        <w:t xml:space="preserve">. In this section, uncertainty in the exposure analysis (including the conceptual site model and air dispersion modeling), toxicity analysis, and risk characterization results should be evaluated qualitatively or quantitatively (if possible). This evaluation will allow managers to consider the uncertainty associated with the risk assessment. </w:t>
      </w:r>
    </w:p>
    <w:p w14:paraId="3D85CC20" w14:textId="77777777" w:rsidR="006716C2" w:rsidRDefault="006716C2" w:rsidP="006716C2">
      <w:pPr>
        <w:pStyle w:val="Normal1"/>
        <w:widowControl/>
        <w:jc w:val="left"/>
      </w:pPr>
    </w:p>
    <w:p w14:paraId="3D85CC21" w14:textId="77777777" w:rsidR="006716C2" w:rsidRDefault="006716C2" w:rsidP="006716C2">
      <w:pPr>
        <w:pStyle w:val="Normal1"/>
        <w:widowControl/>
        <w:jc w:val="left"/>
        <w:rPr>
          <w:b/>
        </w:rPr>
      </w:pPr>
      <w:r>
        <w:br w:type="page"/>
      </w:r>
    </w:p>
    <w:p w14:paraId="3D85CC22" w14:textId="77777777" w:rsidR="006716C2" w:rsidRDefault="006716C2" w:rsidP="006716C2">
      <w:pPr>
        <w:pStyle w:val="Normal1"/>
        <w:widowControl/>
        <w:jc w:val="left"/>
        <w:rPr>
          <w:b/>
        </w:rPr>
      </w:pPr>
    </w:p>
    <w:p w14:paraId="3D85CC23" w14:textId="77777777" w:rsidR="006716C2" w:rsidRDefault="0010235F" w:rsidP="006716C2">
      <w:pPr>
        <w:pStyle w:val="Heading1"/>
      </w:pPr>
      <w:bookmarkStart w:id="25" w:name="_2et92p0" w:colFirst="0" w:colLast="0"/>
      <w:bookmarkStart w:id="26" w:name="_Toc496183507"/>
      <w:bookmarkEnd w:id="25"/>
      <w:r>
        <w:t xml:space="preserve">3. </w:t>
      </w:r>
      <w:r w:rsidR="006716C2" w:rsidRPr="00253FFC">
        <w:rPr>
          <w:caps/>
        </w:rPr>
        <w:t>Level 1 and 2 Screening</w:t>
      </w:r>
      <w:bookmarkEnd w:id="26"/>
    </w:p>
    <w:p w14:paraId="3D85CC24" w14:textId="77777777" w:rsidR="006716C2" w:rsidRDefault="006716C2" w:rsidP="006716C2">
      <w:pPr>
        <w:pStyle w:val="Normal1"/>
        <w:widowControl/>
        <w:jc w:val="left"/>
      </w:pPr>
    </w:p>
    <w:p w14:paraId="3D85CC25" w14:textId="77777777" w:rsidR="006716C2" w:rsidRDefault="006716C2" w:rsidP="006716C2">
      <w:pPr>
        <w:pStyle w:val="Normal1"/>
        <w:widowControl/>
        <w:jc w:val="left"/>
      </w:pPr>
      <w:r>
        <w:t xml:space="preserve">To conduct screening, you need to calculate concentrations of air toxics at the exposure areas identified in the conceptual site model. You may demonstrate compliance under the CAO rules without conducting dispersion modeling for emissions from your facility by using the Level 1 approach with a lookup table of dispersion factors. If you are unable to demonstrate compliance using a Level 1 approach, then you </w:t>
      </w:r>
      <w:r w:rsidR="006F72F3">
        <w:t>may</w:t>
      </w:r>
      <w:r>
        <w:t xml:space="preserve"> attempt to demonstrate compliance using the Level 2 simple model to calculate air toxics concentrations.</w:t>
      </w:r>
    </w:p>
    <w:p w14:paraId="3D85CC26" w14:textId="77777777" w:rsidR="006716C2" w:rsidRDefault="006716C2" w:rsidP="006716C2">
      <w:pPr>
        <w:pStyle w:val="Normal1"/>
        <w:widowControl/>
        <w:jc w:val="left"/>
        <w:rPr>
          <w:b/>
          <w:sz w:val="20"/>
          <w:szCs w:val="20"/>
        </w:rPr>
      </w:pPr>
    </w:p>
    <w:p w14:paraId="3D85CC27" w14:textId="77777777" w:rsidR="006716C2" w:rsidRDefault="006716C2" w:rsidP="006716C2">
      <w:pPr>
        <w:pStyle w:val="Heading2"/>
      </w:pPr>
      <w:bookmarkStart w:id="27" w:name="_Toc496183508"/>
      <w:r>
        <w:t>3.1 Level 1 Screening Approach</w:t>
      </w:r>
      <w:bookmarkEnd w:id="27"/>
    </w:p>
    <w:p w14:paraId="3D85CC28" w14:textId="77777777" w:rsidR="006716C2" w:rsidRDefault="006716C2" w:rsidP="002051DB">
      <w:pPr>
        <w:pStyle w:val="Normal1"/>
        <w:widowControl/>
        <w:jc w:val="left"/>
        <w:rPr>
          <w:b/>
          <w:sz w:val="20"/>
          <w:szCs w:val="20"/>
        </w:rPr>
      </w:pPr>
    </w:p>
    <w:p w14:paraId="3D85CC29" w14:textId="77777777" w:rsidR="006716C2" w:rsidRDefault="006716C2" w:rsidP="002051DB">
      <w:pPr>
        <w:pStyle w:val="Normal1"/>
        <w:widowControl/>
        <w:jc w:val="left"/>
      </w:pPr>
      <w:r>
        <w:t xml:space="preserve">The Level 1 approach allows you to use </w:t>
      </w:r>
      <w:r w:rsidR="00DE397E">
        <w:t xml:space="preserve">air toxics </w:t>
      </w:r>
      <w:r>
        <w:t xml:space="preserve">emission rates from your facility to calculate air concentrations. Initially, DEQ will conduct a Level 1 evaluation based on emission information provided by your facility during initiation of the program. After that, facilities will conduct their own emission rate screening. </w:t>
      </w:r>
    </w:p>
    <w:p w14:paraId="3D85CC2A" w14:textId="77777777" w:rsidR="006716C2" w:rsidRDefault="006716C2" w:rsidP="002051DB">
      <w:pPr>
        <w:pStyle w:val="Normal1"/>
        <w:widowControl/>
        <w:jc w:val="left"/>
      </w:pPr>
    </w:p>
    <w:p w14:paraId="3D85CC2B" w14:textId="77777777" w:rsidR="006716C2" w:rsidRDefault="006716C2" w:rsidP="002051DB">
      <w:pPr>
        <w:pStyle w:val="Normal1"/>
        <w:widowControl/>
        <w:jc w:val="left"/>
      </w:pPr>
      <w:r>
        <w:t xml:space="preserve">To accomplish Level 1 screening, DEQ developed dispersion factors to do the conversion from chemical emission rates to air concentrations. These factors are shown in OAR 340-245-8060 Tables 6A (annual exposure) and 6B (24-hour exposure). Because DEQ has done these calculations, it is not necessary for you to directly run an air dispersion model. The table is designed for point source emissions only, that is, from discrete stacks that have </w:t>
      </w:r>
      <w:r w:rsidR="00DE397E">
        <w:t xml:space="preserve">quantifiable </w:t>
      </w:r>
      <w:r>
        <w:t>dimensions. If you have fugitive emissions, such as those from building doors and windows, or from areas where paint, solvent, other emissions are generated, you cannot use the table, and must instead, at a minimum, conduct Level 2 modeling using AERSCREEN or a comparable methodology.</w:t>
      </w:r>
    </w:p>
    <w:p w14:paraId="3D85CC2C" w14:textId="77777777" w:rsidR="006716C2" w:rsidRDefault="006716C2" w:rsidP="002051DB">
      <w:pPr>
        <w:pStyle w:val="Normal1"/>
        <w:widowControl/>
        <w:jc w:val="left"/>
      </w:pPr>
    </w:p>
    <w:p w14:paraId="3D85CC2D" w14:textId="77777777" w:rsidR="007855D0" w:rsidRDefault="006716C2" w:rsidP="002051DB">
      <w:pPr>
        <w:pStyle w:val="Normal1"/>
        <w:jc w:val="left"/>
      </w:pPr>
      <w:r>
        <w:t>T</w:t>
      </w:r>
      <w:r w:rsidR="006F72F3">
        <w:t>he use of</w:t>
      </w:r>
      <w:r>
        <w:t xml:space="preserve"> OAR 340-245-8060 Table 6 requires only the stack height and distance to the nearest exposure area. You will likely have four types of exposure areas to be evaluated (residential, commercial/industrial, school/daycare, and acute), as discussed in Section 2.4. Determine the closest distance to all the relevant exposure areas. Find the dispersion factor in the table for a given stack height and distance. For each exposure area, multiply the emission rate from a facility stack by the dispersion factor. </w:t>
      </w:r>
    </w:p>
    <w:p w14:paraId="3D85CC2E" w14:textId="77777777" w:rsidR="007855D0" w:rsidRDefault="007855D0" w:rsidP="002051DB">
      <w:pPr>
        <w:pStyle w:val="Normal1"/>
        <w:jc w:val="left"/>
      </w:pPr>
    </w:p>
    <w:p w14:paraId="3D85CC2F" w14:textId="77777777" w:rsidR="006716C2" w:rsidRDefault="002051DB" w:rsidP="002051DB">
      <w:pPr>
        <w:pStyle w:val="Normal1"/>
        <w:jc w:val="left"/>
      </w:pPr>
      <w:r w:rsidRPr="004B05D9">
        <w:t xml:space="preserve">DEQ will base Level 1 ranking on reported actual emission rates for facilities. </w:t>
      </w:r>
      <w:r w:rsidR="007855D0" w:rsidRPr="004B05D9">
        <w:t xml:space="preserve">For the emission rates </w:t>
      </w:r>
      <w:r w:rsidRPr="004B05D9">
        <w:t xml:space="preserve">you should </w:t>
      </w:r>
      <w:r w:rsidR="007855D0" w:rsidRPr="004B05D9">
        <w:t>use</w:t>
      </w:r>
      <w:r w:rsidR="00DC10AF" w:rsidRPr="004B05D9">
        <w:t xml:space="preserve"> in a Level 1 assessment</w:t>
      </w:r>
      <w:r w:rsidR="007855D0" w:rsidRPr="004B05D9">
        <w:t xml:space="preserve">, select from among the following: 1) if you want to be considered a </w:t>
      </w:r>
      <w:r w:rsidR="007855D0" w:rsidRPr="004B05D9">
        <w:rPr>
          <w:i/>
        </w:rPr>
        <w:t>de minimis</w:t>
      </w:r>
      <w:r w:rsidR="007855D0" w:rsidRPr="004B05D9">
        <w:t xml:space="preserve"> source, you need to assess air toxics emissions at the capacity to emit; 2) if you want to demonstrate that risk at your pre-existing Potential to Emit (PTE) does not exceed the applicable RALs, evaluate emissions at the pre-existing PTE; or 3) if you want to request a PTE or risk limit, assess your air toxics emissions using the requested limit</w:t>
      </w:r>
      <w:r w:rsidR="008E760A" w:rsidRPr="004B05D9">
        <w:t>, which may be based on actual emissions if you can continue to comply at that level</w:t>
      </w:r>
      <w:r w:rsidR="004A7D2F" w:rsidRPr="004B05D9">
        <w:t xml:space="preserve">. </w:t>
      </w:r>
      <w:r w:rsidR="006716C2" w:rsidRPr="004B05D9">
        <w:t>Stack emission rates must be in the same units as the table, such as lbs/day for acute effects toxics, and lbs/year for chronic effects. The result of the</w:t>
      </w:r>
      <w:r w:rsidR="006716C2" w:rsidRPr="00957C55">
        <w:t xml:space="preserve"> calculation will be air concentrations in micrograms per cubic meter, </w:t>
      </w:r>
      <w:r w:rsidR="006716C2" w:rsidRPr="00957C55">
        <w:rPr>
          <w:rFonts w:ascii="Calibri" w:eastAsia="Calibri" w:hAnsi="Calibri" w:cs="Calibri"/>
        </w:rPr>
        <w:t>μ</w:t>
      </w:r>
      <w:r w:rsidR="006716C2" w:rsidRPr="00957C55">
        <w:t>g/m</w:t>
      </w:r>
      <w:r w:rsidR="006716C2" w:rsidRPr="00957C55">
        <w:rPr>
          <w:vertAlign w:val="superscript"/>
        </w:rPr>
        <w:t>3</w:t>
      </w:r>
      <w:r w:rsidR="006716C2" w:rsidRPr="00957C55">
        <w:t>.</w:t>
      </w:r>
      <w:r w:rsidR="006716C2">
        <w:t xml:space="preserve"> </w:t>
      </w:r>
    </w:p>
    <w:p w14:paraId="3D85CC30" w14:textId="77777777" w:rsidR="00F410F1" w:rsidRDefault="00F410F1" w:rsidP="002051DB">
      <w:pPr>
        <w:pStyle w:val="Normal1"/>
        <w:jc w:val="left"/>
      </w:pPr>
    </w:p>
    <w:p w14:paraId="3D85CC31" w14:textId="77777777" w:rsidR="006716C2" w:rsidRDefault="006716C2" w:rsidP="002051DB">
      <w:pPr>
        <w:pStyle w:val="Normal1"/>
        <w:jc w:val="left"/>
      </w:pPr>
      <w:r>
        <w:t xml:space="preserve">Next, divide the calculated air concentration by the respective RBC for that toxic from </w:t>
      </w:r>
      <w:r w:rsidR="001870D8">
        <w:t xml:space="preserve">OAR 340-245-0830 </w:t>
      </w:r>
      <w:r>
        <w:t>Table 3. This will determine the potential risk for that single toxic from a single stack. To complete the screening step, add the results for all the applicable air toxic chemicals for the different types of RBCs (chronic cancer, chronic noncancer, and acute noncancer). Finally, compare these calculated total risk values with the RALs in OAR 340-245-8010 Table 1. Example 1 shows a simple Level 1 screening evaluation.</w:t>
      </w:r>
    </w:p>
    <w:p w14:paraId="3D85CC32" w14:textId="77777777" w:rsidR="006716C2" w:rsidRDefault="006716C2" w:rsidP="002051DB">
      <w:pPr>
        <w:pStyle w:val="Normal1"/>
        <w:jc w:val="left"/>
      </w:pPr>
    </w:p>
    <w:p w14:paraId="3D85CC33" w14:textId="77777777" w:rsidR="001870D8" w:rsidRDefault="001870D8" w:rsidP="002051DB">
      <w:pPr>
        <w:pStyle w:val="Normal1"/>
        <w:jc w:val="left"/>
      </w:pPr>
    </w:p>
    <w:p w14:paraId="3D85CC34" w14:textId="77777777" w:rsidR="004B6AD3" w:rsidRDefault="00D05E23" w:rsidP="006716C2">
      <w:pPr>
        <w:pStyle w:val="Normal1"/>
        <w:jc w:val="left"/>
      </w:pPr>
      <w:r>
        <w:rPr>
          <w:noProof/>
        </w:rPr>
        <mc:AlternateContent>
          <mc:Choice Requires="wps">
            <w:drawing>
              <wp:anchor distT="0" distB="0" distL="114300" distR="114300" simplePos="0" relativeHeight="251668992" behindDoc="0" locked="0" layoutInCell="1" allowOverlap="1" wp14:anchorId="3D85D52D" wp14:editId="3D85D52E">
                <wp:simplePos x="0" y="0"/>
                <wp:positionH relativeFrom="column">
                  <wp:posOffset>48260</wp:posOffset>
                </wp:positionH>
                <wp:positionV relativeFrom="paragraph">
                  <wp:posOffset>25400</wp:posOffset>
                </wp:positionV>
                <wp:extent cx="6257925" cy="2189480"/>
                <wp:effectExtent l="10795" t="10160" r="8255" b="10160"/>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189480"/>
                        </a:xfrm>
                        <a:prstGeom prst="rect">
                          <a:avLst/>
                        </a:prstGeom>
                        <a:solidFill>
                          <a:srgbClr val="FFFFFF"/>
                        </a:solidFill>
                        <a:ln w="9525">
                          <a:solidFill>
                            <a:srgbClr val="000000"/>
                          </a:solidFill>
                          <a:miter lim="800000"/>
                          <a:headEnd/>
                          <a:tailEnd/>
                        </a:ln>
                      </wps:spPr>
                      <wps:txbx>
                        <w:txbxContent>
                          <w:p w14:paraId="3D85D565" w14:textId="77777777" w:rsidR="003C6ED1" w:rsidRDefault="003C6ED1" w:rsidP="00F410F1">
                            <w:pPr>
                              <w:pStyle w:val="Normal1"/>
                              <w:widowControl/>
                              <w:jc w:val="left"/>
                              <w:rPr>
                                <w:b/>
                              </w:rPr>
                            </w:pPr>
                            <w:r>
                              <w:rPr>
                                <w:b/>
                              </w:rPr>
                              <w:t>DEQ’s Development of Dispersion Factors in OAR 340-245-8060 Table 6</w:t>
                            </w:r>
                          </w:p>
                          <w:p w14:paraId="3D85D566" w14:textId="77777777" w:rsidR="003C6ED1" w:rsidRDefault="003C6ED1" w:rsidP="00F410F1">
                            <w:pPr>
                              <w:pStyle w:val="Normal1"/>
                              <w:widowControl/>
                              <w:jc w:val="left"/>
                              <w:rPr>
                                <w:b/>
                              </w:rPr>
                            </w:pPr>
                          </w:p>
                          <w:p w14:paraId="3D85D567" w14:textId="77777777" w:rsidR="003C6ED1" w:rsidRPr="00F410F1" w:rsidRDefault="003C6ED1" w:rsidP="00F410F1">
                            <w:pPr>
                              <w:rPr>
                                <w:rFonts w:ascii="Arial" w:hAnsi="Arial" w:cs="Arial"/>
                              </w:rPr>
                            </w:pPr>
                            <w:r w:rsidRPr="00F410F1">
                              <w:rPr>
                                <w:rFonts w:ascii="Arial" w:hAnsi="Arial" w:cs="Arial"/>
                              </w:rPr>
                              <w:t>To generate the dispersion factors provided in OAR 340-245-8060 Table 6, DEQ first developed a series of reasonable maximum assumptions associated with stack height, such as stack diameter and building dimensions. We used meteorology data from six cities representing different regions of the state (Portland, Salem, Eugene, Medford, Redmond, and Hermiston). We then used AERMOD to model air concentrations at distances from 50 meters to 1,000 meters from the stack. Hourly concentrations were converted to annual and 24-hour concentrations using standard EPA conversion factors in which calculated 1-hour concentrations were multiplied by 0.1 to estimate an annual concentration, and by 0.6 to estimate a 24-hour concentration (EPA 2016). The results for the six meteorological areas were averaged to develop dispersion factors in units of ug/m</w:t>
                            </w:r>
                            <w:r w:rsidRPr="00F410F1">
                              <w:rPr>
                                <w:rFonts w:ascii="Arial" w:hAnsi="Arial" w:cs="Arial"/>
                                <w:vertAlign w:val="superscript"/>
                              </w:rPr>
                              <w:t>3</w:t>
                            </w:r>
                            <w:r w:rsidRPr="00F410F1">
                              <w:rPr>
                                <w:rFonts w:ascii="Arial" w:hAnsi="Arial" w:cs="Arial"/>
                              </w:rPr>
                              <w:t xml:space="preserve"> per lbs/year for chronic exposure, or ug/m</w:t>
                            </w:r>
                            <w:r w:rsidRPr="00F410F1">
                              <w:rPr>
                                <w:rFonts w:ascii="Arial" w:hAnsi="Arial" w:cs="Arial"/>
                                <w:vertAlign w:val="superscript"/>
                              </w:rPr>
                              <w:t>3</w:t>
                            </w:r>
                            <w:r w:rsidRPr="00F410F1">
                              <w:rPr>
                                <w:rFonts w:ascii="Arial" w:hAnsi="Arial" w:cs="Arial"/>
                              </w:rPr>
                              <w:t xml:space="preserve"> per lbs/day for acute exposure. The results are shown in OAR 340-245-8060 Tables 6A (annual exposure) and 6B (24-hour exposure).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85D52D" id="Text Box 61" o:spid="_x0000_s1037" type="#_x0000_t202" style="position:absolute;margin-left:3.8pt;margin-top:2pt;width:492.75pt;height:172.4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">
                <v:textbox style="mso-fit-shape-to-text:t">
                  <w:txbxContent>
                    <w:p w14:paraId="3D85D565" w14:textId="77777777" w:rsidR="003C6ED1" w:rsidRDefault="003C6ED1" w:rsidP="00F410F1">
                      <w:pPr>
                        <w:pStyle w:val="Normal1"/>
                        <w:widowControl/>
                        <w:jc w:val="left"/>
                        <w:rPr>
                          <w:b/>
                        </w:rPr>
                      </w:pPr>
                      <w:r>
                        <w:rPr>
                          <w:b/>
                        </w:rPr>
                        <w:t>DEQ’s Development of Dispersion Factors in OAR 340-245-8060 Table 6</w:t>
                      </w:r>
                    </w:p>
                    <w:p w14:paraId="3D85D566" w14:textId="77777777" w:rsidR="003C6ED1" w:rsidRDefault="003C6ED1" w:rsidP="00F410F1">
                      <w:pPr>
                        <w:pStyle w:val="Normal1"/>
                        <w:widowControl/>
                        <w:jc w:val="left"/>
                        <w:rPr>
                          <w:b/>
                        </w:rPr>
                      </w:pPr>
                    </w:p>
                    <w:p w14:paraId="3D85D567" w14:textId="77777777" w:rsidR="003C6ED1" w:rsidRPr="00F410F1" w:rsidRDefault="003C6ED1" w:rsidP="00F410F1">
                      <w:pPr>
                        <w:rPr>
                          <w:rFonts w:ascii="Arial" w:hAnsi="Arial" w:cs="Arial"/>
                        </w:rPr>
                      </w:pPr>
                      <w:r w:rsidRPr="00F410F1">
                        <w:rPr>
                          <w:rFonts w:ascii="Arial" w:hAnsi="Arial" w:cs="Arial"/>
                        </w:rPr>
                        <w:t>To generate the dispersion factors provided in OAR 340-245-8060 Table 6, DEQ first developed a series of reasonable maximum assumptions associated with stack height, such as stack diameter and building dimensions. We used meteorology data from six cities representing different regions of the state (Portland, Salem, Eugene, Medford, Redmond, and Hermiston). We then used AERMOD to model air concentrations at distances from 50 meters to 1,000 meters from the stack. Hourly concentrations were converted to annual and 24-hour concentrations using standard EPA conversion factors in which calculated 1-hour concentrations were multiplied by 0.1 to estimate an annual concentration, and by 0.6 to estimate a 24-hour concentration (EPA 2016). The results for the six meteorological areas were averaged to develop dispersion factors in units of ug/m</w:t>
                      </w:r>
                      <w:r w:rsidRPr="00F410F1">
                        <w:rPr>
                          <w:rFonts w:ascii="Arial" w:hAnsi="Arial" w:cs="Arial"/>
                          <w:vertAlign w:val="superscript"/>
                        </w:rPr>
                        <w:t>3</w:t>
                      </w:r>
                      <w:r w:rsidRPr="00F410F1">
                        <w:rPr>
                          <w:rFonts w:ascii="Arial" w:hAnsi="Arial" w:cs="Arial"/>
                        </w:rPr>
                        <w:t xml:space="preserve"> per lbs/year for chronic exposure, or ug/m</w:t>
                      </w:r>
                      <w:r w:rsidRPr="00F410F1">
                        <w:rPr>
                          <w:rFonts w:ascii="Arial" w:hAnsi="Arial" w:cs="Arial"/>
                          <w:vertAlign w:val="superscript"/>
                        </w:rPr>
                        <w:t>3</w:t>
                      </w:r>
                      <w:r w:rsidRPr="00F410F1">
                        <w:rPr>
                          <w:rFonts w:ascii="Arial" w:hAnsi="Arial" w:cs="Arial"/>
                        </w:rPr>
                        <w:t xml:space="preserve"> per lbs/day for acute exposure. The results are shown in OAR 340-245-8060 Tables 6A (annual exposure) and 6B (24-hour exposure).</w:t>
                      </w:r>
                    </w:p>
                  </w:txbxContent>
                </v:textbox>
              </v:shape>
            </w:pict>
          </mc:Fallback>
        </mc:AlternateContent>
      </w:r>
    </w:p>
    <w:p w14:paraId="3D85CC35" w14:textId="77777777" w:rsidR="004B6AD3" w:rsidRDefault="004B6AD3" w:rsidP="006716C2">
      <w:pPr>
        <w:pStyle w:val="Normal1"/>
        <w:jc w:val="left"/>
      </w:pPr>
    </w:p>
    <w:p w14:paraId="3D85CC36" w14:textId="77777777" w:rsidR="004B6AD3" w:rsidRDefault="004B6AD3" w:rsidP="006716C2">
      <w:pPr>
        <w:pStyle w:val="Normal1"/>
        <w:jc w:val="left"/>
      </w:pPr>
    </w:p>
    <w:p w14:paraId="3D85CC37" w14:textId="77777777" w:rsidR="004B6AD3" w:rsidRDefault="004B6AD3" w:rsidP="006716C2">
      <w:pPr>
        <w:pStyle w:val="Normal1"/>
        <w:jc w:val="left"/>
      </w:pPr>
    </w:p>
    <w:p w14:paraId="3D85CC38" w14:textId="77777777" w:rsidR="004B6AD3" w:rsidRDefault="004B6AD3" w:rsidP="006716C2">
      <w:pPr>
        <w:pStyle w:val="Normal1"/>
        <w:jc w:val="left"/>
      </w:pPr>
    </w:p>
    <w:p w14:paraId="3D85CC39" w14:textId="77777777" w:rsidR="004B6AD3" w:rsidRDefault="004B6AD3" w:rsidP="006716C2">
      <w:pPr>
        <w:pStyle w:val="Normal1"/>
        <w:jc w:val="left"/>
      </w:pPr>
    </w:p>
    <w:p w14:paraId="3D85CC3A" w14:textId="77777777" w:rsidR="004B6AD3" w:rsidRDefault="004B6AD3" w:rsidP="006716C2">
      <w:pPr>
        <w:pStyle w:val="Normal1"/>
        <w:jc w:val="left"/>
      </w:pPr>
    </w:p>
    <w:p w14:paraId="3D85CC3B" w14:textId="77777777" w:rsidR="004B6AD3" w:rsidRDefault="004B6AD3" w:rsidP="006716C2">
      <w:pPr>
        <w:pStyle w:val="Normal1"/>
        <w:jc w:val="left"/>
      </w:pPr>
    </w:p>
    <w:p w14:paraId="3D85CC3C" w14:textId="77777777" w:rsidR="004B6AD3" w:rsidRDefault="004B6AD3" w:rsidP="006716C2">
      <w:pPr>
        <w:pStyle w:val="Normal1"/>
        <w:jc w:val="left"/>
      </w:pPr>
    </w:p>
    <w:p w14:paraId="3D85CC3D" w14:textId="77777777" w:rsidR="004B6AD3" w:rsidRDefault="004B6AD3" w:rsidP="006716C2">
      <w:pPr>
        <w:pStyle w:val="Normal1"/>
        <w:jc w:val="left"/>
      </w:pPr>
    </w:p>
    <w:p w14:paraId="3D85CC3E" w14:textId="77777777" w:rsidR="004B6AD3" w:rsidRDefault="004B6AD3" w:rsidP="006716C2">
      <w:pPr>
        <w:pStyle w:val="Normal1"/>
        <w:jc w:val="left"/>
      </w:pPr>
    </w:p>
    <w:p w14:paraId="3D85CC3F" w14:textId="77777777" w:rsidR="004B6AD3" w:rsidRDefault="004B6AD3" w:rsidP="006716C2">
      <w:pPr>
        <w:pStyle w:val="Normal1"/>
        <w:jc w:val="left"/>
      </w:pPr>
    </w:p>
    <w:p w14:paraId="3D85CC40" w14:textId="77777777" w:rsidR="004B6AD3" w:rsidRDefault="004B6AD3" w:rsidP="006716C2">
      <w:pPr>
        <w:pStyle w:val="Normal1"/>
        <w:jc w:val="left"/>
      </w:pPr>
    </w:p>
    <w:p w14:paraId="3D85CC41" w14:textId="77777777" w:rsidR="004B6AD3" w:rsidRDefault="004B6AD3" w:rsidP="006716C2">
      <w:pPr>
        <w:pStyle w:val="Normal1"/>
        <w:jc w:val="left"/>
      </w:pPr>
    </w:p>
    <w:p w14:paraId="3D85CC42" w14:textId="77777777" w:rsidR="004B6AD3" w:rsidRDefault="004B6AD3" w:rsidP="006716C2">
      <w:pPr>
        <w:pStyle w:val="Normal1"/>
        <w:jc w:val="left"/>
      </w:pPr>
    </w:p>
    <w:p w14:paraId="3D85CC43" w14:textId="77777777" w:rsidR="001870D8" w:rsidRDefault="001870D8" w:rsidP="006716C2">
      <w:pPr>
        <w:pStyle w:val="Normal1"/>
        <w:jc w:val="left"/>
      </w:pPr>
    </w:p>
    <w:p w14:paraId="3D85CC44" w14:textId="77777777" w:rsidR="006716C2" w:rsidRDefault="001870D8" w:rsidP="006716C2">
      <w:pPr>
        <w:pStyle w:val="Normal1"/>
        <w:jc w:val="left"/>
      </w:pPr>
      <w:r>
        <w:t xml:space="preserve">Level 1 is meant to be conservatively protective, such that facilities with values below RALs are not expected to represent a health concern. An exceedance of a RAL does not necessarily constitute a </w:t>
      </w:r>
      <w:r w:rsidR="006716C2">
        <w:t>health risk. If you are unable to demonstrate compliance using a Level 1 approach, then you can attempt to demonstrate compliance using the Level 2 simple model to more accurately characterize air concentrations and risk.</w:t>
      </w:r>
    </w:p>
    <w:p w14:paraId="3D85CC45" w14:textId="77777777" w:rsidR="00F410F1" w:rsidRDefault="00F410F1" w:rsidP="006716C2">
      <w:pPr>
        <w:pStyle w:val="Normal1"/>
        <w:jc w:val="left"/>
      </w:pPr>
    </w:p>
    <w:p w14:paraId="3D85CC46" w14:textId="77777777" w:rsidR="006716C2" w:rsidRDefault="006716C2" w:rsidP="006716C2">
      <w:pPr>
        <w:pStyle w:val="Normal1"/>
        <w:jc w:val="left"/>
      </w:pPr>
      <w:r>
        <w:t xml:space="preserve">You can treat multiple stacks at your facility in one of two ways; 1) add the air toxics concentrations in </w:t>
      </w:r>
      <w:r>
        <w:rPr>
          <w:rFonts w:ascii="Calibri" w:eastAsia="Calibri" w:hAnsi="Calibri" w:cs="Calibri"/>
        </w:rPr>
        <w:t>μ</w:t>
      </w:r>
      <w:r>
        <w:t>g/m</w:t>
      </w:r>
      <w:r>
        <w:rPr>
          <w:vertAlign w:val="superscript"/>
        </w:rPr>
        <w:t>3</w:t>
      </w:r>
      <w:r>
        <w:t xml:space="preserve"> from all of the individual stacks to estimate an aggregate concentration that is then compared to the RBC for that toxic; or 2) group the stacks and their emissions into a single stack, and use the information in OAR 340-245-8060 Table 6 to determine a dispersion factor to apply to the grouped emissions in order to estimate an air concentration. DEQ can assist with information about methods to group stacks.</w:t>
      </w:r>
    </w:p>
    <w:p w14:paraId="3D85CC47" w14:textId="77777777" w:rsidR="006716C2" w:rsidRDefault="006716C2" w:rsidP="006716C2">
      <w:pPr>
        <w:pStyle w:val="Normal1"/>
        <w:jc w:val="left"/>
      </w:pPr>
    </w:p>
    <w:p w14:paraId="3D85CC48" w14:textId="77777777" w:rsidR="006716C2" w:rsidRDefault="006716C2" w:rsidP="006716C2">
      <w:pPr>
        <w:pStyle w:val="Normal1"/>
        <w:jc w:val="left"/>
      </w:pPr>
      <w:r>
        <w:t xml:space="preserve">For a stack height between values shown in </w:t>
      </w:r>
      <w:r w:rsidR="00544C5D">
        <w:t xml:space="preserve">OAR 340-245-8040 </w:t>
      </w:r>
      <w:r>
        <w:t>Table 4, either use the next lowest stack height, or interpolate the dispersion factor. Similarly, for an exposure location between values shown in the table, either use the next lower distance, or interpolate the dispersion factor.</w:t>
      </w:r>
    </w:p>
    <w:p w14:paraId="3D85CC49" w14:textId="77777777" w:rsidR="006716C2" w:rsidRDefault="006716C2" w:rsidP="006716C2">
      <w:pPr>
        <w:pStyle w:val="Normal1"/>
        <w:widowControl/>
        <w:jc w:val="left"/>
      </w:pPr>
    </w:p>
    <w:p w14:paraId="3D85CC4A" w14:textId="77777777" w:rsidR="006716C2" w:rsidRDefault="006716C2" w:rsidP="006716C2">
      <w:pPr>
        <w:pStyle w:val="Normal1"/>
        <w:widowControl/>
        <w:jc w:val="left"/>
      </w:pPr>
      <w:r>
        <w:t>Most likely you can readily obtain stack heights and distances to exposure locations for your facility. However, in the absence of a known stack height and exposure location distance, you may use the annual dispersion factor (0.0033 ug/m</w:t>
      </w:r>
      <w:r>
        <w:rPr>
          <w:vertAlign w:val="superscript"/>
        </w:rPr>
        <w:t>3</w:t>
      </w:r>
      <w:r>
        <w:t xml:space="preserve"> / lbs/yr) and daily dispersion factor (8.3 ug/m</w:t>
      </w:r>
      <w:r>
        <w:rPr>
          <w:vertAlign w:val="superscript"/>
        </w:rPr>
        <w:t>3</w:t>
      </w:r>
      <w:r>
        <w:t xml:space="preserve"> / lbs/day) for a stack height of 5 meters and an exposure location distance of 50 meters.</w:t>
      </w:r>
    </w:p>
    <w:p w14:paraId="3D85CC4B" w14:textId="77777777" w:rsidR="006716C2" w:rsidRDefault="006716C2" w:rsidP="006716C2">
      <w:pPr>
        <w:pStyle w:val="Normal1"/>
      </w:pPr>
    </w:p>
    <w:p w14:paraId="3D85CC4C" w14:textId="77777777" w:rsidR="006716C2" w:rsidRDefault="006716C2" w:rsidP="006716C2">
      <w:pPr>
        <w:pStyle w:val="Heading2"/>
      </w:pPr>
      <w:bookmarkStart w:id="28" w:name="_Toc496183509"/>
      <w:r>
        <w:t>3.2 Level 2 Screening Approach</w:t>
      </w:r>
      <w:bookmarkEnd w:id="28"/>
    </w:p>
    <w:p w14:paraId="3D85CC4D" w14:textId="77777777" w:rsidR="006716C2" w:rsidRDefault="006716C2" w:rsidP="006716C2">
      <w:pPr>
        <w:pStyle w:val="Normal1"/>
      </w:pPr>
    </w:p>
    <w:p w14:paraId="3D85CC4E" w14:textId="77777777" w:rsidR="006716C2" w:rsidRDefault="006716C2" w:rsidP="006716C2">
      <w:pPr>
        <w:pStyle w:val="Normal1"/>
        <w:jc w:val="left"/>
      </w:pPr>
      <w:r>
        <w:t xml:space="preserve">A Level 2 evaluation is similar to a Level 1 evaluation, except that you </w:t>
      </w:r>
      <w:r w:rsidR="00544C5D">
        <w:t>may</w:t>
      </w:r>
      <w:r>
        <w:t xml:space="preserve"> add more precision by performing your own air dispersion modeling using AERSCREEN or AERMOD-MAKEMET. AERSCREEN is the easier model to use, and is more appropriate for relatively basic sources with one or a few stacks in flat terrain. AERMOD-MAKEMET can allow for elevated terrain and multiple stacks. Both use worst-case meteorology, and provide the same results assuming flat terrain and a single stack. If you plan to conduct modeling, we recommend that you develop an air dispersion Modeling Protocol, and obtain DEQ approval prior to use of the models, as that will increase the likelihood the risk analysis will be approved.</w:t>
      </w:r>
    </w:p>
    <w:p w14:paraId="3D85CC4F" w14:textId="77777777" w:rsidR="006716C2" w:rsidRDefault="006716C2" w:rsidP="006716C2">
      <w:pPr>
        <w:pStyle w:val="Normal1"/>
        <w:jc w:val="left"/>
      </w:pPr>
    </w:p>
    <w:p w14:paraId="3D85CC50" w14:textId="77777777" w:rsidR="00F9728F" w:rsidRDefault="00F9728F" w:rsidP="006716C2">
      <w:pPr>
        <w:pStyle w:val="Normal1"/>
        <w:jc w:val="left"/>
      </w:pPr>
      <w:r w:rsidRPr="004B05D9">
        <w:t>For the emission r</w:t>
      </w:r>
      <w:r w:rsidR="00AD6B35" w:rsidRPr="004B05D9">
        <w:t>ates you should use in a Level 2</w:t>
      </w:r>
      <w:r w:rsidRPr="004B05D9">
        <w:t xml:space="preserve"> assessment, select from among the following: 1) if you want to be considered a </w:t>
      </w:r>
      <w:r w:rsidRPr="004B05D9">
        <w:rPr>
          <w:i/>
        </w:rPr>
        <w:t>de minimis</w:t>
      </w:r>
      <w:r w:rsidRPr="004B05D9">
        <w:t xml:space="preserve"> source, you need to assess air toxics emissions at the capacity to emit; 2) if you want to demonstrate that risk at your pre-existing Potential to Emit (PTE) does not exceed the applicable RALs, evaluate emissions at the pre-existing PTE; or 3) if you want to request a PTE or risk limit, assess your air toxics emissions using the requested limit</w:t>
      </w:r>
      <w:r w:rsidR="008E760A" w:rsidRPr="004B05D9">
        <w:t>, which may be based on actual emissions if you can continue to comply at that level.</w:t>
      </w:r>
    </w:p>
    <w:p w14:paraId="3D85CC51" w14:textId="77777777" w:rsidR="00F9728F" w:rsidRDefault="00F9728F" w:rsidP="006716C2">
      <w:pPr>
        <w:pStyle w:val="Normal1"/>
        <w:jc w:val="left"/>
      </w:pPr>
    </w:p>
    <w:p w14:paraId="3D85CC52" w14:textId="77777777" w:rsidR="006716C2" w:rsidRDefault="006716C2" w:rsidP="006716C2">
      <w:pPr>
        <w:pStyle w:val="Normal1"/>
        <w:jc w:val="left"/>
      </w:pPr>
      <w:r>
        <w:t>The model results from AERSCREEN are given by distance from the stack. The results from AERMOD-MAKEMET are estimated at modeling receptors. For AERSCREEN, the concentration at the distance to the nearest sensitive human receptor, such as a residence, is the one of interest. In AERMOD-MAKEMET, you can explicitly include sensitive human receptors as modeling receptors, and the concentration at that modeling receptor, such as a residence, is used in the risk analysis.</w:t>
      </w:r>
    </w:p>
    <w:p w14:paraId="3D85CC53" w14:textId="77777777" w:rsidR="006716C2" w:rsidRDefault="006716C2" w:rsidP="006716C2">
      <w:pPr>
        <w:pStyle w:val="Normal1"/>
        <w:jc w:val="left"/>
      </w:pPr>
    </w:p>
    <w:p w14:paraId="3D85CC54" w14:textId="77777777" w:rsidR="006716C2" w:rsidRDefault="006716C2" w:rsidP="006716C2">
      <w:pPr>
        <w:pStyle w:val="Normal1"/>
        <w:jc w:val="left"/>
      </w:pPr>
      <w:r>
        <w:t>Because of the nature of the worst-case screening meteorology, these Level 2 screening models only estimate 1-hr concentrations that must be converted to daily (24-hr) and annual concentrations using EPA conversion factors, in which the 1-hour concentration is multiplied by 0.1 to estimate an annual concentration, and by 0.6 to estimate a 24-hour concentration (EPA 2016).</w:t>
      </w:r>
    </w:p>
    <w:p w14:paraId="3D85CC55" w14:textId="77777777" w:rsidR="006716C2" w:rsidRDefault="006716C2" w:rsidP="006716C2">
      <w:pPr>
        <w:pStyle w:val="Normal1"/>
        <w:jc w:val="left"/>
      </w:pPr>
    </w:p>
    <w:p w14:paraId="3D85CC56" w14:textId="77777777" w:rsidR="006716C2" w:rsidRDefault="006716C2" w:rsidP="006716C2">
      <w:pPr>
        <w:pStyle w:val="Normal1"/>
        <w:jc w:val="left"/>
      </w:pPr>
      <w:r>
        <w:t>Once you have calculated air concentrations at the various exposure locations, you can proceed with the screening as discussed above for Level 1. Divide the calculated air concentration by the respective RBC in OAR 340-245-8050 Table 5. To complete the screening step, add the results for all the applicable air toxic chemicals for the different types of RBCs (chronic cancer, chronic noncancer, and acute noncancer). Finally, compare these calculated total risk values with the RALs in OAR 340-245-8010 Table 1. Example 2 shows an example Level 2 screening evaluation.</w:t>
      </w:r>
    </w:p>
    <w:p w14:paraId="3D85CC57" w14:textId="77777777" w:rsidR="006716C2" w:rsidRDefault="006716C2" w:rsidP="006716C2">
      <w:pPr>
        <w:pStyle w:val="Normal1"/>
        <w:jc w:val="left"/>
      </w:pPr>
    </w:p>
    <w:p w14:paraId="3D85CC58" w14:textId="77777777" w:rsidR="006716C2" w:rsidRDefault="006716C2" w:rsidP="006716C2">
      <w:pPr>
        <w:pStyle w:val="Normal1"/>
        <w:jc w:val="left"/>
        <w:rPr>
          <w:b/>
        </w:rPr>
      </w:pPr>
      <w:r>
        <w:t>As with Level 1, exceeding RALs does not necessarily mean that there are adverse health effects due to air emissions from your facility. If you are unable to demonstrate compliance using a Level 2 approach, then you can attempt to demonstrate compliance using the Level 3 approach with a more complex model to more accurately characterize air toxics concentrations.</w:t>
      </w:r>
      <w:r>
        <w:br w:type="page"/>
      </w:r>
    </w:p>
    <w:p w14:paraId="3D85CC59" w14:textId="77777777" w:rsidR="006716C2" w:rsidRDefault="00253FFC" w:rsidP="006716C2">
      <w:pPr>
        <w:pStyle w:val="Heading1"/>
      </w:pPr>
      <w:bookmarkStart w:id="29" w:name="_Toc496183510"/>
      <w:r>
        <w:t xml:space="preserve">4. LEVEL 3 ASSESSMENT AND LEVEL </w:t>
      </w:r>
      <w:r w:rsidR="006716C2">
        <w:t>4 COMPREHENSIVE HEALTH RISK ASSESSMENT</w:t>
      </w:r>
      <w:bookmarkEnd w:id="29"/>
    </w:p>
    <w:p w14:paraId="3D85CC5A" w14:textId="77777777" w:rsidR="006716C2" w:rsidRDefault="006716C2" w:rsidP="006716C2">
      <w:pPr>
        <w:pStyle w:val="Normal1"/>
      </w:pPr>
    </w:p>
    <w:p w14:paraId="3D85CC5B" w14:textId="77777777" w:rsidR="006716C2" w:rsidRDefault="006716C2" w:rsidP="006716C2">
      <w:pPr>
        <w:pStyle w:val="Normal1"/>
      </w:pPr>
    </w:p>
    <w:p w14:paraId="3D85CC5C" w14:textId="77777777" w:rsidR="006716C2" w:rsidRDefault="006716C2" w:rsidP="006716C2">
      <w:pPr>
        <w:pStyle w:val="Normal1"/>
        <w:jc w:val="left"/>
      </w:pPr>
      <w:r>
        <w:t>The screening steps of Levels 1 and 2 make conservative assumptions that are likely to overestimate risk at many facilities. If results of these screening steps indicate that your emissions are above RALs, you may conduct a more detailed site-specific air dispersion modeling and risk assessment to show compliance with CAO rules. This will allow you to better quantify the potential risks posed by chemicals at your site, and determine if these risks are indeed above RALs after considering a more realistic evaluation of potential exposure.</w:t>
      </w:r>
    </w:p>
    <w:p w14:paraId="3D85CC5D" w14:textId="77777777" w:rsidR="006716C2" w:rsidRDefault="006716C2" w:rsidP="006716C2">
      <w:pPr>
        <w:pStyle w:val="Normal1"/>
        <w:jc w:val="left"/>
      </w:pPr>
    </w:p>
    <w:p w14:paraId="3D85CC5E" w14:textId="77777777" w:rsidR="006716C2" w:rsidRDefault="006716C2" w:rsidP="006716C2">
      <w:pPr>
        <w:pStyle w:val="Normal1"/>
        <w:jc w:val="left"/>
      </w:pPr>
      <w:r>
        <w:t>There are two general approaches for a baseline risk assessment. The traditional approach follows EPA guidance for conducting an exposure assessment, toxicity assessment, and risk characterization (EPA 1989). An alternative to the traditional approach is the Risk-Based Decision Making (RBDM) approach (DEQ 2003). This approach, which involves making a comparison of air concentrations with RBCs, has many benefits in terms of time and effort to prepare a risk assessment. For these reasons, it is the approach used in Level 1 and 2 screening. It is also the approach DEQ recommends for Level 3 and 4. However, you may prefer to conduct some risk assessments, such as those involving pathways not evaluated by air RBCs, using the standard risk assessment approach. Guidance for the standard risk assessment approach is presented in risk assessment guidance for DEQ’s Cleanup Program (DEQ 2010).</w:t>
      </w:r>
    </w:p>
    <w:p w14:paraId="3D85CC5F" w14:textId="77777777" w:rsidR="006716C2" w:rsidRDefault="006716C2" w:rsidP="006716C2">
      <w:pPr>
        <w:pStyle w:val="Normal1"/>
        <w:jc w:val="left"/>
      </w:pPr>
    </w:p>
    <w:p w14:paraId="3D85CC60" w14:textId="77777777" w:rsidR="006716C2" w:rsidRDefault="006716C2" w:rsidP="006716C2">
      <w:pPr>
        <w:pStyle w:val="Normal1"/>
        <w:jc w:val="left"/>
      </w:pPr>
      <w:r>
        <w:t xml:space="preserve">The key element of a Level 3 or Level 4 evaluation is the use of more sophisticated air dispersion modeling. This is addressed in Section 4.1. If more detailed evaluation is needed beyond air dispersion modeling, a Level 4 risk assessment is required. If you plan to propose Alternate Noncancer Risk Action Levels (ANRALs), you will need a Level 4 evaluation, discussed in Section 4.2. ANRALs are discussed in detail in Section 4.2.4.2. DEQ will require </w:t>
      </w:r>
      <w:r w:rsidR="00544C5D">
        <w:t xml:space="preserve">you to prepare </w:t>
      </w:r>
      <w:r>
        <w:t>protocols for Level 3 and 4 evaluations.</w:t>
      </w:r>
    </w:p>
    <w:p w14:paraId="3D85CC61" w14:textId="77777777" w:rsidR="006716C2" w:rsidRDefault="006716C2" w:rsidP="006716C2">
      <w:pPr>
        <w:pStyle w:val="Normal1"/>
        <w:jc w:val="left"/>
      </w:pPr>
    </w:p>
    <w:p w14:paraId="3D85CC62" w14:textId="77777777" w:rsidR="006716C2" w:rsidRDefault="00D357EA" w:rsidP="006716C2">
      <w:pPr>
        <w:pStyle w:val="Heading2"/>
      </w:pPr>
      <w:bookmarkStart w:id="30" w:name="_Toc496183511"/>
      <w:r>
        <w:t>4.1</w:t>
      </w:r>
      <w:r w:rsidR="006716C2">
        <w:t xml:space="preserve"> Level 3 A</w:t>
      </w:r>
      <w:r w:rsidR="00253FFC">
        <w:t>ssessment</w:t>
      </w:r>
      <w:bookmarkEnd w:id="30"/>
    </w:p>
    <w:p w14:paraId="3D85CC63" w14:textId="77777777" w:rsidR="006716C2" w:rsidRDefault="006716C2" w:rsidP="006716C2">
      <w:pPr>
        <w:pStyle w:val="Normal1"/>
        <w:jc w:val="left"/>
      </w:pPr>
    </w:p>
    <w:p w14:paraId="3D85CC64" w14:textId="77777777" w:rsidR="006716C2" w:rsidRDefault="006716C2" w:rsidP="006716C2">
      <w:pPr>
        <w:pStyle w:val="Normal1"/>
        <w:jc w:val="left"/>
      </w:pPr>
      <w:r>
        <w:t xml:space="preserve">The key feature of a Level 3 </w:t>
      </w:r>
      <w:r w:rsidR="00253FFC">
        <w:t>assessment</w:t>
      </w:r>
      <w:r>
        <w:t xml:space="preserve"> is extensive site-specific air dispersion modeling conducted using a program such as EPA’s AERMOD. Because it is important to agree on receptor grids, appropriate meteorological data, and other elements necessary for effectively running a sophisticated model, DEQ requires you to submit an air dispersion Modeling Protocol prior to conducting the modeling. You should plan on having at least one meeting with DEQ to agree on scope and make sure there are common understandings regarding the modeling. DEQ’s approval of the Protocol will make it more likely that the results of the air dispersion modeling will be accepted by DEQ. Section 2.4.1 provides references to EPA modeling guidance that will be helpful in preparing the Modeling Protocol.</w:t>
      </w:r>
    </w:p>
    <w:p w14:paraId="3D85CC65" w14:textId="77777777" w:rsidR="00F9728F" w:rsidRDefault="00F9728F" w:rsidP="006716C2">
      <w:pPr>
        <w:pStyle w:val="Normal1"/>
        <w:jc w:val="left"/>
      </w:pPr>
    </w:p>
    <w:p w14:paraId="3D85CC66" w14:textId="77777777" w:rsidR="00F9728F" w:rsidRDefault="00F9728F" w:rsidP="00F9728F">
      <w:pPr>
        <w:pStyle w:val="Normal1"/>
        <w:jc w:val="left"/>
      </w:pPr>
      <w:r w:rsidRPr="004B05D9">
        <w:t>For the emission r</w:t>
      </w:r>
      <w:r w:rsidR="00AD6B35" w:rsidRPr="004B05D9">
        <w:t>ates you should use in a Level 3</w:t>
      </w:r>
      <w:r w:rsidRPr="004B05D9">
        <w:t xml:space="preserve"> assessment, select from among the following: 1) if you want to be considered a </w:t>
      </w:r>
      <w:r w:rsidRPr="004B05D9">
        <w:rPr>
          <w:i/>
        </w:rPr>
        <w:t>de minimis</w:t>
      </w:r>
      <w:r w:rsidRPr="004B05D9">
        <w:t xml:space="preserve"> source, you need to assess air toxics emissions at the capacity to emit; 2) if you want to demonstrate that risk at your pre-existing Potential to Emit (PTE) does not exceed the applicable RALs, evaluate emissions at the pre-existing PTE; or 3) if you want to request a PTE or risk limit, assess your air toxics emissions using the requested limit</w:t>
      </w:r>
      <w:r w:rsidR="008E760A" w:rsidRPr="004B05D9">
        <w:t>, which may be based on actual emissions if you can continue to comply at that level.</w:t>
      </w:r>
    </w:p>
    <w:p w14:paraId="3D85CC67" w14:textId="77777777" w:rsidR="005D4872" w:rsidRDefault="005D4872" w:rsidP="006716C2">
      <w:pPr>
        <w:pStyle w:val="Normal1"/>
      </w:pPr>
    </w:p>
    <w:p w14:paraId="3D85CC68" w14:textId="77777777" w:rsidR="006716C2" w:rsidRDefault="006716C2" w:rsidP="006716C2">
      <w:pPr>
        <w:pStyle w:val="Heading2"/>
      </w:pPr>
      <w:bookmarkStart w:id="31" w:name="_Toc496183512"/>
      <w:r>
        <w:t>4.2 Level 4 Comprehensive Risk Assessment</w:t>
      </w:r>
      <w:bookmarkEnd w:id="31"/>
    </w:p>
    <w:p w14:paraId="3D85CC69" w14:textId="77777777" w:rsidR="006716C2" w:rsidRDefault="006716C2" w:rsidP="006716C2">
      <w:pPr>
        <w:pStyle w:val="Normal1"/>
        <w:jc w:val="left"/>
        <w:rPr>
          <w:b/>
        </w:rPr>
      </w:pPr>
    </w:p>
    <w:p w14:paraId="3D85CC6A" w14:textId="77777777" w:rsidR="006716C2" w:rsidRDefault="006716C2" w:rsidP="006716C2">
      <w:pPr>
        <w:pStyle w:val="Normal1"/>
        <w:jc w:val="left"/>
      </w:pPr>
      <w:r>
        <w:t>A Level 4 risk assessment should have the same elements as the prior levels, with some additional elements. The required workplan should include the following:</w:t>
      </w:r>
    </w:p>
    <w:p w14:paraId="3D85CC6B" w14:textId="77777777" w:rsidR="006716C2" w:rsidRDefault="006716C2" w:rsidP="006716C2">
      <w:pPr>
        <w:pStyle w:val="Normal1"/>
        <w:jc w:val="left"/>
      </w:pPr>
    </w:p>
    <w:p w14:paraId="3D85CC6C" w14:textId="77777777" w:rsidR="006716C2" w:rsidRDefault="006716C2" w:rsidP="00713CB5">
      <w:pPr>
        <w:pStyle w:val="Normal1"/>
        <w:widowControl/>
        <w:numPr>
          <w:ilvl w:val="0"/>
          <w:numId w:val="12"/>
        </w:numPr>
        <w:contextualSpacing/>
        <w:jc w:val="left"/>
      </w:pPr>
      <w:r>
        <w:t xml:space="preserve">Identifying information, including the owner or operator of the source, the owner’s or operator’s mailing address, the source address, the nature of business, name and phone number of the primary contact at the source, permit number, and SIC or NAICS code of the source; </w:t>
      </w:r>
    </w:p>
    <w:p w14:paraId="3D85CC6D" w14:textId="77777777" w:rsidR="006716C2" w:rsidRDefault="006716C2" w:rsidP="00713CB5">
      <w:pPr>
        <w:pStyle w:val="Normal1"/>
        <w:widowControl/>
        <w:numPr>
          <w:ilvl w:val="0"/>
          <w:numId w:val="12"/>
        </w:numPr>
        <w:contextualSpacing/>
        <w:jc w:val="left"/>
      </w:pPr>
      <w:r>
        <w:t xml:space="preserve">A problem formulation step ending with a conceptual site model identifying emission sources and existing and reasonably likely future human populations that may be exposed to air toxics emissions from the source, including residents, nonresident adults, and nonresident children and other sensitive populations; </w:t>
      </w:r>
    </w:p>
    <w:p w14:paraId="3D85CC6E" w14:textId="77777777" w:rsidR="006716C2" w:rsidRDefault="006716C2" w:rsidP="00713CB5">
      <w:pPr>
        <w:pStyle w:val="Normal1"/>
        <w:widowControl/>
        <w:numPr>
          <w:ilvl w:val="0"/>
          <w:numId w:val="12"/>
        </w:numPr>
        <w:contextualSpacing/>
        <w:jc w:val="left"/>
      </w:pPr>
      <w:r>
        <w:t>An exposure assessment that models or measures air toxics concentrations at locations of existing and reasonably likely future human populations that may be exposed to air toxics emissions from the source. Modifications to default exposure assumptions may be proposed, including but not limited to exposure times, frequencies, and durations, relative bioavailability of chemicals, and multipathway considerations for persistent, bioaccumulative and toxic chemicals;</w:t>
      </w:r>
    </w:p>
    <w:p w14:paraId="3D85CC6F" w14:textId="77777777" w:rsidR="006716C2" w:rsidRDefault="006716C2" w:rsidP="00713CB5">
      <w:pPr>
        <w:pStyle w:val="Normal1"/>
        <w:widowControl/>
        <w:numPr>
          <w:ilvl w:val="0"/>
          <w:numId w:val="12"/>
        </w:numPr>
        <w:contextualSpacing/>
        <w:jc w:val="left"/>
      </w:pPr>
      <w:r>
        <w:t>A toxicity assessment evaluating the carcinogenicity, noncarcinogenic chronic effects, and noncarcinogenic acute effects of air toxics to which human populations will be exposed, including quantifying noncarcinogenic effects separately for different organ systems, and determining persistence and bioaccumulation potential;</w:t>
      </w:r>
    </w:p>
    <w:p w14:paraId="3D85CC70" w14:textId="77777777" w:rsidR="006716C2" w:rsidRDefault="006716C2" w:rsidP="00713CB5">
      <w:pPr>
        <w:pStyle w:val="Normal1"/>
        <w:widowControl/>
        <w:numPr>
          <w:ilvl w:val="0"/>
          <w:numId w:val="12"/>
        </w:numPr>
        <w:contextualSpacing/>
        <w:jc w:val="left"/>
      </w:pPr>
      <w:r>
        <w:t>A risk characterization presenting a quantitative evaluation of potential cumulative health risks associated with human exposure to all emissions from the source; and</w:t>
      </w:r>
    </w:p>
    <w:p w14:paraId="3D85CC71" w14:textId="77777777" w:rsidR="006716C2" w:rsidRDefault="006716C2" w:rsidP="00713CB5">
      <w:pPr>
        <w:pStyle w:val="Normal1"/>
        <w:widowControl/>
        <w:numPr>
          <w:ilvl w:val="0"/>
          <w:numId w:val="12"/>
        </w:numPr>
        <w:contextualSpacing/>
        <w:jc w:val="left"/>
      </w:pPr>
      <w:r>
        <w:t>A quantitative or qualitative uncertainty evaluation of appropriate elements of the risk assessment.</w:t>
      </w:r>
    </w:p>
    <w:p w14:paraId="3D85CC72" w14:textId="77777777" w:rsidR="006716C2" w:rsidRDefault="006716C2" w:rsidP="006716C2">
      <w:pPr>
        <w:pStyle w:val="Normal1"/>
        <w:jc w:val="left"/>
      </w:pPr>
      <w:r>
        <w:t xml:space="preserve"> </w:t>
      </w:r>
    </w:p>
    <w:p w14:paraId="3D85CC73" w14:textId="77777777" w:rsidR="006716C2" w:rsidRDefault="006716C2" w:rsidP="006716C2">
      <w:pPr>
        <w:pStyle w:val="Normal1"/>
        <w:jc w:val="left"/>
      </w:pPr>
      <w:r>
        <w:t>Elements specific to a Level 4 evaluation include modifications to default exposure assumptions, relative bioavailability of chemicals, additional multipathway considerations not addressed by the default adjustment factors, and toxicity considerations relevant to proposing ANRALs. These elements are discussed below.</w:t>
      </w:r>
    </w:p>
    <w:p w14:paraId="3D85CC74" w14:textId="77777777" w:rsidR="006716C2" w:rsidRDefault="006716C2" w:rsidP="006716C2">
      <w:pPr>
        <w:pStyle w:val="Normal1"/>
        <w:jc w:val="left"/>
      </w:pPr>
    </w:p>
    <w:p w14:paraId="3D85CC75" w14:textId="77777777" w:rsidR="006716C2" w:rsidRDefault="006716C2" w:rsidP="006716C2">
      <w:pPr>
        <w:pStyle w:val="Heading3"/>
      </w:pPr>
      <w:bookmarkStart w:id="32" w:name="_Toc496183513"/>
      <w:r>
        <w:t>4.2.1 Exposure Assumption Modifications</w:t>
      </w:r>
      <w:bookmarkEnd w:id="32"/>
    </w:p>
    <w:p w14:paraId="3D85CC76" w14:textId="77777777" w:rsidR="006716C2" w:rsidRDefault="006716C2" w:rsidP="006716C2">
      <w:pPr>
        <w:pStyle w:val="Normal1"/>
        <w:jc w:val="left"/>
      </w:pPr>
    </w:p>
    <w:p w14:paraId="3D85CC77" w14:textId="77777777" w:rsidR="006716C2" w:rsidRDefault="006716C2" w:rsidP="006716C2">
      <w:pPr>
        <w:pStyle w:val="Normal1"/>
        <w:jc w:val="left"/>
      </w:pPr>
      <w:r>
        <w:t xml:space="preserve">The default exposure assumptions for exposure times, frequencies, and durations used in the development of RBCs for residents and workers are standard. However, there may be special circumstances where it is appropriate to modify these assumptions. An example could be a nearby facility that is known to contain workers for only a fraction of the default assumption for exposure time. In this case, document the circumstances, and propose modified exposure parameter values for use in the risk assessment. Note, however, that DEQ will base decisions on reasonably likely future exposure as well as current exposure. </w:t>
      </w:r>
    </w:p>
    <w:p w14:paraId="3D85CC78" w14:textId="77777777" w:rsidR="006716C2" w:rsidRDefault="006716C2" w:rsidP="006716C2">
      <w:pPr>
        <w:pStyle w:val="Normal1"/>
        <w:jc w:val="left"/>
      </w:pPr>
    </w:p>
    <w:p w14:paraId="3D85CC79" w14:textId="77777777" w:rsidR="006716C2" w:rsidRDefault="006716C2" w:rsidP="006716C2">
      <w:pPr>
        <w:pStyle w:val="Heading3"/>
      </w:pPr>
      <w:bookmarkStart w:id="33" w:name="_Toc496183514"/>
      <w:r>
        <w:t>4.2.2 Relative Bioavailability</w:t>
      </w:r>
      <w:bookmarkEnd w:id="33"/>
    </w:p>
    <w:p w14:paraId="3D85CC7A" w14:textId="77777777" w:rsidR="006716C2" w:rsidRDefault="006716C2" w:rsidP="006716C2">
      <w:pPr>
        <w:pStyle w:val="Normal1"/>
        <w:jc w:val="left"/>
      </w:pPr>
    </w:p>
    <w:p w14:paraId="3D85CC7B" w14:textId="77777777" w:rsidR="006716C2" w:rsidRDefault="006716C2" w:rsidP="006716C2">
      <w:pPr>
        <w:pStyle w:val="Normal1"/>
        <w:jc w:val="left"/>
      </w:pPr>
      <w:r>
        <w:t xml:space="preserve">The toxicity of a chemical can depend on how much of the chemical is actually absorbed, not just on the measured concentration in air (or soil or water). If the form of a chemical is less bioavailable to a human than it was in the animal test used as the basis for its TRV, this can be taken into account. Under some circumstances, you may want to propose a relative bioavailability test to quantify these differences. There are few standard laboratory tests, and animal tests can be a time-consuming and expensive, so relative bioavailability tests are not commonly performed. If you decide to pursue testing, DEQ will </w:t>
      </w:r>
      <w:r w:rsidR="001870D8">
        <w:t>request</w:t>
      </w:r>
      <w:r>
        <w:t xml:space="preserve"> a detailed workplan for approval prior to conducting the evaluation. </w:t>
      </w:r>
    </w:p>
    <w:p w14:paraId="3D85CC7C" w14:textId="77777777" w:rsidR="006716C2" w:rsidRDefault="006716C2" w:rsidP="006716C2">
      <w:pPr>
        <w:pStyle w:val="Normal1"/>
        <w:jc w:val="left"/>
      </w:pPr>
    </w:p>
    <w:p w14:paraId="3D85CC7D" w14:textId="77777777" w:rsidR="006716C2" w:rsidRDefault="006716C2" w:rsidP="006716C2">
      <w:pPr>
        <w:pStyle w:val="Normal1"/>
        <w:jc w:val="left"/>
      </w:pPr>
      <w:r>
        <w:t>The particular form of a chemical is the main reason for differences in bioavailability. Often this is taken into account in establishing a TRV. For example, DEQ has separate RBCs for total chromium (based on the toxicity of trivalent chromium +3), and hexavalent chromium (+6). The hexavalent form of chromium is substantially more toxic than the other forms. If you can characterize the chemical form of your emissions, you can use the appropriate RBC at any risk evaluation level. This may make it unnecessary to proceed to a Level 4 evaluation.</w:t>
      </w:r>
    </w:p>
    <w:p w14:paraId="3D85CC7E" w14:textId="77777777" w:rsidR="006716C2" w:rsidRDefault="006716C2" w:rsidP="006716C2">
      <w:pPr>
        <w:pStyle w:val="Normal1"/>
        <w:jc w:val="left"/>
        <w:rPr>
          <w:b/>
        </w:rPr>
      </w:pPr>
    </w:p>
    <w:p w14:paraId="3D85CC7F" w14:textId="77777777" w:rsidR="006716C2" w:rsidRDefault="006716C2" w:rsidP="006716C2">
      <w:pPr>
        <w:pStyle w:val="Heading3"/>
      </w:pPr>
      <w:bookmarkStart w:id="34" w:name="_Toc496183515"/>
      <w:r>
        <w:t>4.2.3 Multipathway Analysis</w:t>
      </w:r>
      <w:bookmarkEnd w:id="34"/>
    </w:p>
    <w:p w14:paraId="3D85CC80" w14:textId="77777777" w:rsidR="006716C2" w:rsidRDefault="006716C2" w:rsidP="006716C2">
      <w:pPr>
        <w:pStyle w:val="Normal1"/>
        <w:tabs>
          <w:tab w:val="left" w:pos="-720"/>
        </w:tabs>
        <w:jc w:val="left"/>
      </w:pPr>
    </w:p>
    <w:p w14:paraId="3D85CC81" w14:textId="77777777" w:rsidR="006716C2" w:rsidRDefault="006716C2" w:rsidP="006716C2">
      <w:pPr>
        <w:pStyle w:val="Normal1"/>
        <w:tabs>
          <w:tab w:val="left" w:pos="-720"/>
        </w:tabs>
        <w:jc w:val="left"/>
      </w:pPr>
      <w:r>
        <w:t>If you have bioaccumulating chemicals, it is important to evaluate air deposition and evaluate additional exposure scenarios that could include contact with soil and water. Contact DEQ to discuss how to proceed. Available protocols include EPA’s Risk Assessment Guidance for Superfund (1989), Guidelines for Exposure Assessment (1992), and more specifically for air toxics emissions, California’s OEHHA’s Air Toxics Hot Spots Program Guidance Manual for Preparation of Health Risk Assessments (2015).</w:t>
      </w:r>
    </w:p>
    <w:p w14:paraId="3D85CC82" w14:textId="77777777" w:rsidR="006716C2" w:rsidRDefault="006716C2" w:rsidP="006716C2">
      <w:pPr>
        <w:pStyle w:val="Normal1"/>
        <w:tabs>
          <w:tab w:val="left" w:pos="-720"/>
        </w:tabs>
        <w:jc w:val="left"/>
      </w:pPr>
    </w:p>
    <w:p w14:paraId="3D85CC83" w14:textId="77777777" w:rsidR="006716C2" w:rsidRDefault="006716C2" w:rsidP="006716C2">
      <w:pPr>
        <w:pStyle w:val="Heading3"/>
      </w:pPr>
      <w:bookmarkStart w:id="35" w:name="_Toc496183516"/>
      <w:r>
        <w:t>4.2.4 Alternate Noncancer Risk Action Level</w:t>
      </w:r>
      <w:bookmarkEnd w:id="35"/>
    </w:p>
    <w:p w14:paraId="3D85CC84" w14:textId="77777777" w:rsidR="006716C2" w:rsidRDefault="006716C2" w:rsidP="006716C2">
      <w:pPr>
        <w:pStyle w:val="Normal1"/>
        <w:jc w:val="left"/>
      </w:pPr>
    </w:p>
    <w:p w14:paraId="3D85CC85" w14:textId="77777777" w:rsidR="006716C2" w:rsidRDefault="006716C2" w:rsidP="006716C2">
      <w:pPr>
        <w:pStyle w:val="Normal1"/>
        <w:jc w:val="left"/>
      </w:pPr>
      <w:r>
        <w:t xml:space="preserve">In some cases, DEQ will allow Risk Action Levels to be modified for noncarcinogens based on consideration of the severity and permanence of health effects, and uncertainty regarding the toxicity factors. You may propose Alternate Noncancer Risk Action Levels (ANRALs) to DEQ after considering the issues presented in </w:t>
      </w:r>
      <w:r w:rsidR="00544C5D">
        <w:t>this section</w:t>
      </w:r>
      <w:r>
        <w:t>.</w:t>
      </w:r>
    </w:p>
    <w:p w14:paraId="3D85CC86" w14:textId="77777777" w:rsidR="006716C2" w:rsidRDefault="006716C2" w:rsidP="006716C2">
      <w:pPr>
        <w:pStyle w:val="Normal1"/>
        <w:jc w:val="left"/>
      </w:pPr>
    </w:p>
    <w:p w14:paraId="3D85CC87" w14:textId="77777777" w:rsidR="006716C2" w:rsidRDefault="006716C2" w:rsidP="006716C2">
      <w:pPr>
        <w:pStyle w:val="Normal1"/>
        <w:jc w:val="left"/>
      </w:pPr>
      <w:r>
        <w:t>Some RALs listed in OAR 340-245-8010 Table 1 are presented as a number followed by “or ANRAL up to 10” or “ANRAL+3” or “ANRAL+5.” In each case, the number presented serves as the default RAL. DEQ may accept a higher ANRAL up to the number listed in parenthesis on a case-by-case basis for a specific set of air toxics at a specific facility. This approach reflects the fact that the TRVs for different chemicals vary significantly in the severity of health effects they are designed to prevent, and the magnitude of the uncertainty around the value.  </w:t>
      </w:r>
    </w:p>
    <w:p w14:paraId="3D85CC88" w14:textId="77777777" w:rsidR="006716C2" w:rsidRDefault="006716C2" w:rsidP="006716C2">
      <w:pPr>
        <w:pStyle w:val="Normal1"/>
        <w:jc w:val="left"/>
      </w:pPr>
    </w:p>
    <w:p w14:paraId="3D85CC89" w14:textId="77777777" w:rsidR="006716C2" w:rsidRDefault="006716C2" w:rsidP="006716C2">
      <w:pPr>
        <w:pStyle w:val="Normal1"/>
        <w:jc w:val="left"/>
      </w:pPr>
      <w:r>
        <w:t xml:space="preserve">You are required to complete a Level 4 risk assessment before you can request an ANRAL. If granted, this ANRAL would be </w:t>
      </w:r>
      <w:r w:rsidR="00544C5D">
        <w:t>a</w:t>
      </w:r>
      <w:r>
        <w:t xml:space="preserve"> target organ-specific HI greater than 1 but less than or equal to 10 (depending on criteria listed below). If your facility’s risk is higher than the ANRAL, DEQ would consider whether it was also higher than the facility-specific ANRAL+3, which would mean that it was over the RAL for an accelerated schedule as well. If the facility’s risk was higher than its granted ANRAL+5 and the facility were requesting to stay at that level of risk with a Conditional Risk Level, then the DEQ Director’s approval would be required to grant that conditional risk level. Examples of applying ANRALs are provided in this section.</w:t>
      </w:r>
    </w:p>
    <w:p w14:paraId="3D85CC8A" w14:textId="77777777" w:rsidR="00F410F1" w:rsidRDefault="00F410F1" w:rsidP="006716C2">
      <w:pPr>
        <w:pStyle w:val="Normal1"/>
        <w:jc w:val="left"/>
      </w:pPr>
    </w:p>
    <w:p w14:paraId="3D85CC8B" w14:textId="77777777" w:rsidR="00F410F1" w:rsidRDefault="00F410F1" w:rsidP="006716C2">
      <w:pPr>
        <w:pStyle w:val="Normal1"/>
        <w:jc w:val="left"/>
      </w:pPr>
    </w:p>
    <w:p w14:paraId="3D85CC8C" w14:textId="77777777" w:rsidR="00F410F1" w:rsidRDefault="00F410F1" w:rsidP="006716C2">
      <w:pPr>
        <w:pStyle w:val="Normal1"/>
        <w:jc w:val="left"/>
      </w:pPr>
    </w:p>
    <w:p w14:paraId="3D85CC8D" w14:textId="77777777" w:rsidR="00DD6715" w:rsidRDefault="00DD6715" w:rsidP="006716C2">
      <w:pPr>
        <w:pStyle w:val="Normal1"/>
        <w:jc w:val="left"/>
      </w:pPr>
    </w:p>
    <w:p w14:paraId="3D85CC8E" w14:textId="77777777" w:rsidR="00F410F1" w:rsidRDefault="00F410F1" w:rsidP="006716C2">
      <w:pPr>
        <w:pStyle w:val="Normal1"/>
        <w:jc w:val="left"/>
      </w:pPr>
    </w:p>
    <w:p w14:paraId="3D85CC8F" w14:textId="77777777" w:rsidR="00544C5D" w:rsidRDefault="00544C5D" w:rsidP="006716C2">
      <w:pPr>
        <w:pStyle w:val="Normal1"/>
        <w:jc w:val="left"/>
      </w:pPr>
    </w:p>
    <w:p w14:paraId="3D85CC90" w14:textId="77777777" w:rsidR="00544C5D" w:rsidRDefault="00D05E23" w:rsidP="006716C2">
      <w:pPr>
        <w:pStyle w:val="Normal1"/>
        <w:jc w:val="left"/>
      </w:pPr>
      <w:r>
        <w:rPr>
          <w:noProof/>
        </w:rPr>
        <mc:AlternateContent>
          <mc:Choice Requires="wps">
            <w:drawing>
              <wp:anchor distT="0" distB="0" distL="114300" distR="114300" simplePos="0" relativeHeight="251670016" behindDoc="0" locked="0" layoutInCell="1" allowOverlap="1" wp14:anchorId="3D85D52F" wp14:editId="3D85D530">
                <wp:simplePos x="0" y="0"/>
                <wp:positionH relativeFrom="column">
                  <wp:posOffset>-57785</wp:posOffset>
                </wp:positionH>
                <wp:positionV relativeFrom="paragraph">
                  <wp:posOffset>76200</wp:posOffset>
                </wp:positionV>
                <wp:extent cx="6399530" cy="4114800"/>
                <wp:effectExtent l="8890" t="9525" r="11430" b="9525"/>
                <wp:wrapNone/>
                <wp:docPr id="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114800"/>
                        </a:xfrm>
                        <a:prstGeom prst="rect">
                          <a:avLst/>
                        </a:prstGeom>
                        <a:solidFill>
                          <a:srgbClr val="FFFFFF"/>
                        </a:solidFill>
                        <a:ln w="9525">
                          <a:solidFill>
                            <a:srgbClr val="000000"/>
                          </a:solidFill>
                          <a:miter lim="800000"/>
                          <a:headEnd/>
                          <a:tailEnd/>
                        </a:ln>
                      </wps:spPr>
                      <wps:txbx>
                        <w:txbxContent>
                          <w:p w14:paraId="3D85D568" w14:textId="77777777" w:rsidR="003C6ED1" w:rsidRDefault="003C6ED1" w:rsidP="00F410F1">
                            <w:pPr>
                              <w:pStyle w:val="Heading4"/>
                            </w:pPr>
                            <w:r>
                              <w:t>Risk Action Levels</w:t>
                            </w:r>
                          </w:p>
                          <w:p w14:paraId="3D85D569" w14:textId="77777777" w:rsidR="003C6ED1" w:rsidRDefault="003C6ED1" w:rsidP="00F410F1">
                            <w:pPr>
                              <w:pStyle w:val="Normal1"/>
                              <w:jc w:val="left"/>
                            </w:pPr>
                          </w:p>
                          <w:p w14:paraId="3D85D56A" w14:textId="77777777" w:rsidR="003C6ED1" w:rsidRDefault="003C6ED1" w:rsidP="00F410F1">
                            <w:pPr>
                              <w:pStyle w:val="Normal1"/>
                              <w:jc w:val="left"/>
                            </w:pPr>
                            <w:r>
                              <w:t xml:space="preserve">RALs are levels of risk that inform the actions a regulated facility would be required by DEQ to undertake under Cleaner Air Oregon rules. The higher the exceedance of a RAL at a facility, the more corrective actions the facility would be required to take. Timelines for a facility to come into compliance would also be shorter in these cases. </w:t>
                            </w:r>
                          </w:p>
                          <w:p w14:paraId="3D85D56B" w14:textId="77777777" w:rsidR="003C6ED1" w:rsidRDefault="003C6ED1" w:rsidP="00F410F1">
                            <w:pPr>
                              <w:pStyle w:val="Normal1"/>
                              <w:jc w:val="left"/>
                            </w:pPr>
                          </w:p>
                          <w:p w14:paraId="3D85D56C" w14:textId="77777777" w:rsidR="003C6ED1" w:rsidRDefault="003C6ED1" w:rsidP="00F410F1">
                            <w:pPr>
                              <w:pStyle w:val="Normal1"/>
                              <w:ind w:right="18"/>
                              <w:jc w:val="left"/>
                            </w:pPr>
                            <w:r>
                              <w:t xml:space="preserve">The RALs reflect the challenges existing facilities could face in retrofitting existing equipment to meet new lower emissions requirements under Cleaner Air Oregon. Cleaner Air Oregon rules include higher RALs for existing facilities than for new facilities, which are easier to design with a target emission rate in mind. </w:t>
                            </w:r>
                          </w:p>
                          <w:p w14:paraId="3D85D56D" w14:textId="77777777" w:rsidR="003C6ED1" w:rsidRDefault="003C6ED1" w:rsidP="00F410F1">
                            <w:pPr>
                              <w:pStyle w:val="Normal1"/>
                              <w:jc w:val="left"/>
                            </w:pPr>
                          </w:p>
                          <w:p w14:paraId="3D85D56E" w14:textId="77777777" w:rsidR="003C6ED1" w:rsidRDefault="003C6ED1" w:rsidP="00F410F1">
                            <w:pPr>
                              <w:pStyle w:val="Normal1"/>
                              <w:ind w:right="18"/>
                              <w:jc w:val="left"/>
                            </w:pPr>
                            <w:r>
                              <w:t xml:space="preserve">In setting RALs, DEQ considered risk levels used in decision making by federal agencies like the EPA and the Agency for Toxic Substances and Disease Registry. DEQ also considered risk action levels used by other states that already have health risk-based industrial air toxics programs. In addition, DEQ considered the overall non-industrial level of risk from air toxics in Oregon. </w:t>
                            </w:r>
                          </w:p>
                          <w:p w14:paraId="3D85D56F" w14:textId="77777777" w:rsidR="003C6ED1" w:rsidRDefault="003C6ED1" w:rsidP="00F410F1">
                            <w:pPr>
                              <w:pStyle w:val="Normal1"/>
                              <w:jc w:val="left"/>
                            </w:pPr>
                          </w:p>
                          <w:p w14:paraId="3D85D570" w14:textId="77777777" w:rsidR="003C6ED1" w:rsidRPr="00F410F1" w:rsidRDefault="003C6ED1" w:rsidP="00F410F1">
                            <w:pPr>
                              <w:rPr>
                                <w:rFonts w:ascii="Arial" w:hAnsi="Arial" w:cs="Arial"/>
                              </w:rPr>
                            </w:pPr>
                            <w:r w:rsidRPr="00F410F1">
                              <w:rPr>
                                <w:rFonts w:ascii="Arial" w:hAnsi="Arial" w:cs="Arial"/>
                              </w:rPr>
                              <w:t>Cleaner Air Oregon considers risk in three categories: chronic cancer, chronic noncancer, and acute noncancer. Each of those categories of risk are calculated and compared against the appropriate RAL separately. Cancer and noncancer risks are calculated and expressed differently. The RALs for Cleaner Air Oregon reflect those differences in that there are separate sets of RALs for cancer and noncancer risks. RALs are shown in OAR 340</w:t>
                            </w:r>
                            <w:r>
                              <w:rPr>
                                <w:rFonts w:ascii="Arial" w:hAnsi="Arial" w:cs="Arial"/>
                              </w:rPr>
                              <w:t>-</w:t>
                            </w:r>
                            <w:r w:rsidRPr="00F410F1">
                              <w:rPr>
                                <w:rFonts w:ascii="Arial" w:hAnsi="Arial" w:cs="Arial"/>
                              </w:rPr>
                              <w:t>245-8010 Table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5D52F" id="Text Box 62" o:spid="_x0000_s1038" type="#_x0000_t202" style="position:absolute;margin-left:-4.55pt;margin-top:6pt;width:503.9pt;height:32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">
                <v:textbox>
                  <w:txbxContent>
                    <w:p w14:paraId="3D85D568" w14:textId="77777777" w:rsidR="003C6ED1" w:rsidRDefault="003C6ED1" w:rsidP="00F410F1">
                      <w:pPr>
                        <w:pStyle w:val="Heading4"/>
                      </w:pPr>
                      <w:r>
                        <w:t>Risk Action Levels</w:t>
                      </w:r>
                    </w:p>
                    <w:p w14:paraId="3D85D569" w14:textId="77777777" w:rsidR="003C6ED1" w:rsidRDefault="003C6ED1" w:rsidP="00F410F1">
                      <w:pPr>
                        <w:pStyle w:val="Normal1"/>
                        <w:jc w:val="left"/>
                      </w:pPr>
                    </w:p>
                    <w:p w14:paraId="3D85D56A" w14:textId="77777777" w:rsidR="003C6ED1" w:rsidRDefault="003C6ED1" w:rsidP="00F410F1">
                      <w:pPr>
                        <w:pStyle w:val="Normal1"/>
                        <w:jc w:val="left"/>
                      </w:pPr>
                      <w:r>
                        <w:t xml:space="preserve">RALs are levels of risk that inform the actions a regulated facility would be required by DEQ to undertake under Cleaner Air Oregon rules. The higher the exceedance of a RAL at a facility, the more corrective actions the facility would be required to take. Timelines for a facility to come into compliance would also be shorter in these cases. </w:t>
                      </w:r>
                    </w:p>
                    <w:p w14:paraId="3D85D56B" w14:textId="77777777" w:rsidR="003C6ED1" w:rsidRDefault="003C6ED1" w:rsidP="00F410F1">
                      <w:pPr>
                        <w:pStyle w:val="Normal1"/>
                        <w:jc w:val="left"/>
                      </w:pPr>
                    </w:p>
                    <w:p w14:paraId="3D85D56C" w14:textId="77777777" w:rsidR="003C6ED1" w:rsidRDefault="003C6ED1" w:rsidP="00F410F1">
                      <w:pPr>
                        <w:pStyle w:val="Normal1"/>
                        <w:ind w:right="18"/>
                        <w:jc w:val="left"/>
                      </w:pPr>
                      <w:r>
                        <w:t xml:space="preserve">The RALs reflect the challenges existing facilities could face in retrofitting existing equipment to meet new lower emissions requirements under Cleaner Air Oregon. Cleaner Air Oregon rules include higher RALs for existing facilities than for new facilities, which are easier to design with a target emission rate in mind. </w:t>
                      </w:r>
                    </w:p>
                    <w:p w14:paraId="3D85D56D" w14:textId="77777777" w:rsidR="003C6ED1" w:rsidRDefault="003C6ED1" w:rsidP="00F410F1">
                      <w:pPr>
                        <w:pStyle w:val="Normal1"/>
                        <w:jc w:val="left"/>
                      </w:pPr>
                    </w:p>
                    <w:p w14:paraId="3D85D56E" w14:textId="77777777" w:rsidR="003C6ED1" w:rsidRDefault="003C6ED1" w:rsidP="00F410F1">
                      <w:pPr>
                        <w:pStyle w:val="Normal1"/>
                        <w:ind w:right="18"/>
                        <w:jc w:val="left"/>
                      </w:pPr>
                      <w:r>
                        <w:t xml:space="preserve">In setting RALs, DEQ considered risk levels used in decision making by federal agencies like the EPA and the Agency for Toxic Substances and Disease Registry. DEQ also considered risk action levels used by other states that already have health risk-based industrial air toxics programs. In addition, DEQ considered the overall non-industrial level of risk from air toxics in Oregon. </w:t>
                      </w:r>
                    </w:p>
                    <w:p w14:paraId="3D85D56F" w14:textId="77777777" w:rsidR="003C6ED1" w:rsidRDefault="003C6ED1" w:rsidP="00F410F1">
                      <w:pPr>
                        <w:pStyle w:val="Normal1"/>
                        <w:jc w:val="left"/>
                      </w:pPr>
                    </w:p>
                    <w:p w14:paraId="3D85D570" w14:textId="77777777" w:rsidR="003C6ED1" w:rsidRPr="00F410F1" w:rsidRDefault="003C6ED1" w:rsidP="00F410F1">
                      <w:pPr>
                        <w:rPr>
                          <w:rFonts w:ascii="Arial" w:hAnsi="Arial" w:cs="Arial"/>
                        </w:rPr>
                      </w:pPr>
                      <w:r w:rsidRPr="00F410F1">
                        <w:rPr>
                          <w:rFonts w:ascii="Arial" w:hAnsi="Arial" w:cs="Arial"/>
                        </w:rPr>
                        <w:t>Cleaner Air Oregon considers risk in three categories: chronic cancer, chronic noncancer, and acute noncancer. Each of those categories of risk are calculated and compared against the appropriate RAL separately. Cancer and noncancer risks are calculated and expressed differently. The RALs for Cleaner Air Oregon reflect those differences in that there are separate sets of RALs for cancer and noncancer risks. RALs are shown in OAR 340</w:t>
                      </w:r>
                      <w:r>
                        <w:rPr>
                          <w:rFonts w:ascii="Arial" w:hAnsi="Arial" w:cs="Arial"/>
                        </w:rPr>
                        <w:t>-</w:t>
                      </w:r>
                      <w:r w:rsidRPr="00F410F1">
                        <w:rPr>
                          <w:rFonts w:ascii="Arial" w:hAnsi="Arial" w:cs="Arial"/>
                        </w:rPr>
                        <w:t>245-8010 Table 1.</w:t>
                      </w:r>
                    </w:p>
                  </w:txbxContent>
                </v:textbox>
              </v:shape>
            </w:pict>
          </mc:Fallback>
        </mc:AlternateContent>
      </w:r>
    </w:p>
    <w:p w14:paraId="3D85CC91" w14:textId="77777777" w:rsidR="00544C5D" w:rsidRDefault="00544C5D" w:rsidP="006716C2">
      <w:pPr>
        <w:pStyle w:val="Normal1"/>
        <w:jc w:val="left"/>
      </w:pPr>
    </w:p>
    <w:p w14:paraId="3D85CC92" w14:textId="77777777" w:rsidR="00544C5D" w:rsidRDefault="00544C5D" w:rsidP="006716C2">
      <w:pPr>
        <w:pStyle w:val="Normal1"/>
        <w:jc w:val="left"/>
      </w:pPr>
    </w:p>
    <w:p w14:paraId="3D85CC93" w14:textId="77777777" w:rsidR="00544C5D" w:rsidRDefault="00544C5D" w:rsidP="006716C2">
      <w:pPr>
        <w:pStyle w:val="Normal1"/>
        <w:jc w:val="left"/>
      </w:pPr>
    </w:p>
    <w:p w14:paraId="3D85CC94" w14:textId="77777777" w:rsidR="00DD6715" w:rsidRDefault="00DD6715" w:rsidP="006716C2">
      <w:pPr>
        <w:pStyle w:val="Normal1"/>
        <w:jc w:val="left"/>
      </w:pPr>
    </w:p>
    <w:p w14:paraId="3D85CC95" w14:textId="77777777" w:rsidR="00DD6715" w:rsidRDefault="00DD6715" w:rsidP="006716C2">
      <w:pPr>
        <w:pStyle w:val="Normal1"/>
        <w:jc w:val="left"/>
      </w:pPr>
    </w:p>
    <w:p w14:paraId="3D85CC96" w14:textId="77777777" w:rsidR="00544C5D" w:rsidRDefault="00544C5D" w:rsidP="006716C2">
      <w:pPr>
        <w:pStyle w:val="Normal1"/>
        <w:jc w:val="left"/>
      </w:pPr>
    </w:p>
    <w:p w14:paraId="3D85CC97" w14:textId="77777777" w:rsidR="00F410F1" w:rsidRDefault="00F410F1" w:rsidP="006716C2">
      <w:pPr>
        <w:pStyle w:val="Normal1"/>
        <w:jc w:val="left"/>
      </w:pPr>
    </w:p>
    <w:p w14:paraId="3D85CC98" w14:textId="77777777" w:rsidR="00F410F1" w:rsidRDefault="00F410F1" w:rsidP="006716C2">
      <w:pPr>
        <w:pStyle w:val="Normal1"/>
        <w:jc w:val="left"/>
      </w:pPr>
    </w:p>
    <w:p w14:paraId="3D85CC99" w14:textId="77777777" w:rsidR="00F410F1" w:rsidRDefault="00F410F1" w:rsidP="006716C2">
      <w:pPr>
        <w:pStyle w:val="Normal1"/>
        <w:jc w:val="left"/>
      </w:pPr>
    </w:p>
    <w:p w14:paraId="3D85CC9A" w14:textId="77777777" w:rsidR="00F410F1" w:rsidRDefault="00F410F1" w:rsidP="006716C2">
      <w:pPr>
        <w:pStyle w:val="Normal1"/>
        <w:jc w:val="left"/>
      </w:pPr>
    </w:p>
    <w:p w14:paraId="3D85CC9B" w14:textId="77777777" w:rsidR="00F410F1" w:rsidRDefault="00F410F1" w:rsidP="006716C2">
      <w:pPr>
        <w:pStyle w:val="Normal1"/>
        <w:jc w:val="left"/>
      </w:pPr>
    </w:p>
    <w:p w14:paraId="3D85CC9C" w14:textId="77777777" w:rsidR="00F410F1" w:rsidRDefault="00F410F1" w:rsidP="006716C2">
      <w:pPr>
        <w:pStyle w:val="Normal1"/>
        <w:jc w:val="left"/>
      </w:pPr>
    </w:p>
    <w:p w14:paraId="3D85CC9D" w14:textId="77777777" w:rsidR="00F410F1" w:rsidRDefault="00F410F1" w:rsidP="006716C2">
      <w:pPr>
        <w:pStyle w:val="Normal1"/>
        <w:jc w:val="left"/>
      </w:pPr>
    </w:p>
    <w:p w14:paraId="3D85CC9E" w14:textId="77777777" w:rsidR="00F410F1" w:rsidRDefault="00F410F1" w:rsidP="006716C2">
      <w:pPr>
        <w:pStyle w:val="Normal1"/>
        <w:jc w:val="left"/>
      </w:pPr>
    </w:p>
    <w:p w14:paraId="3D85CC9F" w14:textId="77777777" w:rsidR="00F410F1" w:rsidRDefault="00F410F1" w:rsidP="006716C2">
      <w:pPr>
        <w:pStyle w:val="Normal1"/>
        <w:jc w:val="left"/>
      </w:pPr>
    </w:p>
    <w:p w14:paraId="3D85CCA0" w14:textId="77777777" w:rsidR="00F410F1" w:rsidRDefault="00F410F1" w:rsidP="006716C2">
      <w:pPr>
        <w:pStyle w:val="Normal1"/>
        <w:jc w:val="left"/>
      </w:pPr>
    </w:p>
    <w:p w14:paraId="3D85CCA1" w14:textId="77777777" w:rsidR="00F410F1" w:rsidRDefault="00F410F1" w:rsidP="006716C2">
      <w:pPr>
        <w:pStyle w:val="Normal1"/>
        <w:jc w:val="left"/>
      </w:pPr>
    </w:p>
    <w:p w14:paraId="3D85CCA2" w14:textId="77777777" w:rsidR="00F410F1" w:rsidRDefault="00F410F1" w:rsidP="006716C2">
      <w:pPr>
        <w:pStyle w:val="Normal1"/>
        <w:jc w:val="left"/>
      </w:pPr>
    </w:p>
    <w:p w14:paraId="3D85CCA3" w14:textId="77777777" w:rsidR="00F410F1" w:rsidRDefault="00F410F1" w:rsidP="006716C2">
      <w:pPr>
        <w:pStyle w:val="Normal1"/>
        <w:jc w:val="left"/>
      </w:pPr>
    </w:p>
    <w:p w14:paraId="3D85CCA4" w14:textId="77777777" w:rsidR="00F410F1" w:rsidRDefault="00F410F1" w:rsidP="006716C2">
      <w:pPr>
        <w:pStyle w:val="Normal1"/>
        <w:jc w:val="left"/>
      </w:pPr>
    </w:p>
    <w:p w14:paraId="3D85CCA5" w14:textId="77777777" w:rsidR="00F410F1" w:rsidRDefault="00F410F1" w:rsidP="006716C2">
      <w:pPr>
        <w:pStyle w:val="Normal1"/>
        <w:jc w:val="left"/>
      </w:pPr>
    </w:p>
    <w:p w14:paraId="3D85CCA6" w14:textId="77777777" w:rsidR="00F410F1" w:rsidRDefault="00F410F1" w:rsidP="006716C2">
      <w:pPr>
        <w:pStyle w:val="Normal1"/>
        <w:jc w:val="left"/>
      </w:pPr>
    </w:p>
    <w:p w14:paraId="3D85CCA7" w14:textId="77777777" w:rsidR="00F410F1" w:rsidRDefault="00F410F1" w:rsidP="006716C2">
      <w:pPr>
        <w:pStyle w:val="Normal1"/>
        <w:jc w:val="left"/>
      </w:pPr>
    </w:p>
    <w:p w14:paraId="3D85CCA8" w14:textId="77777777" w:rsidR="00F410F1" w:rsidRDefault="00F410F1" w:rsidP="006716C2">
      <w:pPr>
        <w:pStyle w:val="Normal1"/>
        <w:jc w:val="left"/>
      </w:pPr>
    </w:p>
    <w:p w14:paraId="3D85CCA9" w14:textId="77777777" w:rsidR="00F410F1" w:rsidRDefault="00F410F1" w:rsidP="006716C2">
      <w:pPr>
        <w:pStyle w:val="Normal1"/>
        <w:jc w:val="left"/>
      </w:pPr>
    </w:p>
    <w:p w14:paraId="3D85CCAA" w14:textId="77777777" w:rsidR="00F410F1" w:rsidRDefault="00F410F1" w:rsidP="006716C2">
      <w:pPr>
        <w:pStyle w:val="Normal1"/>
        <w:jc w:val="left"/>
      </w:pPr>
    </w:p>
    <w:p w14:paraId="3D85CCAB" w14:textId="77777777" w:rsidR="00F410F1" w:rsidRDefault="00F410F1" w:rsidP="006716C2">
      <w:pPr>
        <w:pStyle w:val="Normal1"/>
        <w:jc w:val="left"/>
      </w:pPr>
    </w:p>
    <w:p w14:paraId="3D85CCAC" w14:textId="77777777" w:rsidR="00F410F1" w:rsidRDefault="00D05E23" w:rsidP="006716C2">
      <w:pPr>
        <w:pStyle w:val="Normal1"/>
        <w:jc w:val="left"/>
      </w:pPr>
      <w:r>
        <w:rPr>
          <w:noProof/>
        </w:rPr>
        <mc:AlternateContent>
          <mc:Choice Requires="wps">
            <w:drawing>
              <wp:anchor distT="0" distB="0" distL="114300" distR="114300" simplePos="0" relativeHeight="251671040" behindDoc="0" locked="0" layoutInCell="1" allowOverlap="1" wp14:anchorId="3D85D531" wp14:editId="3D85D532">
                <wp:simplePos x="0" y="0"/>
                <wp:positionH relativeFrom="column">
                  <wp:posOffset>-57785</wp:posOffset>
                </wp:positionH>
                <wp:positionV relativeFrom="paragraph">
                  <wp:posOffset>66040</wp:posOffset>
                </wp:positionV>
                <wp:extent cx="6399530" cy="4131310"/>
                <wp:effectExtent l="8890" t="10795" r="11430" b="10795"/>
                <wp:wrapNone/>
                <wp:docPr id="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131310"/>
                        </a:xfrm>
                        <a:prstGeom prst="rect">
                          <a:avLst/>
                        </a:prstGeom>
                        <a:solidFill>
                          <a:srgbClr val="FFFFFF"/>
                        </a:solidFill>
                        <a:ln w="9525">
                          <a:solidFill>
                            <a:srgbClr val="000000"/>
                          </a:solidFill>
                          <a:miter lim="800000"/>
                          <a:headEnd/>
                          <a:tailEnd/>
                        </a:ln>
                      </wps:spPr>
                      <wps:txbx>
                        <w:txbxContent>
                          <w:p w14:paraId="3D85D571" w14:textId="77777777" w:rsidR="003C6ED1" w:rsidRDefault="003C6ED1" w:rsidP="00F410F1">
                            <w:pPr>
                              <w:pStyle w:val="Normal1"/>
                              <w:jc w:val="left"/>
                              <w:rPr>
                                <w:b/>
                              </w:rPr>
                            </w:pPr>
                            <w:r>
                              <w:rPr>
                                <w:b/>
                              </w:rPr>
                              <w:t>Examples of Applying Alternate Noncancer Risk Action Levels</w:t>
                            </w:r>
                          </w:p>
                          <w:p w14:paraId="3D85D572" w14:textId="77777777" w:rsidR="003C6ED1" w:rsidRDefault="003C6ED1" w:rsidP="00F410F1">
                            <w:pPr>
                              <w:pStyle w:val="Normal1"/>
                              <w:jc w:val="left"/>
                              <w:rPr>
                                <w:b/>
                              </w:rPr>
                            </w:pPr>
                            <w:r>
                              <w:rPr>
                                <w:b/>
                              </w:rPr>
                              <w:t>ANRAL Example 1:</w:t>
                            </w:r>
                          </w:p>
                          <w:p w14:paraId="3D85D573" w14:textId="77777777" w:rsidR="003C6ED1" w:rsidRDefault="003C6ED1" w:rsidP="00F410F1">
                            <w:pPr>
                              <w:pStyle w:val="Normal1"/>
                              <w:widowControl/>
                              <w:numPr>
                                <w:ilvl w:val="0"/>
                                <w:numId w:val="3"/>
                              </w:numPr>
                              <w:jc w:val="left"/>
                            </w:pPr>
                            <w:r>
                              <w:t>Actual chronic non-cancer risk includes a respiratory-specific hazard index of 9 based on Level 4 risk assessment.</w:t>
                            </w:r>
                          </w:p>
                          <w:p w14:paraId="3D85D574" w14:textId="77777777" w:rsidR="003C6ED1" w:rsidRDefault="003C6ED1" w:rsidP="00F410F1">
                            <w:pPr>
                              <w:pStyle w:val="Normal1"/>
                              <w:widowControl/>
                              <w:numPr>
                                <w:ilvl w:val="0"/>
                                <w:numId w:val="3"/>
                              </w:numPr>
                              <w:jc w:val="left"/>
                            </w:pPr>
                            <w:r>
                              <w:t>The facility requests and is granted a respiratory effect-specific ANRAL of 3.</w:t>
                            </w:r>
                          </w:p>
                          <w:p w14:paraId="3D85D575" w14:textId="77777777" w:rsidR="003C6ED1" w:rsidRDefault="003C6ED1" w:rsidP="00F410F1">
                            <w:pPr>
                              <w:pStyle w:val="Normal1"/>
                              <w:widowControl/>
                              <w:numPr>
                                <w:ilvl w:val="0"/>
                                <w:numId w:val="3"/>
                              </w:numPr>
                              <w:jc w:val="left"/>
                            </w:pPr>
                            <w:r>
                              <w:t xml:space="preserve">Because the facility’s actual risk is less than 10, the facility could apply for a Conditional Risk Level to continue at that level of risk without DEQ Director approval. </w:t>
                            </w:r>
                          </w:p>
                          <w:p w14:paraId="3D85D576" w14:textId="77777777" w:rsidR="003C6ED1" w:rsidRDefault="003C6ED1" w:rsidP="00F410F1">
                            <w:pPr>
                              <w:pStyle w:val="Normal1"/>
                              <w:widowControl/>
                              <w:numPr>
                                <w:ilvl w:val="0"/>
                                <w:numId w:val="3"/>
                              </w:numPr>
                              <w:jc w:val="left"/>
                            </w:pPr>
                            <w:r>
                              <w:t xml:space="preserve">If the facility submits a risk reduction plan to get down to or below their ANRAL of 3, then no Conditional Risk Level would be needed. </w:t>
                            </w:r>
                          </w:p>
                          <w:p w14:paraId="3D85D577" w14:textId="77777777" w:rsidR="003C6ED1" w:rsidRDefault="003C6ED1" w:rsidP="00F410F1">
                            <w:pPr>
                              <w:pStyle w:val="Normal1"/>
                              <w:widowControl/>
                              <w:numPr>
                                <w:ilvl w:val="0"/>
                                <w:numId w:val="3"/>
                              </w:numPr>
                              <w:jc w:val="left"/>
                            </w:pPr>
                            <w:r>
                              <w:t xml:space="preserve">However, the risk reduction plan would have to get them to 6 or less on an accelerated schedule because their risk (9) is greater than the accelerated schedule RAL of ANRAL+3 (which in this case is 3+3 = 6). </w:t>
                            </w:r>
                          </w:p>
                          <w:p w14:paraId="3D85D578" w14:textId="77777777" w:rsidR="003C6ED1" w:rsidRDefault="003C6ED1" w:rsidP="00F410F1">
                            <w:pPr>
                              <w:pStyle w:val="Normal1"/>
                              <w:jc w:val="left"/>
                              <w:rPr>
                                <w:b/>
                              </w:rPr>
                            </w:pPr>
                            <w:r>
                              <w:t>   </w:t>
                            </w:r>
                            <w:r>
                              <w:rPr>
                                <w:b/>
                              </w:rPr>
                              <w:t xml:space="preserve"> ANRAL Example 2:</w:t>
                            </w:r>
                          </w:p>
                          <w:p w14:paraId="3D85D579" w14:textId="77777777" w:rsidR="003C6ED1" w:rsidRDefault="003C6ED1" w:rsidP="00F410F1">
                            <w:pPr>
                              <w:pStyle w:val="Normal1"/>
                              <w:widowControl/>
                              <w:numPr>
                                <w:ilvl w:val="0"/>
                                <w:numId w:val="5"/>
                              </w:numPr>
                              <w:jc w:val="left"/>
                            </w:pPr>
                            <w:r>
                              <w:t>Actual chronic non-cancer risk includes a respiratory-specific hazard index of 16 based on Level 4 risk assessment.</w:t>
                            </w:r>
                          </w:p>
                          <w:p w14:paraId="3D85D57A" w14:textId="77777777" w:rsidR="003C6ED1" w:rsidRDefault="003C6ED1" w:rsidP="00F410F1">
                            <w:pPr>
                              <w:pStyle w:val="Normal1"/>
                              <w:widowControl/>
                              <w:numPr>
                                <w:ilvl w:val="0"/>
                                <w:numId w:val="5"/>
                              </w:numPr>
                              <w:jc w:val="left"/>
                            </w:pPr>
                            <w:r>
                              <w:t>The facility requests and is granted a respiratory effect-specific ANRAL of 10.</w:t>
                            </w:r>
                          </w:p>
                          <w:p w14:paraId="3D85D57B" w14:textId="77777777" w:rsidR="003C6ED1" w:rsidRDefault="003C6ED1" w:rsidP="00F410F1">
                            <w:pPr>
                              <w:pStyle w:val="Normal1"/>
                              <w:widowControl/>
                              <w:numPr>
                                <w:ilvl w:val="0"/>
                                <w:numId w:val="5"/>
                              </w:numPr>
                              <w:jc w:val="left"/>
                            </w:pPr>
                            <w:r>
                              <w:t xml:space="preserve">Because the facility’s actual risk is greater than the ANRAL+5 (10+5 = 15), the facility could only apply for a Conditional Risk Level to continue at that level of risk with DEQ Director approval. </w:t>
                            </w:r>
                          </w:p>
                          <w:p w14:paraId="3D85D57C" w14:textId="77777777" w:rsidR="003C6ED1" w:rsidRPr="00F410F1" w:rsidRDefault="003C6ED1" w:rsidP="00F410F1">
                            <w:pPr>
                              <w:pStyle w:val="Normal1"/>
                              <w:widowControl/>
                              <w:numPr>
                                <w:ilvl w:val="0"/>
                                <w:numId w:val="5"/>
                              </w:numPr>
                              <w:jc w:val="left"/>
                            </w:pPr>
                            <w:r>
                              <w:t xml:space="preserve">If the facility submits a risk reduction plan to get down to or below their ANRAL of 10, then no Conditional Risk Level or director consultation would be needed, </w:t>
                            </w:r>
                            <w:r w:rsidRPr="00F410F1">
                              <w:t>but the risk reduction plan would have to get them to 13 or less on an accelerated schedule because their risk (16) is greater than the accelerated schedule RAL of ANRAL+3 (10+3 = 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5D531" id="Text Box 63" o:spid="_x0000_s1039" type="#_x0000_t202" style="position:absolute;margin-left:-4.55pt;margin-top:5.2pt;width:503.9pt;height:325.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">
                <v:textbox>
                  <w:txbxContent>
                    <w:p w14:paraId="3D85D571" w14:textId="77777777" w:rsidR="003C6ED1" w:rsidRDefault="003C6ED1" w:rsidP="00F410F1">
                      <w:pPr>
                        <w:pStyle w:val="Normal1"/>
                        <w:jc w:val="left"/>
                        <w:rPr>
                          <w:b/>
                        </w:rPr>
                      </w:pPr>
                      <w:r>
                        <w:rPr>
                          <w:b/>
                        </w:rPr>
                        <w:t>Examples of Applying Alternate Noncancer Risk Action Levels</w:t>
                      </w:r>
                    </w:p>
                    <w:p w14:paraId="3D85D572" w14:textId="77777777" w:rsidR="003C6ED1" w:rsidRDefault="003C6ED1" w:rsidP="00F410F1">
                      <w:pPr>
                        <w:pStyle w:val="Normal1"/>
                        <w:jc w:val="left"/>
                        <w:rPr>
                          <w:b/>
                        </w:rPr>
                      </w:pPr>
                      <w:r>
                        <w:rPr>
                          <w:b/>
                        </w:rPr>
                        <w:t>ANRAL Example 1:</w:t>
                      </w:r>
                    </w:p>
                    <w:p w14:paraId="3D85D573" w14:textId="77777777" w:rsidR="003C6ED1" w:rsidRDefault="003C6ED1" w:rsidP="00F410F1">
                      <w:pPr>
                        <w:pStyle w:val="Normal1"/>
                        <w:widowControl/>
                        <w:numPr>
                          <w:ilvl w:val="0"/>
                          <w:numId w:val="3"/>
                        </w:numPr>
                        <w:jc w:val="left"/>
                      </w:pPr>
                      <w:r>
                        <w:t>Actual chronic non-cancer risk includes a respiratory-specific hazard index of 9 based on Level 4 risk assessment.</w:t>
                      </w:r>
                    </w:p>
                    <w:p w14:paraId="3D85D574" w14:textId="77777777" w:rsidR="003C6ED1" w:rsidRDefault="003C6ED1" w:rsidP="00F410F1">
                      <w:pPr>
                        <w:pStyle w:val="Normal1"/>
                        <w:widowControl/>
                        <w:numPr>
                          <w:ilvl w:val="0"/>
                          <w:numId w:val="3"/>
                        </w:numPr>
                        <w:jc w:val="left"/>
                      </w:pPr>
                      <w:r>
                        <w:t>The facility requests and is granted a respiratory effect-specific ANRAL of 3.</w:t>
                      </w:r>
                    </w:p>
                    <w:p w14:paraId="3D85D575" w14:textId="77777777" w:rsidR="003C6ED1" w:rsidRDefault="003C6ED1" w:rsidP="00F410F1">
                      <w:pPr>
                        <w:pStyle w:val="Normal1"/>
                        <w:widowControl/>
                        <w:numPr>
                          <w:ilvl w:val="0"/>
                          <w:numId w:val="3"/>
                        </w:numPr>
                        <w:jc w:val="left"/>
                      </w:pPr>
                      <w:r>
                        <w:t xml:space="preserve">Because the facility’s actual risk is less than 10, the facility could apply for a Conditional Risk Level to continue at that level of risk without DEQ Director approval. </w:t>
                      </w:r>
                    </w:p>
                    <w:p w14:paraId="3D85D576" w14:textId="77777777" w:rsidR="003C6ED1" w:rsidRDefault="003C6ED1" w:rsidP="00F410F1">
                      <w:pPr>
                        <w:pStyle w:val="Normal1"/>
                        <w:widowControl/>
                        <w:numPr>
                          <w:ilvl w:val="0"/>
                          <w:numId w:val="3"/>
                        </w:numPr>
                        <w:jc w:val="left"/>
                      </w:pPr>
                      <w:r>
                        <w:t xml:space="preserve">If the facility submits a risk reduction plan to get down to or below their ANRAL of 3, then no Conditional Risk Level would be needed. </w:t>
                      </w:r>
                    </w:p>
                    <w:p w14:paraId="3D85D577" w14:textId="77777777" w:rsidR="003C6ED1" w:rsidRDefault="003C6ED1" w:rsidP="00F410F1">
                      <w:pPr>
                        <w:pStyle w:val="Normal1"/>
                        <w:widowControl/>
                        <w:numPr>
                          <w:ilvl w:val="0"/>
                          <w:numId w:val="3"/>
                        </w:numPr>
                        <w:jc w:val="left"/>
                      </w:pPr>
                      <w:r>
                        <w:t xml:space="preserve">However, the risk reduction plan would have to get them to 6 or less on an accelerated schedule because their risk (9) is greater than the accelerated schedule RAL of ANRAL+3 (which in this case is 3+3 = 6). </w:t>
                      </w:r>
                    </w:p>
                    <w:p w14:paraId="3D85D578" w14:textId="77777777" w:rsidR="003C6ED1" w:rsidRDefault="003C6ED1" w:rsidP="00F410F1">
                      <w:pPr>
                        <w:pStyle w:val="Normal1"/>
                        <w:jc w:val="left"/>
                        <w:rPr>
                          <w:b/>
                        </w:rPr>
                      </w:pPr>
                      <w:r>
                        <w:t>   </w:t>
                      </w:r>
                      <w:r>
                        <w:rPr>
                          <w:b/>
                        </w:rPr>
                        <w:t xml:space="preserve"> ANRAL Example 2:</w:t>
                      </w:r>
                    </w:p>
                    <w:p w14:paraId="3D85D579" w14:textId="77777777" w:rsidR="003C6ED1" w:rsidRDefault="003C6ED1" w:rsidP="00F410F1">
                      <w:pPr>
                        <w:pStyle w:val="Normal1"/>
                        <w:widowControl/>
                        <w:numPr>
                          <w:ilvl w:val="0"/>
                          <w:numId w:val="5"/>
                        </w:numPr>
                        <w:jc w:val="left"/>
                      </w:pPr>
                      <w:r>
                        <w:t>Actual chronic non-cancer risk includes a respiratory-specific hazard index of 16 based on Level 4 risk assessment.</w:t>
                      </w:r>
                    </w:p>
                    <w:p w14:paraId="3D85D57A" w14:textId="77777777" w:rsidR="003C6ED1" w:rsidRDefault="003C6ED1" w:rsidP="00F410F1">
                      <w:pPr>
                        <w:pStyle w:val="Normal1"/>
                        <w:widowControl/>
                        <w:numPr>
                          <w:ilvl w:val="0"/>
                          <w:numId w:val="5"/>
                        </w:numPr>
                        <w:jc w:val="left"/>
                      </w:pPr>
                      <w:r>
                        <w:t>The facility requests and is granted a respiratory effect-specific ANRAL of 10.</w:t>
                      </w:r>
                    </w:p>
                    <w:p w14:paraId="3D85D57B" w14:textId="77777777" w:rsidR="003C6ED1" w:rsidRDefault="003C6ED1" w:rsidP="00F410F1">
                      <w:pPr>
                        <w:pStyle w:val="Normal1"/>
                        <w:widowControl/>
                        <w:numPr>
                          <w:ilvl w:val="0"/>
                          <w:numId w:val="5"/>
                        </w:numPr>
                        <w:jc w:val="left"/>
                      </w:pPr>
                      <w:r>
                        <w:t xml:space="preserve">Because the facility’s actual risk is greater than the ANRAL+5 (10+5 = 15), the facility could only apply for a Conditional Risk Level to continue at that level of risk with DEQ Director approval. </w:t>
                      </w:r>
                    </w:p>
                    <w:p w14:paraId="3D85D57C" w14:textId="77777777" w:rsidR="003C6ED1" w:rsidRPr="00F410F1" w:rsidRDefault="003C6ED1" w:rsidP="00F410F1">
                      <w:pPr>
                        <w:pStyle w:val="Normal1"/>
                        <w:widowControl/>
                        <w:numPr>
                          <w:ilvl w:val="0"/>
                          <w:numId w:val="5"/>
                        </w:numPr>
                        <w:jc w:val="left"/>
                      </w:pPr>
                      <w:r>
                        <w:t xml:space="preserve">If the facility submits a risk reduction plan to get down to or below their ANRAL of 10, then no Conditional Risk Level or director consultation would be needed, </w:t>
                      </w:r>
                      <w:r w:rsidRPr="00F410F1">
                        <w:t>but the risk reduction plan would have to get them to 13 or less on an accelerated schedule because their risk (16) is greater than the accelerated schedule RAL of ANRAL+3 (10+3 = 13).</w:t>
                      </w:r>
                    </w:p>
                  </w:txbxContent>
                </v:textbox>
              </v:shape>
            </w:pict>
          </mc:Fallback>
        </mc:AlternateContent>
      </w:r>
    </w:p>
    <w:p w14:paraId="3D85CCAD" w14:textId="77777777" w:rsidR="00F410F1" w:rsidRDefault="00F410F1" w:rsidP="006716C2">
      <w:pPr>
        <w:pStyle w:val="Normal1"/>
        <w:jc w:val="left"/>
      </w:pPr>
    </w:p>
    <w:p w14:paraId="3D85CCAE" w14:textId="77777777" w:rsidR="00F410F1" w:rsidRDefault="00F410F1" w:rsidP="006716C2">
      <w:pPr>
        <w:pStyle w:val="Normal1"/>
        <w:jc w:val="left"/>
      </w:pPr>
    </w:p>
    <w:p w14:paraId="3D85CCAF" w14:textId="77777777" w:rsidR="00F410F1" w:rsidRDefault="00F410F1" w:rsidP="006716C2">
      <w:pPr>
        <w:pStyle w:val="Normal1"/>
        <w:jc w:val="left"/>
      </w:pPr>
    </w:p>
    <w:p w14:paraId="3D85CCB0" w14:textId="77777777" w:rsidR="006716C2" w:rsidRDefault="006716C2" w:rsidP="006716C2">
      <w:pPr>
        <w:pStyle w:val="Normal1"/>
        <w:jc w:val="left"/>
      </w:pPr>
    </w:p>
    <w:p w14:paraId="3D85CCB1" w14:textId="77777777" w:rsidR="00F410F1" w:rsidRDefault="00F410F1" w:rsidP="006716C2">
      <w:pPr>
        <w:pStyle w:val="Normal1"/>
        <w:jc w:val="left"/>
      </w:pPr>
    </w:p>
    <w:p w14:paraId="3D85CCB2" w14:textId="77777777" w:rsidR="00F410F1" w:rsidRDefault="00F410F1" w:rsidP="006716C2">
      <w:pPr>
        <w:pStyle w:val="Normal1"/>
        <w:jc w:val="left"/>
      </w:pPr>
    </w:p>
    <w:p w14:paraId="3D85CCB3" w14:textId="77777777" w:rsidR="00F410F1" w:rsidRDefault="00F410F1" w:rsidP="006716C2">
      <w:pPr>
        <w:pStyle w:val="Normal1"/>
        <w:jc w:val="left"/>
      </w:pPr>
    </w:p>
    <w:p w14:paraId="3D85CCB4" w14:textId="77777777" w:rsidR="00F410F1" w:rsidRDefault="00F410F1" w:rsidP="006716C2">
      <w:pPr>
        <w:pStyle w:val="Normal1"/>
        <w:jc w:val="left"/>
      </w:pPr>
    </w:p>
    <w:p w14:paraId="3D85CCB5" w14:textId="77777777" w:rsidR="00F410F1" w:rsidRDefault="00F410F1" w:rsidP="006716C2">
      <w:pPr>
        <w:pStyle w:val="Normal1"/>
        <w:jc w:val="left"/>
      </w:pPr>
    </w:p>
    <w:p w14:paraId="3D85CCB6" w14:textId="77777777" w:rsidR="00F410F1" w:rsidRDefault="00F410F1" w:rsidP="006716C2">
      <w:pPr>
        <w:pStyle w:val="Normal1"/>
        <w:jc w:val="left"/>
      </w:pPr>
    </w:p>
    <w:p w14:paraId="3D85CCB7" w14:textId="77777777" w:rsidR="00F410F1" w:rsidRDefault="00F410F1" w:rsidP="006716C2">
      <w:pPr>
        <w:pStyle w:val="Normal1"/>
        <w:jc w:val="left"/>
      </w:pPr>
    </w:p>
    <w:p w14:paraId="3D85CCB8" w14:textId="77777777" w:rsidR="00F410F1" w:rsidRDefault="00F410F1" w:rsidP="006716C2">
      <w:pPr>
        <w:pStyle w:val="Normal1"/>
        <w:jc w:val="left"/>
      </w:pPr>
    </w:p>
    <w:p w14:paraId="3D85CCB9" w14:textId="77777777" w:rsidR="00F410F1" w:rsidRDefault="00F410F1" w:rsidP="006716C2">
      <w:pPr>
        <w:pStyle w:val="Normal1"/>
        <w:jc w:val="left"/>
      </w:pPr>
    </w:p>
    <w:p w14:paraId="3D85CCBA" w14:textId="77777777" w:rsidR="00F410F1" w:rsidRDefault="00F410F1" w:rsidP="006716C2">
      <w:pPr>
        <w:pStyle w:val="Normal1"/>
        <w:jc w:val="left"/>
      </w:pPr>
    </w:p>
    <w:p w14:paraId="3D85CCBB" w14:textId="77777777" w:rsidR="00F410F1" w:rsidRDefault="00F410F1" w:rsidP="006716C2">
      <w:pPr>
        <w:pStyle w:val="Normal1"/>
        <w:jc w:val="left"/>
      </w:pPr>
    </w:p>
    <w:p w14:paraId="3D85CCBC" w14:textId="77777777" w:rsidR="00F410F1" w:rsidRDefault="00F410F1" w:rsidP="006716C2">
      <w:pPr>
        <w:pStyle w:val="Normal1"/>
        <w:jc w:val="left"/>
      </w:pPr>
    </w:p>
    <w:p w14:paraId="3D85CCBD" w14:textId="77777777" w:rsidR="00F410F1" w:rsidRDefault="00F410F1" w:rsidP="006716C2">
      <w:pPr>
        <w:pStyle w:val="Normal1"/>
        <w:jc w:val="left"/>
      </w:pPr>
    </w:p>
    <w:p w14:paraId="3D85CCBE" w14:textId="77777777" w:rsidR="00F410F1" w:rsidRDefault="00F410F1" w:rsidP="006716C2">
      <w:pPr>
        <w:pStyle w:val="Normal1"/>
        <w:jc w:val="left"/>
      </w:pPr>
    </w:p>
    <w:p w14:paraId="3D85CCBF" w14:textId="77777777" w:rsidR="00F410F1" w:rsidRDefault="00F410F1" w:rsidP="006716C2">
      <w:pPr>
        <w:pStyle w:val="Normal1"/>
        <w:jc w:val="left"/>
      </w:pPr>
    </w:p>
    <w:p w14:paraId="3D85CCC0" w14:textId="77777777" w:rsidR="00F410F1" w:rsidRDefault="00F410F1" w:rsidP="006716C2">
      <w:pPr>
        <w:pStyle w:val="Normal1"/>
        <w:jc w:val="left"/>
      </w:pPr>
    </w:p>
    <w:p w14:paraId="3D85CCC1" w14:textId="77777777" w:rsidR="00F410F1" w:rsidRDefault="00F410F1" w:rsidP="006716C2">
      <w:pPr>
        <w:pStyle w:val="Normal1"/>
        <w:jc w:val="left"/>
      </w:pPr>
    </w:p>
    <w:p w14:paraId="3D85CCC2" w14:textId="77777777" w:rsidR="00F410F1" w:rsidRDefault="00F410F1" w:rsidP="006716C2">
      <w:pPr>
        <w:pStyle w:val="Normal1"/>
        <w:jc w:val="left"/>
      </w:pPr>
    </w:p>
    <w:p w14:paraId="3D85CCC3" w14:textId="77777777" w:rsidR="00F410F1" w:rsidRDefault="00F410F1" w:rsidP="006716C2">
      <w:pPr>
        <w:pStyle w:val="Normal1"/>
        <w:jc w:val="left"/>
      </w:pPr>
    </w:p>
    <w:p w14:paraId="3D85CCC4" w14:textId="77777777" w:rsidR="00F410F1" w:rsidRDefault="00F410F1" w:rsidP="006716C2">
      <w:pPr>
        <w:pStyle w:val="Normal1"/>
        <w:jc w:val="left"/>
      </w:pPr>
    </w:p>
    <w:p w14:paraId="3D85CCC5" w14:textId="77777777" w:rsidR="006716C2" w:rsidRDefault="006716C2" w:rsidP="006716C2">
      <w:pPr>
        <w:pStyle w:val="Normal1"/>
        <w:jc w:val="left"/>
      </w:pPr>
    </w:p>
    <w:p w14:paraId="3D85CCC6" w14:textId="77777777" w:rsidR="006716C2" w:rsidRDefault="006716C2" w:rsidP="006716C2">
      <w:pPr>
        <w:pStyle w:val="Normal1"/>
        <w:jc w:val="left"/>
      </w:pPr>
      <w:r>
        <w:t>OAR 340-245-0100 outlines the set of criteria DEQ may consider in determining whether or not an ANRAL above the default value may be acceptable. ANRALs will not be considered for chemicals that alter development or cause irreversible health effects. Four criteria define hard limits on the extent to which DEQ has discretion to accept a higher RAL in a specific case:</w:t>
      </w:r>
    </w:p>
    <w:p w14:paraId="3D85CCC7" w14:textId="77777777" w:rsidR="006716C2" w:rsidRDefault="006716C2" w:rsidP="006716C2">
      <w:pPr>
        <w:pStyle w:val="Normal1"/>
        <w:jc w:val="left"/>
      </w:pPr>
    </w:p>
    <w:p w14:paraId="3D85CCC8" w14:textId="77777777" w:rsidR="006716C2" w:rsidRDefault="006716C2" w:rsidP="00713CB5">
      <w:pPr>
        <w:pStyle w:val="Normal1"/>
        <w:widowControl/>
        <w:numPr>
          <w:ilvl w:val="0"/>
          <w:numId w:val="8"/>
        </w:numPr>
        <w:jc w:val="left"/>
      </w:pPr>
      <w:r>
        <w:rPr>
          <w:b/>
        </w:rPr>
        <w:t>Limits to agency discretion.</w:t>
      </w:r>
      <w:r>
        <w:t xml:space="preserve"> There are upper limits on the HIs DEQ can accept as ANRALs for existing sources. This is intended to put a reasonable upper bound around the extent to which DEQ can exercise discretion.</w:t>
      </w:r>
    </w:p>
    <w:p w14:paraId="3D85CCC9" w14:textId="77777777" w:rsidR="006716C2" w:rsidRDefault="006716C2" w:rsidP="00713CB5">
      <w:pPr>
        <w:pStyle w:val="Normal1"/>
        <w:widowControl/>
        <w:numPr>
          <w:ilvl w:val="0"/>
          <w:numId w:val="8"/>
        </w:numPr>
        <w:jc w:val="left"/>
      </w:pPr>
      <w:r>
        <w:rPr>
          <w:b/>
        </w:rPr>
        <w:t>Uncertainty around the level of exposure that will cause harm</w:t>
      </w:r>
      <w:r>
        <w:t>. To account for uncertainty in the health effects data, TRVs incorporate uncertainty factors that provide a buffer between concentrations where health effects are expected to occur and the level identified as health protective. They are applied to account for uncertainty around differences between individuals or,</w:t>
      </w:r>
      <w:r w:rsidR="00BF1719">
        <w:t xml:space="preserve"> for values</w:t>
      </w:r>
      <w:r>
        <w:t xml:space="preserve"> derived from animal studies, differences between species. The magnitude of these uncertainty factors can vary substantially from chemical to chemical. In general, the smaller the uncertainty factor is, the closer the toxicity reference value is to the actual concentration that caused a measurable effect in a study. </w:t>
      </w:r>
      <w:r w:rsidR="00BF1719">
        <w:t>T</w:t>
      </w:r>
      <w:r>
        <w:t>o prevent a scenario where any community is exposed to concentrations that have been demonstrated to cause health effects, the rule does not allow DEQ to accept an ANRAL that would erode more than 10% of this uncertainty.</w:t>
      </w:r>
    </w:p>
    <w:p w14:paraId="3D85CCCA" w14:textId="77777777" w:rsidR="006716C2" w:rsidRDefault="006716C2" w:rsidP="00713CB5">
      <w:pPr>
        <w:pStyle w:val="Normal1"/>
        <w:widowControl/>
        <w:numPr>
          <w:ilvl w:val="0"/>
          <w:numId w:val="8"/>
        </w:numPr>
        <w:jc w:val="left"/>
      </w:pPr>
      <w:r>
        <w:rPr>
          <w:b/>
        </w:rPr>
        <w:t>Severity of health effects.</w:t>
      </w:r>
      <w:r>
        <w:t xml:space="preserve"> The severity and permanence of the health effect underlying the toxicity reference value</w:t>
      </w:r>
      <w:r w:rsidR="00BF1719">
        <w:t xml:space="preserve"> are</w:t>
      </w:r>
      <w:r>
        <w:t xml:space="preserve"> also taken into account. Some TRVs are based on relatively minor reversible effects</w:t>
      </w:r>
      <w:r w:rsidR="00BF1719">
        <w:t>,</w:t>
      </w:r>
      <w:r>
        <w:t xml:space="preserve"> while others are based on severe, irreversible effects. Developmentally toxic chemicals in particular deserve special consideration due to the potential for lasting impacts from short-term exposures during critical windows of development. In recognition of the potential severity of this type of health endpoint, DEQ does not have authority to consider allowing an ANRAL for air toxics with toxicity reference values based on developmental toxicity or otherwise irreversible health outcomes.</w:t>
      </w:r>
    </w:p>
    <w:p w14:paraId="3D85CCCB" w14:textId="77777777" w:rsidR="006716C2" w:rsidRDefault="00BF1719" w:rsidP="00713CB5">
      <w:pPr>
        <w:pStyle w:val="Normal1"/>
        <w:widowControl/>
        <w:numPr>
          <w:ilvl w:val="0"/>
          <w:numId w:val="8"/>
        </w:numPr>
        <w:jc w:val="left"/>
      </w:pPr>
      <w:r>
        <w:rPr>
          <w:b/>
        </w:rPr>
        <w:t xml:space="preserve">Use </w:t>
      </w:r>
      <w:r w:rsidR="006716C2">
        <w:rPr>
          <w:b/>
        </w:rPr>
        <w:t>of toxicity reference values.</w:t>
      </w:r>
      <w:r w:rsidR="006716C2">
        <w:t xml:space="preserve"> The TRVs used in Cleaner Air Oregon were developed by authoritative bodies</w:t>
      </w:r>
      <w:r>
        <w:t>, such as</w:t>
      </w:r>
      <w:r w:rsidR="006716C2">
        <w:t xml:space="preserve"> EPA </w:t>
      </w:r>
      <w:r>
        <w:t xml:space="preserve">and ATSDR, </w:t>
      </w:r>
      <w:r w:rsidR="006716C2">
        <w:t xml:space="preserve">through an extensive peer review processes. DEQ does not have the resources to perform this level of analysis for each of the chemicals covered by the program and must rely on the </w:t>
      </w:r>
      <w:r>
        <w:t>values</w:t>
      </w:r>
      <w:r w:rsidR="006716C2">
        <w:t xml:space="preserve"> already developed by other authoritative bodies.</w:t>
      </w:r>
      <w:r>
        <w:t xml:space="preserve"> DEQ, in consultation with OHA, will</w:t>
      </w:r>
      <w:r w:rsidR="006716C2">
        <w:t xml:space="preserve"> </w:t>
      </w:r>
      <w:r>
        <w:t>evaluate</w:t>
      </w:r>
      <w:r w:rsidR="006716C2">
        <w:t xml:space="preserve"> whether an ANRAL may be appropriate on a case-by-case basis</w:t>
      </w:r>
      <w:r>
        <w:t xml:space="preserve">. The </w:t>
      </w:r>
      <w:r w:rsidR="006716C2">
        <w:t>agencies will not</w:t>
      </w:r>
      <w:r>
        <w:t xml:space="preserve"> consider </w:t>
      </w:r>
      <w:r w:rsidR="006716C2">
        <w:t xml:space="preserve">TRVs </w:t>
      </w:r>
      <w:r>
        <w:t>other than those presented in OAR 340-245-8030 Table 3</w:t>
      </w:r>
      <w:r w:rsidR="006716C2">
        <w:t>.</w:t>
      </w:r>
    </w:p>
    <w:p w14:paraId="3D85CCCC" w14:textId="77777777" w:rsidR="006716C2" w:rsidRDefault="006716C2" w:rsidP="006716C2">
      <w:pPr>
        <w:pStyle w:val="Normal1"/>
        <w:jc w:val="left"/>
      </w:pPr>
    </w:p>
    <w:p w14:paraId="3D85CCCD" w14:textId="77777777" w:rsidR="006716C2" w:rsidRDefault="006716C2" w:rsidP="006716C2">
      <w:pPr>
        <w:pStyle w:val="Normal1"/>
        <w:jc w:val="left"/>
      </w:pPr>
      <w:r>
        <w:t>When the definitive requirements of all four of these criteria are met, DEQ may consider allowing an ANRAL for a specific facility. DEQ identified additional qualitative criteria to inform case-by-case decisions:</w:t>
      </w:r>
    </w:p>
    <w:p w14:paraId="3D85CCCE" w14:textId="77777777" w:rsidR="006716C2" w:rsidRDefault="006716C2" w:rsidP="006716C2">
      <w:pPr>
        <w:pStyle w:val="Normal1"/>
        <w:jc w:val="left"/>
      </w:pPr>
    </w:p>
    <w:p w14:paraId="3D85CCCF" w14:textId="77777777" w:rsidR="006716C2" w:rsidRDefault="006716C2" w:rsidP="00713CB5">
      <w:pPr>
        <w:pStyle w:val="Normal1"/>
        <w:widowControl/>
        <w:numPr>
          <w:ilvl w:val="0"/>
          <w:numId w:val="7"/>
        </w:numPr>
        <w:ind w:left="360"/>
        <w:jc w:val="left"/>
      </w:pPr>
      <w:r>
        <w:rPr>
          <w:b/>
        </w:rPr>
        <w:t>Whether toxicity reference values are being applied in a manner consistent with the way they were designed.</w:t>
      </w:r>
      <w:r>
        <w:t xml:space="preserve"> TRVs were derived from several different authoritative sources that generate values based on different assumptions about routes of exposure and duration of exposure. Some of these assumptions are better suited to the purposes of</w:t>
      </w:r>
      <w:r w:rsidR="00BF1719">
        <w:t xml:space="preserve"> the</w:t>
      </w:r>
      <w:r>
        <w:t xml:space="preserve"> C</w:t>
      </w:r>
      <w:r w:rsidR="00BF1719">
        <w:t>AO program</w:t>
      </w:r>
      <w:r>
        <w:t xml:space="preserve"> than others. For example, in some cases, toxicity values based on intermediate exposure durations (occurring over periods of weeks or months) were used as TRVs for acute exposure (over 24 hours) because no acute values were available.</w:t>
      </w:r>
    </w:p>
    <w:p w14:paraId="3D85CCD0" w14:textId="77777777" w:rsidR="006716C2" w:rsidRDefault="006716C2" w:rsidP="00713CB5">
      <w:pPr>
        <w:pStyle w:val="Normal1"/>
        <w:widowControl/>
        <w:numPr>
          <w:ilvl w:val="0"/>
          <w:numId w:val="7"/>
        </w:numPr>
        <w:ind w:left="360"/>
        <w:jc w:val="left"/>
      </w:pPr>
      <w:r>
        <w:rPr>
          <w:b/>
        </w:rPr>
        <w:t>Potential for exposure through other pathways.</w:t>
      </w:r>
      <w:r>
        <w:t xml:space="preserve"> In some cases, emissions occur through water as well as through air. If a community may be exposed to the chemicals impacting the same health endpoints through water, soil, or food, greater caution is warranted.</w:t>
      </w:r>
    </w:p>
    <w:p w14:paraId="3D85CCD1" w14:textId="77777777" w:rsidR="006716C2" w:rsidRDefault="006716C2" w:rsidP="00713CB5">
      <w:pPr>
        <w:pStyle w:val="Normal1"/>
        <w:widowControl/>
        <w:numPr>
          <w:ilvl w:val="0"/>
          <w:numId w:val="7"/>
        </w:numPr>
        <w:ind w:left="360"/>
        <w:jc w:val="left"/>
      </w:pPr>
      <w:r>
        <w:rPr>
          <w:b/>
        </w:rPr>
        <w:t>Sensitivity of potentially exposed populations.</w:t>
      </w:r>
      <w:r>
        <w:t xml:space="preserve"> Some groups are more susceptible to the effects of air toxics due to biological and social factors. Vulnerable populations may include low income communities, communities of color, pregnant women and developing fetuses, children, the elderly, and people with pre-existing health conditions. Greater caution is warranted when sensitive populations may be exposed.</w:t>
      </w:r>
    </w:p>
    <w:p w14:paraId="3D85CCD2" w14:textId="77777777" w:rsidR="006716C2" w:rsidRDefault="006716C2" w:rsidP="00713CB5">
      <w:pPr>
        <w:pStyle w:val="Normal1"/>
        <w:widowControl/>
        <w:numPr>
          <w:ilvl w:val="0"/>
          <w:numId w:val="7"/>
        </w:numPr>
        <w:ind w:left="360"/>
        <w:jc w:val="left"/>
      </w:pPr>
      <w:r>
        <w:rPr>
          <w:b/>
        </w:rPr>
        <w:t>Whether potential health effects are associated with acute or chronic exposure.</w:t>
      </w:r>
      <w:r>
        <w:t xml:space="preserve"> Noncancer HIs are calculated for both acute endpoints occurring following short-term exposure over the course of a day</w:t>
      </w:r>
      <w:r w:rsidR="00BF1719">
        <w:t>,</w:t>
      </w:r>
      <w:r>
        <w:t xml:space="preserve"> and chronic health endpoints occurring after months or years of continuous exposure. DEQ may be particularly cautious when </w:t>
      </w:r>
      <w:r w:rsidR="00BF1719">
        <w:t>calculated</w:t>
      </w:r>
      <w:r>
        <w:t xml:space="preserve"> concentrations would exceed RALs for acute health effects.</w:t>
      </w:r>
    </w:p>
    <w:p w14:paraId="3D85CCD3" w14:textId="77777777" w:rsidR="006716C2" w:rsidRDefault="006716C2" w:rsidP="006716C2">
      <w:pPr>
        <w:pStyle w:val="Normal1"/>
        <w:jc w:val="left"/>
      </w:pPr>
    </w:p>
    <w:p w14:paraId="3D85CCD4" w14:textId="77777777" w:rsidR="002E351C" w:rsidRDefault="002E351C" w:rsidP="002E351C">
      <w:pPr>
        <w:pStyle w:val="Heading4"/>
      </w:pPr>
    </w:p>
    <w:p w14:paraId="3D85CCD5" w14:textId="77777777" w:rsidR="006716C2" w:rsidRDefault="002E351C" w:rsidP="002E351C">
      <w:pPr>
        <w:pStyle w:val="Heading4"/>
      </w:pPr>
      <w:r>
        <w:t xml:space="preserve">4.2.4.1 </w:t>
      </w:r>
      <w:r w:rsidR="006716C2">
        <w:t>Setting Limits on DEQ Director Discretion Risk Action Levels for Existing Facilities</w:t>
      </w:r>
    </w:p>
    <w:p w14:paraId="3D85CCD6" w14:textId="77777777" w:rsidR="006716C2" w:rsidRDefault="006716C2" w:rsidP="006716C2">
      <w:pPr>
        <w:pStyle w:val="Normal1"/>
        <w:jc w:val="left"/>
      </w:pPr>
    </w:p>
    <w:p w14:paraId="3D85CCD7" w14:textId="77777777" w:rsidR="006716C2" w:rsidRDefault="006716C2" w:rsidP="006716C2">
      <w:pPr>
        <w:pStyle w:val="Normal1"/>
        <w:jc w:val="left"/>
      </w:pPr>
      <w:r>
        <w:t>Director Consultation Risk Action Levels are intended to provide an opportunity for existing facilities with particularly high risk to get on a path towards compliance when there is support from the community. DEQ rules define an upper limit for cancer and noncancer risks above which the Director does not have discretion to allow a permit. These upper limits were designed to balance the need for some discretion in response to community-specific needs</w:t>
      </w:r>
      <w:r w:rsidR="00BF1719">
        <w:t>,</w:t>
      </w:r>
      <w:r>
        <w:t xml:space="preserve"> while still ensuring that health risks are minimized.</w:t>
      </w:r>
    </w:p>
    <w:p w14:paraId="3D85CCD8" w14:textId="77777777" w:rsidR="006716C2" w:rsidRDefault="006716C2" w:rsidP="006716C2">
      <w:pPr>
        <w:pStyle w:val="Normal1"/>
        <w:jc w:val="left"/>
      </w:pPr>
    </w:p>
    <w:p w14:paraId="3D85CCD9" w14:textId="77777777" w:rsidR="006716C2" w:rsidRDefault="006716C2" w:rsidP="006716C2">
      <w:pPr>
        <w:pStyle w:val="Normal1"/>
        <w:jc w:val="left"/>
      </w:pPr>
      <w:r>
        <w:t xml:space="preserve">The permit denial level for </w:t>
      </w:r>
      <w:r w:rsidR="00BF1719">
        <w:t xml:space="preserve">excess </w:t>
      </w:r>
      <w:r>
        <w:t xml:space="preserve">cancer risk for existing facilities is 500 in 1 million. Based on conversations with regulators in other states with risk-based industrial air programs, DEQ anticipates that most, if not all facilities in Oregon will be able to reduce risk below this level. </w:t>
      </w:r>
    </w:p>
    <w:p w14:paraId="3D85CCDA" w14:textId="77777777" w:rsidR="006716C2" w:rsidRDefault="006716C2" w:rsidP="006716C2">
      <w:pPr>
        <w:pStyle w:val="Normal1"/>
        <w:jc w:val="left"/>
      </w:pPr>
    </w:p>
    <w:p w14:paraId="3D85CCDB" w14:textId="77777777" w:rsidR="006716C2" w:rsidRDefault="006716C2" w:rsidP="006716C2">
      <w:pPr>
        <w:pStyle w:val="Normal1"/>
        <w:jc w:val="left"/>
        <w:rPr>
          <w:rFonts w:ascii="Times New Roman" w:eastAsia="Times New Roman" w:hAnsi="Times New Roman" w:cs="Times New Roman"/>
          <w:sz w:val="24"/>
          <w:szCs w:val="24"/>
        </w:rPr>
      </w:pPr>
      <w:r>
        <w:t xml:space="preserve">The permit denial level for noncancer risk from existing facilities is a target organ-specific HI of 30. It is difficult to define a single Hazard Index that is unacceptable for all chemicals due to the substantial variation in the severity of health effects and uncertainty contained in toxicity reference values for each chemical. The hard cap for noncancer risk is designed to allow DEQ’s Director discretion to reach an HI </w:t>
      </w:r>
      <w:r w:rsidR="00BF1719">
        <w:t>as high as</w:t>
      </w:r>
      <w:r>
        <w:t xml:space="preserve"> 30 in cases where it may be appropriate, but there are some chemicals for which reaching this level would fail to protect public health. For some chemicals with severe, acute or irreversible effects, it may be inappropriate to reach this permit denial level for noncancer health endpoints. DEQ’s Director must consider chemical-specific concerns with exceeding noncancer RALs</w:t>
      </w:r>
      <w:r w:rsidR="00BF1719">
        <w:t xml:space="preserve">, and consult with DEQ and OHA </w:t>
      </w:r>
      <w:r>
        <w:t>toxicologists</w:t>
      </w:r>
      <w:r w:rsidR="00BF1719">
        <w:t>,</w:t>
      </w:r>
      <w:r>
        <w:t xml:space="preserve"> prior to allowing any permits above default RALs.</w:t>
      </w:r>
    </w:p>
    <w:p w14:paraId="3D85CCDC" w14:textId="77777777" w:rsidR="006716C2" w:rsidRDefault="006716C2" w:rsidP="006716C2">
      <w:pPr>
        <w:pStyle w:val="Normal1"/>
        <w:widowControl/>
        <w:jc w:val="left"/>
      </w:pPr>
    </w:p>
    <w:p w14:paraId="3D85CCDD" w14:textId="77777777" w:rsidR="006716C2" w:rsidRDefault="006716C2" w:rsidP="006716C2">
      <w:pPr>
        <w:pStyle w:val="Normal1"/>
      </w:pPr>
    </w:p>
    <w:p w14:paraId="3D85CCDE" w14:textId="77777777" w:rsidR="006716C2" w:rsidRDefault="006716C2">
      <w:pPr>
        <w:outlineLvl w:val="9"/>
        <w:rPr>
          <w:rFonts w:ascii="Arial" w:eastAsia="Arial" w:hAnsi="Arial" w:cs="Arial"/>
          <w:color w:val="000000"/>
        </w:rPr>
      </w:pPr>
      <w:r>
        <w:br w:type="page"/>
      </w:r>
    </w:p>
    <w:p w14:paraId="3D85CCDF" w14:textId="77777777" w:rsidR="006716C2" w:rsidRDefault="006716C2" w:rsidP="006716C2">
      <w:pPr>
        <w:pStyle w:val="Heading1"/>
      </w:pPr>
      <w:bookmarkStart w:id="36" w:name="_Toc496183517"/>
      <w:r>
        <w:t>5. REFERENCES</w:t>
      </w:r>
      <w:bookmarkEnd w:id="36"/>
    </w:p>
    <w:p w14:paraId="3D85CCE0" w14:textId="77777777" w:rsidR="006716C2" w:rsidRDefault="006716C2" w:rsidP="006716C2">
      <w:pPr>
        <w:pStyle w:val="Normal1"/>
      </w:pPr>
      <w:r>
        <w:t xml:space="preserve"> </w:t>
      </w:r>
    </w:p>
    <w:p w14:paraId="3D85CCE1" w14:textId="77777777" w:rsidR="006716C2" w:rsidRDefault="006716C2" w:rsidP="008F0F3B">
      <w:pPr>
        <w:pStyle w:val="Normal1"/>
        <w:jc w:val="left"/>
      </w:pPr>
      <w:r>
        <w:t xml:space="preserve">ATSDR 1995. </w:t>
      </w:r>
      <w:r>
        <w:rPr>
          <w:b/>
        </w:rPr>
        <w:t>Toxicological Profile for Polycyclic Aromatic Hydrocarbons (PAHs) (Update)</w:t>
      </w:r>
      <w:r>
        <w:t>. Agency for Toxic Substances and Disease Registry, U.S. Department of Health and Human Services, Atlanta, Georgia, August 1995.</w:t>
      </w:r>
    </w:p>
    <w:p w14:paraId="3D85CCE2" w14:textId="77777777" w:rsidR="006716C2" w:rsidRDefault="006716C2" w:rsidP="008F0F3B">
      <w:pPr>
        <w:pStyle w:val="Normal1"/>
        <w:jc w:val="left"/>
      </w:pPr>
      <w:r>
        <w:t xml:space="preserve"> </w:t>
      </w:r>
    </w:p>
    <w:p w14:paraId="3D85CCE3" w14:textId="77777777" w:rsidR="006716C2" w:rsidRDefault="006716C2" w:rsidP="008F0F3B">
      <w:pPr>
        <w:pStyle w:val="Normal1"/>
        <w:jc w:val="left"/>
      </w:pPr>
      <w:r>
        <w:t xml:space="preserve">CalEPA 2015. </w:t>
      </w:r>
      <w:r>
        <w:rPr>
          <w:b/>
        </w:rPr>
        <w:t>Air Toxics Hot Spots Program, Risk Assessment Guidelines, Guidance Manual for Preparation of Health Risk Assessments</w:t>
      </w:r>
      <w:r>
        <w:t>. Air, Community, and Environmental Research Branch, Office of Environmental Health Hazard Assessment, California Environmental Protection Agency, February 2015.</w:t>
      </w:r>
    </w:p>
    <w:p w14:paraId="3D85CCE4" w14:textId="77777777" w:rsidR="006716C2" w:rsidRDefault="006716C2" w:rsidP="008F0F3B">
      <w:pPr>
        <w:pStyle w:val="Normal1"/>
        <w:jc w:val="left"/>
      </w:pPr>
      <w:r>
        <w:t xml:space="preserve"> </w:t>
      </w:r>
    </w:p>
    <w:p w14:paraId="3D85CCE5" w14:textId="77777777" w:rsidR="006716C2" w:rsidRDefault="006716C2" w:rsidP="008F0F3B">
      <w:pPr>
        <w:pStyle w:val="Normal1"/>
        <w:jc w:val="left"/>
      </w:pPr>
      <w:r>
        <w:t xml:space="preserve">DEQ 1998a. </w:t>
      </w:r>
      <w:r>
        <w:rPr>
          <w:b/>
        </w:rPr>
        <w:t>Guidance for Consideration of Land Use</w:t>
      </w:r>
      <w:r>
        <w:t>. Oregon Department of Environmental Quality, July 1, 1998.</w:t>
      </w:r>
    </w:p>
    <w:p w14:paraId="3D85CCE6" w14:textId="77777777" w:rsidR="006716C2" w:rsidRDefault="006716C2" w:rsidP="008F0F3B">
      <w:pPr>
        <w:pStyle w:val="Normal1"/>
        <w:jc w:val="left"/>
      </w:pPr>
      <w:r>
        <w:t xml:space="preserve"> </w:t>
      </w:r>
    </w:p>
    <w:p w14:paraId="3D85CCE7" w14:textId="77777777" w:rsidR="006716C2" w:rsidRDefault="006716C2" w:rsidP="008F0F3B">
      <w:pPr>
        <w:pStyle w:val="Normal1"/>
        <w:jc w:val="left"/>
      </w:pPr>
      <w:r>
        <w:t xml:space="preserve">DEQ 1998b. </w:t>
      </w:r>
      <w:r>
        <w:rPr>
          <w:b/>
        </w:rPr>
        <w:t>Guidance for Conducting Beneficial Water Use Determinations at Environmental Cleanup Sites</w:t>
      </w:r>
      <w:r>
        <w:t>. Oregon Department of Environmental Quality, July 1, 1998.</w:t>
      </w:r>
    </w:p>
    <w:p w14:paraId="3D85CCE8" w14:textId="77777777" w:rsidR="006716C2" w:rsidRDefault="006716C2" w:rsidP="008F0F3B">
      <w:pPr>
        <w:pStyle w:val="Normal1"/>
        <w:jc w:val="left"/>
      </w:pPr>
      <w:r>
        <w:t xml:space="preserve"> </w:t>
      </w:r>
    </w:p>
    <w:p w14:paraId="3D85CCE9" w14:textId="77777777" w:rsidR="006716C2" w:rsidRDefault="006716C2" w:rsidP="008F0F3B">
      <w:pPr>
        <w:pStyle w:val="Normal1"/>
        <w:jc w:val="left"/>
      </w:pPr>
      <w:r>
        <w:t xml:space="preserve">DEQ 2003. </w:t>
      </w:r>
      <w:r>
        <w:rPr>
          <w:b/>
        </w:rPr>
        <w:t>Risk-Based Decision Making for the Remediation of Contaminated Sites</w:t>
      </w:r>
      <w:r>
        <w:t>. Oregon Department of Environmental Quality, September 22, 2003, updated title  October 2, 2017.</w:t>
      </w:r>
    </w:p>
    <w:p w14:paraId="3D85CCEA" w14:textId="77777777" w:rsidR="006716C2" w:rsidRDefault="006716C2" w:rsidP="008F0F3B">
      <w:pPr>
        <w:pStyle w:val="Normal1"/>
        <w:jc w:val="left"/>
      </w:pPr>
      <w:r>
        <w:t xml:space="preserve"> </w:t>
      </w:r>
    </w:p>
    <w:p w14:paraId="3D85CCEB" w14:textId="77777777" w:rsidR="006716C2" w:rsidRDefault="006716C2" w:rsidP="008F0F3B">
      <w:pPr>
        <w:pStyle w:val="Normal1"/>
        <w:jc w:val="left"/>
      </w:pPr>
      <w:r>
        <w:t xml:space="preserve">DEQ 2010. </w:t>
      </w:r>
      <w:r>
        <w:rPr>
          <w:b/>
        </w:rPr>
        <w:t>Human Health Risk Assessment Guidance</w:t>
      </w:r>
      <w:r>
        <w:t>. Oregon Department of Environmental Quality, October 2010.</w:t>
      </w:r>
    </w:p>
    <w:p w14:paraId="3D85CCEC" w14:textId="77777777" w:rsidR="00DC10AF" w:rsidRDefault="00DC10AF" w:rsidP="008F0F3B">
      <w:pPr>
        <w:pStyle w:val="Normal1"/>
        <w:jc w:val="left"/>
      </w:pPr>
    </w:p>
    <w:p w14:paraId="3D85CCED" w14:textId="77777777" w:rsidR="00DC10AF" w:rsidRDefault="00DC10AF" w:rsidP="008F0F3B">
      <w:pPr>
        <w:pStyle w:val="Normal1"/>
        <w:jc w:val="left"/>
      </w:pPr>
      <w:r>
        <w:t xml:space="preserve">DEQ/OHA 2017. </w:t>
      </w:r>
      <w:r w:rsidRPr="00DC10AF">
        <w:rPr>
          <w:b/>
        </w:rPr>
        <w:t>Proposed Short-Term Guideline Concentrations for Air Toxics</w:t>
      </w:r>
      <w:r>
        <w:t>. Oregon Department of Environmental Quality and Oregon Health Authority. Submitted for public comment on February 28, 2017.</w:t>
      </w:r>
    </w:p>
    <w:p w14:paraId="3D85CCEE" w14:textId="77777777" w:rsidR="006716C2" w:rsidRDefault="006716C2" w:rsidP="008F0F3B">
      <w:pPr>
        <w:pStyle w:val="Normal1"/>
        <w:jc w:val="left"/>
      </w:pPr>
      <w:r>
        <w:t xml:space="preserve"> </w:t>
      </w:r>
    </w:p>
    <w:p w14:paraId="3D85CCEF" w14:textId="77777777" w:rsidR="006716C2" w:rsidRDefault="006716C2" w:rsidP="008F0F3B">
      <w:pPr>
        <w:pStyle w:val="Normal1"/>
        <w:jc w:val="left"/>
      </w:pPr>
      <w:r>
        <w:t xml:space="preserve">EPA 1989. </w:t>
      </w:r>
      <w:r>
        <w:rPr>
          <w:b/>
        </w:rPr>
        <w:t>Risk Assessment Guidance for Superfund: Volume 1 – Human Health Evaluation Manual (Part A)</w:t>
      </w:r>
      <w:r>
        <w:t>. U.S. Environmental Protection Agency, EPA/540/1-89/002, October 1989, Interim Final.</w:t>
      </w:r>
    </w:p>
    <w:p w14:paraId="3D85CCF0" w14:textId="77777777" w:rsidR="006716C2" w:rsidRDefault="006716C2" w:rsidP="008F0F3B">
      <w:pPr>
        <w:pStyle w:val="Normal1"/>
        <w:jc w:val="left"/>
      </w:pPr>
      <w:r>
        <w:t xml:space="preserve"> </w:t>
      </w:r>
    </w:p>
    <w:p w14:paraId="3D85CCF1" w14:textId="77777777" w:rsidR="006716C2" w:rsidRDefault="006716C2" w:rsidP="008F0F3B">
      <w:pPr>
        <w:pStyle w:val="Normal1"/>
        <w:jc w:val="left"/>
        <w:rPr>
          <w:rFonts w:ascii="Times New Roman" w:eastAsia="Times New Roman" w:hAnsi="Times New Roman" w:cs="Times New Roman"/>
          <w:sz w:val="24"/>
          <w:szCs w:val="24"/>
        </w:rPr>
      </w:pPr>
      <w:r>
        <w:t xml:space="preserve">EPA 1992. </w:t>
      </w:r>
      <w:r>
        <w:rPr>
          <w:b/>
        </w:rPr>
        <w:t>Guidelines for Exposure Assessment</w:t>
      </w:r>
      <w:r>
        <w:t>. U.S. Environmental Protection Agency, EPA/600/Z-92/001, May 29, 1992.</w:t>
      </w:r>
      <w:hyperlink r:id="rId34">
        <w:r>
          <w:rPr>
            <w:rFonts w:ascii="Times New Roman" w:eastAsia="Times New Roman" w:hAnsi="Times New Roman" w:cs="Times New Roman"/>
            <w:color w:val="0000FB"/>
            <w:sz w:val="24"/>
            <w:szCs w:val="24"/>
          </w:rPr>
          <w:t xml:space="preserve"> </w:t>
        </w:r>
      </w:hyperlink>
      <w:hyperlink r:id="rId35">
        <w:r>
          <w:rPr>
            <w:rFonts w:ascii="Times New Roman" w:eastAsia="Times New Roman" w:hAnsi="Times New Roman" w:cs="Times New Roman"/>
            <w:color w:val="0000FF"/>
            <w:sz w:val="24"/>
            <w:szCs w:val="24"/>
            <w:u w:val="single"/>
          </w:rPr>
          <w:t>http://cfpub.epa.gov/ncea/cfm/recordisplay.cfm?deid=15263</w:t>
        </w:r>
      </w:hyperlink>
      <w:r>
        <w:rPr>
          <w:rFonts w:ascii="Times New Roman" w:eastAsia="Times New Roman" w:hAnsi="Times New Roman" w:cs="Times New Roman"/>
          <w:sz w:val="24"/>
          <w:szCs w:val="24"/>
        </w:rPr>
        <w:t>.</w:t>
      </w:r>
    </w:p>
    <w:p w14:paraId="3D85CCF2" w14:textId="77777777" w:rsidR="006716C2" w:rsidRDefault="006716C2" w:rsidP="008F0F3B">
      <w:pPr>
        <w:pStyle w:val="Normal1"/>
        <w:jc w:val="left"/>
      </w:pPr>
      <w:r>
        <w:t xml:space="preserve"> </w:t>
      </w:r>
    </w:p>
    <w:p w14:paraId="3D85CCF3" w14:textId="77777777" w:rsidR="006716C2" w:rsidRDefault="006716C2" w:rsidP="008F0F3B">
      <w:pPr>
        <w:pStyle w:val="Normal1"/>
        <w:jc w:val="left"/>
      </w:pPr>
      <w:r>
        <w:t xml:space="preserve">EPA 2000. </w:t>
      </w:r>
      <w:r>
        <w:rPr>
          <w:b/>
        </w:rPr>
        <w:t>Chemical Assessment Summary for Vinyl Chloride</w:t>
      </w:r>
      <w:r>
        <w:t>. U.S. Environmental Protection Agency, Integrated Risk Information System (IRIS). August 7, 2000.</w:t>
      </w:r>
    </w:p>
    <w:p w14:paraId="3D85CCF4" w14:textId="77777777" w:rsidR="006716C2" w:rsidRDefault="006716C2" w:rsidP="008F0F3B">
      <w:pPr>
        <w:pStyle w:val="Normal1"/>
        <w:jc w:val="left"/>
      </w:pPr>
      <w:r>
        <w:t xml:space="preserve"> </w:t>
      </w:r>
    </w:p>
    <w:p w14:paraId="3D85CCF5" w14:textId="77777777" w:rsidR="006716C2" w:rsidRDefault="006716C2" w:rsidP="008F0F3B">
      <w:pPr>
        <w:pStyle w:val="Normal1"/>
        <w:jc w:val="left"/>
      </w:pPr>
      <w:r>
        <w:t xml:space="preserve">EPA 2005a. </w:t>
      </w:r>
      <w:r>
        <w:rPr>
          <w:b/>
        </w:rPr>
        <w:t>Guidelines for Carcinogenic Risk Assessment</w:t>
      </w:r>
      <w:r>
        <w:t>. U.S. Environmental Protection Agency, EPA/630/P-03/001B, March 2005.</w:t>
      </w:r>
    </w:p>
    <w:p w14:paraId="3D85CCF6" w14:textId="77777777" w:rsidR="006716C2" w:rsidRDefault="006716C2" w:rsidP="008F0F3B">
      <w:pPr>
        <w:pStyle w:val="Normal1"/>
        <w:jc w:val="left"/>
      </w:pPr>
      <w:r>
        <w:t xml:space="preserve"> </w:t>
      </w:r>
    </w:p>
    <w:p w14:paraId="3D85CCF7" w14:textId="77777777" w:rsidR="006716C2" w:rsidRDefault="006716C2" w:rsidP="008F0F3B">
      <w:pPr>
        <w:pStyle w:val="Normal1"/>
        <w:jc w:val="left"/>
      </w:pPr>
      <w:r>
        <w:t xml:space="preserve">EPA 2005b. </w:t>
      </w:r>
      <w:r>
        <w:rPr>
          <w:b/>
        </w:rPr>
        <w:t>Supplemental Guidance for Assessing Susceptibility from Early-Life Exposure to Carcinogens</w:t>
      </w:r>
      <w:r>
        <w:t>. U.S. Environmental Protection Agency. EPA 630-R-03-003F. March 2005.</w:t>
      </w:r>
    </w:p>
    <w:p w14:paraId="3D85CCF8" w14:textId="77777777" w:rsidR="006716C2" w:rsidRDefault="006716C2" w:rsidP="008F0F3B">
      <w:pPr>
        <w:pStyle w:val="Normal1"/>
        <w:jc w:val="left"/>
      </w:pPr>
    </w:p>
    <w:p w14:paraId="3D85CCF9" w14:textId="77777777" w:rsidR="006716C2" w:rsidRDefault="006716C2" w:rsidP="008F0F3B">
      <w:pPr>
        <w:pStyle w:val="Normal1"/>
        <w:jc w:val="left"/>
      </w:pPr>
      <w:r>
        <w:t xml:space="preserve">EPA 2006. </w:t>
      </w:r>
      <w:r>
        <w:rPr>
          <w:b/>
        </w:rPr>
        <w:t>Implementation of the Cancer Guidelines and Accompanying Supplemental Guidance – Science Policy Council Cancer Guidelines Implementation Workgroup Communication II: Performing Risk Assessments that Include Carcinogens Described in the Supplemental Guidance as Having a Mutagenic Mode of Action</w:t>
      </w:r>
      <w:r>
        <w:t>. U.S. Environmental Protection Agency, Memorandum dated June 14, 2006.</w:t>
      </w:r>
    </w:p>
    <w:p w14:paraId="3D85CCFA" w14:textId="77777777" w:rsidR="006716C2" w:rsidRDefault="006716C2" w:rsidP="008F0F3B">
      <w:pPr>
        <w:pStyle w:val="Normal1"/>
        <w:jc w:val="left"/>
      </w:pPr>
      <w:r>
        <w:t xml:space="preserve"> </w:t>
      </w:r>
    </w:p>
    <w:p w14:paraId="3D85CCFB" w14:textId="77777777" w:rsidR="006716C2" w:rsidRDefault="006716C2" w:rsidP="008F0F3B">
      <w:pPr>
        <w:pStyle w:val="Normal1"/>
        <w:jc w:val="left"/>
      </w:pPr>
      <w:r>
        <w:t xml:space="preserve">EPA 2011. </w:t>
      </w:r>
      <w:r>
        <w:rPr>
          <w:b/>
        </w:rPr>
        <w:t>Exposure Factors Handbook: 2011 Edition</w:t>
      </w:r>
      <w:r>
        <w:t>. U. S. Environmental Protection Agency, EPA/600/R-09/052F, September 2011.</w:t>
      </w:r>
    </w:p>
    <w:p w14:paraId="3D85CCFC" w14:textId="77777777" w:rsidR="006716C2" w:rsidRDefault="006716C2" w:rsidP="008F0F3B">
      <w:pPr>
        <w:pStyle w:val="Normal1"/>
        <w:jc w:val="left"/>
      </w:pPr>
    </w:p>
    <w:p w14:paraId="3D85CCFD" w14:textId="77777777" w:rsidR="006716C2" w:rsidRDefault="006716C2" w:rsidP="008F0F3B">
      <w:pPr>
        <w:pStyle w:val="Normal1"/>
        <w:jc w:val="left"/>
      </w:pPr>
      <w:r>
        <w:t>EPA 2016</w:t>
      </w:r>
      <w:r w:rsidR="008F0F3B">
        <w:t>a</w:t>
      </w:r>
      <w:r>
        <w:t xml:space="preserve">. </w:t>
      </w:r>
      <w:r>
        <w:rPr>
          <w:b/>
        </w:rPr>
        <w:t>AERSCREEN User’s Guide.</w:t>
      </w:r>
      <w:r>
        <w:t xml:space="preserve"> U.S. Environmental Protection Agency. EPA-454/B-16-004, December 2016</w:t>
      </w:r>
      <w:r w:rsidR="008F0F3B">
        <w:t>.</w:t>
      </w:r>
    </w:p>
    <w:p w14:paraId="3D85CCFE" w14:textId="77777777" w:rsidR="008F0F3B" w:rsidRDefault="008F0F3B" w:rsidP="008F0F3B">
      <w:pPr>
        <w:pStyle w:val="Normal1"/>
        <w:jc w:val="left"/>
      </w:pPr>
    </w:p>
    <w:p w14:paraId="3D85CCFF" w14:textId="77777777" w:rsidR="008F0F3B" w:rsidRDefault="008F0F3B" w:rsidP="008F0F3B">
      <w:pPr>
        <w:pStyle w:val="Normal1"/>
        <w:jc w:val="left"/>
      </w:pPr>
      <w:r>
        <w:t xml:space="preserve">EPA 2016b. </w:t>
      </w:r>
      <w:r w:rsidRPr="008F0F3B">
        <w:rPr>
          <w:b/>
        </w:rPr>
        <w:t xml:space="preserve">User’s Guide for the AMS/EPA Regulatory Model (AERMOD). </w:t>
      </w:r>
      <w:r w:rsidRPr="008F0F3B">
        <w:t xml:space="preserve">U.S. Environmental Protection Agency. </w:t>
      </w:r>
      <w:r>
        <w:t>EPA-454-B-16-011, December 2016.</w:t>
      </w:r>
    </w:p>
    <w:p w14:paraId="3D85CD00" w14:textId="77777777" w:rsidR="006716C2" w:rsidRDefault="006716C2" w:rsidP="008F0F3B">
      <w:pPr>
        <w:pStyle w:val="Normal1"/>
        <w:jc w:val="left"/>
      </w:pPr>
    </w:p>
    <w:p w14:paraId="3D85CD01" w14:textId="77777777" w:rsidR="006716C2" w:rsidRDefault="006716C2" w:rsidP="008F0F3B">
      <w:pPr>
        <w:pStyle w:val="Normal1"/>
        <w:jc w:val="left"/>
      </w:pPr>
      <w:r>
        <w:t xml:space="preserve">EPA 2017a. </w:t>
      </w:r>
      <w:r>
        <w:rPr>
          <w:b/>
        </w:rPr>
        <w:t xml:space="preserve">40 CFR Part 51. Revisions to the Guideline on Air Quality Models: Enhancements to the AERMOD Dispersion Modeling System and Incorporation of Approaches to Address Ozone and Fine Particulate Matter. </w:t>
      </w:r>
      <w:r>
        <w:t>U. S. Environmental Protection Agency, January 17, 2017.</w:t>
      </w:r>
    </w:p>
    <w:p w14:paraId="3D85CD02" w14:textId="77777777" w:rsidR="006716C2" w:rsidRDefault="006716C2" w:rsidP="008F0F3B">
      <w:pPr>
        <w:pStyle w:val="Normal1"/>
        <w:jc w:val="left"/>
      </w:pPr>
      <w:r>
        <w:t xml:space="preserve"> </w:t>
      </w:r>
    </w:p>
    <w:p w14:paraId="3D85CD03" w14:textId="77777777" w:rsidR="006716C2" w:rsidRDefault="006716C2" w:rsidP="008F0F3B">
      <w:pPr>
        <w:pStyle w:val="Normal1"/>
        <w:jc w:val="left"/>
        <w:rPr>
          <w:color w:val="0000FF"/>
          <w:u w:val="single"/>
        </w:rPr>
      </w:pPr>
      <w:r>
        <w:t xml:space="preserve">EPA 2017b. </w:t>
      </w:r>
      <w:r>
        <w:rPr>
          <w:b/>
        </w:rPr>
        <w:t>Regional Screening Levels</w:t>
      </w:r>
      <w:r>
        <w:t>. U.S. Environmental Protection Agency, June 2017.</w:t>
      </w:r>
      <w:hyperlink r:id="rId36" w:anchor="_ga=1.61411557.813403371.1432240980">
        <w:r>
          <w:t xml:space="preserve"> </w:t>
        </w:r>
      </w:hyperlink>
      <w:r w:rsidR="00731A1D">
        <w:fldChar w:fldCharType="begin"/>
      </w:r>
      <w:r>
        <w:instrText xml:space="preserve"> HYPERLINK "https://www.epa.gov/risk/regional-screening-levels-rsls#_ga=1.61411557.813403371.1432240980" </w:instrText>
      </w:r>
      <w:r w:rsidR="00731A1D">
        <w:fldChar w:fldCharType="separate"/>
      </w:r>
      <w:r>
        <w:rPr>
          <w:color w:val="0000FF"/>
          <w:u w:val="single"/>
        </w:rPr>
        <w:t>https://www.epa.gov/risk/regional-screening-levels-rsls#_ga=1.61411557.813403371.1432240980</w:t>
      </w:r>
    </w:p>
    <w:p w14:paraId="3D85CD04" w14:textId="77777777" w:rsidR="00BF1719" w:rsidRDefault="00731A1D" w:rsidP="008F0F3B">
      <w:pPr>
        <w:pStyle w:val="Normal1"/>
        <w:jc w:val="left"/>
      </w:pPr>
      <w:r>
        <w:fldChar w:fldCharType="end"/>
      </w:r>
    </w:p>
    <w:p w14:paraId="3D85CD05" w14:textId="77777777" w:rsidR="006716C2" w:rsidRDefault="006716C2" w:rsidP="008F0F3B">
      <w:pPr>
        <w:pStyle w:val="Normal1"/>
        <w:jc w:val="left"/>
        <w:rPr>
          <w:color w:val="0000FF"/>
          <w:u w:val="single"/>
        </w:rPr>
      </w:pPr>
      <w:r>
        <w:t xml:space="preserve">MPCA 2016. </w:t>
      </w:r>
      <w:r>
        <w:rPr>
          <w:b/>
        </w:rPr>
        <w:t>Air Emissions Risk Analysis (AERA) Guidance</w:t>
      </w:r>
      <w:r>
        <w:t>. Minnesota Pollution Control Agency. Accessed December 2016.</w:t>
      </w:r>
      <w:hyperlink r:id="rId37">
        <w:r>
          <w:t xml:space="preserve"> </w:t>
        </w:r>
      </w:hyperlink>
      <w:r w:rsidR="00731A1D">
        <w:fldChar w:fldCharType="begin"/>
      </w:r>
      <w:r>
        <w:instrText xml:space="preserve"> HYPERLINK "https://www.pca.state.mn.us/air/aera-guide" </w:instrText>
      </w:r>
      <w:r w:rsidR="00731A1D">
        <w:fldChar w:fldCharType="separate"/>
      </w:r>
      <w:r>
        <w:rPr>
          <w:color w:val="0000FF"/>
          <w:u w:val="single"/>
        </w:rPr>
        <w:t>https://www.pca.state.mn.us/air/aera-guide</w:t>
      </w:r>
    </w:p>
    <w:p w14:paraId="3D85CD06" w14:textId="77777777" w:rsidR="006716C2" w:rsidRDefault="00731A1D" w:rsidP="008F0F3B">
      <w:pPr>
        <w:pStyle w:val="Normal1"/>
        <w:jc w:val="left"/>
      </w:pPr>
      <w:r>
        <w:fldChar w:fldCharType="end"/>
      </w:r>
      <w:r w:rsidR="006716C2">
        <w:t xml:space="preserve"> </w:t>
      </w:r>
    </w:p>
    <w:p w14:paraId="3D85CD07" w14:textId="77777777" w:rsidR="006716C2" w:rsidRDefault="006716C2" w:rsidP="008F0F3B">
      <w:pPr>
        <w:pStyle w:val="Normal1"/>
        <w:jc w:val="left"/>
      </w:pPr>
      <w:r>
        <w:t xml:space="preserve">SCAQMD 2016a. </w:t>
      </w:r>
      <w:r>
        <w:rPr>
          <w:b/>
        </w:rPr>
        <w:t>Permit Application Package “M”. For use in conjunction with the Risk Assessment Procedures for Rules 1401, 1401.1, and 212, Version 8.0</w:t>
      </w:r>
      <w:r>
        <w:t>. South Coast Air Quality Management District. Revised March 2016.</w:t>
      </w:r>
    </w:p>
    <w:p w14:paraId="3D85CD08" w14:textId="77777777" w:rsidR="006716C2" w:rsidRDefault="006716C2" w:rsidP="008F0F3B">
      <w:pPr>
        <w:pStyle w:val="Normal1"/>
        <w:jc w:val="left"/>
      </w:pPr>
      <w:r>
        <w:t xml:space="preserve"> </w:t>
      </w:r>
    </w:p>
    <w:p w14:paraId="3D85CD09" w14:textId="77777777" w:rsidR="006716C2" w:rsidRDefault="006716C2" w:rsidP="008F0F3B">
      <w:pPr>
        <w:pStyle w:val="Normal1"/>
        <w:jc w:val="left"/>
      </w:pPr>
      <w:r>
        <w:t xml:space="preserve">SCAQMD 2016b. </w:t>
      </w:r>
      <w:r>
        <w:rPr>
          <w:b/>
        </w:rPr>
        <w:t>Rule 1402. Control of Toxic Air Contaminants from Existing Sources</w:t>
      </w:r>
      <w:r>
        <w:t>. South Coast Air Quality Management District. Adopted April 8, 1994. Last amendment October 7, 2016.</w:t>
      </w:r>
    </w:p>
    <w:p w14:paraId="3D85CD0A" w14:textId="77777777" w:rsidR="006716C2" w:rsidRDefault="006716C2" w:rsidP="008F0F3B">
      <w:pPr>
        <w:pStyle w:val="Normal1"/>
        <w:jc w:val="left"/>
      </w:pPr>
      <w:r>
        <w:t xml:space="preserve"> </w:t>
      </w:r>
    </w:p>
    <w:p w14:paraId="3D85CD0B" w14:textId="77777777" w:rsidR="006716C2" w:rsidRDefault="006716C2" w:rsidP="008F0F3B">
      <w:pPr>
        <w:pStyle w:val="Normal1"/>
        <w:jc w:val="left"/>
      </w:pPr>
      <w:r>
        <w:t xml:space="preserve">Van den Berg 2006. </w:t>
      </w:r>
      <w:r>
        <w:rPr>
          <w:b/>
        </w:rPr>
        <w:t>The 2005 World Health Organization Re-evaluation of Human and Mammalian Toxic Equivalency Factors for Dioxins and Dioxin-like Compounds</w:t>
      </w:r>
      <w:r>
        <w:t>. Martin van den Berg, et al. Published by Oxford University Press on behalf of the Society of Toxicology, ToxSci Advance Access, July 7, 2006.</w:t>
      </w:r>
    </w:p>
    <w:p w14:paraId="3D85CD0C" w14:textId="77777777" w:rsidR="00487636" w:rsidRDefault="00412C30" w:rsidP="008F0F3B">
      <w:pPr>
        <w:outlineLvl w:val="9"/>
        <w:sectPr w:rsidR="00487636" w:rsidSect="00892F77">
          <w:headerReference w:type="default" r:id="rId38"/>
          <w:footerReference w:type="default" r:id="rId39"/>
          <w:pgSz w:w="12240" w:h="15840"/>
          <w:pgMar w:top="1080" w:right="1080" w:bottom="1080" w:left="1080" w:header="576" w:footer="576" w:gutter="0"/>
          <w:pgNumType w:start="1"/>
          <w:cols w:space="360"/>
          <w:docGrid w:linePitch="299"/>
        </w:sectPr>
      </w:pPr>
      <w:r>
        <w:br w:type="page"/>
      </w:r>
    </w:p>
    <w:p w14:paraId="3D85CD0D" w14:textId="77777777" w:rsidR="00487636" w:rsidRDefault="00D05E23">
      <w:pPr>
        <w:outlineLvl w:val="9"/>
        <w:rPr>
          <w:rFonts w:ascii="Arial" w:eastAsia="Arial" w:hAnsi="Arial" w:cs="Arial"/>
          <w:color w:val="000000"/>
        </w:rPr>
      </w:pPr>
      <w:r>
        <w:rPr>
          <w:rFonts w:ascii="Arial" w:eastAsia="Arial" w:hAnsi="Arial" w:cs="Arial"/>
          <w:noProof/>
          <w:color w:val="000000"/>
        </w:rPr>
        <mc:AlternateContent>
          <mc:Choice Requires="wps">
            <w:drawing>
              <wp:anchor distT="0" distB="0" distL="114300" distR="114300" simplePos="0" relativeHeight="251667968" behindDoc="0" locked="0" layoutInCell="1" allowOverlap="1" wp14:anchorId="3D85D533" wp14:editId="3D85D534">
                <wp:simplePos x="0" y="0"/>
                <wp:positionH relativeFrom="column">
                  <wp:posOffset>19050</wp:posOffset>
                </wp:positionH>
                <wp:positionV relativeFrom="paragraph">
                  <wp:posOffset>45720</wp:posOffset>
                </wp:positionV>
                <wp:extent cx="8623300" cy="2919730"/>
                <wp:effectExtent l="9525" t="7620" r="6350" b="6350"/>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0" cy="2919730"/>
                        </a:xfrm>
                        <a:prstGeom prst="rect">
                          <a:avLst/>
                        </a:prstGeom>
                        <a:solidFill>
                          <a:srgbClr val="FFFFFF"/>
                        </a:solidFill>
                        <a:ln w="9525">
                          <a:solidFill>
                            <a:srgbClr val="000000"/>
                          </a:solidFill>
                          <a:miter lim="800000"/>
                          <a:headEnd/>
                          <a:tailEnd/>
                        </a:ln>
                      </wps:spPr>
                      <wps:txbx>
                        <w:txbxContent>
                          <w:p w14:paraId="3D85D57D" w14:textId="77777777" w:rsidR="003C6ED1" w:rsidRPr="0010235F" w:rsidRDefault="003C6ED1" w:rsidP="00487636">
                            <w:pPr>
                              <w:pStyle w:val="NoSpacing"/>
                              <w:jc w:val="center"/>
                              <w:rPr>
                                <w:rFonts w:ascii="Arial" w:hAnsi="Arial" w:cs="Arial"/>
                                <w:b/>
                                <w:sz w:val="28"/>
                                <w:szCs w:val="28"/>
                              </w:rPr>
                            </w:pPr>
                            <w:r>
                              <w:rPr>
                                <w:rFonts w:ascii="Arial" w:hAnsi="Arial" w:cs="Arial"/>
                                <w:b/>
                                <w:sz w:val="28"/>
                                <w:szCs w:val="28"/>
                              </w:rPr>
                              <w:t xml:space="preserve">Screening </w:t>
                            </w:r>
                            <w:r w:rsidRPr="0010235F">
                              <w:rPr>
                                <w:rFonts w:ascii="Arial" w:hAnsi="Arial" w:cs="Arial"/>
                                <w:b/>
                                <w:sz w:val="28"/>
                                <w:szCs w:val="28"/>
                              </w:rPr>
                              <w:t>Ex</w:t>
                            </w:r>
                            <w:r>
                              <w:rPr>
                                <w:rFonts w:ascii="Arial" w:hAnsi="Arial" w:cs="Arial"/>
                                <w:b/>
                                <w:sz w:val="28"/>
                                <w:szCs w:val="28"/>
                              </w:rPr>
                              <w:t>amples</w:t>
                            </w:r>
                          </w:p>
                          <w:p w14:paraId="3D85D57E" w14:textId="77777777" w:rsidR="003C6ED1" w:rsidRPr="0010235F" w:rsidRDefault="003C6ED1" w:rsidP="00487636">
                            <w:pPr>
                              <w:pStyle w:val="NoSpacing"/>
                              <w:rPr>
                                <w:rFonts w:ascii="Arial" w:hAnsi="Arial" w:cs="Arial"/>
                              </w:rPr>
                            </w:pPr>
                          </w:p>
                          <w:p w14:paraId="3D85D57F" w14:textId="77777777" w:rsidR="003C6ED1" w:rsidRPr="0010235F" w:rsidRDefault="003C6ED1" w:rsidP="00487636">
                            <w:pPr>
                              <w:pStyle w:val="NoSpacing"/>
                              <w:rPr>
                                <w:rFonts w:ascii="Arial" w:hAnsi="Arial" w:cs="Arial"/>
                              </w:rPr>
                            </w:pPr>
                            <w:r w:rsidRPr="0010235F">
                              <w:rPr>
                                <w:rFonts w:ascii="Arial" w:hAnsi="Arial" w:cs="Arial"/>
                              </w:rPr>
                              <w:t xml:space="preserve">These </w:t>
                            </w:r>
                            <w:r>
                              <w:rPr>
                                <w:rFonts w:ascii="Arial" w:hAnsi="Arial" w:cs="Arial"/>
                              </w:rPr>
                              <w:t>e</w:t>
                            </w:r>
                            <w:r w:rsidRPr="0010235F">
                              <w:rPr>
                                <w:rFonts w:ascii="Arial" w:hAnsi="Arial" w:cs="Arial"/>
                              </w:rPr>
                              <w:t>x</w:t>
                            </w:r>
                            <w:r>
                              <w:rPr>
                                <w:rFonts w:ascii="Arial" w:hAnsi="Arial" w:cs="Arial"/>
                              </w:rPr>
                              <w:t>amples</w:t>
                            </w:r>
                            <w:r w:rsidRPr="0010235F">
                              <w:rPr>
                                <w:rFonts w:ascii="Arial" w:hAnsi="Arial" w:cs="Arial"/>
                              </w:rPr>
                              <w:t xml:space="preserve"> show how to summarize an air toxics screening evaluation. Ex</w:t>
                            </w:r>
                            <w:r>
                              <w:rPr>
                                <w:rFonts w:ascii="Arial" w:hAnsi="Arial" w:cs="Arial"/>
                              </w:rPr>
                              <w:t>ample</w:t>
                            </w:r>
                            <w:r w:rsidRPr="0010235F">
                              <w:rPr>
                                <w:rFonts w:ascii="Arial" w:hAnsi="Arial" w:cs="Arial"/>
                              </w:rPr>
                              <w:t xml:space="preserve"> 1</w:t>
                            </w:r>
                            <w:r>
                              <w:rPr>
                                <w:rFonts w:ascii="Arial" w:hAnsi="Arial" w:cs="Arial"/>
                              </w:rPr>
                              <w:t>-1</w:t>
                            </w:r>
                            <w:r w:rsidRPr="0010235F">
                              <w:rPr>
                                <w:rFonts w:ascii="Arial" w:hAnsi="Arial" w:cs="Arial"/>
                              </w:rPr>
                              <w:t xml:space="preserve"> shows the characteristics of two emission units at an existing facility, the nearest distances to various exposure locations, and the corresponding dispersion factors obtained from </w:t>
                            </w:r>
                            <w:r>
                              <w:rPr>
                                <w:rFonts w:ascii="Arial" w:hAnsi="Arial" w:cs="Arial"/>
                              </w:rPr>
                              <w:t>OAR 340-245-8060 Table 6</w:t>
                            </w:r>
                            <w:r w:rsidRPr="0010235F">
                              <w:rPr>
                                <w:rFonts w:ascii="Arial" w:hAnsi="Arial" w:cs="Arial"/>
                              </w:rPr>
                              <w:t>. Ex</w:t>
                            </w:r>
                            <w:r>
                              <w:rPr>
                                <w:rFonts w:ascii="Arial" w:hAnsi="Arial" w:cs="Arial"/>
                              </w:rPr>
                              <w:t>ample</w:t>
                            </w:r>
                            <w:r w:rsidRPr="0010235F">
                              <w:rPr>
                                <w:rFonts w:ascii="Arial" w:hAnsi="Arial" w:cs="Arial"/>
                              </w:rPr>
                              <w:t xml:space="preserve"> 1</w:t>
                            </w:r>
                            <w:r>
                              <w:rPr>
                                <w:rFonts w:ascii="Arial" w:hAnsi="Arial" w:cs="Arial"/>
                              </w:rPr>
                              <w:t>-2</w:t>
                            </w:r>
                            <w:r w:rsidRPr="0010235F">
                              <w:rPr>
                                <w:rFonts w:ascii="Arial" w:hAnsi="Arial" w:cs="Arial"/>
                              </w:rPr>
                              <w:t xml:space="preserve"> shows the calculation of air concentrations using the dispersion factors and site-specific emission rates for each chemical. Ex</w:t>
                            </w:r>
                            <w:r>
                              <w:rPr>
                                <w:rFonts w:ascii="Arial" w:hAnsi="Arial" w:cs="Arial"/>
                              </w:rPr>
                              <w:t>ample</w:t>
                            </w:r>
                            <w:r w:rsidRPr="0010235F">
                              <w:rPr>
                                <w:rFonts w:ascii="Arial" w:hAnsi="Arial" w:cs="Arial"/>
                              </w:rPr>
                              <w:t xml:space="preserve"> 1</w:t>
                            </w:r>
                            <w:r>
                              <w:rPr>
                                <w:rFonts w:ascii="Arial" w:hAnsi="Arial" w:cs="Arial"/>
                              </w:rPr>
                              <w:t>-3</w:t>
                            </w:r>
                            <w:r w:rsidRPr="0010235F">
                              <w:rPr>
                                <w:rFonts w:ascii="Arial" w:hAnsi="Arial" w:cs="Arial"/>
                              </w:rPr>
                              <w:t xml:space="preserve"> shows the comparison of calculated air concentrations with Risk-Based Concentrations from </w:t>
                            </w:r>
                            <w:r>
                              <w:rPr>
                                <w:rFonts w:ascii="Arial" w:hAnsi="Arial" w:cs="Arial"/>
                              </w:rPr>
                              <w:t xml:space="preserve">OAR 340-245-8050 </w:t>
                            </w:r>
                            <w:r w:rsidRPr="0010235F">
                              <w:rPr>
                                <w:rFonts w:ascii="Arial" w:hAnsi="Arial" w:cs="Arial"/>
                              </w:rPr>
                              <w:t xml:space="preserve">Table </w:t>
                            </w:r>
                            <w:r>
                              <w:rPr>
                                <w:rFonts w:ascii="Arial" w:hAnsi="Arial" w:cs="Arial"/>
                              </w:rPr>
                              <w:t>5</w:t>
                            </w:r>
                            <w:r w:rsidRPr="0010235F">
                              <w:rPr>
                                <w:rFonts w:ascii="Arial" w:hAnsi="Arial" w:cs="Arial"/>
                              </w:rPr>
                              <w:t xml:space="preserve">, and the resulting risk calculations. Because the risks exceed Risk Action Levels for an existing facility, an additional evaluation was performed. </w:t>
                            </w:r>
                          </w:p>
                          <w:p w14:paraId="3D85D580" w14:textId="77777777" w:rsidR="003C6ED1" w:rsidRPr="0010235F" w:rsidRDefault="003C6ED1" w:rsidP="00487636">
                            <w:pPr>
                              <w:pStyle w:val="NoSpacing"/>
                              <w:rPr>
                                <w:rFonts w:ascii="Arial" w:hAnsi="Arial" w:cs="Arial"/>
                              </w:rPr>
                            </w:pPr>
                          </w:p>
                          <w:p w14:paraId="3D85D581" w14:textId="77777777" w:rsidR="003C6ED1" w:rsidRPr="0010235F" w:rsidRDefault="003C6ED1" w:rsidP="00487636">
                            <w:pPr>
                              <w:pStyle w:val="NoSpacing"/>
                              <w:rPr>
                                <w:rFonts w:ascii="Arial" w:hAnsi="Arial" w:cs="Arial"/>
                              </w:rPr>
                            </w:pPr>
                            <w:r w:rsidRPr="0010235F">
                              <w:rPr>
                                <w:rFonts w:ascii="Arial" w:hAnsi="Arial" w:cs="Arial"/>
                              </w:rPr>
                              <w:t>Ex</w:t>
                            </w:r>
                            <w:r>
                              <w:rPr>
                                <w:rFonts w:ascii="Arial" w:hAnsi="Arial" w:cs="Arial"/>
                              </w:rPr>
                              <w:t>ample</w:t>
                            </w:r>
                            <w:r w:rsidRPr="0010235F">
                              <w:rPr>
                                <w:rFonts w:ascii="Arial" w:hAnsi="Arial" w:cs="Arial"/>
                              </w:rPr>
                              <w:t xml:space="preserve"> 2 shows air concentrations obtained from AERSCREEN air dispersion modeling, the comparison with RBCs, and the resulting risk calculations. Using more site-specific modeling resulted in lower air concentrations, but the risks are still above RALs. </w:t>
                            </w:r>
                          </w:p>
                          <w:p w14:paraId="3D85D582" w14:textId="77777777" w:rsidR="003C6ED1" w:rsidRPr="0010235F" w:rsidRDefault="003C6ED1" w:rsidP="00487636">
                            <w:pPr>
                              <w:pStyle w:val="NoSpacing"/>
                              <w:rPr>
                                <w:rFonts w:ascii="Arial" w:hAnsi="Arial" w:cs="Arial"/>
                              </w:rPr>
                            </w:pPr>
                          </w:p>
                          <w:p w14:paraId="3D85D583" w14:textId="77777777" w:rsidR="003C6ED1" w:rsidRDefault="003C6ED1" w:rsidP="00487636">
                            <w:pPr>
                              <w:rPr>
                                <w:rFonts w:ascii="Arial" w:hAnsi="Arial" w:cs="Arial"/>
                              </w:rPr>
                            </w:pPr>
                            <w:r w:rsidRPr="0010235F">
                              <w:rPr>
                                <w:rFonts w:ascii="Arial" w:hAnsi="Arial" w:cs="Arial"/>
                              </w:rPr>
                              <w:t>Ex</w:t>
                            </w:r>
                            <w:r>
                              <w:rPr>
                                <w:rFonts w:ascii="Arial" w:hAnsi="Arial" w:cs="Arial"/>
                              </w:rPr>
                              <w:t>ample</w:t>
                            </w:r>
                            <w:r w:rsidRPr="0010235F">
                              <w:rPr>
                                <w:rFonts w:ascii="Arial" w:hAnsi="Arial" w:cs="Arial"/>
                              </w:rPr>
                              <w:t xml:space="preserve"> 3 shows air concentrations obtained from more sophisticated AERMOD air dispersion modeling, the comparison with RBCs, and the resulting risk calculations. Using the more realistic modeling resulted in lower air concentrations such that risks are not above RALs.</w:t>
                            </w:r>
                          </w:p>
                          <w:p w14:paraId="3D85D584" w14:textId="77777777" w:rsidR="003C6ED1" w:rsidRDefault="003C6ED1" w:rsidP="00487636">
                            <w:pPr>
                              <w:rPr>
                                <w:rFonts w:ascii="Arial" w:hAnsi="Arial" w:cs="Arial"/>
                              </w:rPr>
                            </w:pPr>
                          </w:p>
                          <w:p w14:paraId="3D85D585" w14:textId="77777777" w:rsidR="003C6ED1" w:rsidRPr="0010235F" w:rsidRDefault="003C6ED1" w:rsidP="00487636">
                            <w:pPr>
                              <w:rPr>
                                <w:rFonts w:ascii="Arial" w:hAnsi="Arial" w:cs="Arial"/>
                              </w:rPr>
                            </w:pPr>
                            <w:r>
                              <w:rPr>
                                <w:rFonts w:ascii="Arial" w:hAnsi="Arial" w:cs="Arial"/>
                              </w:rPr>
                              <w:t xml:space="preserve">Example 4 is a summary of calculated risk in the example at each risk assessment level.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5D533" id="Text Box 60" o:spid="_x0000_s1040" type="#_x0000_t202" style="position:absolute;margin-left:1.5pt;margin-top:3.6pt;width:679pt;height:22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">
                <v:textbox>
                  <w:txbxContent>
                    <w:p w14:paraId="3D85D57D" w14:textId="77777777" w:rsidR="003C6ED1" w:rsidRPr="0010235F" w:rsidRDefault="003C6ED1" w:rsidP="00487636">
                      <w:pPr>
                        <w:pStyle w:val="NoSpacing"/>
                        <w:jc w:val="center"/>
                        <w:rPr>
                          <w:rFonts w:ascii="Arial" w:hAnsi="Arial" w:cs="Arial"/>
                          <w:b/>
                          <w:sz w:val="28"/>
                          <w:szCs w:val="28"/>
                        </w:rPr>
                      </w:pPr>
                      <w:r>
                        <w:rPr>
                          <w:rFonts w:ascii="Arial" w:hAnsi="Arial" w:cs="Arial"/>
                          <w:b/>
                          <w:sz w:val="28"/>
                          <w:szCs w:val="28"/>
                        </w:rPr>
                        <w:t xml:space="preserve">Screening </w:t>
                      </w:r>
                      <w:r w:rsidRPr="0010235F">
                        <w:rPr>
                          <w:rFonts w:ascii="Arial" w:hAnsi="Arial" w:cs="Arial"/>
                          <w:b/>
                          <w:sz w:val="28"/>
                          <w:szCs w:val="28"/>
                        </w:rPr>
                        <w:t>Ex</w:t>
                      </w:r>
                      <w:r>
                        <w:rPr>
                          <w:rFonts w:ascii="Arial" w:hAnsi="Arial" w:cs="Arial"/>
                          <w:b/>
                          <w:sz w:val="28"/>
                          <w:szCs w:val="28"/>
                        </w:rPr>
                        <w:t>amples</w:t>
                      </w:r>
                    </w:p>
                    <w:p w14:paraId="3D85D57E" w14:textId="77777777" w:rsidR="003C6ED1" w:rsidRPr="0010235F" w:rsidRDefault="003C6ED1" w:rsidP="00487636">
                      <w:pPr>
                        <w:pStyle w:val="NoSpacing"/>
                        <w:rPr>
                          <w:rFonts w:ascii="Arial" w:hAnsi="Arial" w:cs="Arial"/>
                        </w:rPr>
                      </w:pPr>
                    </w:p>
                    <w:p w14:paraId="3D85D57F" w14:textId="77777777" w:rsidR="003C6ED1" w:rsidRPr="0010235F" w:rsidRDefault="003C6ED1" w:rsidP="00487636">
                      <w:pPr>
                        <w:pStyle w:val="NoSpacing"/>
                        <w:rPr>
                          <w:rFonts w:ascii="Arial" w:hAnsi="Arial" w:cs="Arial"/>
                        </w:rPr>
                      </w:pPr>
                      <w:r w:rsidRPr="0010235F">
                        <w:rPr>
                          <w:rFonts w:ascii="Arial" w:hAnsi="Arial" w:cs="Arial"/>
                        </w:rPr>
                        <w:t xml:space="preserve">These </w:t>
                      </w:r>
                      <w:r>
                        <w:rPr>
                          <w:rFonts w:ascii="Arial" w:hAnsi="Arial" w:cs="Arial"/>
                        </w:rPr>
                        <w:t>e</w:t>
                      </w:r>
                      <w:r w:rsidRPr="0010235F">
                        <w:rPr>
                          <w:rFonts w:ascii="Arial" w:hAnsi="Arial" w:cs="Arial"/>
                        </w:rPr>
                        <w:t>x</w:t>
                      </w:r>
                      <w:r>
                        <w:rPr>
                          <w:rFonts w:ascii="Arial" w:hAnsi="Arial" w:cs="Arial"/>
                        </w:rPr>
                        <w:t>amples</w:t>
                      </w:r>
                      <w:r w:rsidRPr="0010235F">
                        <w:rPr>
                          <w:rFonts w:ascii="Arial" w:hAnsi="Arial" w:cs="Arial"/>
                        </w:rPr>
                        <w:t xml:space="preserve"> show how to summarize an air toxics screening evaluation. Ex</w:t>
                      </w:r>
                      <w:r>
                        <w:rPr>
                          <w:rFonts w:ascii="Arial" w:hAnsi="Arial" w:cs="Arial"/>
                        </w:rPr>
                        <w:t>ample</w:t>
                      </w:r>
                      <w:r w:rsidRPr="0010235F">
                        <w:rPr>
                          <w:rFonts w:ascii="Arial" w:hAnsi="Arial" w:cs="Arial"/>
                        </w:rPr>
                        <w:t xml:space="preserve"> 1</w:t>
                      </w:r>
                      <w:r>
                        <w:rPr>
                          <w:rFonts w:ascii="Arial" w:hAnsi="Arial" w:cs="Arial"/>
                        </w:rPr>
                        <w:t>-1</w:t>
                      </w:r>
                      <w:r w:rsidRPr="0010235F">
                        <w:rPr>
                          <w:rFonts w:ascii="Arial" w:hAnsi="Arial" w:cs="Arial"/>
                        </w:rPr>
                        <w:t xml:space="preserve"> shows the characteristics of two emission units at an existing facility, the nearest distances to various exposure locations, and the corresponding dispersion factors obtained from </w:t>
                      </w:r>
                      <w:r>
                        <w:rPr>
                          <w:rFonts w:ascii="Arial" w:hAnsi="Arial" w:cs="Arial"/>
                        </w:rPr>
                        <w:t>OAR 340-245-8060 Table 6</w:t>
                      </w:r>
                      <w:r w:rsidRPr="0010235F">
                        <w:rPr>
                          <w:rFonts w:ascii="Arial" w:hAnsi="Arial" w:cs="Arial"/>
                        </w:rPr>
                        <w:t>. Ex</w:t>
                      </w:r>
                      <w:r>
                        <w:rPr>
                          <w:rFonts w:ascii="Arial" w:hAnsi="Arial" w:cs="Arial"/>
                        </w:rPr>
                        <w:t>ample</w:t>
                      </w:r>
                      <w:r w:rsidRPr="0010235F">
                        <w:rPr>
                          <w:rFonts w:ascii="Arial" w:hAnsi="Arial" w:cs="Arial"/>
                        </w:rPr>
                        <w:t xml:space="preserve"> 1</w:t>
                      </w:r>
                      <w:r>
                        <w:rPr>
                          <w:rFonts w:ascii="Arial" w:hAnsi="Arial" w:cs="Arial"/>
                        </w:rPr>
                        <w:t>-2</w:t>
                      </w:r>
                      <w:r w:rsidRPr="0010235F">
                        <w:rPr>
                          <w:rFonts w:ascii="Arial" w:hAnsi="Arial" w:cs="Arial"/>
                        </w:rPr>
                        <w:t xml:space="preserve"> shows the calculation of air concentrations using the dispersion factors and site-specific emission rates for each chemical. Ex</w:t>
                      </w:r>
                      <w:r>
                        <w:rPr>
                          <w:rFonts w:ascii="Arial" w:hAnsi="Arial" w:cs="Arial"/>
                        </w:rPr>
                        <w:t>ample</w:t>
                      </w:r>
                      <w:r w:rsidRPr="0010235F">
                        <w:rPr>
                          <w:rFonts w:ascii="Arial" w:hAnsi="Arial" w:cs="Arial"/>
                        </w:rPr>
                        <w:t xml:space="preserve"> 1</w:t>
                      </w:r>
                      <w:r>
                        <w:rPr>
                          <w:rFonts w:ascii="Arial" w:hAnsi="Arial" w:cs="Arial"/>
                        </w:rPr>
                        <w:t>-3</w:t>
                      </w:r>
                      <w:r w:rsidRPr="0010235F">
                        <w:rPr>
                          <w:rFonts w:ascii="Arial" w:hAnsi="Arial" w:cs="Arial"/>
                        </w:rPr>
                        <w:t xml:space="preserve"> shows the comparison of calculated air concentrations with Risk-Based Concentrations from </w:t>
                      </w:r>
                      <w:r>
                        <w:rPr>
                          <w:rFonts w:ascii="Arial" w:hAnsi="Arial" w:cs="Arial"/>
                        </w:rPr>
                        <w:t xml:space="preserve">OAR 340-245-8050 </w:t>
                      </w:r>
                      <w:r w:rsidRPr="0010235F">
                        <w:rPr>
                          <w:rFonts w:ascii="Arial" w:hAnsi="Arial" w:cs="Arial"/>
                        </w:rPr>
                        <w:t xml:space="preserve">Table </w:t>
                      </w:r>
                      <w:r>
                        <w:rPr>
                          <w:rFonts w:ascii="Arial" w:hAnsi="Arial" w:cs="Arial"/>
                        </w:rPr>
                        <w:t>5</w:t>
                      </w:r>
                      <w:r w:rsidRPr="0010235F">
                        <w:rPr>
                          <w:rFonts w:ascii="Arial" w:hAnsi="Arial" w:cs="Arial"/>
                        </w:rPr>
                        <w:t xml:space="preserve">, and the resulting risk calculations. Because the risks exceed Risk Action Levels for an existing facility, an additional evaluation was performed. </w:t>
                      </w:r>
                    </w:p>
                    <w:p w14:paraId="3D85D580" w14:textId="77777777" w:rsidR="003C6ED1" w:rsidRPr="0010235F" w:rsidRDefault="003C6ED1" w:rsidP="00487636">
                      <w:pPr>
                        <w:pStyle w:val="NoSpacing"/>
                        <w:rPr>
                          <w:rFonts w:ascii="Arial" w:hAnsi="Arial" w:cs="Arial"/>
                        </w:rPr>
                      </w:pPr>
                    </w:p>
                    <w:p w14:paraId="3D85D581" w14:textId="77777777" w:rsidR="003C6ED1" w:rsidRPr="0010235F" w:rsidRDefault="003C6ED1" w:rsidP="00487636">
                      <w:pPr>
                        <w:pStyle w:val="NoSpacing"/>
                        <w:rPr>
                          <w:rFonts w:ascii="Arial" w:hAnsi="Arial" w:cs="Arial"/>
                        </w:rPr>
                      </w:pPr>
                      <w:r w:rsidRPr="0010235F">
                        <w:rPr>
                          <w:rFonts w:ascii="Arial" w:hAnsi="Arial" w:cs="Arial"/>
                        </w:rPr>
                        <w:t>Ex</w:t>
                      </w:r>
                      <w:r>
                        <w:rPr>
                          <w:rFonts w:ascii="Arial" w:hAnsi="Arial" w:cs="Arial"/>
                        </w:rPr>
                        <w:t>ample</w:t>
                      </w:r>
                      <w:r w:rsidRPr="0010235F">
                        <w:rPr>
                          <w:rFonts w:ascii="Arial" w:hAnsi="Arial" w:cs="Arial"/>
                        </w:rPr>
                        <w:t xml:space="preserve"> 2 shows air concentrations obtained from AERSCREEN air dispersion modeling, the comparison with RBCs, and the resulting risk calculations. Using more site-specific modeling resulted in lower air concentrations, but the risks are still above RALs. </w:t>
                      </w:r>
                    </w:p>
                    <w:p w14:paraId="3D85D582" w14:textId="77777777" w:rsidR="003C6ED1" w:rsidRPr="0010235F" w:rsidRDefault="003C6ED1" w:rsidP="00487636">
                      <w:pPr>
                        <w:pStyle w:val="NoSpacing"/>
                        <w:rPr>
                          <w:rFonts w:ascii="Arial" w:hAnsi="Arial" w:cs="Arial"/>
                        </w:rPr>
                      </w:pPr>
                    </w:p>
                    <w:p w14:paraId="3D85D583" w14:textId="77777777" w:rsidR="003C6ED1" w:rsidRDefault="003C6ED1" w:rsidP="00487636">
                      <w:pPr>
                        <w:rPr>
                          <w:rFonts w:ascii="Arial" w:hAnsi="Arial" w:cs="Arial"/>
                        </w:rPr>
                      </w:pPr>
                      <w:r w:rsidRPr="0010235F">
                        <w:rPr>
                          <w:rFonts w:ascii="Arial" w:hAnsi="Arial" w:cs="Arial"/>
                        </w:rPr>
                        <w:t>Ex</w:t>
                      </w:r>
                      <w:r>
                        <w:rPr>
                          <w:rFonts w:ascii="Arial" w:hAnsi="Arial" w:cs="Arial"/>
                        </w:rPr>
                        <w:t>ample</w:t>
                      </w:r>
                      <w:r w:rsidRPr="0010235F">
                        <w:rPr>
                          <w:rFonts w:ascii="Arial" w:hAnsi="Arial" w:cs="Arial"/>
                        </w:rPr>
                        <w:t xml:space="preserve"> 3 shows air concentrations obtained from more sophisticated AERMOD air dispersion modeling, the comparison with RBCs, and the resulting risk calculations. Using the more realistic modeling resulted in lower air concentrations such that risks are not above RALs.</w:t>
                      </w:r>
                    </w:p>
                    <w:p w14:paraId="3D85D584" w14:textId="77777777" w:rsidR="003C6ED1" w:rsidRDefault="003C6ED1" w:rsidP="00487636">
                      <w:pPr>
                        <w:rPr>
                          <w:rFonts w:ascii="Arial" w:hAnsi="Arial" w:cs="Arial"/>
                        </w:rPr>
                      </w:pPr>
                    </w:p>
                    <w:p w14:paraId="3D85D585" w14:textId="77777777" w:rsidR="003C6ED1" w:rsidRPr="0010235F" w:rsidRDefault="003C6ED1" w:rsidP="00487636">
                      <w:pPr>
                        <w:rPr>
                          <w:rFonts w:ascii="Arial" w:hAnsi="Arial" w:cs="Arial"/>
                        </w:rPr>
                      </w:pPr>
                      <w:r>
                        <w:rPr>
                          <w:rFonts w:ascii="Arial" w:hAnsi="Arial" w:cs="Arial"/>
                        </w:rPr>
                        <w:t xml:space="preserve">Example 4 is a summary of calculated risk in the example at each risk assessment level. </w:t>
                      </w:r>
                    </w:p>
                  </w:txbxContent>
                </v:textbox>
              </v:shape>
            </w:pict>
          </mc:Fallback>
        </mc:AlternateContent>
      </w:r>
    </w:p>
    <w:p w14:paraId="3D85CD0E" w14:textId="77777777" w:rsidR="00487636" w:rsidRDefault="00487636">
      <w:pPr>
        <w:outlineLvl w:val="9"/>
        <w:rPr>
          <w:rFonts w:ascii="Arial" w:eastAsia="Arial" w:hAnsi="Arial" w:cs="Arial"/>
          <w:color w:val="000000"/>
        </w:rPr>
      </w:pPr>
    </w:p>
    <w:p w14:paraId="3D85CD0F" w14:textId="77777777" w:rsidR="00487636" w:rsidRDefault="00487636">
      <w:pPr>
        <w:outlineLvl w:val="9"/>
        <w:rPr>
          <w:rFonts w:ascii="Arial" w:eastAsia="Arial" w:hAnsi="Arial" w:cs="Arial"/>
          <w:color w:val="000000"/>
        </w:rPr>
      </w:pPr>
    </w:p>
    <w:p w14:paraId="3D85CD10" w14:textId="77777777" w:rsidR="00487636" w:rsidRDefault="00487636">
      <w:pPr>
        <w:outlineLvl w:val="9"/>
        <w:rPr>
          <w:rFonts w:ascii="Arial" w:eastAsia="Arial" w:hAnsi="Arial" w:cs="Arial"/>
          <w:color w:val="000000"/>
        </w:rPr>
      </w:pPr>
    </w:p>
    <w:p w14:paraId="3D85CD11" w14:textId="77777777" w:rsidR="00487636" w:rsidRDefault="00487636">
      <w:pPr>
        <w:outlineLvl w:val="9"/>
        <w:rPr>
          <w:rFonts w:ascii="Arial" w:eastAsia="Arial" w:hAnsi="Arial" w:cs="Arial"/>
          <w:color w:val="000000"/>
        </w:rPr>
      </w:pPr>
    </w:p>
    <w:p w14:paraId="3D85CD12" w14:textId="77777777" w:rsidR="00487636" w:rsidRDefault="00487636">
      <w:pPr>
        <w:outlineLvl w:val="9"/>
        <w:rPr>
          <w:rFonts w:ascii="Arial" w:eastAsia="Arial" w:hAnsi="Arial" w:cs="Arial"/>
          <w:color w:val="000000"/>
        </w:rPr>
      </w:pPr>
    </w:p>
    <w:p w14:paraId="3D85CD13" w14:textId="77777777" w:rsidR="00487636" w:rsidRDefault="00487636">
      <w:pPr>
        <w:outlineLvl w:val="9"/>
        <w:rPr>
          <w:rFonts w:ascii="Arial" w:eastAsia="Arial" w:hAnsi="Arial" w:cs="Arial"/>
          <w:color w:val="000000"/>
        </w:rPr>
      </w:pPr>
    </w:p>
    <w:p w14:paraId="3D85CD14" w14:textId="77777777" w:rsidR="00487636" w:rsidRDefault="00487636">
      <w:pPr>
        <w:outlineLvl w:val="9"/>
        <w:rPr>
          <w:rFonts w:ascii="Arial" w:eastAsia="Arial" w:hAnsi="Arial" w:cs="Arial"/>
          <w:color w:val="000000"/>
        </w:rPr>
      </w:pPr>
    </w:p>
    <w:p w14:paraId="3D85CD15" w14:textId="77777777" w:rsidR="00487636" w:rsidRDefault="00487636">
      <w:pPr>
        <w:outlineLvl w:val="9"/>
        <w:rPr>
          <w:rFonts w:ascii="Arial" w:eastAsia="Arial" w:hAnsi="Arial" w:cs="Arial"/>
          <w:color w:val="000000"/>
        </w:rPr>
      </w:pPr>
    </w:p>
    <w:p w14:paraId="3D85CD16" w14:textId="77777777" w:rsidR="00487636" w:rsidRDefault="00487636">
      <w:pPr>
        <w:outlineLvl w:val="9"/>
        <w:rPr>
          <w:rFonts w:ascii="Arial" w:eastAsia="Arial" w:hAnsi="Arial" w:cs="Arial"/>
          <w:color w:val="000000"/>
        </w:rPr>
      </w:pPr>
    </w:p>
    <w:p w14:paraId="3D85CD17" w14:textId="77777777" w:rsidR="00487636" w:rsidRDefault="00487636">
      <w:pPr>
        <w:outlineLvl w:val="9"/>
        <w:rPr>
          <w:rFonts w:ascii="Arial" w:eastAsia="Arial" w:hAnsi="Arial" w:cs="Arial"/>
          <w:color w:val="000000"/>
        </w:rPr>
      </w:pPr>
    </w:p>
    <w:p w14:paraId="3D85CD18" w14:textId="77777777" w:rsidR="00487636" w:rsidRDefault="00487636">
      <w:pPr>
        <w:outlineLvl w:val="9"/>
        <w:rPr>
          <w:rFonts w:ascii="Arial" w:eastAsia="Arial" w:hAnsi="Arial" w:cs="Arial"/>
          <w:color w:val="000000"/>
        </w:rPr>
      </w:pPr>
    </w:p>
    <w:p w14:paraId="3D85CD19" w14:textId="77777777" w:rsidR="00487636" w:rsidRDefault="00487636">
      <w:pPr>
        <w:outlineLvl w:val="9"/>
        <w:rPr>
          <w:rFonts w:ascii="Arial" w:eastAsia="Arial" w:hAnsi="Arial" w:cs="Arial"/>
          <w:color w:val="000000"/>
        </w:rPr>
      </w:pPr>
    </w:p>
    <w:p w14:paraId="3D85CD1A" w14:textId="77777777" w:rsidR="00487636" w:rsidRDefault="00487636">
      <w:pPr>
        <w:outlineLvl w:val="9"/>
        <w:rPr>
          <w:rFonts w:ascii="Arial" w:eastAsia="Arial" w:hAnsi="Arial" w:cs="Arial"/>
          <w:color w:val="000000"/>
        </w:rPr>
      </w:pPr>
    </w:p>
    <w:p w14:paraId="3D85CD1B" w14:textId="77777777" w:rsidR="00487636" w:rsidRDefault="00487636">
      <w:pPr>
        <w:outlineLvl w:val="9"/>
        <w:rPr>
          <w:rFonts w:ascii="Arial" w:eastAsia="Arial" w:hAnsi="Arial" w:cs="Arial"/>
          <w:color w:val="000000"/>
        </w:rPr>
      </w:pPr>
    </w:p>
    <w:p w14:paraId="3D85CD1C" w14:textId="77777777" w:rsidR="00487636" w:rsidRDefault="00487636">
      <w:pPr>
        <w:outlineLvl w:val="9"/>
        <w:rPr>
          <w:rFonts w:ascii="Arial" w:eastAsia="Arial" w:hAnsi="Arial" w:cs="Arial"/>
          <w:color w:val="000000"/>
        </w:rPr>
      </w:pPr>
    </w:p>
    <w:p w14:paraId="3D85CD1D" w14:textId="77777777" w:rsidR="00487636" w:rsidRDefault="00487636">
      <w:pPr>
        <w:outlineLvl w:val="9"/>
        <w:rPr>
          <w:rFonts w:ascii="Arial" w:eastAsia="Arial" w:hAnsi="Arial" w:cs="Arial"/>
          <w:color w:val="000000"/>
        </w:rPr>
      </w:pPr>
    </w:p>
    <w:p w14:paraId="3D85CD1E" w14:textId="77777777" w:rsidR="00487636" w:rsidRDefault="00487636">
      <w:pPr>
        <w:outlineLvl w:val="9"/>
        <w:rPr>
          <w:rFonts w:ascii="Arial" w:eastAsia="Arial" w:hAnsi="Arial" w:cs="Arial"/>
          <w:color w:val="000000"/>
        </w:rPr>
      </w:pPr>
    </w:p>
    <w:p w14:paraId="3D85CD1F" w14:textId="77777777" w:rsidR="00487636" w:rsidRPr="00487636" w:rsidRDefault="00487636">
      <w:pPr>
        <w:outlineLvl w:val="9"/>
        <w:rPr>
          <w:rFonts w:ascii="Arial" w:eastAsia="Arial" w:hAnsi="Arial" w:cs="Arial"/>
          <w:color w:val="000000"/>
        </w:rPr>
      </w:pPr>
    </w:p>
    <w:p w14:paraId="3D85CD20" w14:textId="77777777" w:rsidR="00A37F3E" w:rsidRDefault="00A37F3E" w:rsidP="00487636">
      <w:pPr>
        <w:pStyle w:val="NoSpacing"/>
        <w:rPr>
          <w:rFonts w:ascii="Arial" w:hAnsi="Arial" w:cs="Arial"/>
          <w:b/>
        </w:rPr>
      </w:pPr>
    </w:p>
    <w:p w14:paraId="3D85CD21" w14:textId="77777777" w:rsidR="00487636" w:rsidRPr="00487636" w:rsidRDefault="00487636" w:rsidP="00487636">
      <w:pPr>
        <w:pStyle w:val="NoSpacing"/>
        <w:rPr>
          <w:rFonts w:ascii="Arial" w:hAnsi="Arial" w:cs="Arial"/>
          <w:b/>
        </w:rPr>
      </w:pPr>
      <w:r w:rsidRPr="00487636">
        <w:rPr>
          <w:rFonts w:ascii="Arial" w:hAnsi="Arial" w:cs="Arial"/>
          <w:b/>
        </w:rPr>
        <w:t>Ex</w:t>
      </w:r>
      <w:r w:rsidR="0010235F">
        <w:rPr>
          <w:rFonts w:ascii="Arial" w:hAnsi="Arial" w:cs="Arial"/>
          <w:b/>
        </w:rPr>
        <w:t>ample</w:t>
      </w:r>
      <w:r w:rsidRPr="00487636">
        <w:rPr>
          <w:rFonts w:ascii="Arial" w:hAnsi="Arial" w:cs="Arial"/>
          <w:b/>
        </w:rPr>
        <w:t xml:space="preserve"> 1</w:t>
      </w:r>
      <w:r w:rsidR="00A37F3E">
        <w:rPr>
          <w:rFonts w:ascii="Arial" w:hAnsi="Arial" w:cs="Arial"/>
          <w:b/>
        </w:rPr>
        <w:t>-1</w:t>
      </w:r>
      <w:r w:rsidRPr="00487636">
        <w:rPr>
          <w:rFonts w:ascii="Arial" w:hAnsi="Arial" w:cs="Arial"/>
          <w:b/>
        </w:rPr>
        <w:t xml:space="preserve"> – Emission Unit Information and Dispersion Factors</w:t>
      </w:r>
    </w:p>
    <w:p w14:paraId="3D85CD22" w14:textId="77777777" w:rsidR="00487636" w:rsidRPr="00487636" w:rsidRDefault="00487636" w:rsidP="00487636">
      <w:pPr>
        <w:pStyle w:val="NoSpacing"/>
        <w:rPr>
          <w:rFonts w:ascii="Arial" w:hAnsi="Arial" w:cs="Arial"/>
        </w:rPr>
      </w:pPr>
    </w:p>
    <w:tbl>
      <w:tblPr>
        <w:tblW w:w="9126" w:type="dxa"/>
        <w:tblInd w:w="99" w:type="dxa"/>
        <w:tblLook w:val="04A0" w:firstRow="1" w:lastRow="0" w:firstColumn="1" w:lastColumn="0" w:noHBand="0" w:noVBand="1"/>
      </w:tblPr>
      <w:tblGrid>
        <w:gridCol w:w="1366"/>
        <w:gridCol w:w="2400"/>
        <w:gridCol w:w="1640"/>
        <w:gridCol w:w="1840"/>
        <w:gridCol w:w="1880"/>
      </w:tblGrid>
      <w:tr w:rsidR="0010235F" w:rsidRPr="00487636" w14:paraId="3D85CD27" w14:textId="77777777" w:rsidTr="0010235F">
        <w:trPr>
          <w:trHeight w:val="288"/>
        </w:trPr>
        <w:tc>
          <w:tcPr>
            <w:tcW w:w="1366" w:type="dxa"/>
            <w:tcBorders>
              <w:top w:val="nil"/>
              <w:left w:val="nil"/>
              <w:bottom w:val="nil"/>
              <w:right w:val="nil"/>
            </w:tcBorders>
            <w:shd w:val="clear" w:color="auto" w:fill="auto"/>
            <w:noWrap/>
            <w:vAlign w:val="bottom"/>
            <w:hideMark/>
          </w:tcPr>
          <w:p w14:paraId="3D85CD23" w14:textId="77777777" w:rsidR="0010235F" w:rsidRPr="00487636" w:rsidRDefault="0010235F" w:rsidP="00487636">
            <w:pPr>
              <w:rPr>
                <w:rFonts w:ascii="Arial" w:hAnsi="Arial" w:cs="Arial"/>
                <w:color w:val="000000"/>
              </w:rPr>
            </w:pPr>
          </w:p>
        </w:tc>
        <w:tc>
          <w:tcPr>
            <w:tcW w:w="2400" w:type="dxa"/>
            <w:tcBorders>
              <w:top w:val="nil"/>
              <w:left w:val="nil"/>
              <w:bottom w:val="nil"/>
              <w:right w:val="nil"/>
            </w:tcBorders>
            <w:shd w:val="clear" w:color="auto" w:fill="auto"/>
            <w:noWrap/>
            <w:vAlign w:val="bottom"/>
            <w:hideMark/>
          </w:tcPr>
          <w:p w14:paraId="3D85CD24" w14:textId="77777777" w:rsidR="0010235F" w:rsidRPr="00487636" w:rsidRDefault="0010235F" w:rsidP="00487636">
            <w:pPr>
              <w:rPr>
                <w:rFonts w:ascii="Arial" w:hAnsi="Arial" w:cs="Arial"/>
                <w:color w:val="000000"/>
              </w:rPr>
            </w:pPr>
          </w:p>
        </w:tc>
        <w:tc>
          <w:tcPr>
            <w:tcW w:w="1640" w:type="dxa"/>
            <w:tcBorders>
              <w:top w:val="nil"/>
              <w:left w:val="nil"/>
              <w:bottom w:val="nil"/>
              <w:right w:val="nil"/>
            </w:tcBorders>
            <w:shd w:val="clear" w:color="auto" w:fill="auto"/>
            <w:noWrap/>
            <w:vAlign w:val="bottom"/>
            <w:hideMark/>
          </w:tcPr>
          <w:p w14:paraId="3D85CD25" w14:textId="77777777" w:rsidR="0010235F" w:rsidRPr="00487636" w:rsidRDefault="0010235F" w:rsidP="00487636">
            <w:pPr>
              <w:jc w:val="center"/>
              <w:rPr>
                <w:rFonts w:ascii="Arial" w:hAnsi="Arial" w:cs="Arial"/>
                <w:b/>
                <w:color w:val="000000"/>
              </w:rPr>
            </w:pPr>
            <w:r w:rsidRPr="00487636">
              <w:rPr>
                <w:rFonts w:ascii="Arial" w:hAnsi="Arial" w:cs="Arial"/>
                <w:b/>
                <w:color w:val="000000"/>
              </w:rPr>
              <w:t>Value</w:t>
            </w:r>
          </w:p>
        </w:tc>
        <w:tc>
          <w:tcPr>
            <w:tcW w:w="3720" w:type="dxa"/>
            <w:gridSpan w:val="2"/>
            <w:tcBorders>
              <w:top w:val="nil"/>
              <w:left w:val="nil"/>
              <w:bottom w:val="nil"/>
              <w:right w:val="nil"/>
            </w:tcBorders>
            <w:shd w:val="clear" w:color="auto" w:fill="auto"/>
            <w:noWrap/>
            <w:vAlign w:val="bottom"/>
            <w:hideMark/>
          </w:tcPr>
          <w:p w14:paraId="3D85CD26" w14:textId="77777777" w:rsidR="0010235F" w:rsidRPr="00487636" w:rsidRDefault="0010235F" w:rsidP="00487636">
            <w:pPr>
              <w:rPr>
                <w:rFonts w:ascii="Arial" w:hAnsi="Arial" w:cs="Arial"/>
                <w:color w:val="000000"/>
              </w:rPr>
            </w:pPr>
            <w:r>
              <w:rPr>
                <w:rFonts w:ascii="Arial" w:hAnsi="Arial" w:cs="Arial"/>
                <w:b/>
                <w:bCs/>
                <w:color w:val="000000"/>
              </w:rPr>
              <w:t xml:space="preserve">OAR 340-245-8060 </w:t>
            </w:r>
            <w:r w:rsidRPr="00487636">
              <w:rPr>
                <w:rFonts w:ascii="Arial" w:hAnsi="Arial" w:cs="Arial"/>
                <w:b/>
                <w:bCs/>
                <w:color w:val="000000"/>
              </w:rPr>
              <w:t xml:space="preserve">Table </w:t>
            </w:r>
            <w:r>
              <w:rPr>
                <w:rFonts w:ascii="Arial" w:hAnsi="Arial" w:cs="Arial"/>
                <w:b/>
                <w:bCs/>
                <w:color w:val="000000"/>
              </w:rPr>
              <w:t>6</w:t>
            </w:r>
          </w:p>
        </w:tc>
      </w:tr>
      <w:tr w:rsidR="00487636" w:rsidRPr="00487636" w14:paraId="3D85CD2B" w14:textId="77777777" w:rsidTr="00487636">
        <w:trPr>
          <w:trHeight w:val="288"/>
        </w:trPr>
        <w:tc>
          <w:tcPr>
            <w:tcW w:w="3766" w:type="dxa"/>
            <w:gridSpan w:val="2"/>
            <w:tcBorders>
              <w:top w:val="nil"/>
              <w:left w:val="nil"/>
              <w:bottom w:val="nil"/>
              <w:right w:val="nil"/>
            </w:tcBorders>
            <w:shd w:val="clear" w:color="auto" w:fill="auto"/>
            <w:noWrap/>
            <w:vAlign w:val="bottom"/>
            <w:hideMark/>
          </w:tcPr>
          <w:p w14:paraId="3D85CD28" w14:textId="77777777" w:rsidR="00487636" w:rsidRPr="00487636" w:rsidRDefault="00487636" w:rsidP="00487636">
            <w:pPr>
              <w:rPr>
                <w:rFonts w:ascii="Arial" w:hAnsi="Arial" w:cs="Arial"/>
                <w:b/>
                <w:bCs/>
                <w:color w:val="000000"/>
              </w:rPr>
            </w:pPr>
            <w:r w:rsidRPr="00487636">
              <w:rPr>
                <w:rFonts w:ascii="Arial" w:hAnsi="Arial" w:cs="Arial"/>
                <w:b/>
                <w:bCs/>
                <w:color w:val="000000"/>
              </w:rPr>
              <w:t xml:space="preserve">Emission Unit 1             </w:t>
            </w:r>
          </w:p>
        </w:tc>
        <w:tc>
          <w:tcPr>
            <w:tcW w:w="1640" w:type="dxa"/>
            <w:tcBorders>
              <w:top w:val="nil"/>
              <w:left w:val="nil"/>
              <w:bottom w:val="nil"/>
              <w:right w:val="nil"/>
            </w:tcBorders>
            <w:shd w:val="clear" w:color="auto" w:fill="auto"/>
            <w:noWrap/>
            <w:vAlign w:val="bottom"/>
            <w:hideMark/>
          </w:tcPr>
          <w:p w14:paraId="3D85CD29" w14:textId="77777777" w:rsidR="00487636" w:rsidRPr="00487636" w:rsidRDefault="00487636" w:rsidP="00487636">
            <w:pPr>
              <w:jc w:val="center"/>
              <w:rPr>
                <w:rFonts w:ascii="Arial" w:hAnsi="Arial" w:cs="Arial"/>
                <w:b/>
                <w:bCs/>
                <w:color w:val="000000"/>
                <w:u w:val="single"/>
              </w:rPr>
            </w:pPr>
            <w:r w:rsidRPr="00487636">
              <w:rPr>
                <w:rFonts w:ascii="Arial" w:hAnsi="Arial" w:cs="Arial"/>
                <w:b/>
                <w:bCs/>
                <w:color w:val="000000"/>
                <w:u w:val="single"/>
              </w:rPr>
              <w:t>(meters)</w:t>
            </w:r>
          </w:p>
        </w:tc>
        <w:tc>
          <w:tcPr>
            <w:tcW w:w="3720" w:type="dxa"/>
            <w:gridSpan w:val="2"/>
            <w:tcBorders>
              <w:top w:val="nil"/>
              <w:left w:val="nil"/>
              <w:bottom w:val="nil"/>
              <w:right w:val="nil"/>
            </w:tcBorders>
            <w:shd w:val="clear" w:color="auto" w:fill="auto"/>
            <w:noWrap/>
            <w:vAlign w:val="bottom"/>
            <w:hideMark/>
          </w:tcPr>
          <w:p w14:paraId="3D85CD2A" w14:textId="77777777" w:rsidR="00487636" w:rsidRPr="00487636" w:rsidRDefault="00487636" w:rsidP="00487636">
            <w:pPr>
              <w:rPr>
                <w:rFonts w:ascii="Arial" w:hAnsi="Arial" w:cs="Arial"/>
                <w:b/>
                <w:bCs/>
                <w:color w:val="000000"/>
                <w:u w:val="single"/>
              </w:rPr>
            </w:pPr>
            <w:r w:rsidRPr="00487636">
              <w:rPr>
                <w:rFonts w:ascii="Arial" w:hAnsi="Arial" w:cs="Arial"/>
                <w:b/>
                <w:bCs/>
                <w:color w:val="000000"/>
                <w:u w:val="single"/>
              </w:rPr>
              <w:t>Dispersion Factor</w:t>
            </w:r>
          </w:p>
        </w:tc>
      </w:tr>
      <w:tr w:rsidR="00487636" w:rsidRPr="00487636" w14:paraId="3D85CD30" w14:textId="77777777" w:rsidTr="00487636">
        <w:trPr>
          <w:trHeight w:val="276"/>
        </w:trPr>
        <w:tc>
          <w:tcPr>
            <w:tcW w:w="3766" w:type="dxa"/>
            <w:gridSpan w:val="2"/>
            <w:tcBorders>
              <w:top w:val="nil"/>
              <w:left w:val="nil"/>
              <w:bottom w:val="nil"/>
              <w:right w:val="nil"/>
            </w:tcBorders>
            <w:shd w:val="clear" w:color="auto" w:fill="auto"/>
            <w:noWrap/>
            <w:vAlign w:val="bottom"/>
            <w:hideMark/>
          </w:tcPr>
          <w:p w14:paraId="3D85CD2C" w14:textId="77777777" w:rsidR="00487636" w:rsidRPr="00487636" w:rsidRDefault="00487636" w:rsidP="00487636">
            <w:pPr>
              <w:rPr>
                <w:rFonts w:ascii="Arial" w:hAnsi="Arial" w:cs="Arial"/>
                <w:color w:val="000000"/>
              </w:rPr>
            </w:pPr>
            <w:r w:rsidRPr="00487636">
              <w:rPr>
                <w:rFonts w:ascii="Arial" w:hAnsi="Arial" w:cs="Arial"/>
                <w:color w:val="000000"/>
              </w:rPr>
              <w:t>Stack height =</w:t>
            </w:r>
          </w:p>
        </w:tc>
        <w:tc>
          <w:tcPr>
            <w:tcW w:w="1640" w:type="dxa"/>
            <w:tcBorders>
              <w:top w:val="nil"/>
              <w:left w:val="nil"/>
              <w:bottom w:val="nil"/>
              <w:right w:val="nil"/>
            </w:tcBorders>
            <w:shd w:val="clear" w:color="auto" w:fill="auto"/>
            <w:noWrap/>
            <w:vAlign w:val="bottom"/>
            <w:hideMark/>
          </w:tcPr>
          <w:p w14:paraId="3D85CD2D" w14:textId="77777777" w:rsidR="00487636" w:rsidRPr="00487636" w:rsidRDefault="00487636" w:rsidP="00487636">
            <w:pPr>
              <w:jc w:val="center"/>
              <w:rPr>
                <w:rFonts w:ascii="Arial" w:hAnsi="Arial" w:cs="Arial"/>
                <w:color w:val="000000"/>
              </w:rPr>
            </w:pPr>
            <w:r w:rsidRPr="00487636">
              <w:rPr>
                <w:rFonts w:ascii="Arial" w:hAnsi="Arial" w:cs="Arial"/>
                <w:color w:val="000000"/>
              </w:rPr>
              <w:t>10</w:t>
            </w:r>
          </w:p>
        </w:tc>
        <w:tc>
          <w:tcPr>
            <w:tcW w:w="1840" w:type="dxa"/>
            <w:tcBorders>
              <w:top w:val="nil"/>
              <w:left w:val="nil"/>
              <w:bottom w:val="nil"/>
              <w:right w:val="nil"/>
            </w:tcBorders>
            <w:shd w:val="clear" w:color="auto" w:fill="auto"/>
            <w:noWrap/>
            <w:vAlign w:val="bottom"/>
            <w:hideMark/>
          </w:tcPr>
          <w:p w14:paraId="3D85CD2E" w14:textId="77777777" w:rsidR="00487636" w:rsidRPr="00487636" w:rsidRDefault="00487636" w:rsidP="00487636">
            <w:pPr>
              <w:rPr>
                <w:rFonts w:ascii="Arial" w:hAnsi="Arial" w:cs="Arial"/>
                <w:color w:val="000000"/>
              </w:rPr>
            </w:pPr>
          </w:p>
        </w:tc>
        <w:tc>
          <w:tcPr>
            <w:tcW w:w="1880" w:type="dxa"/>
            <w:tcBorders>
              <w:top w:val="nil"/>
              <w:left w:val="nil"/>
              <w:bottom w:val="nil"/>
              <w:right w:val="nil"/>
            </w:tcBorders>
            <w:shd w:val="clear" w:color="auto" w:fill="auto"/>
            <w:noWrap/>
            <w:vAlign w:val="bottom"/>
            <w:hideMark/>
          </w:tcPr>
          <w:p w14:paraId="3D85CD2F" w14:textId="77777777" w:rsidR="00487636" w:rsidRPr="00487636" w:rsidRDefault="00487636" w:rsidP="00487636">
            <w:pPr>
              <w:rPr>
                <w:rFonts w:ascii="Arial" w:hAnsi="Arial" w:cs="Arial"/>
                <w:color w:val="000000"/>
              </w:rPr>
            </w:pPr>
          </w:p>
        </w:tc>
      </w:tr>
      <w:tr w:rsidR="00487636" w:rsidRPr="00487636" w14:paraId="3D85CD35" w14:textId="77777777" w:rsidTr="00487636">
        <w:trPr>
          <w:trHeight w:val="276"/>
        </w:trPr>
        <w:tc>
          <w:tcPr>
            <w:tcW w:w="3766" w:type="dxa"/>
            <w:gridSpan w:val="2"/>
            <w:tcBorders>
              <w:top w:val="nil"/>
              <w:left w:val="nil"/>
              <w:bottom w:val="nil"/>
              <w:right w:val="nil"/>
            </w:tcBorders>
            <w:shd w:val="clear" w:color="auto" w:fill="auto"/>
            <w:noWrap/>
            <w:vAlign w:val="bottom"/>
            <w:hideMark/>
          </w:tcPr>
          <w:p w14:paraId="3D85CD31" w14:textId="77777777" w:rsidR="00487636" w:rsidRPr="00487636" w:rsidRDefault="00487636" w:rsidP="00487636">
            <w:pPr>
              <w:rPr>
                <w:rFonts w:ascii="Arial" w:hAnsi="Arial" w:cs="Arial"/>
                <w:color w:val="000000"/>
              </w:rPr>
            </w:pPr>
            <w:r w:rsidRPr="00487636">
              <w:rPr>
                <w:rFonts w:ascii="Arial" w:hAnsi="Arial" w:cs="Arial"/>
                <w:color w:val="000000"/>
              </w:rPr>
              <w:t>Distance to residential =</w:t>
            </w:r>
          </w:p>
        </w:tc>
        <w:tc>
          <w:tcPr>
            <w:tcW w:w="1640" w:type="dxa"/>
            <w:tcBorders>
              <w:top w:val="nil"/>
              <w:left w:val="nil"/>
              <w:bottom w:val="nil"/>
              <w:right w:val="nil"/>
            </w:tcBorders>
            <w:shd w:val="clear" w:color="auto" w:fill="auto"/>
            <w:noWrap/>
            <w:vAlign w:val="bottom"/>
            <w:hideMark/>
          </w:tcPr>
          <w:p w14:paraId="3D85CD32" w14:textId="77777777" w:rsidR="00487636" w:rsidRPr="00487636" w:rsidRDefault="00487636" w:rsidP="00487636">
            <w:pPr>
              <w:jc w:val="center"/>
              <w:rPr>
                <w:rFonts w:ascii="Arial" w:hAnsi="Arial" w:cs="Arial"/>
                <w:color w:val="000000"/>
              </w:rPr>
            </w:pPr>
            <w:r w:rsidRPr="00487636">
              <w:rPr>
                <w:rFonts w:ascii="Arial" w:hAnsi="Arial" w:cs="Arial"/>
                <w:color w:val="000000"/>
              </w:rPr>
              <w:t>100</w:t>
            </w:r>
          </w:p>
        </w:tc>
        <w:tc>
          <w:tcPr>
            <w:tcW w:w="1840" w:type="dxa"/>
            <w:tcBorders>
              <w:top w:val="nil"/>
              <w:left w:val="nil"/>
              <w:bottom w:val="nil"/>
              <w:right w:val="nil"/>
            </w:tcBorders>
            <w:shd w:val="clear" w:color="auto" w:fill="auto"/>
            <w:noWrap/>
            <w:vAlign w:val="bottom"/>
            <w:hideMark/>
          </w:tcPr>
          <w:p w14:paraId="3D85CD33" w14:textId="77777777" w:rsidR="00487636" w:rsidRPr="00487636" w:rsidRDefault="00487636" w:rsidP="00487636">
            <w:pPr>
              <w:jc w:val="right"/>
              <w:rPr>
                <w:rFonts w:ascii="Arial" w:hAnsi="Arial" w:cs="Arial"/>
                <w:color w:val="000000"/>
              </w:rPr>
            </w:pPr>
            <w:r w:rsidRPr="00487636">
              <w:rPr>
                <w:rFonts w:ascii="Arial" w:hAnsi="Arial" w:cs="Arial"/>
                <w:color w:val="000000"/>
              </w:rPr>
              <w:t>0.00075</w:t>
            </w:r>
          </w:p>
        </w:tc>
        <w:tc>
          <w:tcPr>
            <w:tcW w:w="1880" w:type="dxa"/>
            <w:tcBorders>
              <w:top w:val="nil"/>
              <w:left w:val="nil"/>
              <w:bottom w:val="nil"/>
              <w:right w:val="nil"/>
            </w:tcBorders>
            <w:shd w:val="clear" w:color="auto" w:fill="auto"/>
            <w:noWrap/>
            <w:vAlign w:val="bottom"/>
            <w:hideMark/>
          </w:tcPr>
          <w:p w14:paraId="3D85CD34" w14:textId="77777777" w:rsidR="00487636" w:rsidRPr="00487636" w:rsidRDefault="00487636" w:rsidP="00487636">
            <w:pPr>
              <w:rPr>
                <w:rFonts w:ascii="Arial" w:hAnsi="Arial" w:cs="Arial"/>
                <w:color w:val="000000"/>
              </w:rPr>
            </w:pPr>
            <w:r w:rsidRPr="00487636">
              <w:rPr>
                <w:rFonts w:ascii="Arial" w:hAnsi="Arial" w:cs="Arial"/>
                <w:color w:val="000000"/>
              </w:rPr>
              <w:t>μg/m</w:t>
            </w:r>
            <w:r w:rsidRPr="00487636">
              <w:rPr>
                <w:rFonts w:ascii="Arial" w:hAnsi="Arial" w:cs="Arial"/>
                <w:color w:val="000000"/>
                <w:vertAlign w:val="superscript"/>
              </w:rPr>
              <w:t>3</w:t>
            </w:r>
            <w:r w:rsidRPr="00487636">
              <w:rPr>
                <w:rFonts w:ascii="Arial" w:hAnsi="Arial" w:cs="Arial"/>
                <w:color w:val="000000"/>
              </w:rPr>
              <w:t xml:space="preserve"> per lb/yr</w:t>
            </w:r>
          </w:p>
        </w:tc>
      </w:tr>
      <w:tr w:rsidR="00487636" w:rsidRPr="00487636" w14:paraId="3D85CD3A" w14:textId="77777777" w:rsidTr="00487636">
        <w:trPr>
          <w:trHeight w:val="276"/>
        </w:trPr>
        <w:tc>
          <w:tcPr>
            <w:tcW w:w="3766" w:type="dxa"/>
            <w:gridSpan w:val="2"/>
            <w:tcBorders>
              <w:top w:val="nil"/>
              <w:left w:val="nil"/>
              <w:bottom w:val="nil"/>
              <w:right w:val="nil"/>
            </w:tcBorders>
            <w:shd w:val="clear" w:color="auto" w:fill="auto"/>
            <w:noWrap/>
            <w:vAlign w:val="bottom"/>
            <w:hideMark/>
          </w:tcPr>
          <w:p w14:paraId="3D85CD36" w14:textId="77777777" w:rsidR="00487636" w:rsidRPr="00487636" w:rsidRDefault="00487636" w:rsidP="00487636">
            <w:pPr>
              <w:rPr>
                <w:rFonts w:ascii="Arial" w:hAnsi="Arial" w:cs="Arial"/>
                <w:color w:val="000000"/>
              </w:rPr>
            </w:pPr>
            <w:r w:rsidRPr="00487636">
              <w:rPr>
                <w:rFonts w:ascii="Arial" w:hAnsi="Arial" w:cs="Arial"/>
                <w:color w:val="000000"/>
              </w:rPr>
              <w:t>Distance to nonresident child =</w:t>
            </w:r>
          </w:p>
        </w:tc>
        <w:tc>
          <w:tcPr>
            <w:tcW w:w="1640" w:type="dxa"/>
            <w:tcBorders>
              <w:top w:val="nil"/>
              <w:left w:val="nil"/>
              <w:bottom w:val="nil"/>
              <w:right w:val="nil"/>
            </w:tcBorders>
            <w:shd w:val="clear" w:color="auto" w:fill="auto"/>
            <w:noWrap/>
            <w:vAlign w:val="bottom"/>
            <w:hideMark/>
          </w:tcPr>
          <w:p w14:paraId="3D85CD37" w14:textId="77777777" w:rsidR="00487636" w:rsidRPr="00487636" w:rsidRDefault="00487636" w:rsidP="00487636">
            <w:pPr>
              <w:jc w:val="center"/>
              <w:rPr>
                <w:rFonts w:ascii="Arial" w:hAnsi="Arial" w:cs="Arial"/>
                <w:color w:val="000000"/>
              </w:rPr>
            </w:pPr>
            <w:r w:rsidRPr="00487636">
              <w:rPr>
                <w:rFonts w:ascii="Arial" w:hAnsi="Arial" w:cs="Arial"/>
                <w:color w:val="000000"/>
              </w:rPr>
              <w:t>200</w:t>
            </w:r>
          </w:p>
        </w:tc>
        <w:tc>
          <w:tcPr>
            <w:tcW w:w="1840" w:type="dxa"/>
            <w:tcBorders>
              <w:top w:val="nil"/>
              <w:left w:val="nil"/>
              <w:bottom w:val="nil"/>
              <w:right w:val="nil"/>
            </w:tcBorders>
            <w:shd w:val="clear" w:color="auto" w:fill="auto"/>
            <w:noWrap/>
            <w:vAlign w:val="bottom"/>
            <w:hideMark/>
          </w:tcPr>
          <w:p w14:paraId="3D85CD38" w14:textId="77777777" w:rsidR="00487636" w:rsidRPr="00487636" w:rsidRDefault="00487636" w:rsidP="00487636">
            <w:pPr>
              <w:jc w:val="right"/>
              <w:rPr>
                <w:rFonts w:ascii="Arial" w:hAnsi="Arial" w:cs="Arial"/>
                <w:color w:val="000000"/>
              </w:rPr>
            </w:pPr>
            <w:r w:rsidRPr="00487636">
              <w:rPr>
                <w:rFonts w:ascii="Arial" w:hAnsi="Arial" w:cs="Arial"/>
                <w:color w:val="000000"/>
              </w:rPr>
              <w:t>0.00033</w:t>
            </w:r>
          </w:p>
        </w:tc>
        <w:tc>
          <w:tcPr>
            <w:tcW w:w="1880" w:type="dxa"/>
            <w:tcBorders>
              <w:top w:val="nil"/>
              <w:left w:val="nil"/>
              <w:bottom w:val="nil"/>
              <w:right w:val="nil"/>
            </w:tcBorders>
            <w:shd w:val="clear" w:color="auto" w:fill="auto"/>
            <w:noWrap/>
            <w:vAlign w:val="bottom"/>
            <w:hideMark/>
          </w:tcPr>
          <w:p w14:paraId="3D85CD39" w14:textId="77777777" w:rsidR="00487636" w:rsidRPr="00487636" w:rsidRDefault="00487636" w:rsidP="00487636">
            <w:pPr>
              <w:rPr>
                <w:rFonts w:ascii="Arial" w:hAnsi="Arial" w:cs="Arial"/>
                <w:color w:val="000000"/>
              </w:rPr>
            </w:pPr>
          </w:p>
        </w:tc>
      </w:tr>
      <w:tr w:rsidR="00487636" w:rsidRPr="00487636" w14:paraId="3D85CD3F" w14:textId="77777777" w:rsidTr="00487636">
        <w:trPr>
          <w:trHeight w:val="276"/>
        </w:trPr>
        <w:tc>
          <w:tcPr>
            <w:tcW w:w="3766" w:type="dxa"/>
            <w:gridSpan w:val="2"/>
            <w:tcBorders>
              <w:top w:val="nil"/>
              <w:left w:val="nil"/>
              <w:bottom w:val="nil"/>
              <w:right w:val="nil"/>
            </w:tcBorders>
            <w:shd w:val="clear" w:color="auto" w:fill="auto"/>
            <w:noWrap/>
            <w:vAlign w:val="bottom"/>
            <w:hideMark/>
          </w:tcPr>
          <w:p w14:paraId="3D85CD3B" w14:textId="77777777" w:rsidR="00487636" w:rsidRPr="00487636" w:rsidRDefault="00487636" w:rsidP="00487636">
            <w:pPr>
              <w:rPr>
                <w:rFonts w:ascii="Arial" w:hAnsi="Arial" w:cs="Arial"/>
                <w:color w:val="000000"/>
              </w:rPr>
            </w:pPr>
            <w:r w:rsidRPr="00487636">
              <w:rPr>
                <w:rFonts w:ascii="Arial" w:hAnsi="Arial" w:cs="Arial"/>
                <w:color w:val="000000"/>
              </w:rPr>
              <w:t>Distance to nonresident worker =</w:t>
            </w:r>
          </w:p>
        </w:tc>
        <w:tc>
          <w:tcPr>
            <w:tcW w:w="1640" w:type="dxa"/>
            <w:tcBorders>
              <w:top w:val="nil"/>
              <w:left w:val="nil"/>
              <w:bottom w:val="nil"/>
              <w:right w:val="nil"/>
            </w:tcBorders>
            <w:shd w:val="clear" w:color="auto" w:fill="auto"/>
            <w:noWrap/>
            <w:vAlign w:val="bottom"/>
            <w:hideMark/>
          </w:tcPr>
          <w:p w14:paraId="3D85CD3C" w14:textId="77777777" w:rsidR="00487636" w:rsidRPr="00487636" w:rsidRDefault="00487636" w:rsidP="00487636">
            <w:pPr>
              <w:jc w:val="center"/>
              <w:rPr>
                <w:rFonts w:ascii="Arial" w:hAnsi="Arial" w:cs="Arial"/>
                <w:color w:val="000000"/>
              </w:rPr>
            </w:pPr>
            <w:r w:rsidRPr="00487636">
              <w:rPr>
                <w:rFonts w:ascii="Arial" w:hAnsi="Arial" w:cs="Arial"/>
                <w:color w:val="000000"/>
              </w:rPr>
              <w:t>200</w:t>
            </w:r>
          </w:p>
        </w:tc>
        <w:tc>
          <w:tcPr>
            <w:tcW w:w="1840" w:type="dxa"/>
            <w:tcBorders>
              <w:top w:val="nil"/>
              <w:left w:val="nil"/>
              <w:bottom w:val="nil"/>
              <w:right w:val="nil"/>
            </w:tcBorders>
            <w:shd w:val="clear" w:color="auto" w:fill="auto"/>
            <w:noWrap/>
            <w:vAlign w:val="bottom"/>
            <w:hideMark/>
          </w:tcPr>
          <w:p w14:paraId="3D85CD3D" w14:textId="77777777" w:rsidR="00487636" w:rsidRPr="00487636" w:rsidRDefault="00487636" w:rsidP="00487636">
            <w:pPr>
              <w:jc w:val="right"/>
              <w:rPr>
                <w:rFonts w:ascii="Arial" w:hAnsi="Arial" w:cs="Arial"/>
                <w:color w:val="000000"/>
              </w:rPr>
            </w:pPr>
            <w:r w:rsidRPr="00487636">
              <w:rPr>
                <w:rFonts w:ascii="Arial" w:hAnsi="Arial" w:cs="Arial"/>
                <w:color w:val="000000"/>
              </w:rPr>
              <w:t>0.00033</w:t>
            </w:r>
          </w:p>
        </w:tc>
        <w:tc>
          <w:tcPr>
            <w:tcW w:w="1880" w:type="dxa"/>
            <w:tcBorders>
              <w:top w:val="nil"/>
              <w:left w:val="nil"/>
              <w:bottom w:val="nil"/>
              <w:right w:val="nil"/>
            </w:tcBorders>
            <w:shd w:val="clear" w:color="auto" w:fill="auto"/>
            <w:noWrap/>
            <w:vAlign w:val="bottom"/>
            <w:hideMark/>
          </w:tcPr>
          <w:p w14:paraId="3D85CD3E" w14:textId="77777777" w:rsidR="00487636" w:rsidRPr="00487636" w:rsidRDefault="00487636" w:rsidP="00487636">
            <w:pPr>
              <w:rPr>
                <w:rFonts w:ascii="Arial" w:hAnsi="Arial" w:cs="Arial"/>
                <w:color w:val="000000"/>
              </w:rPr>
            </w:pPr>
          </w:p>
        </w:tc>
      </w:tr>
      <w:tr w:rsidR="00487636" w:rsidRPr="00487636" w14:paraId="3D85CD44" w14:textId="77777777" w:rsidTr="00487636">
        <w:trPr>
          <w:trHeight w:val="276"/>
        </w:trPr>
        <w:tc>
          <w:tcPr>
            <w:tcW w:w="3766" w:type="dxa"/>
            <w:gridSpan w:val="2"/>
            <w:tcBorders>
              <w:top w:val="nil"/>
              <w:left w:val="nil"/>
              <w:bottom w:val="nil"/>
              <w:right w:val="nil"/>
            </w:tcBorders>
            <w:shd w:val="clear" w:color="auto" w:fill="auto"/>
            <w:noWrap/>
            <w:vAlign w:val="bottom"/>
            <w:hideMark/>
          </w:tcPr>
          <w:p w14:paraId="3D85CD40" w14:textId="77777777" w:rsidR="00487636" w:rsidRPr="00487636" w:rsidRDefault="00487636" w:rsidP="00487636">
            <w:pPr>
              <w:rPr>
                <w:rFonts w:ascii="Arial" w:hAnsi="Arial" w:cs="Arial"/>
                <w:color w:val="000000"/>
              </w:rPr>
            </w:pPr>
            <w:r w:rsidRPr="00487636">
              <w:rPr>
                <w:rFonts w:ascii="Arial" w:hAnsi="Arial" w:cs="Arial"/>
                <w:color w:val="000000"/>
              </w:rPr>
              <w:t>Distance to acute =</w:t>
            </w:r>
          </w:p>
        </w:tc>
        <w:tc>
          <w:tcPr>
            <w:tcW w:w="1640" w:type="dxa"/>
            <w:tcBorders>
              <w:top w:val="nil"/>
              <w:left w:val="nil"/>
              <w:bottom w:val="nil"/>
              <w:right w:val="nil"/>
            </w:tcBorders>
            <w:shd w:val="clear" w:color="auto" w:fill="auto"/>
            <w:noWrap/>
            <w:vAlign w:val="bottom"/>
            <w:hideMark/>
          </w:tcPr>
          <w:p w14:paraId="3D85CD41" w14:textId="77777777" w:rsidR="00487636" w:rsidRPr="00487636" w:rsidRDefault="00487636" w:rsidP="00487636">
            <w:pPr>
              <w:jc w:val="center"/>
              <w:rPr>
                <w:rFonts w:ascii="Arial" w:hAnsi="Arial" w:cs="Arial"/>
                <w:color w:val="000000"/>
              </w:rPr>
            </w:pPr>
            <w:r w:rsidRPr="00487636">
              <w:rPr>
                <w:rFonts w:ascii="Arial" w:hAnsi="Arial" w:cs="Arial"/>
                <w:color w:val="000000"/>
              </w:rPr>
              <w:t>85</w:t>
            </w:r>
          </w:p>
        </w:tc>
        <w:tc>
          <w:tcPr>
            <w:tcW w:w="1840" w:type="dxa"/>
            <w:tcBorders>
              <w:top w:val="nil"/>
              <w:left w:val="nil"/>
              <w:bottom w:val="nil"/>
              <w:right w:val="nil"/>
            </w:tcBorders>
            <w:shd w:val="clear" w:color="auto" w:fill="auto"/>
            <w:noWrap/>
            <w:vAlign w:val="bottom"/>
            <w:hideMark/>
          </w:tcPr>
          <w:p w14:paraId="3D85CD42" w14:textId="77777777" w:rsidR="00487636" w:rsidRPr="00487636" w:rsidRDefault="00487636" w:rsidP="00487636">
            <w:pPr>
              <w:jc w:val="right"/>
              <w:rPr>
                <w:rFonts w:ascii="Arial" w:hAnsi="Arial" w:cs="Arial"/>
                <w:color w:val="000000"/>
              </w:rPr>
            </w:pPr>
            <w:r w:rsidRPr="00487636">
              <w:rPr>
                <w:rFonts w:ascii="Arial" w:hAnsi="Arial" w:cs="Arial"/>
                <w:color w:val="000000"/>
              </w:rPr>
              <w:t>2.7</w:t>
            </w:r>
          </w:p>
        </w:tc>
        <w:tc>
          <w:tcPr>
            <w:tcW w:w="1880" w:type="dxa"/>
            <w:tcBorders>
              <w:top w:val="nil"/>
              <w:left w:val="nil"/>
              <w:bottom w:val="nil"/>
              <w:right w:val="nil"/>
            </w:tcBorders>
            <w:shd w:val="clear" w:color="auto" w:fill="auto"/>
            <w:noWrap/>
            <w:vAlign w:val="bottom"/>
            <w:hideMark/>
          </w:tcPr>
          <w:p w14:paraId="3D85CD43" w14:textId="77777777" w:rsidR="00487636" w:rsidRPr="00487636" w:rsidRDefault="00487636" w:rsidP="00487636">
            <w:pPr>
              <w:rPr>
                <w:rFonts w:ascii="Arial" w:hAnsi="Arial" w:cs="Arial"/>
                <w:color w:val="000000"/>
              </w:rPr>
            </w:pPr>
            <w:r w:rsidRPr="00487636">
              <w:rPr>
                <w:rFonts w:ascii="Arial" w:hAnsi="Arial" w:cs="Arial"/>
                <w:color w:val="000000"/>
              </w:rPr>
              <w:t>μg/m</w:t>
            </w:r>
            <w:r w:rsidRPr="00487636">
              <w:rPr>
                <w:rFonts w:ascii="Arial" w:hAnsi="Arial" w:cs="Arial"/>
                <w:color w:val="000000"/>
                <w:vertAlign w:val="superscript"/>
              </w:rPr>
              <w:t>3</w:t>
            </w:r>
            <w:r w:rsidRPr="00487636">
              <w:rPr>
                <w:rFonts w:ascii="Arial" w:hAnsi="Arial" w:cs="Arial"/>
                <w:color w:val="000000"/>
              </w:rPr>
              <w:t xml:space="preserve"> per lb/day</w:t>
            </w:r>
          </w:p>
        </w:tc>
      </w:tr>
      <w:tr w:rsidR="00487636" w:rsidRPr="00487636" w14:paraId="3D85CD49" w14:textId="77777777" w:rsidTr="00487636">
        <w:trPr>
          <w:trHeight w:val="288"/>
        </w:trPr>
        <w:tc>
          <w:tcPr>
            <w:tcW w:w="1366" w:type="dxa"/>
            <w:tcBorders>
              <w:top w:val="nil"/>
              <w:left w:val="nil"/>
              <w:bottom w:val="nil"/>
              <w:right w:val="nil"/>
            </w:tcBorders>
            <w:shd w:val="clear" w:color="auto" w:fill="auto"/>
            <w:noWrap/>
            <w:vAlign w:val="bottom"/>
            <w:hideMark/>
          </w:tcPr>
          <w:p w14:paraId="3D85CD45" w14:textId="77777777" w:rsidR="00487636" w:rsidRPr="00487636" w:rsidRDefault="00487636" w:rsidP="00487636">
            <w:pPr>
              <w:rPr>
                <w:rFonts w:ascii="Arial" w:hAnsi="Arial" w:cs="Arial"/>
                <w:color w:val="000000"/>
              </w:rPr>
            </w:pPr>
          </w:p>
        </w:tc>
        <w:tc>
          <w:tcPr>
            <w:tcW w:w="2400" w:type="dxa"/>
            <w:tcBorders>
              <w:top w:val="nil"/>
              <w:left w:val="nil"/>
              <w:bottom w:val="nil"/>
              <w:right w:val="nil"/>
            </w:tcBorders>
            <w:shd w:val="clear" w:color="auto" w:fill="auto"/>
            <w:noWrap/>
            <w:vAlign w:val="bottom"/>
            <w:hideMark/>
          </w:tcPr>
          <w:p w14:paraId="3D85CD46" w14:textId="77777777" w:rsidR="00487636" w:rsidRPr="00487636" w:rsidRDefault="00487636" w:rsidP="00487636">
            <w:pPr>
              <w:rPr>
                <w:rFonts w:ascii="Arial" w:hAnsi="Arial" w:cs="Arial"/>
                <w:color w:val="000000"/>
              </w:rPr>
            </w:pPr>
          </w:p>
        </w:tc>
        <w:tc>
          <w:tcPr>
            <w:tcW w:w="1640" w:type="dxa"/>
            <w:tcBorders>
              <w:top w:val="nil"/>
              <w:left w:val="nil"/>
              <w:bottom w:val="nil"/>
              <w:right w:val="nil"/>
            </w:tcBorders>
            <w:shd w:val="clear" w:color="auto" w:fill="auto"/>
            <w:noWrap/>
            <w:vAlign w:val="bottom"/>
            <w:hideMark/>
          </w:tcPr>
          <w:p w14:paraId="3D85CD47" w14:textId="77777777" w:rsidR="00487636" w:rsidRPr="00487636" w:rsidRDefault="00487636" w:rsidP="00487636">
            <w:pPr>
              <w:jc w:val="right"/>
              <w:rPr>
                <w:rFonts w:ascii="Arial" w:hAnsi="Arial" w:cs="Arial"/>
                <w:color w:val="000000"/>
              </w:rPr>
            </w:pPr>
          </w:p>
        </w:tc>
        <w:tc>
          <w:tcPr>
            <w:tcW w:w="3720" w:type="dxa"/>
            <w:gridSpan w:val="2"/>
            <w:tcBorders>
              <w:top w:val="nil"/>
              <w:left w:val="nil"/>
              <w:bottom w:val="nil"/>
              <w:right w:val="nil"/>
            </w:tcBorders>
            <w:shd w:val="clear" w:color="auto" w:fill="auto"/>
            <w:noWrap/>
            <w:vAlign w:val="bottom"/>
            <w:hideMark/>
          </w:tcPr>
          <w:p w14:paraId="3D85CD48" w14:textId="77777777" w:rsidR="00487636" w:rsidRPr="00487636" w:rsidRDefault="00487636" w:rsidP="00487636">
            <w:pPr>
              <w:rPr>
                <w:rFonts w:ascii="Arial" w:hAnsi="Arial" w:cs="Arial"/>
                <w:color w:val="000000"/>
              </w:rPr>
            </w:pPr>
            <w:r w:rsidRPr="00487636">
              <w:rPr>
                <w:rFonts w:ascii="Arial" w:hAnsi="Arial" w:cs="Arial"/>
                <w:color w:val="000000"/>
              </w:rPr>
              <w:t>(interpolated between 2.6 and 2.8)</w:t>
            </w:r>
          </w:p>
        </w:tc>
      </w:tr>
      <w:tr w:rsidR="00487636" w:rsidRPr="00487636" w14:paraId="3D85CD4D" w14:textId="77777777" w:rsidTr="00487636">
        <w:trPr>
          <w:trHeight w:val="288"/>
        </w:trPr>
        <w:tc>
          <w:tcPr>
            <w:tcW w:w="3766" w:type="dxa"/>
            <w:gridSpan w:val="2"/>
            <w:tcBorders>
              <w:top w:val="nil"/>
              <w:left w:val="nil"/>
              <w:bottom w:val="nil"/>
              <w:right w:val="nil"/>
            </w:tcBorders>
            <w:shd w:val="clear" w:color="auto" w:fill="auto"/>
            <w:noWrap/>
            <w:vAlign w:val="bottom"/>
            <w:hideMark/>
          </w:tcPr>
          <w:p w14:paraId="3D85CD4A" w14:textId="77777777" w:rsidR="00487636" w:rsidRPr="00487636" w:rsidRDefault="00487636" w:rsidP="00487636">
            <w:pPr>
              <w:rPr>
                <w:rFonts w:ascii="Arial" w:hAnsi="Arial" w:cs="Arial"/>
                <w:b/>
                <w:bCs/>
                <w:color w:val="000000"/>
              </w:rPr>
            </w:pPr>
            <w:r w:rsidRPr="00487636">
              <w:rPr>
                <w:rFonts w:ascii="Arial" w:hAnsi="Arial" w:cs="Arial"/>
                <w:b/>
                <w:bCs/>
                <w:color w:val="000000"/>
              </w:rPr>
              <w:t xml:space="preserve">Emission Unit 2             </w:t>
            </w:r>
          </w:p>
        </w:tc>
        <w:tc>
          <w:tcPr>
            <w:tcW w:w="1640" w:type="dxa"/>
            <w:tcBorders>
              <w:top w:val="nil"/>
              <w:left w:val="nil"/>
              <w:bottom w:val="nil"/>
              <w:right w:val="nil"/>
            </w:tcBorders>
            <w:shd w:val="clear" w:color="auto" w:fill="auto"/>
            <w:noWrap/>
            <w:vAlign w:val="bottom"/>
            <w:hideMark/>
          </w:tcPr>
          <w:p w14:paraId="3D85CD4B" w14:textId="77777777" w:rsidR="00487636" w:rsidRPr="00487636" w:rsidRDefault="00487636" w:rsidP="00487636">
            <w:pPr>
              <w:jc w:val="center"/>
              <w:rPr>
                <w:rFonts w:ascii="Arial" w:hAnsi="Arial" w:cs="Arial"/>
                <w:b/>
                <w:bCs/>
                <w:color w:val="000000"/>
                <w:u w:val="single"/>
              </w:rPr>
            </w:pPr>
            <w:r w:rsidRPr="00487636">
              <w:rPr>
                <w:rFonts w:ascii="Arial" w:hAnsi="Arial" w:cs="Arial"/>
                <w:b/>
                <w:bCs/>
                <w:color w:val="000000"/>
                <w:u w:val="single"/>
              </w:rPr>
              <w:t>(meters)</w:t>
            </w:r>
          </w:p>
        </w:tc>
        <w:tc>
          <w:tcPr>
            <w:tcW w:w="3720" w:type="dxa"/>
            <w:gridSpan w:val="2"/>
            <w:tcBorders>
              <w:top w:val="nil"/>
              <w:left w:val="nil"/>
              <w:bottom w:val="nil"/>
              <w:right w:val="nil"/>
            </w:tcBorders>
            <w:shd w:val="clear" w:color="auto" w:fill="auto"/>
            <w:noWrap/>
            <w:vAlign w:val="bottom"/>
            <w:hideMark/>
          </w:tcPr>
          <w:p w14:paraId="3D85CD4C" w14:textId="77777777" w:rsidR="00487636" w:rsidRPr="00487636" w:rsidRDefault="00487636" w:rsidP="00487636">
            <w:pPr>
              <w:rPr>
                <w:rFonts w:ascii="Arial" w:hAnsi="Arial" w:cs="Arial"/>
                <w:b/>
                <w:bCs/>
                <w:color w:val="000000"/>
                <w:u w:val="single"/>
              </w:rPr>
            </w:pPr>
            <w:r w:rsidRPr="00487636">
              <w:rPr>
                <w:rFonts w:ascii="Arial" w:hAnsi="Arial" w:cs="Arial"/>
                <w:b/>
                <w:bCs/>
                <w:color w:val="000000"/>
                <w:u w:val="single"/>
              </w:rPr>
              <w:t>Dispersion Factor</w:t>
            </w:r>
          </w:p>
        </w:tc>
      </w:tr>
      <w:tr w:rsidR="00487636" w:rsidRPr="00487636" w14:paraId="3D85CD52" w14:textId="77777777" w:rsidTr="00487636">
        <w:trPr>
          <w:trHeight w:val="288"/>
        </w:trPr>
        <w:tc>
          <w:tcPr>
            <w:tcW w:w="3766" w:type="dxa"/>
            <w:gridSpan w:val="2"/>
            <w:tcBorders>
              <w:top w:val="nil"/>
              <w:left w:val="nil"/>
              <w:bottom w:val="nil"/>
              <w:right w:val="nil"/>
            </w:tcBorders>
            <w:shd w:val="clear" w:color="auto" w:fill="auto"/>
            <w:noWrap/>
            <w:vAlign w:val="bottom"/>
            <w:hideMark/>
          </w:tcPr>
          <w:p w14:paraId="3D85CD4E" w14:textId="77777777" w:rsidR="00487636" w:rsidRPr="00487636" w:rsidRDefault="00487636" w:rsidP="00487636">
            <w:pPr>
              <w:rPr>
                <w:rFonts w:ascii="Arial" w:hAnsi="Arial" w:cs="Arial"/>
                <w:color w:val="000000"/>
              </w:rPr>
            </w:pPr>
            <w:r w:rsidRPr="00487636">
              <w:rPr>
                <w:rFonts w:ascii="Arial" w:hAnsi="Arial" w:cs="Arial"/>
                <w:color w:val="000000"/>
              </w:rPr>
              <w:t>Stack height =</w:t>
            </w:r>
          </w:p>
        </w:tc>
        <w:tc>
          <w:tcPr>
            <w:tcW w:w="1640" w:type="dxa"/>
            <w:tcBorders>
              <w:top w:val="nil"/>
              <w:left w:val="nil"/>
              <w:bottom w:val="nil"/>
              <w:right w:val="nil"/>
            </w:tcBorders>
            <w:shd w:val="clear" w:color="auto" w:fill="auto"/>
            <w:noWrap/>
            <w:vAlign w:val="bottom"/>
            <w:hideMark/>
          </w:tcPr>
          <w:p w14:paraId="3D85CD4F" w14:textId="77777777" w:rsidR="00487636" w:rsidRPr="00487636" w:rsidRDefault="00487636" w:rsidP="00487636">
            <w:pPr>
              <w:jc w:val="center"/>
              <w:rPr>
                <w:rFonts w:ascii="Arial" w:hAnsi="Arial" w:cs="Arial"/>
                <w:color w:val="000000"/>
              </w:rPr>
            </w:pPr>
            <w:r w:rsidRPr="00487636">
              <w:rPr>
                <w:rFonts w:ascii="Arial" w:hAnsi="Arial" w:cs="Arial"/>
                <w:color w:val="000000"/>
              </w:rPr>
              <w:t>20</w:t>
            </w:r>
          </w:p>
        </w:tc>
        <w:tc>
          <w:tcPr>
            <w:tcW w:w="1840" w:type="dxa"/>
            <w:tcBorders>
              <w:top w:val="nil"/>
              <w:left w:val="nil"/>
              <w:bottom w:val="nil"/>
              <w:right w:val="nil"/>
            </w:tcBorders>
            <w:shd w:val="clear" w:color="auto" w:fill="auto"/>
            <w:noWrap/>
            <w:vAlign w:val="bottom"/>
            <w:hideMark/>
          </w:tcPr>
          <w:p w14:paraId="3D85CD50" w14:textId="77777777" w:rsidR="00487636" w:rsidRPr="00487636" w:rsidRDefault="00487636" w:rsidP="00487636">
            <w:pPr>
              <w:rPr>
                <w:rFonts w:ascii="Arial" w:hAnsi="Arial" w:cs="Arial"/>
                <w:color w:val="000000"/>
              </w:rPr>
            </w:pPr>
          </w:p>
        </w:tc>
        <w:tc>
          <w:tcPr>
            <w:tcW w:w="1880" w:type="dxa"/>
            <w:tcBorders>
              <w:top w:val="nil"/>
              <w:left w:val="nil"/>
              <w:bottom w:val="nil"/>
              <w:right w:val="nil"/>
            </w:tcBorders>
            <w:shd w:val="clear" w:color="auto" w:fill="auto"/>
            <w:noWrap/>
            <w:vAlign w:val="bottom"/>
            <w:hideMark/>
          </w:tcPr>
          <w:p w14:paraId="3D85CD51" w14:textId="77777777" w:rsidR="00487636" w:rsidRPr="00487636" w:rsidRDefault="00487636" w:rsidP="00487636">
            <w:pPr>
              <w:rPr>
                <w:rFonts w:ascii="Arial" w:hAnsi="Arial" w:cs="Arial"/>
                <w:color w:val="000000"/>
              </w:rPr>
            </w:pPr>
          </w:p>
        </w:tc>
      </w:tr>
      <w:tr w:rsidR="00487636" w:rsidRPr="00487636" w14:paraId="3D85CD57" w14:textId="77777777" w:rsidTr="00487636">
        <w:trPr>
          <w:trHeight w:val="288"/>
        </w:trPr>
        <w:tc>
          <w:tcPr>
            <w:tcW w:w="3766" w:type="dxa"/>
            <w:gridSpan w:val="2"/>
            <w:tcBorders>
              <w:top w:val="nil"/>
              <w:left w:val="nil"/>
              <w:bottom w:val="nil"/>
              <w:right w:val="nil"/>
            </w:tcBorders>
            <w:shd w:val="clear" w:color="auto" w:fill="auto"/>
            <w:noWrap/>
            <w:vAlign w:val="bottom"/>
            <w:hideMark/>
          </w:tcPr>
          <w:p w14:paraId="3D85CD53" w14:textId="77777777" w:rsidR="00487636" w:rsidRPr="00487636" w:rsidRDefault="00487636" w:rsidP="00487636">
            <w:pPr>
              <w:rPr>
                <w:rFonts w:ascii="Arial" w:hAnsi="Arial" w:cs="Arial"/>
                <w:color w:val="000000"/>
              </w:rPr>
            </w:pPr>
            <w:r w:rsidRPr="00487636">
              <w:rPr>
                <w:rFonts w:ascii="Arial" w:hAnsi="Arial" w:cs="Arial"/>
                <w:color w:val="000000"/>
              </w:rPr>
              <w:t>Distance to residential =</w:t>
            </w:r>
          </w:p>
        </w:tc>
        <w:tc>
          <w:tcPr>
            <w:tcW w:w="1640" w:type="dxa"/>
            <w:tcBorders>
              <w:top w:val="nil"/>
              <w:left w:val="nil"/>
              <w:bottom w:val="nil"/>
              <w:right w:val="nil"/>
            </w:tcBorders>
            <w:shd w:val="clear" w:color="auto" w:fill="auto"/>
            <w:noWrap/>
            <w:vAlign w:val="bottom"/>
            <w:hideMark/>
          </w:tcPr>
          <w:p w14:paraId="3D85CD54" w14:textId="77777777" w:rsidR="00487636" w:rsidRPr="00487636" w:rsidRDefault="00487636" w:rsidP="00487636">
            <w:pPr>
              <w:jc w:val="center"/>
              <w:rPr>
                <w:rFonts w:ascii="Arial" w:hAnsi="Arial" w:cs="Arial"/>
                <w:color w:val="000000"/>
              </w:rPr>
            </w:pPr>
            <w:r w:rsidRPr="00487636">
              <w:rPr>
                <w:rFonts w:ascii="Arial" w:hAnsi="Arial" w:cs="Arial"/>
                <w:color w:val="000000"/>
              </w:rPr>
              <w:t>150</w:t>
            </w:r>
          </w:p>
        </w:tc>
        <w:tc>
          <w:tcPr>
            <w:tcW w:w="1840" w:type="dxa"/>
            <w:tcBorders>
              <w:top w:val="nil"/>
              <w:left w:val="nil"/>
              <w:bottom w:val="nil"/>
              <w:right w:val="nil"/>
            </w:tcBorders>
            <w:shd w:val="clear" w:color="auto" w:fill="auto"/>
            <w:noWrap/>
            <w:vAlign w:val="bottom"/>
            <w:hideMark/>
          </w:tcPr>
          <w:p w14:paraId="3D85CD55" w14:textId="77777777" w:rsidR="00487636" w:rsidRPr="00487636" w:rsidRDefault="00487636" w:rsidP="00487636">
            <w:pPr>
              <w:jc w:val="right"/>
              <w:rPr>
                <w:rFonts w:ascii="Arial" w:hAnsi="Arial" w:cs="Arial"/>
                <w:color w:val="000000"/>
              </w:rPr>
            </w:pPr>
            <w:r w:rsidRPr="00487636">
              <w:rPr>
                <w:rFonts w:ascii="Arial" w:hAnsi="Arial" w:cs="Arial"/>
                <w:color w:val="000000"/>
              </w:rPr>
              <w:t>0.00017</w:t>
            </w:r>
          </w:p>
        </w:tc>
        <w:tc>
          <w:tcPr>
            <w:tcW w:w="1880" w:type="dxa"/>
            <w:tcBorders>
              <w:top w:val="nil"/>
              <w:left w:val="nil"/>
              <w:bottom w:val="nil"/>
              <w:right w:val="nil"/>
            </w:tcBorders>
            <w:shd w:val="clear" w:color="auto" w:fill="auto"/>
            <w:noWrap/>
            <w:vAlign w:val="bottom"/>
            <w:hideMark/>
          </w:tcPr>
          <w:p w14:paraId="3D85CD56" w14:textId="77777777" w:rsidR="00487636" w:rsidRPr="00487636" w:rsidRDefault="00487636" w:rsidP="00487636">
            <w:pPr>
              <w:rPr>
                <w:rFonts w:ascii="Arial" w:hAnsi="Arial" w:cs="Arial"/>
                <w:color w:val="000000"/>
              </w:rPr>
            </w:pPr>
            <w:r w:rsidRPr="00487636">
              <w:rPr>
                <w:rFonts w:ascii="Arial" w:hAnsi="Arial" w:cs="Arial"/>
                <w:color w:val="000000"/>
              </w:rPr>
              <w:t>μg/m</w:t>
            </w:r>
            <w:r w:rsidRPr="00487636">
              <w:rPr>
                <w:rFonts w:ascii="Arial" w:hAnsi="Arial" w:cs="Arial"/>
                <w:color w:val="000000"/>
                <w:vertAlign w:val="superscript"/>
              </w:rPr>
              <w:t>3</w:t>
            </w:r>
            <w:r w:rsidRPr="00487636">
              <w:rPr>
                <w:rFonts w:ascii="Arial" w:hAnsi="Arial" w:cs="Arial"/>
                <w:color w:val="000000"/>
              </w:rPr>
              <w:t xml:space="preserve"> per lb/yr</w:t>
            </w:r>
          </w:p>
        </w:tc>
      </w:tr>
      <w:tr w:rsidR="00487636" w:rsidRPr="00487636" w14:paraId="3D85CD5C" w14:textId="77777777" w:rsidTr="00487636">
        <w:trPr>
          <w:trHeight w:val="288"/>
        </w:trPr>
        <w:tc>
          <w:tcPr>
            <w:tcW w:w="3766" w:type="dxa"/>
            <w:gridSpan w:val="2"/>
            <w:tcBorders>
              <w:top w:val="nil"/>
              <w:left w:val="nil"/>
              <w:bottom w:val="nil"/>
              <w:right w:val="nil"/>
            </w:tcBorders>
            <w:shd w:val="clear" w:color="auto" w:fill="auto"/>
            <w:noWrap/>
            <w:vAlign w:val="bottom"/>
            <w:hideMark/>
          </w:tcPr>
          <w:p w14:paraId="3D85CD58" w14:textId="77777777" w:rsidR="00487636" w:rsidRPr="00487636" w:rsidRDefault="00487636" w:rsidP="00487636">
            <w:pPr>
              <w:rPr>
                <w:rFonts w:ascii="Arial" w:hAnsi="Arial" w:cs="Arial"/>
                <w:color w:val="000000"/>
              </w:rPr>
            </w:pPr>
            <w:r w:rsidRPr="00487636">
              <w:rPr>
                <w:rFonts w:ascii="Arial" w:hAnsi="Arial" w:cs="Arial"/>
                <w:color w:val="000000"/>
              </w:rPr>
              <w:t>Distance to nonresident child =</w:t>
            </w:r>
          </w:p>
        </w:tc>
        <w:tc>
          <w:tcPr>
            <w:tcW w:w="1640" w:type="dxa"/>
            <w:tcBorders>
              <w:top w:val="nil"/>
              <w:left w:val="nil"/>
              <w:bottom w:val="nil"/>
              <w:right w:val="nil"/>
            </w:tcBorders>
            <w:shd w:val="clear" w:color="auto" w:fill="auto"/>
            <w:noWrap/>
            <w:vAlign w:val="bottom"/>
            <w:hideMark/>
          </w:tcPr>
          <w:p w14:paraId="3D85CD59" w14:textId="77777777" w:rsidR="00487636" w:rsidRPr="00487636" w:rsidRDefault="00487636" w:rsidP="00487636">
            <w:pPr>
              <w:jc w:val="center"/>
              <w:rPr>
                <w:rFonts w:ascii="Arial" w:hAnsi="Arial" w:cs="Arial"/>
                <w:color w:val="000000"/>
              </w:rPr>
            </w:pPr>
            <w:r w:rsidRPr="00487636">
              <w:rPr>
                <w:rFonts w:ascii="Arial" w:hAnsi="Arial" w:cs="Arial"/>
                <w:color w:val="000000"/>
              </w:rPr>
              <w:t>250</w:t>
            </w:r>
          </w:p>
        </w:tc>
        <w:tc>
          <w:tcPr>
            <w:tcW w:w="1840" w:type="dxa"/>
            <w:tcBorders>
              <w:top w:val="nil"/>
              <w:left w:val="nil"/>
              <w:bottom w:val="nil"/>
              <w:right w:val="nil"/>
            </w:tcBorders>
            <w:shd w:val="clear" w:color="auto" w:fill="auto"/>
            <w:noWrap/>
            <w:vAlign w:val="bottom"/>
            <w:hideMark/>
          </w:tcPr>
          <w:p w14:paraId="3D85CD5A" w14:textId="77777777" w:rsidR="00487636" w:rsidRPr="00487636" w:rsidRDefault="00487636" w:rsidP="00487636">
            <w:pPr>
              <w:jc w:val="right"/>
              <w:rPr>
                <w:rFonts w:ascii="Arial" w:hAnsi="Arial" w:cs="Arial"/>
                <w:color w:val="000000"/>
              </w:rPr>
            </w:pPr>
            <w:r w:rsidRPr="00487636">
              <w:rPr>
                <w:rFonts w:ascii="Arial" w:hAnsi="Arial" w:cs="Arial"/>
                <w:color w:val="000000"/>
              </w:rPr>
              <w:t>0.00010</w:t>
            </w:r>
          </w:p>
        </w:tc>
        <w:tc>
          <w:tcPr>
            <w:tcW w:w="1880" w:type="dxa"/>
            <w:tcBorders>
              <w:top w:val="nil"/>
              <w:left w:val="nil"/>
              <w:bottom w:val="nil"/>
              <w:right w:val="nil"/>
            </w:tcBorders>
            <w:shd w:val="clear" w:color="auto" w:fill="auto"/>
            <w:noWrap/>
            <w:vAlign w:val="bottom"/>
            <w:hideMark/>
          </w:tcPr>
          <w:p w14:paraId="3D85CD5B" w14:textId="77777777" w:rsidR="00487636" w:rsidRPr="00487636" w:rsidRDefault="00487636" w:rsidP="00487636">
            <w:pPr>
              <w:rPr>
                <w:rFonts w:ascii="Arial" w:hAnsi="Arial" w:cs="Arial"/>
                <w:color w:val="000000"/>
              </w:rPr>
            </w:pPr>
          </w:p>
        </w:tc>
      </w:tr>
      <w:tr w:rsidR="00487636" w:rsidRPr="00487636" w14:paraId="3D85CD61" w14:textId="77777777" w:rsidTr="00487636">
        <w:trPr>
          <w:trHeight w:val="288"/>
        </w:trPr>
        <w:tc>
          <w:tcPr>
            <w:tcW w:w="3766" w:type="dxa"/>
            <w:gridSpan w:val="2"/>
            <w:tcBorders>
              <w:top w:val="nil"/>
              <w:left w:val="nil"/>
              <w:bottom w:val="nil"/>
              <w:right w:val="nil"/>
            </w:tcBorders>
            <w:shd w:val="clear" w:color="auto" w:fill="auto"/>
            <w:noWrap/>
            <w:vAlign w:val="bottom"/>
            <w:hideMark/>
          </w:tcPr>
          <w:p w14:paraId="3D85CD5D" w14:textId="77777777" w:rsidR="00487636" w:rsidRPr="00487636" w:rsidRDefault="00487636" w:rsidP="00487636">
            <w:pPr>
              <w:rPr>
                <w:rFonts w:ascii="Arial" w:hAnsi="Arial" w:cs="Arial"/>
                <w:color w:val="000000"/>
              </w:rPr>
            </w:pPr>
            <w:r w:rsidRPr="00487636">
              <w:rPr>
                <w:rFonts w:ascii="Arial" w:hAnsi="Arial" w:cs="Arial"/>
                <w:color w:val="000000"/>
              </w:rPr>
              <w:t>Distance to nonresident worker =</w:t>
            </w:r>
          </w:p>
        </w:tc>
        <w:tc>
          <w:tcPr>
            <w:tcW w:w="1640" w:type="dxa"/>
            <w:tcBorders>
              <w:top w:val="nil"/>
              <w:left w:val="nil"/>
              <w:bottom w:val="nil"/>
              <w:right w:val="nil"/>
            </w:tcBorders>
            <w:shd w:val="clear" w:color="auto" w:fill="auto"/>
            <w:noWrap/>
            <w:vAlign w:val="bottom"/>
            <w:hideMark/>
          </w:tcPr>
          <w:p w14:paraId="3D85CD5E" w14:textId="77777777" w:rsidR="00487636" w:rsidRPr="00487636" w:rsidRDefault="00487636" w:rsidP="00487636">
            <w:pPr>
              <w:jc w:val="center"/>
              <w:rPr>
                <w:rFonts w:ascii="Arial" w:hAnsi="Arial" w:cs="Arial"/>
                <w:color w:val="000000"/>
              </w:rPr>
            </w:pPr>
            <w:r w:rsidRPr="00487636">
              <w:rPr>
                <w:rFonts w:ascii="Arial" w:hAnsi="Arial" w:cs="Arial"/>
                <w:color w:val="000000"/>
              </w:rPr>
              <w:t>250</w:t>
            </w:r>
          </w:p>
        </w:tc>
        <w:tc>
          <w:tcPr>
            <w:tcW w:w="1840" w:type="dxa"/>
            <w:tcBorders>
              <w:top w:val="nil"/>
              <w:left w:val="nil"/>
              <w:bottom w:val="nil"/>
              <w:right w:val="nil"/>
            </w:tcBorders>
            <w:shd w:val="clear" w:color="auto" w:fill="auto"/>
            <w:noWrap/>
            <w:vAlign w:val="bottom"/>
            <w:hideMark/>
          </w:tcPr>
          <w:p w14:paraId="3D85CD5F" w14:textId="77777777" w:rsidR="00487636" w:rsidRPr="00487636" w:rsidRDefault="00487636" w:rsidP="00487636">
            <w:pPr>
              <w:jc w:val="right"/>
              <w:rPr>
                <w:rFonts w:ascii="Arial" w:hAnsi="Arial" w:cs="Arial"/>
                <w:color w:val="000000"/>
              </w:rPr>
            </w:pPr>
            <w:r w:rsidRPr="00487636">
              <w:rPr>
                <w:rFonts w:ascii="Arial" w:hAnsi="Arial" w:cs="Arial"/>
                <w:color w:val="000000"/>
              </w:rPr>
              <w:t>0.00010</w:t>
            </w:r>
          </w:p>
        </w:tc>
        <w:tc>
          <w:tcPr>
            <w:tcW w:w="1880" w:type="dxa"/>
            <w:tcBorders>
              <w:top w:val="nil"/>
              <w:left w:val="nil"/>
              <w:bottom w:val="nil"/>
              <w:right w:val="nil"/>
            </w:tcBorders>
            <w:shd w:val="clear" w:color="auto" w:fill="auto"/>
            <w:noWrap/>
            <w:vAlign w:val="bottom"/>
            <w:hideMark/>
          </w:tcPr>
          <w:p w14:paraId="3D85CD60" w14:textId="77777777" w:rsidR="00487636" w:rsidRPr="00487636" w:rsidRDefault="00487636" w:rsidP="00487636">
            <w:pPr>
              <w:rPr>
                <w:rFonts w:ascii="Arial" w:hAnsi="Arial" w:cs="Arial"/>
                <w:color w:val="000000"/>
              </w:rPr>
            </w:pPr>
          </w:p>
        </w:tc>
      </w:tr>
      <w:tr w:rsidR="00487636" w:rsidRPr="00487636" w14:paraId="3D85CD66" w14:textId="77777777" w:rsidTr="00487636">
        <w:trPr>
          <w:trHeight w:val="288"/>
        </w:trPr>
        <w:tc>
          <w:tcPr>
            <w:tcW w:w="3766" w:type="dxa"/>
            <w:gridSpan w:val="2"/>
            <w:tcBorders>
              <w:top w:val="nil"/>
              <w:left w:val="nil"/>
              <w:bottom w:val="nil"/>
              <w:right w:val="nil"/>
            </w:tcBorders>
            <w:shd w:val="clear" w:color="auto" w:fill="auto"/>
            <w:noWrap/>
            <w:vAlign w:val="bottom"/>
            <w:hideMark/>
          </w:tcPr>
          <w:p w14:paraId="3D85CD62" w14:textId="77777777" w:rsidR="00487636" w:rsidRPr="00487636" w:rsidRDefault="00487636" w:rsidP="00487636">
            <w:pPr>
              <w:rPr>
                <w:rFonts w:ascii="Arial" w:hAnsi="Arial" w:cs="Arial"/>
                <w:color w:val="000000"/>
              </w:rPr>
            </w:pPr>
            <w:r w:rsidRPr="00487636">
              <w:rPr>
                <w:rFonts w:ascii="Arial" w:hAnsi="Arial" w:cs="Arial"/>
                <w:color w:val="000000"/>
              </w:rPr>
              <w:t>Distance to acute =</w:t>
            </w:r>
          </w:p>
        </w:tc>
        <w:tc>
          <w:tcPr>
            <w:tcW w:w="1640" w:type="dxa"/>
            <w:tcBorders>
              <w:top w:val="nil"/>
              <w:left w:val="nil"/>
              <w:bottom w:val="nil"/>
              <w:right w:val="nil"/>
            </w:tcBorders>
            <w:shd w:val="clear" w:color="auto" w:fill="auto"/>
            <w:noWrap/>
            <w:vAlign w:val="bottom"/>
            <w:hideMark/>
          </w:tcPr>
          <w:p w14:paraId="3D85CD63" w14:textId="77777777" w:rsidR="00487636" w:rsidRPr="00487636" w:rsidRDefault="00487636" w:rsidP="00487636">
            <w:pPr>
              <w:jc w:val="center"/>
              <w:rPr>
                <w:rFonts w:ascii="Arial" w:hAnsi="Arial" w:cs="Arial"/>
                <w:color w:val="000000"/>
              </w:rPr>
            </w:pPr>
            <w:r w:rsidRPr="00487636">
              <w:rPr>
                <w:rFonts w:ascii="Arial" w:hAnsi="Arial" w:cs="Arial"/>
                <w:color w:val="000000"/>
              </w:rPr>
              <w:t>135</w:t>
            </w:r>
          </w:p>
        </w:tc>
        <w:tc>
          <w:tcPr>
            <w:tcW w:w="1840" w:type="dxa"/>
            <w:tcBorders>
              <w:top w:val="nil"/>
              <w:left w:val="nil"/>
              <w:bottom w:val="nil"/>
              <w:right w:val="nil"/>
            </w:tcBorders>
            <w:shd w:val="clear" w:color="auto" w:fill="auto"/>
            <w:noWrap/>
            <w:vAlign w:val="bottom"/>
            <w:hideMark/>
          </w:tcPr>
          <w:p w14:paraId="3D85CD64" w14:textId="77777777" w:rsidR="00487636" w:rsidRPr="00487636" w:rsidRDefault="00487636" w:rsidP="00487636">
            <w:pPr>
              <w:jc w:val="right"/>
              <w:rPr>
                <w:rFonts w:ascii="Arial" w:hAnsi="Arial" w:cs="Arial"/>
                <w:color w:val="000000"/>
              </w:rPr>
            </w:pPr>
            <w:r w:rsidRPr="00487636">
              <w:rPr>
                <w:rFonts w:ascii="Arial" w:hAnsi="Arial" w:cs="Arial"/>
                <w:color w:val="000000"/>
              </w:rPr>
              <w:t>0.635</w:t>
            </w:r>
          </w:p>
        </w:tc>
        <w:tc>
          <w:tcPr>
            <w:tcW w:w="1880" w:type="dxa"/>
            <w:tcBorders>
              <w:top w:val="nil"/>
              <w:left w:val="nil"/>
              <w:bottom w:val="nil"/>
              <w:right w:val="nil"/>
            </w:tcBorders>
            <w:shd w:val="clear" w:color="auto" w:fill="auto"/>
            <w:noWrap/>
            <w:vAlign w:val="bottom"/>
            <w:hideMark/>
          </w:tcPr>
          <w:p w14:paraId="3D85CD65" w14:textId="77777777" w:rsidR="00487636" w:rsidRPr="00487636" w:rsidRDefault="00487636" w:rsidP="00487636">
            <w:pPr>
              <w:rPr>
                <w:rFonts w:ascii="Arial" w:hAnsi="Arial" w:cs="Arial"/>
                <w:color w:val="000000"/>
              </w:rPr>
            </w:pPr>
            <w:r w:rsidRPr="00487636">
              <w:rPr>
                <w:rFonts w:ascii="Arial" w:hAnsi="Arial" w:cs="Arial"/>
                <w:color w:val="000000"/>
              </w:rPr>
              <w:t>μg/m</w:t>
            </w:r>
            <w:r w:rsidRPr="00487636">
              <w:rPr>
                <w:rFonts w:ascii="Arial" w:hAnsi="Arial" w:cs="Arial"/>
                <w:color w:val="000000"/>
                <w:vertAlign w:val="superscript"/>
              </w:rPr>
              <w:t>3</w:t>
            </w:r>
            <w:r w:rsidRPr="00487636">
              <w:rPr>
                <w:rFonts w:ascii="Arial" w:hAnsi="Arial" w:cs="Arial"/>
                <w:color w:val="000000"/>
              </w:rPr>
              <w:t xml:space="preserve"> per lb/day</w:t>
            </w:r>
          </w:p>
        </w:tc>
      </w:tr>
      <w:tr w:rsidR="0010235F" w:rsidRPr="00487636" w14:paraId="3D85CD6B" w14:textId="77777777" w:rsidTr="0010235F">
        <w:trPr>
          <w:trHeight w:val="288"/>
        </w:trPr>
        <w:tc>
          <w:tcPr>
            <w:tcW w:w="1366" w:type="dxa"/>
            <w:tcBorders>
              <w:top w:val="nil"/>
              <w:left w:val="nil"/>
              <w:bottom w:val="nil"/>
              <w:right w:val="nil"/>
            </w:tcBorders>
            <w:shd w:val="clear" w:color="auto" w:fill="auto"/>
            <w:noWrap/>
            <w:vAlign w:val="bottom"/>
            <w:hideMark/>
          </w:tcPr>
          <w:p w14:paraId="3D85CD67" w14:textId="77777777" w:rsidR="0010235F" w:rsidRPr="00487636" w:rsidRDefault="0010235F" w:rsidP="00487636">
            <w:pPr>
              <w:rPr>
                <w:rFonts w:ascii="Arial" w:hAnsi="Arial" w:cs="Arial"/>
                <w:color w:val="000000"/>
              </w:rPr>
            </w:pPr>
          </w:p>
        </w:tc>
        <w:tc>
          <w:tcPr>
            <w:tcW w:w="2400" w:type="dxa"/>
            <w:tcBorders>
              <w:top w:val="nil"/>
              <w:left w:val="nil"/>
              <w:bottom w:val="nil"/>
              <w:right w:val="nil"/>
            </w:tcBorders>
            <w:shd w:val="clear" w:color="auto" w:fill="auto"/>
            <w:noWrap/>
            <w:vAlign w:val="bottom"/>
            <w:hideMark/>
          </w:tcPr>
          <w:p w14:paraId="3D85CD68" w14:textId="77777777" w:rsidR="0010235F" w:rsidRPr="00487636" w:rsidRDefault="0010235F" w:rsidP="00487636">
            <w:pPr>
              <w:rPr>
                <w:rFonts w:ascii="Arial" w:hAnsi="Arial" w:cs="Arial"/>
                <w:color w:val="000000"/>
              </w:rPr>
            </w:pPr>
          </w:p>
        </w:tc>
        <w:tc>
          <w:tcPr>
            <w:tcW w:w="1640" w:type="dxa"/>
            <w:tcBorders>
              <w:top w:val="nil"/>
              <w:left w:val="nil"/>
              <w:bottom w:val="nil"/>
              <w:right w:val="nil"/>
            </w:tcBorders>
            <w:shd w:val="clear" w:color="auto" w:fill="auto"/>
            <w:noWrap/>
            <w:vAlign w:val="bottom"/>
            <w:hideMark/>
          </w:tcPr>
          <w:p w14:paraId="3D85CD69" w14:textId="77777777" w:rsidR="0010235F" w:rsidRPr="00487636" w:rsidRDefault="0010235F" w:rsidP="00487636">
            <w:pPr>
              <w:rPr>
                <w:rFonts w:ascii="Arial" w:hAnsi="Arial" w:cs="Arial"/>
                <w:color w:val="000000"/>
              </w:rPr>
            </w:pPr>
          </w:p>
        </w:tc>
        <w:tc>
          <w:tcPr>
            <w:tcW w:w="3720" w:type="dxa"/>
            <w:gridSpan w:val="2"/>
            <w:tcBorders>
              <w:top w:val="nil"/>
              <w:left w:val="nil"/>
              <w:bottom w:val="nil"/>
            </w:tcBorders>
            <w:shd w:val="clear" w:color="auto" w:fill="auto"/>
            <w:noWrap/>
            <w:vAlign w:val="bottom"/>
            <w:hideMark/>
          </w:tcPr>
          <w:p w14:paraId="3D85CD6A" w14:textId="77777777" w:rsidR="0010235F" w:rsidRPr="0010235F" w:rsidRDefault="0010235F" w:rsidP="00487636">
            <w:pPr>
              <w:rPr>
                <w:rFonts w:ascii="Arial" w:hAnsi="Arial" w:cs="Arial"/>
                <w:color w:val="000000"/>
                <w:sz w:val="20"/>
                <w:szCs w:val="20"/>
              </w:rPr>
            </w:pPr>
            <w:r w:rsidRPr="0010235F">
              <w:rPr>
                <w:rFonts w:ascii="Arial" w:hAnsi="Arial" w:cs="Arial"/>
                <w:color w:val="000000"/>
                <w:sz w:val="20"/>
                <w:szCs w:val="20"/>
              </w:rPr>
              <w:t>(interpolated between 0.62 and 0.65)</w:t>
            </w:r>
            <w:r>
              <w:rPr>
                <w:rFonts w:ascii="Arial" w:hAnsi="Arial" w:cs="Arial"/>
                <w:color w:val="000000"/>
                <w:sz w:val="20"/>
                <w:szCs w:val="20"/>
              </w:rPr>
              <w:br/>
            </w:r>
          </w:p>
        </w:tc>
      </w:tr>
    </w:tbl>
    <w:p w14:paraId="3D85CD6C" w14:textId="77777777" w:rsidR="00487636" w:rsidRPr="00487636" w:rsidRDefault="00487636" w:rsidP="00487636">
      <w:pPr>
        <w:pStyle w:val="NoSpacing"/>
        <w:jc w:val="center"/>
        <w:rPr>
          <w:rFonts w:ascii="Arial" w:hAnsi="Arial" w:cs="Arial"/>
          <w:b/>
        </w:rPr>
      </w:pPr>
      <w:r w:rsidRPr="00487636">
        <w:rPr>
          <w:rFonts w:ascii="Arial" w:hAnsi="Arial" w:cs="Arial"/>
          <w:b/>
        </w:rPr>
        <w:t>Ex</w:t>
      </w:r>
      <w:r w:rsidR="0010235F">
        <w:rPr>
          <w:rFonts w:ascii="Arial" w:hAnsi="Arial" w:cs="Arial"/>
          <w:b/>
        </w:rPr>
        <w:t>ample</w:t>
      </w:r>
      <w:r w:rsidRPr="00487636">
        <w:rPr>
          <w:rFonts w:ascii="Arial" w:hAnsi="Arial" w:cs="Arial"/>
          <w:b/>
        </w:rPr>
        <w:t xml:space="preserve"> 1</w:t>
      </w:r>
      <w:r w:rsidR="00A37F3E">
        <w:rPr>
          <w:rFonts w:ascii="Arial" w:hAnsi="Arial" w:cs="Arial"/>
          <w:b/>
        </w:rPr>
        <w:t>-2</w:t>
      </w:r>
      <w:r w:rsidRPr="00487636">
        <w:rPr>
          <w:rFonts w:ascii="Arial" w:hAnsi="Arial" w:cs="Arial"/>
          <w:b/>
        </w:rPr>
        <w:t xml:space="preserve"> –Level 1 Calculation of Air Concentrations</w:t>
      </w:r>
    </w:p>
    <w:p w14:paraId="3D85CD6D" w14:textId="77777777" w:rsidR="00487636" w:rsidRPr="00487636" w:rsidRDefault="00487636" w:rsidP="00487636">
      <w:pPr>
        <w:pStyle w:val="NoSpacing"/>
        <w:rPr>
          <w:rFonts w:ascii="Arial" w:hAnsi="Arial" w:cs="Arial"/>
        </w:rPr>
      </w:pPr>
    </w:p>
    <w:p w14:paraId="3D85CD6E" w14:textId="77777777" w:rsidR="00487636" w:rsidRPr="00487636" w:rsidRDefault="00487636" w:rsidP="00487636">
      <w:pPr>
        <w:pStyle w:val="NoSpacing"/>
        <w:rPr>
          <w:rFonts w:ascii="Arial" w:hAnsi="Arial" w:cs="Arial"/>
        </w:rPr>
      </w:pPr>
    </w:p>
    <w:tbl>
      <w:tblPr>
        <w:tblW w:w="12930" w:type="dxa"/>
        <w:tblInd w:w="96" w:type="dxa"/>
        <w:tblLook w:val="04A0" w:firstRow="1" w:lastRow="0" w:firstColumn="1" w:lastColumn="0" w:noHBand="0" w:noVBand="1"/>
      </w:tblPr>
      <w:tblGrid>
        <w:gridCol w:w="1550"/>
        <w:gridCol w:w="2320"/>
        <w:gridCol w:w="1640"/>
        <w:gridCol w:w="1840"/>
        <w:gridCol w:w="1880"/>
        <w:gridCol w:w="1860"/>
        <w:gridCol w:w="1840"/>
      </w:tblGrid>
      <w:tr w:rsidR="00487636" w:rsidRPr="00487636" w14:paraId="3D85CD76" w14:textId="77777777" w:rsidTr="00E103E8">
        <w:trPr>
          <w:trHeight w:val="288"/>
        </w:trPr>
        <w:tc>
          <w:tcPr>
            <w:tcW w:w="1550" w:type="dxa"/>
            <w:tcBorders>
              <w:top w:val="single" w:sz="4" w:space="0" w:color="auto"/>
              <w:left w:val="single" w:sz="4" w:space="0" w:color="auto"/>
              <w:bottom w:val="nil"/>
              <w:right w:val="nil"/>
            </w:tcBorders>
            <w:shd w:val="clear" w:color="auto" w:fill="auto"/>
            <w:noWrap/>
            <w:vAlign w:val="bottom"/>
            <w:hideMark/>
          </w:tcPr>
          <w:p w14:paraId="3D85CD6F" w14:textId="77777777" w:rsidR="00487636" w:rsidRPr="00487636" w:rsidRDefault="00487636" w:rsidP="00487636">
            <w:pPr>
              <w:rPr>
                <w:rFonts w:ascii="Arial" w:hAnsi="Arial" w:cs="Arial"/>
                <w:color w:val="000000"/>
              </w:rPr>
            </w:pPr>
            <w:r w:rsidRPr="00487636">
              <w:rPr>
                <w:rFonts w:ascii="Arial" w:hAnsi="Arial" w:cs="Arial"/>
                <w:color w:val="000000"/>
              </w:rPr>
              <w:t> </w:t>
            </w:r>
          </w:p>
        </w:tc>
        <w:tc>
          <w:tcPr>
            <w:tcW w:w="2320" w:type="dxa"/>
            <w:tcBorders>
              <w:top w:val="single" w:sz="4" w:space="0" w:color="auto"/>
              <w:left w:val="nil"/>
              <w:bottom w:val="nil"/>
              <w:right w:val="nil"/>
            </w:tcBorders>
            <w:shd w:val="clear" w:color="auto" w:fill="auto"/>
            <w:noWrap/>
            <w:vAlign w:val="bottom"/>
            <w:hideMark/>
          </w:tcPr>
          <w:p w14:paraId="3D85CD70" w14:textId="77777777" w:rsidR="00487636" w:rsidRPr="00487636" w:rsidRDefault="00487636" w:rsidP="00487636">
            <w:pPr>
              <w:jc w:val="center"/>
              <w:rPr>
                <w:rFonts w:ascii="Arial" w:hAnsi="Arial" w:cs="Arial"/>
                <w:b/>
                <w:bCs/>
                <w:color w:val="000000"/>
              </w:rPr>
            </w:pPr>
          </w:p>
        </w:tc>
        <w:tc>
          <w:tcPr>
            <w:tcW w:w="1640" w:type="dxa"/>
            <w:tcBorders>
              <w:top w:val="single" w:sz="4" w:space="0" w:color="auto"/>
              <w:left w:val="nil"/>
              <w:bottom w:val="nil"/>
              <w:right w:val="nil"/>
            </w:tcBorders>
            <w:shd w:val="clear" w:color="auto" w:fill="auto"/>
            <w:noWrap/>
            <w:vAlign w:val="bottom"/>
            <w:hideMark/>
          </w:tcPr>
          <w:p w14:paraId="3D85CD71" w14:textId="77777777" w:rsidR="00487636" w:rsidRPr="00487636" w:rsidRDefault="009B117D" w:rsidP="00487636">
            <w:pPr>
              <w:jc w:val="center"/>
              <w:rPr>
                <w:rFonts w:ascii="Arial" w:hAnsi="Arial" w:cs="Arial"/>
                <w:b/>
                <w:bCs/>
                <w:color w:val="000000"/>
              </w:rPr>
            </w:pPr>
            <w:r>
              <w:rPr>
                <w:rFonts w:ascii="Arial" w:hAnsi="Arial" w:cs="Arial"/>
                <w:b/>
                <w:bCs/>
                <w:color w:val="000000"/>
              </w:rPr>
              <w:t>24-Hour</w:t>
            </w:r>
          </w:p>
        </w:tc>
        <w:tc>
          <w:tcPr>
            <w:tcW w:w="1840" w:type="dxa"/>
            <w:tcBorders>
              <w:top w:val="single" w:sz="4" w:space="0" w:color="auto"/>
              <w:left w:val="nil"/>
              <w:bottom w:val="nil"/>
              <w:right w:val="nil"/>
            </w:tcBorders>
            <w:shd w:val="clear" w:color="auto" w:fill="auto"/>
            <w:noWrap/>
            <w:vAlign w:val="bottom"/>
            <w:hideMark/>
          </w:tcPr>
          <w:p w14:paraId="3D85CD72" w14:textId="77777777" w:rsidR="00031A6A" w:rsidRPr="00487636" w:rsidRDefault="00487636" w:rsidP="00031A6A">
            <w:pPr>
              <w:jc w:val="center"/>
              <w:rPr>
                <w:rFonts w:ascii="Arial" w:hAnsi="Arial" w:cs="Arial"/>
                <w:b/>
                <w:bCs/>
                <w:color w:val="000000"/>
              </w:rPr>
            </w:pPr>
            <w:r w:rsidRPr="00487636">
              <w:rPr>
                <w:rFonts w:ascii="Arial" w:hAnsi="Arial" w:cs="Arial"/>
                <w:b/>
                <w:bCs/>
                <w:color w:val="000000"/>
              </w:rPr>
              <w:t>Calc</w:t>
            </w:r>
            <w:r w:rsidR="009B117D">
              <w:rPr>
                <w:rFonts w:ascii="Arial" w:hAnsi="Arial" w:cs="Arial"/>
                <w:b/>
                <w:bCs/>
                <w:color w:val="000000"/>
              </w:rPr>
              <w:t>.</w:t>
            </w:r>
            <w:r w:rsidRPr="00487636">
              <w:rPr>
                <w:rFonts w:ascii="Arial" w:hAnsi="Arial" w:cs="Arial"/>
                <w:b/>
                <w:bCs/>
                <w:color w:val="000000"/>
              </w:rPr>
              <w:t xml:space="preserve"> Annual</w:t>
            </w:r>
          </w:p>
        </w:tc>
        <w:tc>
          <w:tcPr>
            <w:tcW w:w="1880" w:type="dxa"/>
            <w:tcBorders>
              <w:top w:val="single" w:sz="4" w:space="0" w:color="auto"/>
              <w:left w:val="nil"/>
              <w:bottom w:val="nil"/>
              <w:right w:val="nil"/>
            </w:tcBorders>
            <w:shd w:val="clear" w:color="auto" w:fill="auto"/>
            <w:noWrap/>
            <w:vAlign w:val="bottom"/>
            <w:hideMark/>
          </w:tcPr>
          <w:p w14:paraId="3D85CD73"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Calc</w:t>
            </w:r>
            <w:r w:rsidR="009B117D">
              <w:rPr>
                <w:rFonts w:ascii="Arial" w:hAnsi="Arial" w:cs="Arial"/>
                <w:b/>
                <w:bCs/>
                <w:color w:val="000000"/>
              </w:rPr>
              <w:t>.</w:t>
            </w:r>
            <w:r w:rsidRPr="00487636">
              <w:rPr>
                <w:rFonts w:ascii="Arial" w:hAnsi="Arial" w:cs="Arial"/>
                <w:b/>
                <w:bCs/>
                <w:color w:val="000000"/>
              </w:rPr>
              <w:t xml:space="preserve"> Annual</w:t>
            </w:r>
          </w:p>
        </w:tc>
        <w:tc>
          <w:tcPr>
            <w:tcW w:w="1860" w:type="dxa"/>
            <w:tcBorders>
              <w:top w:val="single" w:sz="4" w:space="0" w:color="auto"/>
              <w:left w:val="nil"/>
              <w:bottom w:val="nil"/>
              <w:right w:val="nil"/>
            </w:tcBorders>
            <w:shd w:val="clear" w:color="auto" w:fill="auto"/>
            <w:noWrap/>
            <w:vAlign w:val="bottom"/>
            <w:hideMark/>
          </w:tcPr>
          <w:p w14:paraId="3D85CD74"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Calc</w:t>
            </w:r>
            <w:r w:rsidR="009B117D">
              <w:rPr>
                <w:rFonts w:ascii="Arial" w:hAnsi="Arial" w:cs="Arial"/>
                <w:b/>
                <w:bCs/>
                <w:color w:val="000000"/>
              </w:rPr>
              <w:t>.</w:t>
            </w:r>
            <w:r w:rsidRPr="00487636">
              <w:rPr>
                <w:rFonts w:ascii="Arial" w:hAnsi="Arial" w:cs="Arial"/>
                <w:b/>
                <w:bCs/>
                <w:color w:val="000000"/>
              </w:rPr>
              <w:t xml:space="preserve"> Annual</w:t>
            </w:r>
          </w:p>
        </w:tc>
        <w:tc>
          <w:tcPr>
            <w:tcW w:w="1840" w:type="dxa"/>
            <w:tcBorders>
              <w:top w:val="single" w:sz="4" w:space="0" w:color="auto"/>
              <w:left w:val="nil"/>
              <w:bottom w:val="nil"/>
              <w:right w:val="single" w:sz="4" w:space="0" w:color="auto"/>
            </w:tcBorders>
            <w:shd w:val="clear" w:color="auto" w:fill="auto"/>
            <w:noWrap/>
            <w:vAlign w:val="bottom"/>
            <w:hideMark/>
          </w:tcPr>
          <w:p w14:paraId="3D85CD75" w14:textId="77777777" w:rsidR="00487636" w:rsidRPr="00487636" w:rsidRDefault="00487636" w:rsidP="003C6ED1">
            <w:pPr>
              <w:jc w:val="center"/>
              <w:rPr>
                <w:rFonts w:ascii="Arial" w:hAnsi="Arial" w:cs="Arial"/>
                <w:b/>
                <w:bCs/>
                <w:color w:val="000000"/>
              </w:rPr>
            </w:pPr>
            <w:r w:rsidRPr="00487636">
              <w:rPr>
                <w:rFonts w:ascii="Arial" w:hAnsi="Arial" w:cs="Arial"/>
                <w:b/>
                <w:bCs/>
                <w:color w:val="000000"/>
              </w:rPr>
              <w:t>Calc</w:t>
            </w:r>
            <w:r w:rsidR="003C6ED1">
              <w:rPr>
                <w:rFonts w:ascii="Arial" w:hAnsi="Arial" w:cs="Arial"/>
                <w:b/>
                <w:bCs/>
                <w:color w:val="000000"/>
              </w:rPr>
              <w:t>ulated</w:t>
            </w:r>
          </w:p>
        </w:tc>
      </w:tr>
      <w:tr w:rsidR="00487636" w:rsidRPr="00487636" w14:paraId="3D85CD7E" w14:textId="77777777" w:rsidTr="00E103E8">
        <w:trPr>
          <w:trHeight w:val="288"/>
        </w:trPr>
        <w:tc>
          <w:tcPr>
            <w:tcW w:w="1550" w:type="dxa"/>
            <w:tcBorders>
              <w:top w:val="nil"/>
              <w:left w:val="single" w:sz="4" w:space="0" w:color="auto"/>
              <w:bottom w:val="nil"/>
              <w:right w:val="nil"/>
            </w:tcBorders>
            <w:shd w:val="clear" w:color="auto" w:fill="auto"/>
            <w:noWrap/>
            <w:vAlign w:val="bottom"/>
            <w:hideMark/>
          </w:tcPr>
          <w:p w14:paraId="3D85CD77" w14:textId="77777777" w:rsidR="00487636" w:rsidRPr="00487636" w:rsidRDefault="00487636" w:rsidP="00487636">
            <w:pPr>
              <w:rPr>
                <w:rFonts w:ascii="Arial" w:hAnsi="Arial" w:cs="Arial"/>
                <w:b/>
                <w:bCs/>
                <w:color w:val="000000"/>
              </w:rPr>
            </w:pPr>
            <w:r w:rsidRPr="00487636">
              <w:rPr>
                <w:rFonts w:ascii="Arial" w:hAnsi="Arial" w:cs="Arial"/>
                <w:b/>
                <w:bCs/>
                <w:color w:val="000000"/>
              </w:rPr>
              <w:t> </w:t>
            </w:r>
          </w:p>
        </w:tc>
        <w:tc>
          <w:tcPr>
            <w:tcW w:w="2320" w:type="dxa"/>
            <w:tcBorders>
              <w:top w:val="nil"/>
              <w:left w:val="nil"/>
              <w:bottom w:val="nil"/>
              <w:right w:val="nil"/>
            </w:tcBorders>
            <w:shd w:val="clear" w:color="auto" w:fill="auto"/>
            <w:noWrap/>
            <w:vAlign w:val="bottom"/>
            <w:hideMark/>
          </w:tcPr>
          <w:p w14:paraId="3D85CD78" w14:textId="77777777" w:rsidR="00487636" w:rsidRPr="00487636" w:rsidRDefault="009B117D" w:rsidP="009B117D">
            <w:pPr>
              <w:jc w:val="center"/>
              <w:rPr>
                <w:rFonts w:ascii="Arial" w:hAnsi="Arial" w:cs="Arial"/>
                <w:b/>
                <w:bCs/>
                <w:color w:val="000000"/>
              </w:rPr>
            </w:pPr>
            <w:r>
              <w:rPr>
                <w:rFonts w:ascii="Arial" w:hAnsi="Arial" w:cs="Arial"/>
                <w:b/>
                <w:bCs/>
                <w:color w:val="000000"/>
              </w:rPr>
              <w:t>Annual</w:t>
            </w:r>
            <w:r>
              <w:rPr>
                <w:rFonts w:ascii="Arial" w:hAnsi="Arial" w:cs="Arial"/>
                <w:b/>
                <w:bCs/>
                <w:color w:val="000000"/>
              </w:rPr>
              <w:br/>
            </w:r>
            <w:r w:rsidR="00487636" w:rsidRPr="00487636">
              <w:rPr>
                <w:rFonts w:ascii="Arial" w:hAnsi="Arial" w:cs="Arial"/>
                <w:b/>
                <w:bCs/>
                <w:color w:val="000000"/>
              </w:rPr>
              <w:t>Emission Rate</w:t>
            </w:r>
          </w:p>
        </w:tc>
        <w:tc>
          <w:tcPr>
            <w:tcW w:w="1640" w:type="dxa"/>
            <w:tcBorders>
              <w:top w:val="nil"/>
              <w:left w:val="nil"/>
              <w:bottom w:val="nil"/>
              <w:right w:val="nil"/>
            </w:tcBorders>
            <w:shd w:val="clear" w:color="auto" w:fill="auto"/>
            <w:noWrap/>
            <w:vAlign w:val="bottom"/>
            <w:hideMark/>
          </w:tcPr>
          <w:p w14:paraId="3D85CD79"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Emission Rate</w:t>
            </w:r>
          </w:p>
        </w:tc>
        <w:tc>
          <w:tcPr>
            <w:tcW w:w="1840" w:type="dxa"/>
            <w:tcBorders>
              <w:top w:val="nil"/>
              <w:left w:val="nil"/>
              <w:bottom w:val="nil"/>
              <w:right w:val="nil"/>
            </w:tcBorders>
            <w:shd w:val="clear" w:color="auto" w:fill="auto"/>
            <w:noWrap/>
            <w:vAlign w:val="bottom"/>
            <w:hideMark/>
          </w:tcPr>
          <w:p w14:paraId="3D85CD7A"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Resid</w:t>
            </w:r>
            <w:r w:rsidR="00031A6A">
              <w:rPr>
                <w:rFonts w:ascii="Arial" w:hAnsi="Arial" w:cs="Arial"/>
                <w:b/>
                <w:bCs/>
                <w:color w:val="000000"/>
              </w:rPr>
              <w:t>ential</w:t>
            </w:r>
            <w:r w:rsidRPr="00487636">
              <w:rPr>
                <w:rFonts w:ascii="Arial" w:hAnsi="Arial" w:cs="Arial"/>
                <w:b/>
                <w:bCs/>
                <w:color w:val="000000"/>
              </w:rPr>
              <w:t xml:space="preserve"> Conc</w:t>
            </w:r>
            <w:r w:rsidR="00031A6A">
              <w:rPr>
                <w:rFonts w:ascii="Arial" w:hAnsi="Arial" w:cs="Arial"/>
                <w:b/>
                <w:bCs/>
                <w:color w:val="000000"/>
              </w:rPr>
              <w:t>entration</w:t>
            </w:r>
          </w:p>
        </w:tc>
        <w:tc>
          <w:tcPr>
            <w:tcW w:w="1880" w:type="dxa"/>
            <w:tcBorders>
              <w:top w:val="nil"/>
              <w:left w:val="nil"/>
              <w:bottom w:val="nil"/>
              <w:right w:val="nil"/>
            </w:tcBorders>
            <w:shd w:val="clear" w:color="auto" w:fill="auto"/>
            <w:noWrap/>
            <w:vAlign w:val="bottom"/>
            <w:hideMark/>
          </w:tcPr>
          <w:p w14:paraId="3D85CD7B" w14:textId="77777777" w:rsidR="00487636" w:rsidRPr="00487636" w:rsidRDefault="00487636" w:rsidP="00031A6A">
            <w:pPr>
              <w:jc w:val="center"/>
              <w:rPr>
                <w:rFonts w:ascii="Arial" w:hAnsi="Arial" w:cs="Arial"/>
                <w:b/>
                <w:bCs/>
                <w:color w:val="000000"/>
              </w:rPr>
            </w:pPr>
            <w:r w:rsidRPr="00487636">
              <w:rPr>
                <w:rFonts w:ascii="Arial" w:hAnsi="Arial" w:cs="Arial"/>
                <w:b/>
                <w:bCs/>
                <w:color w:val="000000"/>
              </w:rPr>
              <w:t>N</w:t>
            </w:r>
            <w:r w:rsidR="00031A6A">
              <w:rPr>
                <w:rFonts w:ascii="Arial" w:hAnsi="Arial" w:cs="Arial"/>
                <w:b/>
                <w:bCs/>
                <w:color w:val="000000"/>
              </w:rPr>
              <w:t>onresidential</w:t>
            </w:r>
            <w:r w:rsidRPr="00487636">
              <w:rPr>
                <w:rFonts w:ascii="Arial" w:hAnsi="Arial" w:cs="Arial"/>
                <w:b/>
                <w:bCs/>
                <w:color w:val="000000"/>
              </w:rPr>
              <w:t xml:space="preserve"> Child Conc</w:t>
            </w:r>
            <w:r w:rsidR="009B117D">
              <w:rPr>
                <w:rFonts w:ascii="Arial" w:hAnsi="Arial" w:cs="Arial"/>
                <w:b/>
                <w:bCs/>
                <w:color w:val="000000"/>
              </w:rPr>
              <w:t>.</w:t>
            </w:r>
          </w:p>
        </w:tc>
        <w:tc>
          <w:tcPr>
            <w:tcW w:w="1860" w:type="dxa"/>
            <w:tcBorders>
              <w:top w:val="nil"/>
              <w:left w:val="nil"/>
              <w:bottom w:val="nil"/>
              <w:right w:val="nil"/>
            </w:tcBorders>
            <w:shd w:val="clear" w:color="auto" w:fill="auto"/>
            <w:noWrap/>
            <w:vAlign w:val="bottom"/>
            <w:hideMark/>
          </w:tcPr>
          <w:p w14:paraId="3D85CD7C" w14:textId="77777777" w:rsidR="00487636" w:rsidRPr="00487636" w:rsidRDefault="00487636" w:rsidP="00031A6A">
            <w:pPr>
              <w:jc w:val="center"/>
              <w:rPr>
                <w:rFonts w:ascii="Arial" w:hAnsi="Arial" w:cs="Arial"/>
                <w:b/>
                <w:bCs/>
                <w:color w:val="000000"/>
              </w:rPr>
            </w:pPr>
            <w:r w:rsidRPr="00487636">
              <w:rPr>
                <w:rFonts w:ascii="Arial" w:hAnsi="Arial" w:cs="Arial"/>
                <w:b/>
                <w:bCs/>
                <w:color w:val="000000"/>
              </w:rPr>
              <w:t>N</w:t>
            </w:r>
            <w:r w:rsidR="00031A6A">
              <w:rPr>
                <w:rFonts w:ascii="Arial" w:hAnsi="Arial" w:cs="Arial"/>
                <w:b/>
                <w:bCs/>
                <w:color w:val="000000"/>
              </w:rPr>
              <w:t>onresidential</w:t>
            </w:r>
            <w:r w:rsidRPr="00487636">
              <w:rPr>
                <w:rFonts w:ascii="Arial" w:hAnsi="Arial" w:cs="Arial"/>
                <w:b/>
                <w:bCs/>
                <w:color w:val="000000"/>
              </w:rPr>
              <w:t xml:space="preserve"> Worker Conc</w:t>
            </w:r>
            <w:r w:rsidR="009B117D">
              <w:rPr>
                <w:rFonts w:ascii="Arial" w:hAnsi="Arial" w:cs="Arial"/>
                <w:b/>
                <w:bCs/>
                <w:color w:val="000000"/>
              </w:rPr>
              <w:t>.</w:t>
            </w:r>
          </w:p>
        </w:tc>
        <w:tc>
          <w:tcPr>
            <w:tcW w:w="1840" w:type="dxa"/>
            <w:tcBorders>
              <w:top w:val="nil"/>
              <w:left w:val="nil"/>
              <w:bottom w:val="nil"/>
              <w:right w:val="single" w:sz="4" w:space="0" w:color="auto"/>
            </w:tcBorders>
            <w:shd w:val="clear" w:color="auto" w:fill="auto"/>
            <w:noWrap/>
            <w:vAlign w:val="bottom"/>
            <w:hideMark/>
          </w:tcPr>
          <w:p w14:paraId="3D85CD7D" w14:textId="77777777" w:rsidR="00487636" w:rsidRPr="00487636" w:rsidRDefault="003C6ED1" w:rsidP="00487636">
            <w:pPr>
              <w:jc w:val="center"/>
              <w:rPr>
                <w:rFonts w:ascii="Arial" w:hAnsi="Arial" w:cs="Arial"/>
                <w:b/>
                <w:bCs/>
                <w:color w:val="000000"/>
              </w:rPr>
            </w:pPr>
            <w:r>
              <w:rPr>
                <w:rFonts w:ascii="Arial" w:hAnsi="Arial" w:cs="Arial"/>
                <w:b/>
                <w:bCs/>
                <w:color w:val="000000"/>
              </w:rPr>
              <w:t xml:space="preserve">24-Hour </w:t>
            </w:r>
            <w:r w:rsidR="00487636" w:rsidRPr="00487636">
              <w:rPr>
                <w:rFonts w:ascii="Arial" w:hAnsi="Arial" w:cs="Arial"/>
                <w:b/>
                <w:bCs/>
                <w:color w:val="000000"/>
              </w:rPr>
              <w:t>Concentration</w:t>
            </w:r>
          </w:p>
        </w:tc>
      </w:tr>
      <w:tr w:rsidR="00487636" w:rsidRPr="00487636" w14:paraId="3D85CD86" w14:textId="77777777" w:rsidTr="00E103E8">
        <w:trPr>
          <w:trHeight w:val="288"/>
        </w:trPr>
        <w:tc>
          <w:tcPr>
            <w:tcW w:w="1550" w:type="dxa"/>
            <w:tcBorders>
              <w:top w:val="nil"/>
              <w:left w:val="single" w:sz="4" w:space="0" w:color="auto"/>
              <w:bottom w:val="single" w:sz="4" w:space="0" w:color="auto"/>
              <w:right w:val="nil"/>
            </w:tcBorders>
            <w:shd w:val="clear" w:color="auto" w:fill="auto"/>
            <w:noWrap/>
            <w:vAlign w:val="bottom"/>
            <w:hideMark/>
          </w:tcPr>
          <w:p w14:paraId="3D85CD7F" w14:textId="77777777" w:rsidR="00487636" w:rsidRPr="00487636" w:rsidRDefault="009B117D" w:rsidP="00487636">
            <w:pPr>
              <w:rPr>
                <w:rFonts w:ascii="Arial" w:hAnsi="Arial" w:cs="Arial"/>
                <w:b/>
                <w:bCs/>
                <w:color w:val="000000"/>
              </w:rPr>
            </w:pPr>
            <w:r>
              <w:rPr>
                <w:rFonts w:ascii="Arial" w:hAnsi="Arial" w:cs="Arial"/>
                <w:b/>
                <w:bCs/>
                <w:color w:val="000000"/>
              </w:rPr>
              <w:t>Air Toxic</w:t>
            </w:r>
          </w:p>
        </w:tc>
        <w:tc>
          <w:tcPr>
            <w:tcW w:w="2320" w:type="dxa"/>
            <w:tcBorders>
              <w:top w:val="nil"/>
              <w:left w:val="nil"/>
              <w:bottom w:val="single" w:sz="4" w:space="0" w:color="auto"/>
              <w:right w:val="nil"/>
            </w:tcBorders>
            <w:shd w:val="clear" w:color="auto" w:fill="auto"/>
            <w:noWrap/>
            <w:vAlign w:val="bottom"/>
            <w:hideMark/>
          </w:tcPr>
          <w:p w14:paraId="3D85CD80"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(lb/yr)</w:t>
            </w:r>
          </w:p>
        </w:tc>
        <w:tc>
          <w:tcPr>
            <w:tcW w:w="1640" w:type="dxa"/>
            <w:tcBorders>
              <w:top w:val="nil"/>
              <w:left w:val="nil"/>
              <w:bottom w:val="single" w:sz="4" w:space="0" w:color="auto"/>
              <w:right w:val="nil"/>
            </w:tcBorders>
            <w:shd w:val="clear" w:color="auto" w:fill="auto"/>
            <w:noWrap/>
            <w:vAlign w:val="bottom"/>
            <w:hideMark/>
          </w:tcPr>
          <w:p w14:paraId="3D85CD81"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(lb/day)</w:t>
            </w:r>
          </w:p>
        </w:tc>
        <w:tc>
          <w:tcPr>
            <w:tcW w:w="1840" w:type="dxa"/>
            <w:tcBorders>
              <w:top w:val="nil"/>
              <w:left w:val="nil"/>
              <w:bottom w:val="single" w:sz="4" w:space="0" w:color="auto"/>
              <w:right w:val="nil"/>
            </w:tcBorders>
            <w:shd w:val="clear" w:color="auto" w:fill="auto"/>
            <w:noWrap/>
            <w:vAlign w:val="bottom"/>
            <w:hideMark/>
          </w:tcPr>
          <w:p w14:paraId="3D85CD82"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w:t>
            </w:r>
            <w:r w:rsidRPr="00487636">
              <w:rPr>
                <w:rFonts w:ascii="Arial" w:hAnsi="Arial" w:cs="Arial"/>
                <w:b/>
                <w:color w:val="000000"/>
              </w:rPr>
              <w:t>μ</w:t>
            </w:r>
            <w:r w:rsidRPr="00487636">
              <w:rPr>
                <w:rFonts w:ascii="Arial" w:hAnsi="Arial" w:cs="Arial"/>
                <w:b/>
                <w:bCs/>
                <w:color w:val="000000"/>
              </w:rPr>
              <w:t>g/m</w:t>
            </w:r>
            <w:r w:rsidRPr="00487636">
              <w:rPr>
                <w:rFonts w:ascii="Arial" w:hAnsi="Arial" w:cs="Arial"/>
                <w:b/>
                <w:bCs/>
                <w:color w:val="000000"/>
                <w:vertAlign w:val="superscript"/>
              </w:rPr>
              <w:t>3</w:t>
            </w:r>
            <w:r w:rsidRPr="00487636">
              <w:rPr>
                <w:rFonts w:ascii="Arial" w:hAnsi="Arial" w:cs="Arial"/>
                <w:b/>
                <w:bCs/>
                <w:color w:val="000000"/>
              </w:rPr>
              <w:t>)</w:t>
            </w:r>
          </w:p>
        </w:tc>
        <w:tc>
          <w:tcPr>
            <w:tcW w:w="1880" w:type="dxa"/>
            <w:tcBorders>
              <w:top w:val="nil"/>
              <w:left w:val="nil"/>
              <w:bottom w:val="single" w:sz="4" w:space="0" w:color="auto"/>
              <w:right w:val="nil"/>
            </w:tcBorders>
            <w:shd w:val="clear" w:color="auto" w:fill="auto"/>
            <w:noWrap/>
            <w:vAlign w:val="bottom"/>
            <w:hideMark/>
          </w:tcPr>
          <w:p w14:paraId="3D85CD83"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w:t>
            </w:r>
            <w:r w:rsidRPr="00487636">
              <w:rPr>
                <w:rFonts w:ascii="Arial" w:hAnsi="Arial" w:cs="Arial"/>
                <w:b/>
                <w:color w:val="000000"/>
              </w:rPr>
              <w:t>μ</w:t>
            </w:r>
            <w:r w:rsidRPr="00487636">
              <w:rPr>
                <w:rFonts w:ascii="Arial" w:hAnsi="Arial" w:cs="Arial"/>
                <w:b/>
                <w:bCs/>
                <w:color w:val="000000"/>
              </w:rPr>
              <w:t>g/m</w:t>
            </w:r>
            <w:r w:rsidRPr="00487636">
              <w:rPr>
                <w:rFonts w:ascii="Arial" w:hAnsi="Arial" w:cs="Arial"/>
                <w:b/>
                <w:bCs/>
                <w:color w:val="000000"/>
                <w:vertAlign w:val="superscript"/>
              </w:rPr>
              <w:t>3</w:t>
            </w:r>
            <w:r w:rsidRPr="00487636">
              <w:rPr>
                <w:rFonts w:ascii="Arial" w:hAnsi="Arial" w:cs="Arial"/>
                <w:b/>
                <w:bCs/>
                <w:color w:val="000000"/>
              </w:rPr>
              <w:t>)</w:t>
            </w:r>
          </w:p>
        </w:tc>
        <w:tc>
          <w:tcPr>
            <w:tcW w:w="1860" w:type="dxa"/>
            <w:tcBorders>
              <w:top w:val="nil"/>
              <w:left w:val="nil"/>
              <w:bottom w:val="single" w:sz="4" w:space="0" w:color="auto"/>
              <w:right w:val="nil"/>
            </w:tcBorders>
            <w:shd w:val="clear" w:color="auto" w:fill="auto"/>
            <w:noWrap/>
            <w:vAlign w:val="bottom"/>
            <w:hideMark/>
          </w:tcPr>
          <w:p w14:paraId="3D85CD84"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w:t>
            </w:r>
            <w:r w:rsidRPr="00487636">
              <w:rPr>
                <w:rFonts w:ascii="Arial" w:hAnsi="Arial" w:cs="Arial"/>
                <w:b/>
                <w:color w:val="000000"/>
              </w:rPr>
              <w:t>μ</w:t>
            </w:r>
            <w:r w:rsidRPr="00487636">
              <w:rPr>
                <w:rFonts w:ascii="Arial" w:hAnsi="Arial" w:cs="Arial"/>
                <w:b/>
                <w:bCs/>
                <w:color w:val="000000"/>
              </w:rPr>
              <w:t>g/m</w:t>
            </w:r>
            <w:r w:rsidRPr="00487636">
              <w:rPr>
                <w:rFonts w:ascii="Arial" w:hAnsi="Arial" w:cs="Arial"/>
                <w:b/>
                <w:bCs/>
                <w:color w:val="000000"/>
                <w:vertAlign w:val="superscript"/>
              </w:rPr>
              <w:t>3</w:t>
            </w:r>
            <w:r w:rsidRPr="00487636">
              <w:rPr>
                <w:rFonts w:ascii="Arial" w:hAnsi="Arial" w:cs="Arial"/>
                <w:b/>
                <w:bCs/>
                <w:color w:val="000000"/>
              </w:rPr>
              <w:t>)</w:t>
            </w:r>
          </w:p>
        </w:tc>
        <w:tc>
          <w:tcPr>
            <w:tcW w:w="1840" w:type="dxa"/>
            <w:tcBorders>
              <w:top w:val="nil"/>
              <w:left w:val="nil"/>
              <w:bottom w:val="single" w:sz="4" w:space="0" w:color="auto"/>
              <w:right w:val="single" w:sz="4" w:space="0" w:color="auto"/>
            </w:tcBorders>
            <w:shd w:val="clear" w:color="auto" w:fill="auto"/>
            <w:noWrap/>
            <w:vAlign w:val="bottom"/>
            <w:hideMark/>
          </w:tcPr>
          <w:p w14:paraId="3D85CD85"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w:t>
            </w:r>
            <w:r w:rsidRPr="00487636">
              <w:rPr>
                <w:rFonts w:ascii="Arial" w:hAnsi="Arial" w:cs="Arial"/>
                <w:b/>
                <w:color w:val="000000"/>
              </w:rPr>
              <w:t>μ</w:t>
            </w:r>
            <w:r w:rsidRPr="00487636">
              <w:rPr>
                <w:rFonts w:ascii="Arial" w:hAnsi="Arial" w:cs="Arial"/>
                <w:b/>
                <w:bCs/>
                <w:color w:val="000000"/>
              </w:rPr>
              <w:t>g/m</w:t>
            </w:r>
            <w:r w:rsidRPr="00487636">
              <w:rPr>
                <w:rFonts w:ascii="Arial" w:hAnsi="Arial" w:cs="Arial"/>
                <w:b/>
                <w:bCs/>
                <w:color w:val="000000"/>
                <w:vertAlign w:val="superscript"/>
              </w:rPr>
              <w:t>3</w:t>
            </w:r>
            <w:r w:rsidRPr="00487636">
              <w:rPr>
                <w:rFonts w:ascii="Arial" w:hAnsi="Arial" w:cs="Arial"/>
                <w:b/>
                <w:bCs/>
                <w:color w:val="000000"/>
              </w:rPr>
              <w:t>)</w:t>
            </w:r>
          </w:p>
        </w:tc>
      </w:tr>
      <w:tr w:rsidR="00487636" w:rsidRPr="00487636" w14:paraId="3D85CD8E" w14:textId="77777777" w:rsidTr="00E103E8">
        <w:trPr>
          <w:trHeight w:val="288"/>
        </w:trPr>
        <w:tc>
          <w:tcPr>
            <w:tcW w:w="1550" w:type="dxa"/>
            <w:tcBorders>
              <w:top w:val="nil"/>
              <w:left w:val="single" w:sz="4" w:space="0" w:color="auto"/>
              <w:bottom w:val="nil"/>
              <w:right w:val="nil"/>
            </w:tcBorders>
            <w:shd w:val="clear" w:color="auto" w:fill="auto"/>
            <w:noWrap/>
            <w:vAlign w:val="bottom"/>
            <w:hideMark/>
          </w:tcPr>
          <w:p w14:paraId="3D85CD87" w14:textId="77777777" w:rsidR="00487636" w:rsidRPr="00487636" w:rsidRDefault="00487636" w:rsidP="00487636">
            <w:pPr>
              <w:rPr>
                <w:rFonts w:ascii="Arial" w:hAnsi="Arial" w:cs="Arial"/>
                <w:color w:val="000000"/>
              </w:rPr>
            </w:pPr>
            <w:r w:rsidRPr="00487636">
              <w:rPr>
                <w:rFonts w:ascii="Arial" w:hAnsi="Arial" w:cs="Arial"/>
                <w:color w:val="000000"/>
              </w:rPr>
              <w:t> </w:t>
            </w:r>
          </w:p>
        </w:tc>
        <w:tc>
          <w:tcPr>
            <w:tcW w:w="2320" w:type="dxa"/>
            <w:tcBorders>
              <w:top w:val="nil"/>
              <w:left w:val="nil"/>
              <w:bottom w:val="nil"/>
              <w:right w:val="nil"/>
            </w:tcBorders>
            <w:shd w:val="clear" w:color="auto" w:fill="auto"/>
            <w:noWrap/>
            <w:vAlign w:val="bottom"/>
            <w:hideMark/>
          </w:tcPr>
          <w:p w14:paraId="3D85CD88" w14:textId="77777777" w:rsidR="00487636" w:rsidRPr="00487636" w:rsidRDefault="00487636" w:rsidP="00487636">
            <w:pPr>
              <w:rPr>
                <w:rFonts w:ascii="Arial" w:hAnsi="Arial" w:cs="Arial"/>
                <w:color w:val="000000"/>
              </w:rPr>
            </w:pPr>
          </w:p>
        </w:tc>
        <w:tc>
          <w:tcPr>
            <w:tcW w:w="1640" w:type="dxa"/>
            <w:tcBorders>
              <w:top w:val="nil"/>
              <w:left w:val="nil"/>
              <w:bottom w:val="nil"/>
              <w:right w:val="nil"/>
            </w:tcBorders>
            <w:shd w:val="clear" w:color="auto" w:fill="auto"/>
            <w:noWrap/>
            <w:vAlign w:val="bottom"/>
            <w:hideMark/>
          </w:tcPr>
          <w:p w14:paraId="3D85CD89" w14:textId="77777777" w:rsidR="00487636" w:rsidRPr="00487636" w:rsidRDefault="00487636" w:rsidP="00487636">
            <w:pPr>
              <w:jc w:val="center"/>
              <w:rPr>
                <w:rFonts w:ascii="Arial" w:hAnsi="Arial" w:cs="Arial"/>
                <w:b/>
                <w:bCs/>
                <w:color w:val="000000"/>
              </w:rPr>
            </w:pPr>
          </w:p>
        </w:tc>
        <w:tc>
          <w:tcPr>
            <w:tcW w:w="1840" w:type="dxa"/>
            <w:tcBorders>
              <w:top w:val="nil"/>
              <w:left w:val="nil"/>
              <w:bottom w:val="nil"/>
              <w:right w:val="nil"/>
            </w:tcBorders>
            <w:shd w:val="clear" w:color="auto" w:fill="auto"/>
            <w:noWrap/>
            <w:vAlign w:val="bottom"/>
            <w:hideMark/>
          </w:tcPr>
          <w:p w14:paraId="3D85CD8A" w14:textId="77777777" w:rsidR="00487636" w:rsidRPr="00487636" w:rsidRDefault="00487636" w:rsidP="00487636">
            <w:pPr>
              <w:jc w:val="center"/>
              <w:rPr>
                <w:rFonts w:ascii="Arial" w:hAnsi="Arial" w:cs="Arial"/>
                <w:b/>
                <w:bCs/>
                <w:color w:val="000000"/>
              </w:rPr>
            </w:pPr>
          </w:p>
        </w:tc>
        <w:tc>
          <w:tcPr>
            <w:tcW w:w="1880" w:type="dxa"/>
            <w:tcBorders>
              <w:top w:val="nil"/>
              <w:left w:val="nil"/>
              <w:bottom w:val="nil"/>
              <w:right w:val="nil"/>
            </w:tcBorders>
            <w:shd w:val="clear" w:color="auto" w:fill="auto"/>
            <w:noWrap/>
            <w:vAlign w:val="bottom"/>
            <w:hideMark/>
          </w:tcPr>
          <w:p w14:paraId="3D85CD8B" w14:textId="77777777" w:rsidR="00487636" w:rsidRPr="00487636" w:rsidRDefault="00487636" w:rsidP="00487636">
            <w:pPr>
              <w:jc w:val="center"/>
              <w:rPr>
                <w:rFonts w:ascii="Arial" w:hAnsi="Arial" w:cs="Arial"/>
                <w:b/>
                <w:bCs/>
                <w:color w:val="000000"/>
              </w:rPr>
            </w:pPr>
          </w:p>
        </w:tc>
        <w:tc>
          <w:tcPr>
            <w:tcW w:w="1860" w:type="dxa"/>
            <w:tcBorders>
              <w:top w:val="nil"/>
              <w:left w:val="nil"/>
              <w:bottom w:val="nil"/>
              <w:right w:val="nil"/>
            </w:tcBorders>
            <w:shd w:val="clear" w:color="auto" w:fill="auto"/>
            <w:noWrap/>
            <w:vAlign w:val="bottom"/>
            <w:hideMark/>
          </w:tcPr>
          <w:p w14:paraId="3D85CD8C" w14:textId="77777777" w:rsidR="00487636" w:rsidRPr="00487636" w:rsidRDefault="00487636" w:rsidP="00487636">
            <w:pPr>
              <w:jc w:val="center"/>
              <w:rPr>
                <w:rFonts w:ascii="Arial" w:hAnsi="Arial" w:cs="Arial"/>
                <w:b/>
                <w:bCs/>
                <w:color w:val="000000"/>
              </w:rPr>
            </w:pPr>
          </w:p>
        </w:tc>
        <w:tc>
          <w:tcPr>
            <w:tcW w:w="1840" w:type="dxa"/>
            <w:tcBorders>
              <w:top w:val="nil"/>
              <w:left w:val="nil"/>
              <w:bottom w:val="nil"/>
              <w:right w:val="single" w:sz="4" w:space="0" w:color="auto"/>
            </w:tcBorders>
            <w:shd w:val="clear" w:color="auto" w:fill="auto"/>
            <w:noWrap/>
            <w:vAlign w:val="bottom"/>
            <w:hideMark/>
          </w:tcPr>
          <w:p w14:paraId="3D85CD8D"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 </w:t>
            </w:r>
          </w:p>
        </w:tc>
      </w:tr>
      <w:tr w:rsidR="00487636" w:rsidRPr="00487636" w14:paraId="3D85CD95" w14:textId="77777777" w:rsidTr="00E103E8">
        <w:trPr>
          <w:trHeight w:val="288"/>
        </w:trPr>
        <w:tc>
          <w:tcPr>
            <w:tcW w:w="3870" w:type="dxa"/>
            <w:gridSpan w:val="2"/>
            <w:tcBorders>
              <w:top w:val="nil"/>
              <w:left w:val="single" w:sz="4" w:space="0" w:color="auto"/>
              <w:bottom w:val="nil"/>
              <w:right w:val="nil"/>
            </w:tcBorders>
            <w:shd w:val="clear" w:color="auto" w:fill="auto"/>
            <w:noWrap/>
            <w:vAlign w:val="bottom"/>
            <w:hideMark/>
          </w:tcPr>
          <w:p w14:paraId="3D85CD8F" w14:textId="77777777" w:rsidR="00487636" w:rsidRPr="00487636" w:rsidRDefault="00487636" w:rsidP="00487636">
            <w:pPr>
              <w:rPr>
                <w:rFonts w:ascii="Arial" w:hAnsi="Arial" w:cs="Arial"/>
                <w:b/>
                <w:bCs/>
                <w:color w:val="000000"/>
              </w:rPr>
            </w:pPr>
            <w:r w:rsidRPr="00487636">
              <w:rPr>
                <w:rFonts w:ascii="Arial" w:hAnsi="Arial" w:cs="Arial"/>
                <w:b/>
                <w:bCs/>
                <w:color w:val="000000"/>
              </w:rPr>
              <w:t>Emission Unit 1</w:t>
            </w:r>
          </w:p>
        </w:tc>
        <w:tc>
          <w:tcPr>
            <w:tcW w:w="1640" w:type="dxa"/>
            <w:tcBorders>
              <w:top w:val="nil"/>
              <w:left w:val="nil"/>
              <w:bottom w:val="nil"/>
              <w:right w:val="nil"/>
            </w:tcBorders>
            <w:shd w:val="clear" w:color="auto" w:fill="auto"/>
            <w:noWrap/>
            <w:vAlign w:val="bottom"/>
            <w:hideMark/>
          </w:tcPr>
          <w:p w14:paraId="3D85CD90" w14:textId="77777777" w:rsidR="00487636" w:rsidRPr="00487636" w:rsidRDefault="00487636" w:rsidP="00487636">
            <w:pPr>
              <w:jc w:val="center"/>
              <w:rPr>
                <w:rFonts w:ascii="Arial" w:hAnsi="Arial" w:cs="Arial"/>
                <w:b/>
                <w:bCs/>
                <w:color w:val="000000"/>
              </w:rPr>
            </w:pPr>
          </w:p>
        </w:tc>
        <w:tc>
          <w:tcPr>
            <w:tcW w:w="1840" w:type="dxa"/>
            <w:tcBorders>
              <w:top w:val="nil"/>
              <w:left w:val="nil"/>
              <w:bottom w:val="nil"/>
              <w:right w:val="nil"/>
            </w:tcBorders>
            <w:shd w:val="clear" w:color="auto" w:fill="auto"/>
            <w:noWrap/>
            <w:vAlign w:val="bottom"/>
            <w:hideMark/>
          </w:tcPr>
          <w:p w14:paraId="3D85CD91" w14:textId="77777777" w:rsidR="00487636" w:rsidRPr="00487636" w:rsidRDefault="00487636" w:rsidP="00487636">
            <w:pPr>
              <w:jc w:val="center"/>
              <w:rPr>
                <w:rFonts w:ascii="Arial" w:hAnsi="Arial" w:cs="Arial"/>
                <w:b/>
                <w:bCs/>
                <w:color w:val="000000"/>
              </w:rPr>
            </w:pPr>
          </w:p>
        </w:tc>
        <w:tc>
          <w:tcPr>
            <w:tcW w:w="1880" w:type="dxa"/>
            <w:tcBorders>
              <w:top w:val="nil"/>
              <w:left w:val="nil"/>
              <w:bottom w:val="nil"/>
              <w:right w:val="nil"/>
            </w:tcBorders>
            <w:shd w:val="clear" w:color="auto" w:fill="auto"/>
            <w:noWrap/>
            <w:vAlign w:val="bottom"/>
            <w:hideMark/>
          </w:tcPr>
          <w:p w14:paraId="3D85CD92" w14:textId="77777777" w:rsidR="00487636" w:rsidRPr="00487636" w:rsidRDefault="00487636" w:rsidP="00487636">
            <w:pPr>
              <w:jc w:val="center"/>
              <w:rPr>
                <w:rFonts w:ascii="Arial" w:hAnsi="Arial" w:cs="Arial"/>
                <w:b/>
                <w:bCs/>
                <w:color w:val="000000"/>
              </w:rPr>
            </w:pPr>
          </w:p>
        </w:tc>
        <w:tc>
          <w:tcPr>
            <w:tcW w:w="1860" w:type="dxa"/>
            <w:tcBorders>
              <w:top w:val="nil"/>
              <w:left w:val="nil"/>
              <w:bottom w:val="nil"/>
              <w:right w:val="nil"/>
            </w:tcBorders>
            <w:shd w:val="clear" w:color="auto" w:fill="auto"/>
            <w:noWrap/>
            <w:vAlign w:val="bottom"/>
            <w:hideMark/>
          </w:tcPr>
          <w:p w14:paraId="3D85CD93" w14:textId="77777777" w:rsidR="00487636" w:rsidRPr="00487636" w:rsidRDefault="00487636" w:rsidP="00487636">
            <w:pPr>
              <w:jc w:val="center"/>
              <w:rPr>
                <w:rFonts w:ascii="Arial" w:hAnsi="Arial" w:cs="Arial"/>
                <w:b/>
                <w:bCs/>
                <w:color w:val="000000"/>
              </w:rPr>
            </w:pPr>
          </w:p>
        </w:tc>
        <w:tc>
          <w:tcPr>
            <w:tcW w:w="1840" w:type="dxa"/>
            <w:tcBorders>
              <w:top w:val="nil"/>
              <w:left w:val="nil"/>
              <w:bottom w:val="nil"/>
              <w:right w:val="single" w:sz="4" w:space="0" w:color="auto"/>
            </w:tcBorders>
            <w:shd w:val="clear" w:color="auto" w:fill="auto"/>
            <w:noWrap/>
            <w:vAlign w:val="bottom"/>
            <w:hideMark/>
          </w:tcPr>
          <w:p w14:paraId="3D85CD94"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 </w:t>
            </w:r>
          </w:p>
        </w:tc>
      </w:tr>
      <w:tr w:rsidR="00487636" w:rsidRPr="00487636" w14:paraId="3D85CD9D" w14:textId="77777777" w:rsidTr="00E103E8">
        <w:trPr>
          <w:trHeight w:val="288"/>
        </w:trPr>
        <w:tc>
          <w:tcPr>
            <w:tcW w:w="1550" w:type="dxa"/>
            <w:tcBorders>
              <w:top w:val="nil"/>
              <w:left w:val="single" w:sz="4" w:space="0" w:color="auto"/>
              <w:bottom w:val="nil"/>
              <w:right w:val="nil"/>
            </w:tcBorders>
            <w:shd w:val="clear" w:color="auto" w:fill="auto"/>
            <w:vAlign w:val="bottom"/>
            <w:hideMark/>
          </w:tcPr>
          <w:p w14:paraId="3D85CD96" w14:textId="77777777" w:rsidR="00487636" w:rsidRPr="00487636" w:rsidRDefault="00487636" w:rsidP="00487636">
            <w:pPr>
              <w:rPr>
                <w:rFonts w:ascii="Arial" w:hAnsi="Arial" w:cs="Arial"/>
                <w:color w:val="000000"/>
              </w:rPr>
            </w:pPr>
            <w:r w:rsidRPr="00487636">
              <w:rPr>
                <w:rFonts w:ascii="Arial" w:hAnsi="Arial" w:cs="Arial"/>
                <w:color w:val="000000"/>
              </w:rPr>
              <w:t>Cobalt</w:t>
            </w:r>
          </w:p>
        </w:tc>
        <w:tc>
          <w:tcPr>
            <w:tcW w:w="2320" w:type="dxa"/>
            <w:tcBorders>
              <w:top w:val="nil"/>
              <w:left w:val="nil"/>
              <w:bottom w:val="nil"/>
              <w:right w:val="nil"/>
            </w:tcBorders>
            <w:shd w:val="clear" w:color="auto" w:fill="auto"/>
            <w:vAlign w:val="bottom"/>
            <w:hideMark/>
          </w:tcPr>
          <w:p w14:paraId="3D85CD97" w14:textId="77777777" w:rsidR="00487636" w:rsidRPr="00487636" w:rsidRDefault="00031A6A" w:rsidP="00487636">
            <w:pPr>
              <w:jc w:val="center"/>
              <w:rPr>
                <w:rFonts w:ascii="Arial" w:hAnsi="Arial" w:cs="Arial"/>
                <w:color w:val="000000"/>
              </w:rPr>
            </w:pPr>
            <w:r>
              <w:rPr>
                <w:rFonts w:ascii="Arial" w:hAnsi="Arial" w:cs="Arial"/>
                <w:color w:val="000000"/>
              </w:rPr>
              <w:t>4</w:t>
            </w:r>
            <w:r w:rsidR="00487636" w:rsidRPr="00487636">
              <w:rPr>
                <w:rFonts w:ascii="Arial" w:hAnsi="Arial" w:cs="Arial"/>
                <w:color w:val="000000"/>
              </w:rPr>
              <w:t>0</w:t>
            </w:r>
          </w:p>
        </w:tc>
        <w:tc>
          <w:tcPr>
            <w:tcW w:w="1640" w:type="dxa"/>
            <w:tcBorders>
              <w:top w:val="nil"/>
              <w:left w:val="nil"/>
              <w:bottom w:val="nil"/>
              <w:right w:val="nil"/>
            </w:tcBorders>
            <w:shd w:val="clear" w:color="auto" w:fill="auto"/>
            <w:noWrap/>
            <w:vAlign w:val="bottom"/>
            <w:hideMark/>
          </w:tcPr>
          <w:p w14:paraId="3D85CD98" w14:textId="77777777" w:rsidR="00487636" w:rsidRPr="00487636" w:rsidRDefault="00487636" w:rsidP="00487636">
            <w:pPr>
              <w:jc w:val="center"/>
              <w:rPr>
                <w:rFonts w:ascii="Arial" w:hAnsi="Arial" w:cs="Arial"/>
                <w:color w:val="000000"/>
              </w:rPr>
            </w:pPr>
            <w:r w:rsidRPr="00487636">
              <w:rPr>
                <w:rFonts w:ascii="Arial" w:hAnsi="Arial" w:cs="Arial"/>
                <w:color w:val="000000"/>
              </w:rPr>
              <w:t>0.</w:t>
            </w:r>
            <w:r w:rsidR="00031A6A">
              <w:rPr>
                <w:rFonts w:ascii="Arial" w:hAnsi="Arial" w:cs="Arial"/>
                <w:color w:val="000000"/>
              </w:rPr>
              <w:t>1</w:t>
            </w:r>
            <w:r w:rsidRPr="00487636">
              <w:rPr>
                <w:rFonts w:ascii="Arial" w:hAnsi="Arial" w:cs="Arial"/>
                <w:color w:val="000000"/>
              </w:rPr>
              <w:t>5</w:t>
            </w:r>
          </w:p>
        </w:tc>
        <w:tc>
          <w:tcPr>
            <w:tcW w:w="1840" w:type="dxa"/>
            <w:tcBorders>
              <w:top w:val="nil"/>
              <w:left w:val="nil"/>
              <w:bottom w:val="nil"/>
              <w:right w:val="nil"/>
            </w:tcBorders>
            <w:shd w:val="clear" w:color="auto" w:fill="auto"/>
            <w:noWrap/>
            <w:vAlign w:val="bottom"/>
            <w:hideMark/>
          </w:tcPr>
          <w:p w14:paraId="3D85CD99" w14:textId="77777777" w:rsidR="00487636" w:rsidRPr="00487636" w:rsidRDefault="00031A6A" w:rsidP="00031A6A">
            <w:pPr>
              <w:jc w:val="center"/>
              <w:rPr>
                <w:rFonts w:ascii="Arial" w:hAnsi="Arial" w:cs="Arial"/>
                <w:color w:val="000000"/>
              </w:rPr>
            </w:pPr>
            <w:r>
              <w:rPr>
                <w:rFonts w:ascii="Arial" w:hAnsi="Arial" w:cs="Arial"/>
                <w:color w:val="000000"/>
              </w:rPr>
              <w:t>0.03</w:t>
            </w:r>
            <w:r w:rsidR="00487636" w:rsidRPr="00487636">
              <w:rPr>
                <w:rFonts w:ascii="Arial" w:hAnsi="Arial" w:cs="Arial"/>
                <w:color w:val="000000"/>
              </w:rPr>
              <w:t>0</w:t>
            </w:r>
          </w:p>
        </w:tc>
        <w:tc>
          <w:tcPr>
            <w:tcW w:w="1880" w:type="dxa"/>
            <w:tcBorders>
              <w:top w:val="nil"/>
              <w:left w:val="nil"/>
              <w:bottom w:val="nil"/>
              <w:right w:val="nil"/>
            </w:tcBorders>
            <w:shd w:val="clear" w:color="auto" w:fill="auto"/>
            <w:noWrap/>
            <w:vAlign w:val="bottom"/>
            <w:hideMark/>
          </w:tcPr>
          <w:p w14:paraId="3D85CD9A" w14:textId="77777777" w:rsidR="00487636" w:rsidRPr="00487636" w:rsidRDefault="00487636" w:rsidP="00031A6A">
            <w:pPr>
              <w:jc w:val="center"/>
              <w:rPr>
                <w:rFonts w:ascii="Arial" w:hAnsi="Arial" w:cs="Arial"/>
                <w:color w:val="000000"/>
              </w:rPr>
            </w:pPr>
            <w:r w:rsidRPr="00487636">
              <w:rPr>
                <w:rFonts w:ascii="Arial" w:hAnsi="Arial" w:cs="Arial"/>
                <w:color w:val="000000"/>
              </w:rPr>
              <w:t>0.0</w:t>
            </w:r>
            <w:r w:rsidR="00031A6A">
              <w:rPr>
                <w:rFonts w:ascii="Arial" w:hAnsi="Arial" w:cs="Arial"/>
                <w:color w:val="000000"/>
              </w:rPr>
              <w:t>13</w:t>
            </w:r>
          </w:p>
        </w:tc>
        <w:tc>
          <w:tcPr>
            <w:tcW w:w="1860" w:type="dxa"/>
            <w:tcBorders>
              <w:top w:val="nil"/>
              <w:left w:val="nil"/>
              <w:bottom w:val="nil"/>
              <w:right w:val="nil"/>
            </w:tcBorders>
            <w:shd w:val="clear" w:color="auto" w:fill="auto"/>
            <w:noWrap/>
            <w:vAlign w:val="bottom"/>
            <w:hideMark/>
          </w:tcPr>
          <w:p w14:paraId="3D85CD9B" w14:textId="77777777" w:rsidR="00487636" w:rsidRPr="00487636" w:rsidRDefault="00031A6A" w:rsidP="00031A6A">
            <w:pPr>
              <w:jc w:val="center"/>
              <w:rPr>
                <w:rFonts w:ascii="Arial" w:hAnsi="Arial" w:cs="Arial"/>
                <w:color w:val="000000"/>
              </w:rPr>
            </w:pPr>
            <w:r>
              <w:rPr>
                <w:rFonts w:ascii="Arial" w:hAnsi="Arial" w:cs="Arial"/>
                <w:color w:val="000000"/>
              </w:rPr>
              <w:t>0.013</w:t>
            </w:r>
          </w:p>
        </w:tc>
        <w:tc>
          <w:tcPr>
            <w:tcW w:w="1840" w:type="dxa"/>
            <w:tcBorders>
              <w:top w:val="nil"/>
              <w:left w:val="nil"/>
              <w:bottom w:val="nil"/>
              <w:right w:val="single" w:sz="4" w:space="0" w:color="auto"/>
            </w:tcBorders>
            <w:shd w:val="clear" w:color="auto" w:fill="auto"/>
            <w:noWrap/>
            <w:vAlign w:val="bottom"/>
            <w:hideMark/>
          </w:tcPr>
          <w:p w14:paraId="3D85CD9C" w14:textId="77777777" w:rsidR="00487636" w:rsidRPr="00487636" w:rsidRDefault="00031A6A" w:rsidP="00487636">
            <w:pPr>
              <w:jc w:val="center"/>
              <w:rPr>
                <w:rFonts w:ascii="Arial" w:hAnsi="Arial" w:cs="Arial"/>
                <w:color w:val="000000"/>
              </w:rPr>
            </w:pPr>
            <w:r>
              <w:rPr>
                <w:rFonts w:ascii="Arial" w:hAnsi="Arial" w:cs="Arial"/>
                <w:color w:val="000000"/>
              </w:rPr>
              <w:t>0.41</w:t>
            </w:r>
          </w:p>
        </w:tc>
      </w:tr>
      <w:tr w:rsidR="00487636" w:rsidRPr="00487636" w14:paraId="3D85CDA5" w14:textId="77777777" w:rsidTr="00E103E8">
        <w:trPr>
          <w:trHeight w:val="300"/>
        </w:trPr>
        <w:tc>
          <w:tcPr>
            <w:tcW w:w="1550" w:type="dxa"/>
            <w:tcBorders>
              <w:top w:val="nil"/>
              <w:left w:val="single" w:sz="4" w:space="0" w:color="auto"/>
              <w:bottom w:val="nil"/>
              <w:right w:val="nil"/>
            </w:tcBorders>
            <w:shd w:val="clear" w:color="auto" w:fill="auto"/>
            <w:vAlign w:val="bottom"/>
            <w:hideMark/>
          </w:tcPr>
          <w:p w14:paraId="3D85CD9E" w14:textId="77777777" w:rsidR="00487636" w:rsidRPr="00487636" w:rsidRDefault="00487636" w:rsidP="00487636">
            <w:pPr>
              <w:rPr>
                <w:rFonts w:ascii="Arial" w:hAnsi="Arial" w:cs="Arial"/>
                <w:color w:val="000000"/>
              </w:rPr>
            </w:pPr>
            <w:r w:rsidRPr="00487636">
              <w:rPr>
                <w:rFonts w:ascii="Arial" w:hAnsi="Arial" w:cs="Arial"/>
                <w:color w:val="000000"/>
              </w:rPr>
              <w:t>Manganese</w:t>
            </w:r>
          </w:p>
        </w:tc>
        <w:tc>
          <w:tcPr>
            <w:tcW w:w="2320" w:type="dxa"/>
            <w:tcBorders>
              <w:top w:val="nil"/>
              <w:left w:val="nil"/>
              <w:bottom w:val="nil"/>
              <w:right w:val="nil"/>
            </w:tcBorders>
            <w:shd w:val="clear" w:color="auto" w:fill="auto"/>
            <w:vAlign w:val="bottom"/>
            <w:hideMark/>
          </w:tcPr>
          <w:p w14:paraId="3D85CD9F" w14:textId="77777777" w:rsidR="00487636" w:rsidRPr="00487636" w:rsidRDefault="00031A6A" w:rsidP="00487636">
            <w:pPr>
              <w:jc w:val="center"/>
              <w:rPr>
                <w:rFonts w:ascii="Arial" w:hAnsi="Arial" w:cs="Arial"/>
                <w:color w:val="000000"/>
              </w:rPr>
            </w:pPr>
            <w:r>
              <w:rPr>
                <w:rFonts w:ascii="Arial" w:hAnsi="Arial" w:cs="Arial"/>
                <w:color w:val="000000"/>
              </w:rPr>
              <w:t>7</w:t>
            </w:r>
            <w:r w:rsidR="00487636" w:rsidRPr="00487636">
              <w:rPr>
                <w:rFonts w:ascii="Arial" w:hAnsi="Arial" w:cs="Arial"/>
                <w:color w:val="000000"/>
              </w:rPr>
              <w:t>0</w:t>
            </w:r>
          </w:p>
        </w:tc>
        <w:tc>
          <w:tcPr>
            <w:tcW w:w="1640" w:type="dxa"/>
            <w:tcBorders>
              <w:top w:val="nil"/>
              <w:left w:val="nil"/>
              <w:bottom w:val="nil"/>
              <w:right w:val="nil"/>
            </w:tcBorders>
            <w:shd w:val="clear" w:color="auto" w:fill="auto"/>
            <w:noWrap/>
            <w:vAlign w:val="bottom"/>
            <w:hideMark/>
          </w:tcPr>
          <w:p w14:paraId="3D85CDA0" w14:textId="77777777" w:rsidR="00487636" w:rsidRPr="00487636" w:rsidRDefault="00487636" w:rsidP="00031A6A">
            <w:pPr>
              <w:jc w:val="center"/>
              <w:rPr>
                <w:rFonts w:ascii="Arial" w:hAnsi="Arial" w:cs="Arial"/>
                <w:color w:val="000000"/>
              </w:rPr>
            </w:pPr>
            <w:r w:rsidRPr="00487636">
              <w:rPr>
                <w:rFonts w:ascii="Arial" w:hAnsi="Arial" w:cs="Arial"/>
                <w:color w:val="000000"/>
              </w:rPr>
              <w:t>0.</w:t>
            </w:r>
            <w:r w:rsidR="00031A6A">
              <w:rPr>
                <w:rFonts w:ascii="Arial" w:hAnsi="Arial" w:cs="Arial"/>
                <w:color w:val="000000"/>
              </w:rPr>
              <w:t>25</w:t>
            </w:r>
          </w:p>
        </w:tc>
        <w:tc>
          <w:tcPr>
            <w:tcW w:w="1840" w:type="dxa"/>
            <w:tcBorders>
              <w:top w:val="nil"/>
              <w:left w:val="nil"/>
              <w:bottom w:val="nil"/>
              <w:right w:val="nil"/>
            </w:tcBorders>
            <w:shd w:val="clear" w:color="auto" w:fill="auto"/>
            <w:noWrap/>
            <w:vAlign w:val="bottom"/>
            <w:hideMark/>
          </w:tcPr>
          <w:p w14:paraId="3D85CDA1" w14:textId="77777777" w:rsidR="00487636" w:rsidRPr="00487636" w:rsidRDefault="00487636" w:rsidP="00031A6A">
            <w:pPr>
              <w:jc w:val="center"/>
              <w:rPr>
                <w:rFonts w:ascii="Arial" w:hAnsi="Arial" w:cs="Arial"/>
                <w:color w:val="000000"/>
              </w:rPr>
            </w:pPr>
            <w:r w:rsidRPr="00487636">
              <w:rPr>
                <w:rFonts w:ascii="Arial" w:hAnsi="Arial" w:cs="Arial"/>
                <w:color w:val="000000"/>
              </w:rPr>
              <w:t>0.</w:t>
            </w:r>
            <w:r w:rsidR="00031A6A">
              <w:rPr>
                <w:rFonts w:ascii="Arial" w:hAnsi="Arial" w:cs="Arial"/>
                <w:color w:val="000000"/>
              </w:rPr>
              <w:t>053</w:t>
            </w:r>
          </w:p>
        </w:tc>
        <w:tc>
          <w:tcPr>
            <w:tcW w:w="1880" w:type="dxa"/>
            <w:tcBorders>
              <w:top w:val="nil"/>
              <w:left w:val="nil"/>
              <w:bottom w:val="nil"/>
              <w:right w:val="nil"/>
            </w:tcBorders>
            <w:shd w:val="clear" w:color="auto" w:fill="auto"/>
            <w:noWrap/>
            <w:vAlign w:val="bottom"/>
            <w:hideMark/>
          </w:tcPr>
          <w:p w14:paraId="3D85CDA2" w14:textId="77777777" w:rsidR="00487636" w:rsidRPr="00487636" w:rsidRDefault="00487636" w:rsidP="00487636">
            <w:pPr>
              <w:jc w:val="center"/>
              <w:rPr>
                <w:rFonts w:ascii="Arial" w:hAnsi="Arial" w:cs="Arial"/>
                <w:color w:val="000000"/>
              </w:rPr>
            </w:pPr>
            <w:r w:rsidRPr="00487636">
              <w:rPr>
                <w:rFonts w:ascii="Arial" w:hAnsi="Arial" w:cs="Arial"/>
                <w:color w:val="000000"/>
              </w:rPr>
              <w:t>0.0</w:t>
            </w:r>
            <w:r w:rsidR="00031A6A">
              <w:rPr>
                <w:rFonts w:ascii="Arial" w:hAnsi="Arial" w:cs="Arial"/>
                <w:color w:val="000000"/>
              </w:rPr>
              <w:t>23</w:t>
            </w:r>
          </w:p>
        </w:tc>
        <w:tc>
          <w:tcPr>
            <w:tcW w:w="1860" w:type="dxa"/>
            <w:tcBorders>
              <w:top w:val="nil"/>
              <w:left w:val="nil"/>
              <w:bottom w:val="nil"/>
              <w:right w:val="nil"/>
            </w:tcBorders>
            <w:shd w:val="clear" w:color="auto" w:fill="auto"/>
            <w:noWrap/>
            <w:vAlign w:val="bottom"/>
            <w:hideMark/>
          </w:tcPr>
          <w:p w14:paraId="3D85CDA3" w14:textId="77777777" w:rsidR="00487636" w:rsidRPr="00487636" w:rsidRDefault="00031A6A" w:rsidP="00487636">
            <w:pPr>
              <w:jc w:val="center"/>
              <w:rPr>
                <w:rFonts w:ascii="Arial" w:hAnsi="Arial" w:cs="Arial"/>
                <w:color w:val="000000"/>
              </w:rPr>
            </w:pPr>
            <w:r>
              <w:rPr>
                <w:rFonts w:ascii="Arial" w:hAnsi="Arial" w:cs="Arial"/>
                <w:color w:val="000000"/>
              </w:rPr>
              <w:t>0.02</w:t>
            </w:r>
            <w:r w:rsidR="00487636" w:rsidRPr="00487636">
              <w:rPr>
                <w:rFonts w:ascii="Arial" w:hAnsi="Arial" w:cs="Arial"/>
                <w:color w:val="000000"/>
              </w:rPr>
              <w:t>3</w:t>
            </w:r>
          </w:p>
        </w:tc>
        <w:tc>
          <w:tcPr>
            <w:tcW w:w="1840" w:type="dxa"/>
            <w:tcBorders>
              <w:top w:val="nil"/>
              <w:left w:val="nil"/>
              <w:bottom w:val="nil"/>
              <w:right w:val="single" w:sz="4" w:space="0" w:color="auto"/>
            </w:tcBorders>
            <w:shd w:val="clear" w:color="auto" w:fill="auto"/>
            <w:noWrap/>
            <w:vAlign w:val="bottom"/>
            <w:hideMark/>
          </w:tcPr>
          <w:p w14:paraId="3D85CDA4" w14:textId="77777777" w:rsidR="00487636" w:rsidRPr="00487636" w:rsidRDefault="00031A6A" w:rsidP="00487636">
            <w:pPr>
              <w:jc w:val="center"/>
              <w:rPr>
                <w:rFonts w:ascii="Arial" w:hAnsi="Arial" w:cs="Arial"/>
                <w:color w:val="000000"/>
              </w:rPr>
            </w:pPr>
            <w:r>
              <w:rPr>
                <w:rFonts w:ascii="Arial" w:hAnsi="Arial" w:cs="Arial"/>
                <w:color w:val="000000"/>
              </w:rPr>
              <w:t>0.68</w:t>
            </w:r>
          </w:p>
        </w:tc>
      </w:tr>
      <w:tr w:rsidR="00487636" w:rsidRPr="00487636" w14:paraId="3D85CDAD" w14:textId="77777777" w:rsidTr="00E103E8">
        <w:trPr>
          <w:trHeight w:val="288"/>
        </w:trPr>
        <w:tc>
          <w:tcPr>
            <w:tcW w:w="1550" w:type="dxa"/>
            <w:tcBorders>
              <w:top w:val="nil"/>
              <w:left w:val="single" w:sz="4" w:space="0" w:color="auto"/>
              <w:bottom w:val="single" w:sz="4" w:space="0" w:color="auto"/>
              <w:right w:val="nil"/>
            </w:tcBorders>
            <w:shd w:val="clear" w:color="auto" w:fill="auto"/>
            <w:vAlign w:val="bottom"/>
            <w:hideMark/>
          </w:tcPr>
          <w:p w14:paraId="3D85CDA6" w14:textId="77777777" w:rsidR="00487636" w:rsidRPr="00487636" w:rsidRDefault="00487636" w:rsidP="00487636">
            <w:pPr>
              <w:rPr>
                <w:rFonts w:ascii="Arial" w:hAnsi="Arial" w:cs="Arial"/>
                <w:color w:val="000000"/>
              </w:rPr>
            </w:pPr>
            <w:r w:rsidRPr="00487636">
              <w:rPr>
                <w:rFonts w:ascii="Arial" w:hAnsi="Arial" w:cs="Arial"/>
                <w:color w:val="000000"/>
              </w:rPr>
              <w:t>Nickel</w:t>
            </w:r>
          </w:p>
        </w:tc>
        <w:tc>
          <w:tcPr>
            <w:tcW w:w="2320" w:type="dxa"/>
            <w:tcBorders>
              <w:top w:val="nil"/>
              <w:left w:val="nil"/>
              <w:bottom w:val="single" w:sz="4" w:space="0" w:color="auto"/>
              <w:right w:val="nil"/>
            </w:tcBorders>
            <w:shd w:val="clear" w:color="auto" w:fill="auto"/>
            <w:vAlign w:val="bottom"/>
            <w:hideMark/>
          </w:tcPr>
          <w:p w14:paraId="3D85CDA7" w14:textId="77777777" w:rsidR="00487636" w:rsidRPr="00487636" w:rsidRDefault="00031A6A" w:rsidP="00487636">
            <w:pPr>
              <w:jc w:val="center"/>
              <w:rPr>
                <w:rFonts w:ascii="Arial" w:hAnsi="Arial" w:cs="Arial"/>
                <w:color w:val="000000"/>
              </w:rPr>
            </w:pPr>
            <w:r>
              <w:rPr>
                <w:rFonts w:ascii="Arial" w:hAnsi="Arial" w:cs="Arial"/>
                <w:color w:val="000000"/>
              </w:rPr>
              <w:t>8</w:t>
            </w:r>
            <w:r w:rsidR="00487636" w:rsidRPr="00487636">
              <w:rPr>
                <w:rFonts w:ascii="Arial" w:hAnsi="Arial" w:cs="Arial"/>
                <w:color w:val="000000"/>
              </w:rPr>
              <w:t>0</w:t>
            </w:r>
          </w:p>
        </w:tc>
        <w:tc>
          <w:tcPr>
            <w:tcW w:w="1640" w:type="dxa"/>
            <w:tcBorders>
              <w:top w:val="nil"/>
              <w:left w:val="nil"/>
              <w:bottom w:val="single" w:sz="4" w:space="0" w:color="auto"/>
              <w:right w:val="nil"/>
            </w:tcBorders>
            <w:shd w:val="clear" w:color="auto" w:fill="auto"/>
            <w:noWrap/>
            <w:vAlign w:val="bottom"/>
            <w:hideMark/>
          </w:tcPr>
          <w:p w14:paraId="3D85CDA8" w14:textId="77777777" w:rsidR="00487636" w:rsidRPr="00487636" w:rsidRDefault="00487636" w:rsidP="00487636">
            <w:pPr>
              <w:jc w:val="center"/>
              <w:rPr>
                <w:rFonts w:ascii="Arial" w:hAnsi="Arial" w:cs="Arial"/>
                <w:color w:val="000000"/>
              </w:rPr>
            </w:pPr>
            <w:r w:rsidRPr="00487636">
              <w:rPr>
                <w:rFonts w:ascii="Arial" w:hAnsi="Arial" w:cs="Arial"/>
                <w:color w:val="000000"/>
              </w:rPr>
              <w:t>0.</w:t>
            </w:r>
            <w:r w:rsidR="00031A6A">
              <w:rPr>
                <w:rFonts w:ascii="Arial" w:hAnsi="Arial" w:cs="Arial"/>
                <w:color w:val="000000"/>
              </w:rPr>
              <w:t>30</w:t>
            </w:r>
          </w:p>
        </w:tc>
        <w:tc>
          <w:tcPr>
            <w:tcW w:w="1840" w:type="dxa"/>
            <w:tcBorders>
              <w:top w:val="nil"/>
              <w:left w:val="nil"/>
              <w:bottom w:val="single" w:sz="4" w:space="0" w:color="auto"/>
              <w:right w:val="nil"/>
            </w:tcBorders>
            <w:shd w:val="clear" w:color="auto" w:fill="auto"/>
            <w:noWrap/>
            <w:vAlign w:val="bottom"/>
            <w:hideMark/>
          </w:tcPr>
          <w:p w14:paraId="3D85CDA9" w14:textId="77777777" w:rsidR="00487636" w:rsidRPr="00487636" w:rsidRDefault="00487636" w:rsidP="00487636">
            <w:pPr>
              <w:jc w:val="center"/>
              <w:rPr>
                <w:rFonts w:ascii="Arial" w:hAnsi="Arial" w:cs="Arial"/>
                <w:color w:val="000000"/>
              </w:rPr>
            </w:pPr>
            <w:r w:rsidRPr="00487636">
              <w:rPr>
                <w:rFonts w:ascii="Arial" w:hAnsi="Arial" w:cs="Arial"/>
                <w:color w:val="000000"/>
              </w:rPr>
              <w:t>0.</w:t>
            </w:r>
            <w:r w:rsidR="00031A6A">
              <w:rPr>
                <w:rFonts w:ascii="Arial" w:hAnsi="Arial" w:cs="Arial"/>
                <w:color w:val="000000"/>
              </w:rPr>
              <w:t>060</w:t>
            </w:r>
          </w:p>
        </w:tc>
        <w:tc>
          <w:tcPr>
            <w:tcW w:w="1880" w:type="dxa"/>
            <w:tcBorders>
              <w:top w:val="nil"/>
              <w:left w:val="nil"/>
              <w:bottom w:val="single" w:sz="4" w:space="0" w:color="auto"/>
              <w:right w:val="nil"/>
            </w:tcBorders>
            <w:shd w:val="clear" w:color="auto" w:fill="auto"/>
            <w:noWrap/>
            <w:vAlign w:val="bottom"/>
            <w:hideMark/>
          </w:tcPr>
          <w:p w14:paraId="3D85CDAA" w14:textId="77777777" w:rsidR="00487636" w:rsidRPr="00487636" w:rsidRDefault="00487636" w:rsidP="00487636">
            <w:pPr>
              <w:jc w:val="center"/>
              <w:rPr>
                <w:rFonts w:ascii="Arial" w:hAnsi="Arial" w:cs="Arial"/>
                <w:color w:val="000000"/>
              </w:rPr>
            </w:pPr>
            <w:r w:rsidRPr="00487636">
              <w:rPr>
                <w:rFonts w:ascii="Arial" w:hAnsi="Arial" w:cs="Arial"/>
                <w:color w:val="000000"/>
              </w:rPr>
              <w:t>0.0</w:t>
            </w:r>
            <w:r w:rsidR="00031A6A">
              <w:rPr>
                <w:rFonts w:ascii="Arial" w:hAnsi="Arial" w:cs="Arial"/>
                <w:color w:val="000000"/>
              </w:rPr>
              <w:t>26</w:t>
            </w:r>
          </w:p>
        </w:tc>
        <w:tc>
          <w:tcPr>
            <w:tcW w:w="1860" w:type="dxa"/>
            <w:tcBorders>
              <w:top w:val="nil"/>
              <w:left w:val="nil"/>
              <w:bottom w:val="single" w:sz="4" w:space="0" w:color="auto"/>
              <w:right w:val="nil"/>
            </w:tcBorders>
            <w:shd w:val="clear" w:color="auto" w:fill="auto"/>
            <w:noWrap/>
            <w:vAlign w:val="bottom"/>
            <w:hideMark/>
          </w:tcPr>
          <w:p w14:paraId="3D85CDAB" w14:textId="77777777" w:rsidR="00487636" w:rsidRPr="00487636" w:rsidRDefault="00487636" w:rsidP="00487636">
            <w:pPr>
              <w:jc w:val="center"/>
              <w:rPr>
                <w:rFonts w:ascii="Arial" w:hAnsi="Arial" w:cs="Arial"/>
                <w:color w:val="000000"/>
              </w:rPr>
            </w:pPr>
            <w:r w:rsidRPr="00487636">
              <w:rPr>
                <w:rFonts w:ascii="Arial" w:hAnsi="Arial" w:cs="Arial"/>
                <w:color w:val="000000"/>
              </w:rPr>
              <w:t>0.0</w:t>
            </w:r>
            <w:r w:rsidR="00031A6A">
              <w:rPr>
                <w:rFonts w:ascii="Arial" w:hAnsi="Arial" w:cs="Arial"/>
                <w:color w:val="000000"/>
              </w:rPr>
              <w:t>26</w:t>
            </w:r>
          </w:p>
        </w:tc>
        <w:tc>
          <w:tcPr>
            <w:tcW w:w="1840" w:type="dxa"/>
            <w:tcBorders>
              <w:top w:val="nil"/>
              <w:left w:val="nil"/>
              <w:bottom w:val="single" w:sz="4" w:space="0" w:color="auto"/>
              <w:right w:val="single" w:sz="4" w:space="0" w:color="auto"/>
            </w:tcBorders>
            <w:shd w:val="clear" w:color="auto" w:fill="auto"/>
            <w:noWrap/>
            <w:vAlign w:val="bottom"/>
            <w:hideMark/>
          </w:tcPr>
          <w:p w14:paraId="3D85CDAC" w14:textId="77777777" w:rsidR="00487636" w:rsidRPr="00487636" w:rsidRDefault="00031A6A" w:rsidP="00487636">
            <w:pPr>
              <w:jc w:val="center"/>
              <w:rPr>
                <w:rFonts w:ascii="Arial" w:hAnsi="Arial" w:cs="Arial"/>
                <w:color w:val="000000"/>
              </w:rPr>
            </w:pPr>
            <w:r>
              <w:rPr>
                <w:rFonts w:ascii="Arial" w:hAnsi="Arial" w:cs="Arial"/>
                <w:color w:val="000000"/>
              </w:rPr>
              <w:t>0.81</w:t>
            </w:r>
          </w:p>
        </w:tc>
      </w:tr>
      <w:tr w:rsidR="00487636" w:rsidRPr="00487636" w14:paraId="3D85CDB5" w14:textId="77777777" w:rsidTr="00E103E8">
        <w:trPr>
          <w:trHeight w:val="288"/>
        </w:trPr>
        <w:tc>
          <w:tcPr>
            <w:tcW w:w="1550" w:type="dxa"/>
            <w:tcBorders>
              <w:top w:val="nil"/>
              <w:left w:val="single" w:sz="4" w:space="0" w:color="auto"/>
              <w:bottom w:val="nil"/>
              <w:right w:val="nil"/>
            </w:tcBorders>
            <w:shd w:val="clear" w:color="auto" w:fill="auto"/>
            <w:noWrap/>
            <w:vAlign w:val="bottom"/>
            <w:hideMark/>
          </w:tcPr>
          <w:p w14:paraId="3D85CDAE" w14:textId="77777777" w:rsidR="00487636" w:rsidRPr="00487636" w:rsidRDefault="00487636" w:rsidP="00487636">
            <w:pPr>
              <w:rPr>
                <w:rFonts w:ascii="Arial" w:hAnsi="Arial" w:cs="Arial"/>
                <w:b/>
                <w:bCs/>
                <w:color w:val="000000"/>
              </w:rPr>
            </w:pPr>
            <w:r w:rsidRPr="00487636">
              <w:rPr>
                <w:rFonts w:ascii="Arial" w:hAnsi="Arial" w:cs="Arial"/>
                <w:b/>
                <w:bCs/>
                <w:color w:val="000000"/>
              </w:rPr>
              <w:t> </w:t>
            </w:r>
          </w:p>
        </w:tc>
        <w:tc>
          <w:tcPr>
            <w:tcW w:w="2320" w:type="dxa"/>
            <w:tcBorders>
              <w:top w:val="nil"/>
              <w:left w:val="nil"/>
              <w:bottom w:val="nil"/>
              <w:right w:val="nil"/>
            </w:tcBorders>
            <w:shd w:val="clear" w:color="auto" w:fill="auto"/>
            <w:noWrap/>
            <w:vAlign w:val="bottom"/>
            <w:hideMark/>
          </w:tcPr>
          <w:p w14:paraId="3D85CDAF" w14:textId="77777777" w:rsidR="00487636" w:rsidRPr="00487636" w:rsidRDefault="00487636" w:rsidP="00487636">
            <w:pPr>
              <w:rPr>
                <w:rFonts w:ascii="Arial" w:hAnsi="Arial" w:cs="Arial"/>
                <w:b/>
                <w:bCs/>
                <w:color w:val="000000"/>
              </w:rPr>
            </w:pPr>
            <w:r w:rsidRPr="00487636">
              <w:rPr>
                <w:rFonts w:ascii="Arial" w:hAnsi="Arial" w:cs="Arial"/>
                <w:b/>
                <w:bCs/>
                <w:color w:val="000000"/>
              </w:rPr>
              <w:t>Dispersion Factor:</w:t>
            </w:r>
          </w:p>
        </w:tc>
        <w:tc>
          <w:tcPr>
            <w:tcW w:w="1640" w:type="dxa"/>
            <w:tcBorders>
              <w:top w:val="nil"/>
              <w:left w:val="nil"/>
              <w:bottom w:val="nil"/>
              <w:right w:val="nil"/>
            </w:tcBorders>
            <w:shd w:val="clear" w:color="auto" w:fill="auto"/>
            <w:noWrap/>
            <w:vAlign w:val="bottom"/>
            <w:hideMark/>
          </w:tcPr>
          <w:p w14:paraId="3D85CDB0" w14:textId="77777777" w:rsidR="00487636" w:rsidRPr="00487636" w:rsidRDefault="00487636" w:rsidP="00487636">
            <w:pPr>
              <w:rPr>
                <w:rFonts w:ascii="Arial" w:hAnsi="Arial" w:cs="Arial"/>
                <w:b/>
                <w:bCs/>
                <w:color w:val="000000"/>
              </w:rPr>
            </w:pPr>
          </w:p>
        </w:tc>
        <w:tc>
          <w:tcPr>
            <w:tcW w:w="1840" w:type="dxa"/>
            <w:tcBorders>
              <w:top w:val="nil"/>
              <w:left w:val="nil"/>
              <w:bottom w:val="nil"/>
              <w:right w:val="nil"/>
            </w:tcBorders>
            <w:shd w:val="clear" w:color="auto" w:fill="auto"/>
            <w:noWrap/>
            <w:vAlign w:val="bottom"/>
            <w:hideMark/>
          </w:tcPr>
          <w:p w14:paraId="3D85CDB1"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0.00075</w:t>
            </w:r>
          </w:p>
        </w:tc>
        <w:tc>
          <w:tcPr>
            <w:tcW w:w="1880" w:type="dxa"/>
            <w:tcBorders>
              <w:top w:val="nil"/>
              <w:left w:val="nil"/>
              <w:bottom w:val="nil"/>
              <w:right w:val="nil"/>
            </w:tcBorders>
            <w:shd w:val="clear" w:color="auto" w:fill="auto"/>
            <w:noWrap/>
            <w:vAlign w:val="bottom"/>
            <w:hideMark/>
          </w:tcPr>
          <w:p w14:paraId="3D85CDB2"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0.00033</w:t>
            </w:r>
          </w:p>
        </w:tc>
        <w:tc>
          <w:tcPr>
            <w:tcW w:w="1860" w:type="dxa"/>
            <w:tcBorders>
              <w:top w:val="nil"/>
              <w:left w:val="nil"/>
              <w:bottom w:val="nil"/>
              <w:right w:val="nil"/>
            </w:tcBorders>
            <w:shd w:val="clear" w:color="auto" w:fill="auto"/>
            <w:noWrap/>
            <w:vAlign w:val="bottom"/>
            <w:hideMark/>
          </w:tcPr>
          <w:p w14:paraId="3D85CDB3"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0.00033</w:t>
            </w:r>
          </w:p>
        </w:tc>
        <w:tc>
          <w:tcPr>
            <w:tcW w:w="1840" w:type="dxa"/>
            <w:tcBorders>
              <w:top w:val="nil"/>
              <w:left w:val="nil"/>
              <w:bottom w:val="nil"/>
              <w:right w:val="single" w:sz="4" w:space="0" w:color="auto"/>
            </w:tcBorders>
            <w:shd w:val="clear" w:color="auto" w:fill="auto"/>
            <w:noWrap/>
            <w:vAlign w:val="bottom"/>
            <w:hideMark/>
          </w:tcPr>
          <w:p w14:paraId="3D85CDB4"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2.7</w:t>
            </w:r>
          </w:p>
        </w:tc>
      </w:tr>
      <w:tr w:rsidR="00487636" w:rsidRPr="00487636" w14:paraId="3D85CDBD" w14:textId="77777777" w:rsidTr="00E103E8">
        <w:trPr>
          <w:trHeight w:val="288"/>
        </w:trPr>
        <w:tc>
          <w:tcPr>
            <w:tcW w:w="1550" w:type="dxa"/>
            <w:tcBorders>
              <w:top w:val="nil"/>
              <w:left w:val="single" w:sz="4" w:space="0" w:color="auto"/>
              <w:bottom w:val="single" w:sz="4" w:space="0" w:color="auto"/>
              <w:right w:val="nil"/>
            </w:tcBorders>
            <w:shd w:val="clear" w:color="auto" w:fill="auto"/>
            <w:noWrap/>
            <w:vAlign w:val="bottom"/>
            <w:hideMark/>
          </w:tcPr>
          <w:p w14:paraId="3D85CDB6" w14:textId="77777777" w:rsidR="00487636" w:rsidRPr="00487636" w:rsidRDefault="00487636" w:rsidP="00487636">
            <w:pPr>
              <w:rPr>
                <w:rFonts w:ascii="Arial" w:hAnsi="Arial" w:cs="Arial"/>
                <w:b/>
                <w:bCs/>
                <w:color w:val="000000"/>
              </w:rPr>
            </w:pPr>
            <w:r w:rsidRPr="00487636">
              <w:rPr>
                <w:rFonts w:ascii="Arial" w:hAnsi="Arial" w:cs="Arial"/>
                <w:b/>
                <w:bCs/>
                <w:color w:val="000000"/>
              </w:rPr>
              <w:t> </w:t>
            </w:r>
          </w:p>
        </w:tc>
        <w:tc>
          <w:tcPr>
            <w:tcW w:w="2320" w:type="dxa"/>
            <w:tcBorders>
              <w:top w:val="nil"/>
              <w:left w:val="nil"/>
              <w:bottom w:val="single" w:sz="4" w:space="0" w:color="auto"/>
              <w:right w:val="nil"/>
            </w:tcBorders>
            <w:shd w:val="clear" w:color="auto" w:fill="auto"/>
            <w:noWrap/>
            <w:vAlign w:val="bottom"/>
            <w:hideMark/>
          </w:tcPr>
          <w:p w14:paraId="3D85CDB7" w14:textId="77777777" w:rsidR="00487636" w:rsidRPr="00487636" w:rsidRDefault="00487636" w:rsidP="00487636">
            <w:pPr>
              <w:rPr>
                <w:rFonts w:ascii="Arial" w:hAnsi="Arial" w:cs="Arial"/>
                <w:color w:val="000000"/>
              </w:rPr>
            </w:pPr>
            <w:r w:rsidRPr="00487636">
              <w:rPr>
                <w:rFonts w:ascii="Arial" w:hAnsi="Arial" w:cs="Arial"/>
                <w:color w:val="000000"/>
              </w:rPr>
              <w:t> </w:t>
            </w:r>
          </w:p>
        </w:tc>
        <w:tc>
          <w:tcPr>
            <w:tcW w:w="1640" w:type="dxa"/>
            <w:tcBorders>
              <w:top w:val="nil"/>
              <w:left w:val="nil"/>
              <w:bottom w:val="single" w:sz="4" w:space="0" w:color="auto"/>
              <w:right w:val="nil"/>
            </w:tcBorders>
            <w:shd w:val="clear" w:color="auto" w:fill="auto"/>
            <w:noWrap/>
            <w:vAlign w:val="bottom"/>
            <w:hideMark/>
          </w:tcPr>
          <w:p w14:paraId="3D85CDB8" w14:textId="77777777" w:rsidR="00487636" w:rsidRPr="00487636" w:rsidRDefault="00487636" w:rsidP="00487636">
            <w:pPr>
              <w:rPr>
                <w:rFonts w:ascii="Arial" w:hAnsi="Arial" w:cs="Arial"/>
                <w:color w:val="000000"/>
              </w:rPr>
            </w:pPr>
            <w:r w:rsidRPr="00487636">
              <w:rPr>
                <w:rFonts w:ascii="Arial" w:hAnsi="Arial" w:cs="Arial"/>
                <w:color w:val="000000"/>
              </w:rPr>
              <w:t> </w:t>
            </w:r>
          </w:p>
        </w:tc>
        <w:tc>
          <w:tcPr>
            <w:tcW w:w="1840" w:type="dxa"/>
            <w:tcBorders>
              <w:top w:val="nil"/>
              <w:left w:val="nil"/>
              <w:bottom w:val="single" w:sz="4" w:space="0" w:color="auto"/>
              <w:right w:val="nil"/>
            </w:tcBorders>
            <w:shd w:val="clear" w:color="auto" w:fill="auto"/>
            <w:noWrap/>
            <w:vAlign w:val="bottom"/>
            <w:hideMark/>
          </w:tcPr>
          <w:p w14:paraId="3D85CDB9" w14:textId="77777777" w:rsidR="00487636" w:rsidRPr="00487636" w:rsidRDefault="00487636" w:rsidP="00487636">
            <w:pPr>
              <w:jc w:val="center"/>
              <w:rPr>
                <w:rFonts w:ascii="Arial" w:hAnsi="Arial" w:cs="Arial"/>
                <w:color w:val="000000"/>
                <w:sz w:val="18"/>
                <w:szCs w:val="18"/>
              </w:rPr>
            </w:pPr>
            <w:r w:rsidRPr="00487636">
              <w:rPr>
                <w:rFonts w:ascii="Arial" w:hAnsi="Arial" w:cs="Arial"/>
                <w:color w:val="000000"/>
                <w:sz w:val="18"/>
                <w:szCs w:val="18"/>
              </w:rPr>
              <w:t>(ug/m3 per lb/yr)</w:t>
            </w:r>
          </w:p>
        </w:tc>
        <w:tc>
          <w:tcPr>
            <w:tcW w:w="1880" w:type="dxa"/>
            <w:tcBorders>
              <w:top w:val="nil"/>
              <w:left w:val="nil"/>
              <w:bottom w:val="single" w:sz="4" w:space="0" w:color="auto"/>
              <w:right w:val="nil"/>
            </w:tcBorders>
            <w:shd w:val="clear" w:color="auto" w:fill="auto"/>
            <w:noWrap/>
            <w:vAlign w:val="bottom"/>
            <w:hideMark/>
          </w:tcPr>
          <w:p w14:paraId="3D85CDBA" w14:textId="77777777" w:rsidR="00487636" w:rsidRPr="00487636" w:rsidRDefault="00487636" w:rsidP="00487636">
            <w:pPr>
              <w:jc w:val="center"/>
              <w:rPr>
                <w:rFonts w:ascii="Arial" w:hAnsi="Arial" w:cs="Arial"/>
                <w:color w:val="000000"/>
                <w:sz w:val="18"/>
                <w:szCs w:val="18"/>
              </w:rPr>
            </w:pPr>
            <w:r w:rsidRPr="00487636">
              <w:rPr>
                <w:rFonts w:ascii="Arial" w:hAnsi="Arial" w:cs="Arial"/>
                <w:color w:val="000000"/>
                <w:sz w:val="18"/>
                <w:szCs w:val="18"/>
              </w:rPr>
              <w:t>(ug/m3 per lb/yr)</w:t>
            </w:r>
          </w:p>
        </w:tc>
        <w:tc>
          <w:tcPr>
            <w:tcW w:w="1860" w:type="dxa"/>
            <w:tcBorders>
              <w:top w:val="nil"/>
              <w:left w:val="nil"/>
              <w:bottom w:val="single" w:sz="4" w:space="0" w:color="auto"/>
              <w:right w:val="nil"/>
            </w:tcBorders>
            <w:shd w:val="clear" w:color="auto" w:fill="auto"/>
            <w:noWrap/>
            <w:vAlign w:val="bottom"/>
            <w:hideMark/>
          </w:tcPr>
          <w:p w14:paraId="3D85CDBB" w14:textId="77777777" w:rsidR="00487636" w:rsidRPr="00487636" w:rsidRDefault="00487636" w:rsidP="00487636">
            <w:pPr>
              <w:jc w:val="center"/>
              <w:rPr>
                <w:rFonts w:ascii="Arial" w:hAnsi="Arial" w:cs="Arial"/>
                <w:color w:val="000000"/>
                <w:sz w:val="18"/>
                <w:szCs w:val="18"/>
              </w:rPr>
            </w:pPr>
            <w:r w:rsidRPr="00487636">
              <w:rPr>
                <w:rFonts w:ascii="Arial" w:hAnsi="Arial" w:cs="Arial"/>
                <w:color w:val="000000"/>
                <w:sz w:val="18"/>
                <w:szCs w:val="18"/>
              </w:rPr>
              <w:t>(ug/m3 per lb/yr)</w:t>
            </w:r>
          </w:p>
        </w:tc>
        <w:tc>
          <w:tcPr>
            <w:tcW w:w="1840" w:type="dxa"/>
            <w:tcBorders>
              <w:top w:val="nil"/>
              <w:left w:val="nil"/>
              <w:bottom w:val="single" w:sz="4" w:space="0" w:color="auto"/>
              <w:right w:val="single" w:sz="4" w:space="0" w:color="auto"/>
            </w:tcBorders>
            <w:shd w:val="clear" w:color="auto" w:fill="auto"/>
            <w:noWrap/>
            <w:vAlign w:val="bottom"/>
            <w:hideMark/>
          </w:tcPr>
          <w:p w14:paraId="3D85CDBC" w14:textId="77777777" w:rsidR="00487636" w:rsidRPr="00487636" w:rsidRDefault="00487636" w:rsidP="00487636">
            <w:pPr>
              <w:jc w:val="center"/>
              <w:rPr>
                <w:rFonts w:ascii="Arial" w:hAnsi="Arial" w:cs="Arial"/>
                <w:color w:val="000000"/>
                <w:sz w:val="18"/>
                <w:szCs w:val="18"/>
              </w:rPr>
            </w:pPr>
            <w:r w:rsidRPr="00487636">
              <w:rPr>
                <w:rFonts w:ascii="Arial" w:hAnsi="Arial" w:cs="Arial"/>
                <w:color w:val="000000"/>
                <w:sz w:val="18"/>
                <w:szCs w:val="18"/>
              </w:rPr>
              <w:t>(ug/m3 per lb/day)</w:t>
            </w:r>
          </w:p>
        </w:tc>
      </w:tr>
      <w:tr w:rsidR="00487636" w:rsidRPr="00487636" w14:paraId="3D85CDC5" w14:textId="77777777" w:rsidTr="00E103E8">
        <w:trPr>
          <w:trHeight w:val="288"/>
        </w:trPr>
        <w:tc>
          <w:tcPr>
            <w:tcW w:w="1550" w:type="dxa"/>
            <w:tcBorders>
              <w:top w:val="nil"/>
              <w:left w:val="single" w:sz="4" w:space="0" w:color="auto"/>
              <w:bottom w:val="nil"/>
              <w:right w:val="nil"/>
            </w:tcBorders>
            <w:shd w:val="clear" w:color="auto" w:fill="auto"/>
            <w:noWrap/>
            <w:vAlign w:val="bottom"/>
            <w:hideMark/>
          </w:tcPr>
          <w:p w14:paraId="3D85CDBE" w14:textId="77777777" w:rsidR="00487636" w:rsidRPr="00487636" w:rsidRDefault="00487636" w:rsidP="00487636">
            <w:pPr>
              <w:rPr>
                <w:rFonts w:ascii="Arial" w:hAnsi="Arial" w:cs="Arial"/>
                <w:color w:val="000000"/>
              </w:rPr>
            </w:pPr>
            <w:r w:rsidRPr="00487636">
              <w:rPr>
                <w:rFonts w:ascii="Arial" w:hAnsi="Arial" w:cs="Arial"/>
                <w:color w:val="000000"/>
              </w:rPr>
              <w:t> </w:t>
            </w:r>
          </w:p>
        </w:tc>
        <w:tc>
          <w:tcPr>
            <w:tcW w:w="2320" w:type="dxa"/>
            <w:tcBorders>
              <w:top w:val="nil"/>
              <w:left w:val="nil"/>
              <w:bottom w:val="nil"/>
              <w:right w:val="nil"/>
            </w:tcBorders>
            <w:shd w:val="clear" w:color="auto" w:fill="auto"/>
            <w:noWrap/>
            <w:vAlign w:val="bottom"/>
            <w:hideMark/>
          </w:tcPr>
          <w:p w14:paraId="3D85CDBF" w14:textId="77777777" w:rsidR="00487636" w:rsidRPr="00487636" w:rsidRDefault="00487636" w:rsidP="00487636">
            <w:pPr>
              <w:jc w:val="center"/>
              <w:rPr>
                <w:rFonts w:ascii="Arial" w:hAnsi="Arial" w:cs="Arial"/>
                <w:b/>
                <w:bCs/>
                <w:color w:val="000000"/>
              </w:rPr>
            </w:pPr>
          </w:p>
        </w:tc>
        <w:tc>
          <w:tcPr>
            <w:tcW w:w="1640" w:type="dxa"/>
            <w:tcBorders>
              <w:top w:val="nil"/>
              <w:left w:val="nil"/>
              <w:bottom w:val="nil"/>
              <w:right w:val="nil"/>
            </w:tcBorders>
            <w:shd w:val="clear" w:color="auto" w:fill="auto"/>
            <w:noWrap/>
            <w:vAlign w:val="bottom"/>
            <w:hideMark/>
          </w:tcPr>
          <w:p w14:paraId="3D85CDC0" w14:textId="77777777" w:rsidR="00487636" w:rsidRPr="00487636" w:rsidRDefault="00487636" w:rsidP="00487636">
            <w:pPr>
              <w:jc w:val="center"/>
              <w:rPr>
                <w:rFonts w:ascii="Arial" w:hAnsi="Arial" w:cs="Arial"/>
                <w:b/>
                <w:bCs/>
                <w:color w:val="000000"/>
              </w:rPr>
            </w:pPr>
          </w:p>
        </w:tc>
        <w:tc>
          <w:tcPr>
            <w:tcW w:w="1840" w:type="dxa"/>
            <w:tcBorders>
              <w:top w:val="nil"/>
              <w:left w:val="nil"/>
              <w:bottom w:val="nil"/>
              <w:right w:val="nil"/>
            </w:tcBorders>
            <w:shd w:val="clear" w:color="auto" w:fill="auto"/>
            <w:noWrap/>
            <w:vAlign w:val="bottom"/>
            <w:hideMark/>
          </w:tcPr>
          <w:p w14:paraId="3D85CDC1" w14:textId="77777777" w:rsidR="00487636" w:rsidRPr="00487636" w:rsidRDefault="00487636" w:rsidP="00487636">
            <w:pPr>
              <w:rPr>
                <w:rFonts w:ascii="Arial" w:hAnsi="Arial" w:cs="Arial"/>
                <w:color w:val="000000"/>
              </w:rPr>
            </w:pPr>
          </w:p>
        </w:tc>
        <w:tc>
          <w:tcPr>
            <w:tcW w:w="1880" w:type="dxa"/>
            <w:tcBorders>
              <w:top w:val="nil"/>
              <w:left w:val="nil"/>
              <w:bottom w:val="nil"/>
              <w:right w:val="nil"/>
            </w:tcBorders>
            <w:shd w:val="clear" w:color="auto" w:fill="auto"/>
            <w:noWrap/>
            <w:vAlign w:val="bottom"/>
            <w:hideMark/>
          </w:tcPr>
          <w:p w14:paraId="3D85CDC2" w14:textId="77777777" w:rsidR="00487636" w:rsidRPr="00487636" w:rsidRDefault="00487636" w:rsidP="00487636">
            <w:pPr>
              <w:rPr>
                <w:rFonts w:ascii="Arial" w:hAnsi="Arial" w:cs="Arial"/>
                <w:color w:val="000000"/>
              </w:rPr>
            </w:pPr>
          </w:p>
        </w:tc>
        <w:tc>
          <w:tcPr>
            <w:tcW w:w="1860" w:type="dxa"/>
            <w:tcBorders>
              <w:top w:val="nil"/>
              <w:left w:val="nil"/>
              <w:bottom w:val="nil"/>
              <w:right w:val="nil"/>
            </w:tcBorders>
            <w:shd w:val="clear" w:color="auto" w:fill="auto"/>
            <w:noWrap/>
            <w:vAlign w:val="bottom"/>
            <w:hideMark/>
          </w:tcPr>
          <w:p w14:paraId="3D85CDC3" w14:textId="77777777" w:rsidR="00487636" w:rsidRPr="00487636" w:rsidRDefault="00487636" w:rsidP="00487636">
            <w:pPr>
              <w:rPr>
                <w:rFonts w:ascii="Arial" w:hAnsi="Arial" w:cs="Arial"/>
                <w:color w:val="000000"/>
              </w:rPr>
            </w:pPr>
          </w:p>
        </w:tc>
        <w:tc>
          <w:tcPr>
            <w:tcW w:w="1840" w:type="dxa"/>
            <w:tcBorders>
              <w:top w:val="nil"/>
              <w:left w:val="nil"/>
              <w:bottom w:val="nil"/>
              <w:right w:val="single" w:sz="4" w:space="0" w:color="auto"/>
            </w:tcBorders>
            <w:shd w:val="clear" w:color="auto" w:fill="auto"/>
            <w:noWrap/>
            <w:vAlign w:val="bottom"/>
            <w:hideMark/>
          </w:tcPr>
          <w:p w14:paraId="3D85CDC4" w14:textId="77777777" w:rsidR="00487636" w:rsidRPr="00487636" w:rsidRDefault="00487636" w:rsidP="00487636">
            <w:pPr>
              <w:rPr>
                <w:rFonts w:ascii="Arial" w:hAnsi="Arial" w:cs="Arial"/>
                <w:color w:val="000000"/>
              </w:rPr>
            </w:pPr>
            <w:r w:rsidRPr="00487636">
              <w:rPr>
                <w:rFonts w:ascii="Arial" w:hAnsi="Arial" w:cs="Arial"/>
                <w:color w:val="000000"/>
              </w:rPr>
              <w:t> </w:t>
            </w:r>
          </w:p>
        </w:tc>
      </w:tr>
      <w:tr w:rsidR="00487636" w:rsidRPr="00487636" w14:paraId="3D85CDCC" w14:textId="77777777" w:rsidTr="00E103E8">
        <w:trPr>
          <w:trHeight w:val="288"/>
        </w:trPr>
        <w:tc>
          <w:tcPr>
            <w:tcW w:w="3870" w:type="dxa"/>
            <w:gridSpan w:val="2"/>
            <w:tcBorders>
              <w:top w:val="nil"/>
              <w:left w:val="single" w:sz="4" w:space="0" w:color="auto"/>
              <w:bottom w:val="nil"/>
              <w:right w:val="nil"/>
            </w:tcBorders>
            <w:shd w:val="clear" w:color="auto" w:fill="auto"/>
            <w:noWrap/>
            <w:vAlign w:val="bottom"/>
            <w:hideMark/>
          </w:tcPr>
          <w:p w14:paraId="3D85CDC6" w14:textId="77777777" w:rsidR="00487636" w:rsidRPr="00487636" w:rsidRDefault="00487636" w:rsidP="00487636">
            <w:pPr>
              <w:rPr>
                <w:rFonts w:ascii="Arial" w:hAnsi="Arial" w:cs="Arial"/>
                <w:b/>
                <w:bCs/>
                <w:color w:val="000000"/>
              </w:rPr>
            </w:pPr>
            <w:r w:rsidRPr="00487636">
              <w:rPr>
                <w:rFonts w:ascii="Arial" w:hAnsi="Arial" w:cs="Arial"/>
                <w:b/>
                <w:bCs/>
                <w:color w:val="000000"/>
              </w:rPr>
              <w:t>Emission Unit 2</w:t>
            </w:r>
          </w:p>
        </w:tc>
        <w:tc>
          <w:tcPr>
            <w:tcW w:w="1640" w:type="dxa"/>
            <w:tcBorders>
              <w:top w:val="nil"/>
              <w:left w:val="nil"/>
              <w:bottom w:val="nil"/>
              <w:right w:val="nil"/>
            </w:tcBorders>
            <w:shd w:val="clear" w:color="auto" w:fill="auto"/>
            <w:noWrap/>
            <w:vAlign w:val="bottom"/>
            <w:hideMark/>
          </w:tcPr>
          <w:p w14:paraId="3D85CDC7" w14:textId="77777777" w:rsidR="00487636" w:rsidRPr="00487636" w:rsidRDefault="00487636" w:rsidP="00487636">
            <w:pPr>
              <w:jc w:val="center"/>
              <w:rPr>
                <w:rFonts w:ascii="Arial" w:hAnsi="Arial" w:cs="Arial"/>
                <w:b/>
                <w:bCs/>
                <w:color w:val="000000"/>
              </w:rPr>
            </w:pPr>
          </w:p>
        </w:tc>
        <w:tc>
          <w:tcPr>
            <w:tcW w:w="1840" w:type="dxa"/>
            <w:tcBorders>
              <w:top w:val="nil"/>
              <w:left w:val="nil"/>
              <w:bottom w:val="nil"/>
              <w:right w:val="nil"/>
            </w:tcBorders>
            <w:shd w:val="clear" w:color="auto" w:fill="auto"/>
            <w:noWrap/>
            <w:vAlign w:val="bottom"/>
            <w:hideMark/>
          </w:tcPr>
          <w:p w14:paraId="3D85CDC8" w14:textId="77777777" w:rsidR="00487636" w:rsidRPr="00487636" w:rsidRDefault="00487636" w:rsidP="00487636">
            <w:pPr>
              <w:jc w:val="center"/>
              <w:rPr>
                <w:rFonts w:ascii="Arial" w:hAnsi="Arial" w:cs="Arial"/>
                <w:b/>
                <w:bCs/>
                <w:color w:val="000000"/>
              </w:rPr>
            </w:pPr>
          </w:p>
        </w:tc>
        <w:tc>
          <w:tcPr>
            <w:tcW w:w="1880" w:type="dxa"/>
            <w:tcBorders>
              <w:top w:val="nil"/>
              <w:left w:val="nil"/>
              <w:bottom w:val="nil"/>
              <w:right w:val="nil"/>
            </w:tcBorders>
            <w:shd w:val="clear" w:color="auto" w:fill="auto"/>
            <w:noWrap/>
            <w:vAlign w:val="bottom"/>
            <w:hideMark/>
          </w:tcPr>
          <w:p w14:paraId="3D85CDC9" w14:textId="77777777" w:rsidR="00487636" w:rsidRPr="00487636" w:rsidRDefault="00487636" w:rsidP="00487636">
            <w:pPr>
              <w:jc w:val="center"/>
              <w:rPr>
                <w:rFonts w:ascii="Arial" w:hAnsi="Arial" w:cs="Arial"/>
                <w:b/>
                <w:bCs/>
                <w:color w:val="000000"/>
              </w:rPr>
            </w:pPr>
          </w:p>
        </w:tc>
        <w:tc>
          <w:tcPr>
            <w:tcW w:w="1860" w:type="dxa"/>
            <w:tcBorders>
              <w:top w:val="nil"/>
              <w:left w:val="nil"/>
              <w:bottom w:val="nil"/>
              <w:right w:val="nil"/>
            </w:tcBorders>
            <w:shd w:val="clear" w:color="auto" w:fill="auto"/>
            <w:noWrap/>
            <w:vAlign w:val="bottom"/>
            <w:hideMark/>
          </w:tcPr>
          <w:p w14:paraId="3D85CDCA" w14:textId="77777777" w:rsidR="00487636" w:rsidRPr="00487636" w:rsidRDefault="00487636" w:rsidP="00487636">
            <w:pPr>
              <w:jc w:val="center"/>
              <w:rPr>
                <w:rFonts w:ascii="Arial" w:hAnsi="Arial" w:cs="Arial"/>
                <w:b/>
                <w:bCs/>
                <w:color w:val="000000"/>
              </w:rPr>
            </w:pPr>
          </w:p>
        </w:tc>
        <w:tc>
          <w:tcPr>
            <w:tcW w:w="1840" w:type="dxa"/>
            <w:tcBorders>
              <w:top w:val="nil"/>
              <w:left w:val="nil"/>
              <w:bottom w:val="nil"/>
              <w:right w:val="single" w:sz="4" w:space="0" w:color="auto"/>
            </w:tcBorders>
            <w:shd w:val="clear" w:color="auto" w:fill="auto"/>
            <w:noWrap/>
            <w:vAlign w:val="bottom"/>
            <w:hideMark/>
          </w:tcPr>
          <w:p w14:paraId="3D85CDCB"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 </w:t>
            </w:r>
          </w:p>
        </w:tc>
      </w:tr>
      <w:tr w:rsidR="00487636" w:rsidRPr="00487636" w14:paraId="3D85CDD4" w14:textId="77777777" w:rsidTr="00E103E8">
        <w:trPr>
          <w:trHeight w:val="288"/>
        </w:trPr>
        <w:tc>
          <w:tcPr>
            <w:tcW w:w="1550" w:type="dxa"/>
            <w:tcBorders>
              <w:top w:val="nil"/>
              <w:left w:val="single" w:sz="4" w:space="0" w:color="auto"/>
              <w:bottom w:val="nil"/>
              <w:right w:val="nil"/>
            </w:tcBorders>
            <w:shd w:val="clear" w:color="auto" w:fill="auto"/>
            <w:noWrap/>
            <w:vAlign w:val="bottom"/>
            <w:hideMark/>
          </w:tcPr>
          <w:p w14:paraId="3D85CDCD" w14:textId="77777777" w:rsidR="00487636" w:rsidRPr="00487636" w:rsidRDefault="00E103E8" w:rsidP="00487636">
            <w:pPr>
              <w:rPr>
                <w:rFonts w:ascii="Arial" w:hAnsi="Arial" w:cs="Arial"/>
                <w:color w:val="000000"/>
              </w:rPr>
            </w:pPr>
            <w:r>
              <w:rPr>
                <w:rFonts w:ascii="Arial" w:hAnsi="Arial" w:cs="Arial"/>
                <w:color w:val="000000"/>
              </w:rPr>
              <w:t>Acetaldehyde</w:t>
            </w:r>
          </w:p>
        </w:tc>
        <w:tc>
          <w:tcPr>
            <w:tcW w:w="2320" w:type="dxa"/>
            <w:tcBorders>
              <w:top w:val="nil"/>
              <w:left w:val="nil"/>
              <w:bottom w:val="nil"/>
              <w:right w:val="nil"/>
            </w:tcBorders>
            <w:shd w:val="clear" w:color="auto" w:fill="auto"/>
            <w:vAlign w:val="bottom"/>
            <w:hideMark/>
          </w:tcPr>
          <w:p w14:paraId="3D85CDCE" w14:textId="77777777" w:rsidR="00487636" w:rsidRPr="00487636" w:rsidRDefault="00031A6A" w:rsidP="00487636">
            <w:pPr>
              <w:jc w:val="center"/>
              <w:rPr>
                <w:rFonts w:ascii="Arial" w:hAnsi="Arial" w:cs="Arial"/>
                <w:color w:val="000000"/>
              </w:rPr>
            </w:pPr>
            <w:r>
              <w:rPr>
                <w:rFonts w:ascii="Arial" w:hAnsi="Arial" w:cs="Arial"/>
                <w:color w:val="000000"/>
              </w:rPr>
              <w:t>1</w:t>
            </w:r>
            <w:r w:rsidR="00487636" w:rsidRPr="00487636">
              <w:rPr>
                <w:rFonts w:ascii="Arial" w:hAnsi="Arial" w:cs="Arial"/>
                <w:color w:val="000000"/>
              </w:rPr>
              <w:t>00,000</w:t>
            </w:r>
          </w:p>
        </w:tc>
        <w:tc>
          <w:tcPr>
            <w:tcW w:w="1640" w:type="dxa"/>
            <w:tcBorders>
              <w:top w:val="nil"/>
              <w:left w:val="nil"/>
              <w:bottom w:val="nil"/>
              <w:right w:val="nil"/>
            </w:tcBorders>
            <w:shd w:val="clear" w:color="auto" w:fill="auto"/>
            <w:noWrap/>
            <w:vAlign w:val="bottom"/>
            <w:hideMark/>
          </w:tcPr>
          <w:p w14:paraId="3D85CDCF" w14:textId="77777777" w:rsidR="00487636" w:rsidRPr="00487636" w:rsidRDefault="00031A6A" w:rsidP="00487636">
            <w:pPr>
              <w:jc w:val="center"/>
              <w:rPr>
                <w:rFonts w:ascii="Arial" w:hAnsi="Arial" w:cs="Arial"/>
                <w:color w:val="000000"/>
              </w:rPr>
            </w:pPr>
            <w:r>
              <w:rPr>
                <w:rFonts w:ascii="Arial" w:hAnsi="Arial" w:cs="Arial"/>
                <w:color w:val="000000"/>
              </w:rPr>
              <w:t>300</w:t>
            </w:r>
          </w:p>
        </w:tc>
        <w:tc>
          <w:tcPr>
            <w:tcW w:w="1840" w:type="dxa"/>
            <w:tcBorders>
              <w:top w:val="nil"/>
              <w:left w:val="nil"/>
              <w:bottom w:val="nil"/>
              <w:right w:val="nil"/>
            </w:tcBorders>
            <w:shd w:val="clear" w:color="auto" w:fill="auto"/>
            <w:noWrap/>
            <w:vAlign w:val="bottom"/>
            <w:hideMark/>
          </w:tcPr>
          <w:p w14:paraId="3D85CDD0" w14:textId="77777777" w:rsidR="00487636" w:rsidRPr="00487636" w:rsidRDefault="00031A6A" w:rsidP="00487636">
            <w:pPr>
              <w:jc w:val="center"/>
              <w:rPr>
                <w:rFonts w:ascii="Arial" w:hAnsi="Arial" w:cs="Arial"/>
                <w:color w:val="000000"/>
              </w:rPr>
            </w:pPr>
            <w:r>
              <w:rPr>
                <w:rFonts w:ascii="Arial" w:hAnsi="Arial" w:cs="Arial"/>
                <w:color w:val="000000"/>
              </w:rPr>
              <w:t>17</w:t>
            </w:r>
          </w:p>
        </w:tc>
        <w:tc>
          <w:tcPr>
            <w:tcW w:w="1880" w:type="dxa"/>
            <w:tcBorders>
              <w:top w:val="nil"/>
              <w:left w:val="nil"/>
              <w:bottom w:val="nil"/>
              <w:right w:val="nil"/>
            </w:tcBorders>
            <w:shd w:val="clear" w:color="auto" w:fill="auto"/>
            <w:noWrap/>
            <w:vAlign w:val="bottom"/>
            <w:hideMark/>
          </w:tcPr>
          <w:p w14:paraId="3D85CDD1" w14:textId="77777777" w:rsidR="00487636" w:rsidRPr="00487636" w:rsidRDefault="00031A6A" w:rsidP="00487636">
            <w:pPr>
              <w:jc w:val="center"/>
              <w:rPr>
                <w:rFonts w:ascii="Arial" w:hAnsi="Arial" w:cs="Arial"/>
                <w:color w:val="000000"/>
              </w:rPr>
            </w:pPr>
            <w:r>
              <w:rPr>
                <w:rFonts w:ascii="Arial" w:hAnsi="Arial" w:cs="Arial"/>
                <w:color w:val="000000"/>
              </w:rPr>
              <w:t>1</w:t>
            </w:r>
            <w:r w:rsidR="00487636" w:rsidRPr="00487636">
              <w:rPr>
                <w:rFonts w:ascii="Arial" w:hAnsi="Arial" w:cs="Arial"/>
                <w:color w:val="000000"/>
              </w:rPr>
              <w:t>0</w:t>
            </w:r>
          </w:p>
        </w:tc>
        <w:tc>
          <w:tcPr>
            <w:tcW w:w="1860" w:type="dxa"/>
            <w:tcBorders>
              <w:top w:val="nil"/>
              <w:left w:val="nil"/>
              <w:bottom w:val="nil"/>
              <w:right w:val="nil"/>
            </w:tcBorders>
            <w:shd w:val="clear" w:color="auto" w:fill="auto"/>
            <w:noWrap/>
            <w:vAlign w:val="bottom"/>
            <w:hideMark/>
          </w:tcPr>
          <w:p w14:paraId="3D85CDD2" w14:textId="77777777" w:rsidR="00487636" w:rsidRPr="00487636" w:rsidRDefault="00031A6A" w:rsidP="00487636">
            <w:pPr>
              <w:jc w:val="center"/>
              <w:rPr>
                <w:rFonts w:ascii="Arial" w:hAnsi="Arial" w:cs="Arial"/>
                <w:color w:val="000000"/>
              </w:rPr>
            </w:pPr>
            <w:r>
              <w:rPr>
                <w:rFonts w:ascii="Arial" w:hAnsi="Arial" w:cs="Arial"/>
                <w:color w:val="000000"/>
              </w:rPr>
              <w:t>1</w:t>
            </w:r>
            <w:r w:rsidR="00487636" w:rsidRPr="00487636">
              <w:rPr>
                <w:rFonts w:ascii="Arial" w:hAnsi="Arial" w:cs="Arial"/>
                <w:color w:val="000000"/>
              </w:rPr>
              <w:t>0</w:t>
            </w:r>
          </w:p>
        </w:tc>
        <w:tc>
          <w:tcPr>
            <w:tcW w:w="1840" w:type="dxa"/>
            <w:tcBorders>
              <w:top w:val="nil"/>
              <w:left w:val="nil"/>
              <w:bottom w:val="nil"/>
              <w:right w:val="single" w:sz="4" w:space="0" w:color="auto"/>
            </w:tcBorders>
            <w:shd w:val="clear" w:color="auto" w:fill="auto"/>
            <w:noWrap/>
            <w:vAlign w:val="bottom"/>
            <w:hideMark/>
          </w:tcPr>
          <w:p w14:paraId="3D85CDD3" w14:textId="77777777" w:rsidR="00487636" w:rsidRPr="00487636" w:rsidRDefault="00031A6A" w:rsidP="00487636">
            <w:pPr>
              <w:jc w:val="center"/>
              <w:rPr>
                <w:rFonts w:ascii="Arial" w:hAnsi="Arial" w:cs="Arial"/>
                <w:color w:val="000000"/>
              </w:rPr>
            </w:pPr>
            <w:r>
              <w:rPr>
                <w:rFonts w:ascii="Arial" w:hAnsi="Arial" w:cs="Arial"/>
                <w:color w:val="000000"/>
              </w:rPr>
              <w:t>191</w:t>
            </w:r>
          </w:p>
        </w:tc>
      </w:tr>
      <w:tr w:rsidR="00487636" w:rsidRPr="00487636" w14:paraId="3D85CDDC" w14:textId="77777777" w:rsidTr="00E103E8">
        <w:trPr>
          <w:trHeight w:val="288"/>
        </w:trPr>
        <w:tc>
          <w:tcPr>
            <w:tcW w:w="1550" w:type="dxa"/>
            <w:tcBorders>
              <w:top w:val="nil"/>
              <w:left w:val="single" w:sz="4" w:space="0" w:color="auto"/>
              <w:bottom w:val="nil"/>
              <w:right w:val="nil"/>
            </w:tcBorders>
            <w:shd w:val="clear" w:color="auto" w:fill="auto"/>
            <w:noWrap/>
            <w:vAlign w:val="bottom"/>
            <w:hideMark/>
          </w:tcPr>
          <w:p w14:paraId="3D85CDD5" w14:textId="77777777" w:rsidR="00487636" w:rsidRPr="00487636" w:rsidRDefault="00E103E8" w:rsidP="00487636">
            <w:pPr>
              <w:rPr>
                <w:rFonts w:ascii="Arial" w:hAnsi="Arial" w:cs="Arial"/>
                <w:color w:val="000000"/>
              </w:rPr>
            </w:pPr>
            <w:r>
              <w:rPr>
                <w:rFonts w:ascii="Arial" w:hAnsi="Arial" w:cs="Arial"/>
                <w:color w:val="000000"/>
              </w:rPr>
              <w:t>Acetone</w:t>
            </w:r>
          </w:p>
        </w:tc>
        <w:tc>
          <w:tcPr>
            <w:tcW w:w="2320" w:type="dxa"/>
            <w:tcBorders>
              <w:top w:val="nil"/>
              <w:left w:val="nil"/>
              <w:bottom w:val="nil"/>
              <w:right w:val="nil"/>
            </w:tcBorders>
            <w:shd w:val="clear" w:color="auto" w:fill="auto"/>
            <w:vAlign w:val="bottom"/>
            <w:hideMark/>
          </w:tcPr>
          <w:p w14:paraId="3D85CDD6" w14:textId="77777777" w:rsidR="00487636" w:rsidRPr="00487636" w:rsidRDefault="00E103E8" w:rsidP="00E103E8">
            <w:pPr>
              <w:jc w:val="center"/>
              <w:rPr>
                <w:rFonts w:ascii="Arial" w:hAnsi="Arial" w:cs="Arial"/>
                <w:color w:val="000000"/>
              </w:rPr>
            </w:pPr>
            <w:r>
              <w:rPr>
                <w:rFonts w:ascii="Arial" w:hAnsi="Arial" w:cs="Arial"/>
                <w:color w:val="000000"/>
              </w:rPr>
              <w:t>80</w:t>
            </w:r>
            <w:r w:rsidR="00487636" w:rsidRPr="00487636">
              <w:rPr>
                <w:rFonts w:ascii="Arial" w:hAnsi="Arial" w:cs="Arial"/>
                <w:color w:val="000000"/>
              </w:rPr>
              <w:t>,000</w:t>
            </w:r>
          </w:p>
        </w:tc>
        <w:tc>
          <w:tcPr>
            <w:tcW w:w="1640" w:type="dxa"/>
            <w:tcBorders>
              <w:top w:val="nil"/>
              <w:left w:val="nil"/>
              <w:bottom w:val="nil"/>
              <w:right w:val="nil"/>
            </w:tcBorders>
            <w:shd w:val="clear" w:color="auto" w:fill="auto"/>
            <w:noWrap/>
            <w:vAlign w:val="bottom"/>
            <w:hideMark/>
          </w:tcPr>
          <w:p w14:paraId="3D85CDD7" w14:textId="77777777" w:rsidR="00487636" w:rsidRPr="00487636" w:rsidRDefault="00031A6A" w:rsidP="00487636">
            <w:pPr>
              <w:jc w:val="center"/>
              <w:rPr>
                <w:rFonts w:ascii="Arial" w:hAnsi="Arial" w:cs="Arial"/>
                <w:color w:val="000000"/>
              </w:rPr>
            </w:pPr>
            <w:r>
              <w:rPr>
                <w:rFonts w:ascii="Arial" w:hAnsi="Arial" w:cs="Arial"/>
                <w:color w:val="000000"/>
              </w:rPr>
              <w:t>25</w:t>
            </w:r>
            <w:r w:rsidR="00487636" w:rsidRPr="00487636">
              <w:rPr>
                <w:rFonts w:ascii="Arial" w:hAnsi="Arial" w:cs="Arial"/>
                <w:color w:val="000000"/>
              </w:rPr>
              <w:t>0</w:t>
            </w:r>
          </w:p>
        </w:tc>
        <w:tc>
          <w:tcPr>
            <w:tcW w:w="1840" w:type="dxa"/>
            <w:tcBorders>
              <w:top w:val="nil"/>
              <w:left w:val="nil"/>
              <w:bottom w:val="nil"/>
              <w:right w:val="nil"/>
            </w:tcBorders>
            <w:shd w:val="clear" w:color="auto" w:fill="auto"/>
            <w:noWrap/>
            <w:vAlign w:val="bottom"/>
            <w:hideMark/>
          </w:tcPr>
          <w:p w14:paraId="3D85CDD8" w14:textId="77777777" w:rsidR="00487636" w:rsidRPr="00487636" w:rsidRDefault="00E103E8" w:rsidP="00487636">
            <w:pPr>
              <w:jc w:val="center"/>
              <w:rPr>
                <w:rFonts w:ascii="Arial" w:hAnsi="Arial" w:cs="Arial"/>
                <w:color w:val="000000"/>
              </w:rPr>
            </w:pPr>
            <w:r>
              <w:rPr>
                <w:rFonts w:ascii="Arial" w:hAnsi="Arial" w:cs="Arial"/>
                <w:color w:val="000000"/>
              </w:rPr>
              <w:t>14</w:t>
            </w:r>
          </w:p>
        </w:tc>
        <w:tc>
          <w:tcPr>
            <w:tcW w:w="1880" w:type="dxa"/>
            <w:tcBorders>
              <w:top w:val="nil"/>
              <w:left w:val="nil"/>
              <w:bottom w:val="nil"/>
              <w:right w:val="nil"/>
            </w:tcBorders>
            <w:shd w:val="clear" w:color="auto" w:fill="auto"/>
            <w:noWrap/>
            <w:vAlign w:val="bottom"/>
            <w:hideMark/>
          </w:tcPr>
          <w:p w14:paraId="3D85CDD9" w14:textId="77777777" w:rsidR="00487636" w:rsidRPr="00487636" w:rsidRDefault="00E103E8" w:rsidP="00487636">
            <w:pPr>
              <w:jc w:val="center"/>
              <w:rPr>
                <w:rFonts w:ascii="Arial" w:hAnsi="Arial" w:cs="Arial"/>
                <w:color w:val="000000"/>
              </w:rPr>
            </w:pPr>
            <w:r>
              <w:rPr>
                <w:rFonts w:ascii="Arial" w:hAnsi="Arial" w:cs="Arial"/>
                <w:color w:val="000000"/>
              </w:rPr>
              <w:t>8</w:t>
            </w:r>
          </w:p>
        </w:tc>
        <w:tc>
          <w:tcPr>
            <w:tcW w:w="1860" w:type="dxa"/>
            <w:tcBorders>
              <w:top w:val="nil"/>
              <w:left w:val="nil"/>
              <w:bottom w:val="nil"/>
              <w:right w:val="nil"/>
            </w:tcBorders>
            <w:shd w:val="clear" w:color="auto" w:fill="auto"/>
            <w:noWrap/>
            <w:vAlign w:val="bottom"/>
            <w:hideMark/>
          </w:tcPr>
          <w:p w14:paraId="3D85CDDA" w14:textId="77777777" w:rsidR="00487636" w:rsidRPr="00487636" w:rsidRDefault="00E103E8" w:rsidP="00487636">
            <w:pPr>
              <w:jc w:val="center"/>
              <w:rPr>
                <w:rFonts w:ascii="Arial" w:hAnsi="Arial" w:cs="Arial"/>
                <w:color w:val="000000"/>
              </w:rPr>
            </w:pPr>
            <w:r>
              <w:rPr>
                <w:rFonts w:ascii="Arial" w:hAnsi="Arial" w:cs="Arial"/>
                <w:color w:val="000000"/>
              </w:rPr>
              <w:t>8</w:t>
            </w:r>
          </w:p>
        </w:tc>
        <w:tc>
          <w:tcPr>
            <w:tcW w:w="1840" w:type="dxa"/>
            <w:tcBorders>
              <w:top w:val="nil"/>
              <w:left w:val="nil"/>
              <w:bottom w:val="nil"/>
              <w:right w:val="single" w:sz="4" w:space="0" w:color="auto"/>
            </w:tcBorders>
            <w:shd w:val="clear" w:color="auto" w:fill="auto"/>
            <w:noWrap/>
            <w:vAlign w:val="bottom"/>
            <w:hideMark/>
          </w:tcPr>
          <w:p w14:paraId="3D85CDDB" w14:textId="77777777" w:rsidR="00487636" w:rsidRPr="00487636" w:rsidRDefault="00031A6A" w:rsidP="00487636">
            <w:pPr>
              <w:jc w:val="center"/>
              <w:rPr>
                <w:rFonts w:ascii="Arial" w:hAnsi="Arial" w:cs="Arial"/>
                <w:color w:val="000000"/>
              </w:rPr>
            </w:pPr>
            <w:r>
              <w:rPr>
                <w:rFonts w:ascii="Arial" w:hAnsi="Arial" w:cs="Arial"/>
                <w:color w:val="000000"/>
              </w:rPr>
              <w:t>159</w:t>
            </w:r>
          </w:p>
        </w:tc>
      </w:tr>
      <w:tr w:rsidR="00487636" w:rsidRPr="00487636" w14:paraId="3D85CDE4" w14:textId="77777777" w:rsidTr="00E103E8">
        <w:trPr>
          <w:trHeight w:val="288"/>
        </w:trPr>
        <w:tc>
          <w:tcPr>
            <w:tcW w:w="1550" w:type="dxa"/>
            <w:tcBorders>
              <w:top w:val="nil"/>
              <w:left w:val="single" w:sz="4" w:space="0" w:color="auto"/>
              <w:bottom w:val="single" w:sz="4" w:space="0" w:color="auto"/>
              <w:right w:val="nil"/>
            </w:tcBorders>
            <w:shd w:val="clear" w:color="auto" w:fill="auto"/>
            <w:noWrap/>
            <w:vAlign w:val="bottom"/>
            <w:hideMark/>
          </w:tcPr>
          <w:p w14:paraId="3D85CDDD" w14:textId="77777777" w:rsidR="00487636" w:rsidRPr="00487636" w:rsidRDefault="00E103E8" w:rsidP="00487636">
            <w:pPr>
              <w:rPr>
                <w:rFonts w:ascii="Arial" w:hAnsi="Arial" w:cs="Arial"/>
                <w:color w:val="000000"/>
              </w:rPr>
            </w:pPr>
            <w:r>
              <w:rPr>
                <w:rFonts w:ascii="Arial" w:hAnsi="Arial" w:cs="Arial"/>
                <w:color w:val="000000"/>
              </w:rPr>
              <w:t>Acrolein</w:t>
            </w:r>
          </w:p>
        </w:tc>
        <w:tc>
          <w:tcPr>
            <w:tcW w:w="2320" w:type="dxa"/>
            <w:tcBorders>
              <w:top w:val="nil"/>
              <w:left w:val="nil"/>
              <w:bottom w:val="single" w:sz="4" w:space="0" w:color="auto"/>
              <w:right w:val="nil"/>
            </w:tcBorders>
            <w:shd w:val="clear" w:color="auto" w:fill="auto"/>
            <w:vAlign w:val="bottom"/>
            <w:hideMark/>
          </w:tcPr>
          <w:p w14:paraId="3D85CDDE" w14:textId="77777777" w:rsidR="00487636" w:rsidRPr="00487636" w:rsidRDefault="00E103E8" w:rsidP="00487636">
            <w:pPr>
              <w:jc w:val="center"/>
              <w:rPr>
                <w:rFonts w:ascii="Arial" w:hAnsi="Arial" w:cs="Arial"/>
                <w:color w:val="000000"/>
              </w:rPr>
            </w:pPr>
            <w:r>
              <w:rPr>
                <w:rFonts w:ascii="Arial" w:hAnsi="Arial" w:cs="Arial"/>
                <w:color w:val="000000"/>
              </w:rPr>
              <w:t>25</w:t>
            </w:r>
            <w:r w:rsidR="00487636" w:rsidRPr="00487636">
              <w:rPr>
                <w:rFonts w:ascii="Arial" w:hAnsi="Arial" w:cs="Arial"/>
                <w:color w:val="000000"/>
              </w:rPr>
              <w:t>,000</w:t>
            </w:r>
          </w:p>
        </w:tc>
        <w:tc>
          <w:tcPr>
            <w:tcW w:w="1640" w:type="dxa"/>
            <w:tcBorders>
              <w:top w:val="nil"/>
              <w:left w:val="nil"/>
              <w:bottom w:val="single" w:sz="4" w:space="0" w:color="auto"/>
              <w:right w:val="nil"/>
            </w:tcBorders>
            <w:shd w:val="clear" w:color="auto" w:fill="auto"/>
            <w:noWrap/>
            <w:vAlign w:val="bottom"/>
            <w:hideMark/>
          </w:tcPr>
          <w:p w14:paraId="3D85CDDF" w14:textId="77777777" w:rsidR="00487636" w:rsidRPr="00487636" w:rsidRDefault="00E103E8" w:rsidP="00487636">
            <w:pPr>
              <w:jc w:val="center"/>
              <w:rPr>
                <w:rFonts w:ascii="Arial" w:hAnsi="Arial" w:cs="Arial"/>
                <w:color w:val="000000"/>
              </w:rPr>
            </w:pPr>
            <w:r>
              <w:rPr>
                <w:rFonts w:ascii="Arial" w:hAnsi="Arial" w:cs="Arial"/>
                <w:color w:val="000000"/>
              </w:rPr>
              <w:t>75</w:t>
            </w:r>
          </w:p>
        </w:tc>
        <w:tc>
          <w:tcPr>
            <w:tcW w:w="1840" w:type="dxa"/>
            <w:tcBorders>
              <w:top w:val="nil"/>
              <w:left w:val="nil"/>
              <w:bottom w:val="single" w:sz="4" w:space="0" w:color="auto"/>
              <w:right w:val="nil"/>
            </w:tcBorders>
            <w:shd w:val="clear" w:color="auto" w:fill="auto"/>
            <w:noWrap/>
            <w:vAlign w:val="bottom"/>
            <w:hideMark/>
          </w:tcPr>
          <w:p w14:paraId="3D85CDE0" w14:textId="77777777" w:rsidR="00487636" w:rsidRPr="00487636" w:rsidRDefault="00E103E8" w:rsidP="00487636">
            <w:pPr>
              <w:jc w:val="center"/>
              <w:rPr>
                <w:rFonts w:ascii="Arial" w:hAnsi="Arial" w:cs="Arial"/>
                <w:color w:val="000000"/>
              </w:rPr>
            </w:pPr>
            <w:r>
              <w:rPr>
                <w:rFonts w:ascii="Arial" w:hAnsi="Arial" w:cs="Arial"/>
                <w:color w:val="000000"/>
              </w:rPr>
              <w:t>4</w:t>
            </w:r>
          </w:p>
        </w:tc>
        <w:tc>
          <w:tcPr>
            <w:tcW w:w="1880" w:type="dxa"/>
            <w:tcBorders>
              <w:top w:val="nil"/>
              <w:left w:val="nil"/>
              <w:bottom w:val="single" w:sz="4" w:space="0" w:color="auto"/>
              <w:right w:val="nil"/>
            </w:tcBorders>
            <w:shd w:val="clear" w:color="auto" w:fill="auto"/>
            <w:noWrap/>
            <w:vAlign w:val="bottom"/>
            <w:hideMark/>
          </w:tcPr>
          <w:p w14:paraId="3D85CDE1" w14:textId="77777777" w:rsidR="00487636" w:rsidRPr="00487636" w:rsidRDefault="00031A6A" w:rsidP="00E103E8">
            <w:pPr>
              <w:jc w:val="center"/>
              <w:rPr>
                <w:rFonts w:ascii="Arial" w:hAnsi="Arial" w:cs="Arial"/>
                <w:color w:val="000000"/>
              </w:rPr>
            </w:pPr>
            <w:r>
              <w:rPr>
                <w:rFonts w:ascii="Arial" w:hAnsi="Arial" w:cs="Arial"/>
                <w:color w:val="000000"/>
              </w:rPr>
              <w:t>3</w:t>
            </w:r>
          </w:p>
        </w:tc>
        <w:tc>
          <w:tcPr>
            <w:tcW w:w="1860" w:type="dxa"/>
            <w:tcBorders>
              <w:top w:val="nil"/>
              <w:left w:val="nil"/>
              <w:bottom w:val="single" w:sz="4" w:space="0" w:color="auto"/>
              <w:right w:val="nil"/>
            </w:tcBorders>
            <w:shd w:val="clear" w:color="auto" w:fill="auto"/>
            <w:noWrap/>
            <w:vAlign w:val="bottom"/>
            <w:hideMark/>
          </w:tcPr>
          <w:p w14:paraId="3D85CDE2" w14:textId="77777777" w:rsidR="00487636" w:rsidRPr="00487636" w:rsidRDefault="00031A6A" w:rsidP="00E103E8">
            <w:pPr>
              <w:jc w:val="center"/>
              <w:rPr>
                <w:rFonts w:ascii="Arial" w:hAnsi="Arial" w:cs="Arial"/>
                <w:color w:val="000000"/>
              </w:rPr>
            </w:pPr>
            <w:r>
              <w:rPr>
                <w:rFonts w:ascii="Arial" w:hAnsi="Arial" w:cs="Arial"/>
                <w:color w:val="000000"/>
              </w:rPr>
              <w:t>3</w:t>
            </w:r>
          </w:p>
        </w:tc>
        <w:tc>
          <w:tcPr>
            <w:tcW w:w="1840" w:type="dxa"/>
            <w:tcBorders>
              <w:top w:val="nil"/>
              <w:left w:val="nil"/>
              <w:bottom w:val="single" w:sz="4" w:space="0" w:color="auto"/>
              <w:right w:val="single" w:sz="4" w:space="0" w:color="auto"/>
            </w:tcBorders>
            <w:shd w:val="clear" w:color="auto" w:fill="auto"/>
            <w:noWrap/>
            <w:vAlign w:val="bottom"/>
            <w:hideMark/>
          </w:tcPr>
          <w:p w14:paraId="3D85CDE3" w14:textId="77777777" w:rsidR="00487636" w:rsidRPr="00487636" w:rsidRDefault="00E103E8" w:rsidP="00487636">
            <w:pPr>
              <w:jc w:val="center"/>
              <w:rPr>
                <w:rFonts w:ascii="Arial" w:hAnsi="Arial" w:cs="Arial"/>
                <w:color w:val="000000"/>
              </w:rPr>
            </w:pPr>
            <w:r>
              <w:rPr>
                <w:rFonts w:ascii="Arial" w:hAnsi="Arial" w:cs="Arial"/>
                <w:color w:val="000000"/>
              </w:rPr>
              <w:t>48</w:t>
            </w:r>
          </w:p>
        </w:tc>
      </w:tr>
      <w:tr w:rsidR="00487636" w:rsidRPr="00487636" w14:paraId="3D85CDEC" w14:textId="77777777" w:rsidTr="00E103E8">
        <w:trPr>
          <w:trHeight w:val="288"/>
        </w:trPr>
        <w:tc>
          <w:tcPr>
            <w:tcW w:w="1550" w:type="dxa"/>
            <w:tcBorders>
              <w:top w:val="nil"/>
              <w:left w:val="single" w:sz="4" w:space="0" w:color="auto"/>
              <w:bottom w:val="nil"/>
              <w:right w:val="nil"/>
            </w:tcBorders>
            <w:shd w:val="clear" w:color="auto" w:fill="auto"/>
            <w:noWrap/>
            <w:vAlign w:val="bottom"/>
            <w:hideMark/>
          </w:tcPr>
          <w:p w14:paraId="3D85CDE5" w14:textId="77777777" w:rsidR="00487636" w:rsidRPr="00487636" w:rsidRDefault="00487636" w:rsidP="00487636">
            <w:pPr>
              <w:rPr>
                <w:rFonts w:ascii="Arial" w:hAnsi="Arial" w:cs="Arial"/>
                <w:b/>
                <w:bCs/>
                <w:color w:val="000000"/>
              </w:rPr>
            </w:pPr>
            <w:r w:rsidRPr="00487636">
              <w:rPr>
                <w:rFonts w:ascii="Arial" w:hAnsi="Arial" w:cs="Arial"/>
                <w:b/>
                <w:bCs/>
                <w:color w:val="000000"/>
              </w:rPr>
              <w:t> </w:t>
            </w:r>
          </w:p>
        </w:tc>
        <w:tc>
          <w:tcPr>
            <w:tcW w:w="2320" w:type="dxa"/>
            <w:tcBorders>
              <w:top w:val="nil"/>
              <w:left w:val="nil"/>
              <w:bottom w:val="nil"/>
              <w:right w:val="nil"/>
            </w:tcBorders>
            <w:shd w:val="clear" w:color="auto" w:fill="auto"/>
            <w:noWrap/>
            <w:vAlign w:val="bottom"/>
            <w:hideMark/>
          </w:tcPr>
          <w:p w14:paraId="3D85CDE6" w14:textId="77777777" w:rsidR="00487636" w:rsidRPr="00487636" w:rsidRDefault="00487636" w:rsidP="00487636">
            <w:pPr>
              <w:rPr>
                <w:rFonts w:ascii="Arial" w:hAnsi="Arial" w:cs="Arial"/>
                <w:b/>
                <w:bCs/>
                <w:color w:val="000000"/>
              </w:rPr>
            </w:pPr>
            <w:r w:rsidRPr="00487636">
              <w:rPr>
                <w:rFonts w:ascii="Arial" w:hAnsi="Arial" w:cs="Arial"/>
                <w:b/>
                <w:bCs/>
                <w:color w:val="000000"/>
              </w:rPr>
              <w:t>Dispersion Factor:</w:t>
            </w:r>
          </w:p>
        </w:tc>
        <w:tc>
          <w:tcPr>
            <w:tcW w:w="1640" w:type="dxa"/>
            <w:tcBorders>
              <w:top w:val="nil"/>
              <w:left w:val="nil"/>
              <w:bottom w:val="nil"/>
              <w:right w:val="nil"/>
            </w:tcBorders>
            <w:shd w:val="clear" w:color="auto" w:fill="auto"/>
            <w:noWrap/>
            <w:vAlign w:val="bottom"/>
            <w:hideMark/>
          </w:tcPr>
          <w:p w14:paraId="3D85CDE7" w14:textId="77777777" w:rsidR="00487636" w:rsidRPr="00487636" w:rsidRDefault="00487636" w:rsidP="00487636">
            <w:pPr>
              <w:jc w:val="center"/>
              <w:rPr>
                <w:rFonts w:ascii="Arial" w:hAnsi="Arial" w:cs="Arial"/>
                <w:b/>
                <w:bCs/>
                <w:color w:val="000000"/>
              </w:rPr>
            </w:pPr>
          </w:p>
        </w:tc>
        <w:tc>
          <w:tcPr>
            <w:tcW w:w="1840" w:type="dxa"/>
            <w:tcBorders>
              <w:top w:val="nil"/>
              <w:left w:val="nil"/>
              <w:bottom w:val="nil"/>
              <w:right w:val="nil"/>
            </w:tcBorders>
            <w:shd w:val="clear" w:color="auto" w:fill="auto"/>
            <w:noWrap/>
            <w:vAlign w:val="bottom"/>
            <w:hideMark/>
          </w:tcPr>
          <w:p w14:paraId="3D85CDE8"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0.00017</w:t>
            </w:r>
          </w:p>
        </w:tc>
        <w:tc>
          <w:tcPr>
            <w:tcW w:w="1880" w:type="dxa"/>
            <w:tcBorders>
              <w:top w:val="nil"/>
              <w:left w:val="nil"/>
              <w:bottom w:val="nil"/>
              <w:right w:val="nil"/>
            </w:tcBorders>
            <w:shd w:val="clear" w:color="auto" w:fill="auto"/>
            <w:noWrap/>
            <w:vAlign w:val="bottom"/>
            <w:hideMark/>
          </w:tcPr>
          <w:p w14:paraId="3D85CDE9"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0.00010</w:t>
            </w:r>
          </w:p>
        </w:tc>
        <w:tc>
          <w:tcPr>
            <w:tcW w:w="1860" w:type="dxa"/>
            <w:tcBorders>
              <w:top w:val="nil"/>
              <w:left w:val="nil"/>
              <w:bottom w:val="nil"/>
              <w:right w:val="nil"/>
            </w:tcBorders>
            <w:shd w:val="clear" w:color="auto" w:fill="auto"/>
            <w:noWrap/>
            <w:vAlign w:val="bottom"/>
            <w:hideMark/>
          </w:tcPr>
          <w:p w14:paraId="3D85CDEA"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0.00010</w:t>
            </w:r>
          </w:p>
        </w:tc>
        <w:tc>
          <w:tcPr>
            <w:tcW w:w="1840" w:type="dxa"/>
            <w:tcBorders>
              <w:top w:val="nil"/>
              <w:left w:val="nil"/>
              <w:bottom w:val="nil"/>
              <w:right w:val="single" w:sz="4" w:space="0" w:color="auto"/>
            </w:tcBorders>
            <w:shd w:val="clear" w:color="auto" w:fill="auto"/>
            <w:noWrap/>
            <w:vAlign w:val="bottom"/>
            <w:hideMark/>
          </w:tcPr>
          <w:p w14:paraId="3D85CDEB" w14:textId="77777777" w:rsidR="00487636" w:rsidRPr="00487636" w:rsidRDefault="00487636" w:rsidP="00487636">
            <w:pPr>
              <w:jc w:val="center"/>
              <w:rPr>
                <w:rFonts w:ascii="Arial" w:hAnsi="Arial" w:cs="Arial"/>
                <w:b/>
                <w:bCs/>
                <w:color w:val="000000"/>
              </w:rPr>
            </w:pPr>
            <w:r w:rsidRPr="00487636">
              <w:rPr>
                <w:rFonts w:ascii="Arial" w:hAnsi="Arial" w:cs="Arial"/>
                <w:b/>
                <w:bCs/>
                <w:color w:val="000000"/>
              </w:rPr>
              <w:t>0.635</w:t>
            </w:r>
          </w:p>
        </w:tc>
      </w:tr>
      <w:tr w:rsidR="00487636" w:rsidRPr="00487636" w14:paraId="3D85CDF4" w14:textId="77777777" w:rsidTr="00E103E8">
        <w:trPr>
          <w:trHeight w:val="288"/>
        </w:trPr>
        <w:tc>
          <w:tcPr>
            <w:tcW w:w="1550" w:type="dxa"/>
            <w:tcBorders>
              <w:top w:val="nil"/>
              <w:left w:val="single" w:sz="4" w:space="0" w:color="auto"/>
              <w:bottom w:val="single" w:sz="4" w:space="0" w:color="auto"/>
              <w:right w:val="nil"/>
            </w:tcBorders>
            <w:shd w:val="clear" w:color="auto" w:fill="auto"/>
            <w:noWrap/>
            <w:vAlign w:val="bottom"/>
            <w:hideMark/>
          </w:tcPr>
          <w:p w14:paraId="3D85CDED" w14:textId="77777777" w:rsidR="00487636" w:rsidRPr="00487636" w:rsidRDefault="00487636" w:rsidP="00487636">
            <w:pPr>
              <w:rPr>
                <w:rFonts w:ascii="Arial" w:hAnsi="Arial" w:cs="Arial"/>
                <w:color w:val="000000"/>
              </w:rPr>
            </w:pPr>
            <w:r w:rsidRPr="00487636">
              <w:rPr>
                <w:rFonts w:ascii="Arial" w:hAnsi="Arial" w:cs="Arial"/>
                <w:color w:val="000000"/>
              </w:rPr>
              <w:t> </w:t>
            </w:r>
          </w:p>
        </w:tc>
        <w:tc>
          <w:tcPr>
            <w:tcW w:w="2320" w:type="dxa"/>
            <w:tcBorders>
              <w:top w:val="nil"/>
              <w:left w:val="nil"/>
              <w:bottom w:val="single" w:sz="4" w:space="0" w:color="auto"/>
              <w:right w:val="nil"/>
            </w:tcBorders>
            <w:shd w:val="clear" w:color="auto" w:fill="auto"/>
            <w:noWrap/>
            <w:vAlign w:val="bottom"/>
            <w:hideMark/>
          </w:tcPr>
          <w:p w14:paraId="3D85CDEE" w14:textId="77777777" w:rsidR="00487636" w:rsidRPr="00487636" w:rsidRDefault="00487636" w:rsidP="00487636">
            <w:pPr>
              <w:jc w:val="center"/>
              <w:rPr>
                <w:rFonts w:ascii="Arial" w:hAnsi="Arial" w:cs="Arial"/>
                <w:color w:val="000000"/>
              </w:rPr>
            </w:pPr>
            <w:r w:rsidRPr="00487636">
              <w:rPr>
                <w:rFonts w:ascii="Arial" w:hAnsi="Arial" w:cs="Arial"/>
                <w:color w:val="000000"/>
              </w:rPr>
              <w:t> </w:t>
            </w:r>
          </w:p>
        </w:tc>
        <w:tc>
          <w:tcPr>
            <w:tcW w:w="1640" w:type="dxa"/>
            <w:tcBorders>
              <w:top w:val="nil"/>
              <w:left w:val="nil"/>
              <w:bottom w:val="single" w:sz="4" w:space="0" w:color="auto"/>
              <w:right w:val="nil"/>
            </w:tcBorders>
            <w:shd w:val="clear" w:color="auto" w:fill="auto"/>
            <w:noWrap/>
            <w:vAlign w:val="bottom"/>
            <w:hideMark/>
          </w:tcPr>
          <w:p w14:paraId="3D85CDEF" w14:textId="77777777" w:rsidR="00487636" w:rsidRPr="00487636" w:rsidRDefault="00487636" w:rsidP="00487636">
            <w:pPr>
              <w:jc w:val="center"/>
              <w:rPr>
                <w:rFonts w:ascii="Arial" w:hAnsi="Arial" w:cs="Arial"/>
                <w:color w:val="000000"/>
              </w:rPr>
            </w:pPr>
            <w:r w:rsidRPr="00487636">
              <w:rPr>
                <w:rFonts w:ascii="Arial" w:hAnsi="Arial" w:cs="Arial"/>
                <w:color w:val="000000"/>
              </w:rPr>
              <w:t> </w:t>
            </w:r>
          </w:p>
        </w:tc>
        <w:tc>
          <w:tcPr>
            <w:tcW w:w="1840" w:type="dxa"/>
            <w:tcBorders>
              <w:top w:val="nil"/>
              <w:left w:val="nil"/>
              <w:bottom w:val="single" w:sz="4" w:space="0" w:color="auto"/>
              <w:right w:val="nil"/>
            </w:tcBorders>
            <w:shd w:val="clear" w:color="auto" w:fill="auto"/>
            <w:noWrap/>
            <w:vAlign w:val="bottom"/>
            <w:hideMark/>
          </w:tcPr>
          <w:p w14:paraId="3D85CDF0" w14:textId="77777777" w:rsidR="00487636" w:rsidRPr="00487636" w:rsidRDefault="00487636" w:rsidP="00487636">
            <w:pPr>
              <w:jc w:val="center"/>
              <w:rPr>
                <w:rFonts w:ascii="Arial" w:hAnsi="Arial" w:cs="Arial"/>
                <w:color w:val="000000"/>
                <w:sz w:val="18"/>
                <w:szCs w:val="18"/>
              </w:rPr>
            </w:pPr>
            <w:r w:rsidRPr="00487636">
              <w:rPr>
                <w:rFonts w:ascii="Arial" w:hAnsi="Arial" w:cs="Arial"/>
                <w:color w:val="000000"/>
                <w:sz w:val="18"/>
                <w:szCs w:val="18"/>
              </w:rPr>
              <w:t>(ug/m3 per lb/yr)</w:t>
            </w:r>
          </w:p>
        </w:tc>
        <w:tc>
          <w:tcPr>
            <w:tcW w:w="1880" w:type="dxa"/>
            <w:tcBorders>
              <w:top w:val="nil"/>
              <w:left w:val="nil"/>
              <w:bottom w:val="single" w:sz="4" w:space="0" w:color="auto"/>
              <w:right w:val="nil"/>
            </w:tcBorders>
            <w:shd w:val="clear" w:color="auto" w:fill="auto"/>
            <w:noWrap/>
            <w:vAlign w:val="bottom"/>
            <w:hideMark/>
          </w:tcPr>
          <w:p w14:paraId="3D85CDF1" w14:textId="77777777" w:rsidR="00487636" w:rsidRPr="00487636" w:rsidRDefault="00487636" w:rsidP="00487636">
            <w:pPr>
              <w:jc w:val="center"/>
              <w:rPr>
                <w:rFonts w:ascii="Arial" w:hAnsi="Arial" w:cs="Arial"/>
                <w:color w:val="000000"/>
                <w:sz w:val="18"/>
                <w:szCs w:val="18"/>
              </w:rPr>
            </w:pPr>
            <w:r w:rsidRPr="00487636">
              <w:rPr>
                <w:rFonts w:ascii="Arial" w:hAnsi="Arial" w:cs="Arial"/>
                <w:color w:val="000000"/>
                <w:sz w:val="18"/>
                <w:szCs w:val="18"/>
              </w:rPr>
              <w:t>(ug/m3 per lb/yr)</w:t>
            </w:r>
          </w:p>
        </w:tc>
        <w:tc>
          <w:tcPr>
            <w:tcW w:w="1860" w:type="dxa"/>
            <w:tcBorders>
              <w:top w:val="nil"/>
              <w:left w:val="nil"/>
              <w:bottom w:val="single" w:sz="4" w:space="0" w:color="auto"/>
              <w:right w:val="nil"/>
            </w:tcBorders>
            <w:shd w:val="clear" w:color="auto" w:fill="auto"/>
            <w:noWrap/>
            <w:vAlign w:val="bottom"/>
            <w:hideMark/>
          </w:tcPr>
          <w:p w14:paraId="3D85CDF2" w14:textId="77777777" w:rsidR="00487636" w:rsidRPr="00487636" w:rsidRDefault="00487636" w:rsidP="00487636">
            <w:pPr>
              <w:jc w:val="center"/>
              <w:rPr>
                <w:rFonts w:ascii="Arial" w:hAnsi="Arial" w:cs="Arial"/>
                <w:color w:val="000000"/>
                <w:sz w:val="18"/>
                <w:szCs w:val="18"/>
              </w:rPr>
            </w:pPr>
            <w:r w:rsidRPr="00487636">
              <w:rPr>
                <w:rFonts w:ascii="Arial" w:hAnsi="Arial" w:cs="Arial"/>
                <w:color w:val="000000"/>
                <w:sz w:val="18"/>
                <w:szCs w:val="18"/>
              </w:rPr>
              <w:t>(ug/m3 per lb/yr)</w:t>
            </w:r>
          </w:p>
        </w:tc>
        <w:tc>
          <w:tcPr>
            <w:tcW w:w="1840" w:type="dxa"/>
            <w:tcBorders>
              <w:top w:val="nil"/>
              <w:left w:val="nil"/>
              <w:bottom w:val="single" w:sz="4" w:space="0" w:color="auto"/>
              <w:right w:val="single" w:sz="4" w:space="0" w:color="auto"/>
            </w:tcBorders>
            <w:shd w:val="clear" w:color="auto" w:fill="auto"/>
            <w:noWrap/>
            <w:vAlign w:val="bottom"/>
            <w:hideMark/>
          </w:tcPr>
          <w:p w14:paraId="3D85CDF3" w14:textId="77777777" w:rsidR="00487636" w:rsidRPr="00487636" w:rsidRDefault="00487636" w:rsidP="00487636">
            <w:pPr>
              <w:jc w:val="center"/>
              <w:rPr>
                <w:rFonts w:ascii="Arial" w:hAnsi="Arial" w:cs="Arial"/>
                <w:color w:val="000000"/>
                <w:sz w:val="18"/>
                <w:szCs w:val="18"/>
              </w:rPr>
            </w:pPr>
            <w:r w:rsidRPr="00487636">
              <w:rPr>
                <w:rFonts w:ascii="Arial" w:hAnsi="Arial" w:cs="Arial"/>
                <w:color w:val="000000"/>
                <w:sz w:val="18"/>
                <w:szCs w:val="18"/>
              </w:rPr>
              <w:t>(ug/m3 per lb/day)</w:t>
            </w:r>
          </w:p>
        </w:tc>
      </w:tr>
    </w:tbl>
    <w:p w14:paraId="3D85CDF5" w14:textId="77777777" w:rsidR="00487636" w:rsidRPr="00487636" w:rsidRDefault="00487636" w:rsidP="00487636">
      <w:pPr>
        <w:rPr>
          <w:rFonts w:ascii="Arial" w:hAnsi="Arial" w:cs="Arial"/>
        </w:rPr>
      </w:pPr>
    </w:p>
    <w:tbl>
      <w:tblPr>
        <w:tblW w:w="9126" w:type="dxa"/>
        <w:tblInd w:w="99" w:type="dxa"/>
        <w:tblLook w:val="04A0" w:firstRow="1" w:lastRow="0" w:firstColumn="1" w:lastColumn="0" w:noHBand="0" w:noVBand="1"/>
      </w:tblPr>
      <w:tblGrid>
        <w:gridCol w:w="1366"/>
        <w:gridCol w:w="2400"/>
        <w:gridCol w:w="1640"/>
        <w:gridCol w:w="1840"/>
        <w:gridCol w:w="1880"/>
      </w:tblGrid>
      <w:tr w:rsidR="00487636" w:rsidRPr="00487636" w14:paraId="3D85CDFB" w14:textId="77777777" w:rsidTr="00487636">
        <w:trPr>
          <w:trHeight w:val="288"/>
        </w:trPr>
        <w:tc>
          <w:tcPr>
            <w:tcW w:w="1366" w:type="dxa"/>
            <w:tcBorders>
              <w:top w:val="nil"/>
              <w:left w:val="nil"/>
              <w:bottom w:val="nil"/>
              <w:right w:val="nil"/>
            </w:tcBorders>
            <w:shd w:val="clear" w:color="auto" w:fill="auto"/>
            <w:noWrap/>
            <w:vAlign w:val="bottom"/>
            <w:hideMark/>
          </w:tcPr>
          <w:p w14:paraId="3D85CDF6" w14:textId="77777777" w:rsidR="00487636" w:rsidRPr="00487636" w:rsidRDefault="00487636" w:rsidP="00487636">
            <w:pPr>
              <w:rPr>
                <w:rFonts w:ascii="Arial" w:hAnsi="Arial" w:cs="Arial"/>
                <w:b/>
                <w:bCs/>
                <w:color w:val="000000"/>
              </w:rPr>
            </w:pPr>
            <w:r w:rsidRPr="00487636">
              <w:rPr>
                <w:rFonts w:ascii="Arial" w:hAnsi="Arial" w:cs="Arial"/>
                <w:b/>
                <w:bCs/>
                <w:color w:val="000000"/>
              </w:rPr>
              <w:t>Notes:</w:t>
            </w:r>
          </w:p>
        </w:tc>
        <w:tc>
          <w:tcPr>
            <w:tcW w:w="2400" w:type="dxa"/>
            <w:tcBorders>
              <w:top w:val="nil"/>
              <w:left w:val="nil"/>
              <w:bottom w:val="nil"/>
              <w:right w:val="nil"/>
            </w:tcBorders>
            <w:shd w:val="clear" w:color="auto" w:fill="auto"/>
            <w:noWrap/>
            <w:vAlign w:val="bottom"/>
            <w:hideMark/>
          </w:tcPr>
          <w:p w14:paraId="3D85CDF7" w14:textId="77777777" w:rsidR="00487636" w:rsidRPr="00487636" w:rsidRDefault="00487636" w:rsidP="00487636">
            <w:pPr>
              <w:rPr>
                <w:rFonts w:ascii="Arial" w:hAnsi="Arial" w:cs="Arial"/>
                <w:color w:val="000000"/>
              </w:rPr>
            </w:pPr>
          </w:p>
        </w:tc>
        <w:tc>
          <w:tcPr>
            <w:tcW w:w="1640" w:type="dxa"/>
            <w:tcBorders>
              <w:top w:val="nil"/>
              <w:left w:val="nil"/>
              <w:bottom w:val="nil"/>
              <w:right w:val="nil"/>
            </w:tcBorders>
            <w:shd w:val="clear" w:color="auto" w:fill="auto"/>
            <w:noWrap/>
            <w:vAlign w:val="bottom"/>
            <w:hideMark/>
          </w:tcPr>
          <w:p w14:paraId="3D85CDF8" w14:textId="77777777" w:rsidR="00487636" w:rsidRPr="00487636" w:rsidRDefault="00487636" w:rsidP="00487636">
            <w:pPr>
              <w:rPr>
                <w:rFonts w:ascii="Arial" w:hAnsi="Arial" w:cs="Arial"/>
                <w:color w:val="000000"/>
              </w:rPr>
            </w:pPr>
          </w:p>
        </w:tc>
        <w:tc>
          <w:tcPr>
            <w:tcW w:w="1840" w:type="dxa"/>
            <w:tcBorders>
              <w:top w:val="nil"/>
              <w:left w:val="nil"/>
              <w:bottom w:val="nil"/>
              <w:right w:val="nil"/>
            </w:tcBorders>
            <w:shd w:val="clear" w:color="auto" w:fill="auto"/>
            <w:noWrap/>
            <w:vAlign w:val="bottom"/>
            <w:hideMark/>
          </w:tcPr>
          <w:p w14:paraId="3D85CDF9" w14:textId="77777777" w:rsidR="00487636" w:rsidRPr="00487636" w:rsidRDefault="00487636" w:rsidP="00487636">
            <w:pPr>
              <w:jc w:val="center"/>
              <w:rPr>
                <w:rFonts w:ascii="Arial" w:hAnsi="Arial" w:cs="Arial"/>
                <w:color w:val="000000"/>
              </w:rPr>
            </w:pPr>
          </w:p>
        </w:tc>
        <w:tc>
          <w:tcPr>
            <w:tcW w:w="1880" w:type="dxa"/>
            <w:tcBorders>
              <w:top w:val="nil"/>
              <w:left w:val="nil"/>
              <w:bottom w:val="nil"/>
              <w:right w:val="nil"/>
            </w:tcBorders>
            <w:shd w:val="clear" w:color="auto" w:fill="auto"/>
            <w:noWrap/>
            <w:vAlign w:val="bottom"/>
            <w:hideMark/>
          </w:tcPr>
          <w:p w14:paraId="3D85CDFA" w14:textId="77777777" w:rsidR="00487636" w:rsidRPr="00487636" w:rsidRDefault="00487636" w:rsidP="00487636">
            <w:pPr>
              <w:rPr>
                <w:rFonts w:ascii="Arial" w:hAnsi="Arial" w:cs="Arial"/>
                <w:color w:val="000000"/>
              </w:rPr>
            </w:pPr>
          </w:p>
        </w:tc>
      </w:tr>
      <w:tr w:rsidR="00487636" w:rsidRPr="00487636" w14:paraId="3D85CDFF" w14:textId="77777777" w:rsidTr="00487636">
        <w:trPr>
          <w:trHeight w:val="288"/>
        </w:trPr>
        <w:tc>
          <w:tcPr>
            <w:tcW w:w="5406" w:type="dxa"/>
            <w:gridSpan w:val="3"/>
            <w:tcBorders>
              <w:top w:val="nil"/>
              <w:left w:val="nil"/>
              <w:bottom w:val="nil"/>
              <w:right w:val="nil"/>
            </w:tcBorders>
            <w:shd w:val="clear" w:color="auto" w:fill="auto"/>
            <w:noWrap/>
            <w:vAlign w:val="bottom"/>
            <w:hideMark/>
          </w:tcPr>
          <w:p w14:paraId="3D85CDFC" w14:textId="77777777" w:rsidR="00487636" w:rsidRPr="00487636" w:rsidRDefault="00487636" w:rsidP="00487636">
            <w:pPr>
              <w:rPr>
                <w:rFonts w:ascii="Arial" w:hAnsi="Arial" w:cs="Arial"/>
                <w:color w:val="000000"/>
              </w:rPr>
            </w:pPr>
            <w:r w:rsidRPr="00487636">
              <w:rPr>
                <w:rFonts w:ascii="Arial" w:hAnsi="Arial" w:cs="Arial"/>
                <w:color w:val="000000"/>
              </w:rPr>
              <w:t>Concentration = Emission Rate * Dispersion Factor</w:t>
            </w:r>
          </w:p>
        </w:tc>
        <w:tc>
          <w:tcPr>
            <w:tcW w:w="1840" w:type="dxa"/>
            <w:tcBorders>
              <w:top w:val="nil"/>
              <w:left w:val="nil"/>
              <w:bottom w:val="nil"/>
              <w:right w:val="nil"/>
            </w:tcBorders>
            <w:shd w:val="clear" w:color="auto" w:fill="auto"/>
            <w:noWrap/>
            <w:vAlign w:val="bottom"/>
            <w:hideMark/>
          </w:tcPr>
          <w:p w14:paraId="3D85CDFD" w14:textId="77777777" w:rsidR="00487636" w:rsidRPr="00487636" w:rsidRDefault="00487636" w:rsidP="00487636">
            <w:pPr>
              <w:jc w:val="center"/>
              <w:rPr>
                <w:rFonts w:ascii="Arial" w:hAnsi="Arial" w:cs="Arial"/>
                <w:color w:val="000000"/>
              </w:rPr>
            </w:pPr>
          </w:p>
        </w:tc>
        <w:tc>
          <w:tcPr>
            <w:tcW w:w="1880" w:type="dxa"/>
            <w:tcBorders>
              <w:top w:val="nil"/>
              <w:left w:val="nil"/>
              <w:bottom w:val="nil"/>
              <w:right w:val="nil"/>
            </w:tcBorders>
            <w:shd w:val="clear" w:color="auto" w:fill="auto"/>
            <w:noWrap/>
            <w:vAlign w:val="bottom"/>
            <w:hideMark/>
          </w:tcPr>
          <w:p w14:paraId="3D85CDFE" w14:textId="77777777" w:rsidR="00487636" w:rsidRPr="00487636" w:rsidRDefault="00487636" w:rsidP="00487636">
            <w:pPr>
              <w:rPr>
                <w:rFonts w:ascii="Arial" w:hAnsi="Arial" w:cs="Arial"/>
                <w:color w:val="000000"/>
              </w:rPr>
            </w:pPr>
          </w:p>
        </w:tc>
      </w:tr>
      <w:tr w:rsidR="0010235F" w:rsidRPr="00487636" w14:paraId="3D85CE03" w14:textId="77777777" w:rsidTr="0010235F">
        <w:trPr>
          <w:trHeight w:val="288"/>
        </w:trPr>
        <w:tc>
          <w:tcPr>
            <w:tcW w:w="5406" w:type="dxa"/>
            <w:gridSpan w:val="3"/>
            <w:tcBorders>
              <w:top w:val="nil"/>
              <w:left w:val="nil"/>
              <w:bottom w:val="nil"/>
              <w:right w:val="nil"/>
            </w:tcBorders>
            <w:shd w:val="clear" w:color="auto" w:fill="auto"/>
            <w:noWrap/>
            <w:vAlign w:val="bottom"/>
            <w:hideMark/>
          </w:tcPr>
          <w:p w14:paraId="3D85CE00" w14:textId="77777777" w:rsidR="0010235F" w:rsidRPr="00487636" w:rsidRDefault="0010235F" w:rsidP="00487636">
            <w:pPr>
              <w:rPr>
                <w:rFonts w:ascii="Arial" w:hAnsi="Arial" w:cs="Arial"/>
                <w:color w:val="000000"/>
              </w:rPr>
            </w:pPr>
            <w:r w:rsidRPr="00487636">
              <w:rPr>
                <w:rFonts w:ascii="Arial" w:hAnsi="Arial" w:cs="Arial"/>
                <w:color w:val="000000"/>
              </w:rPr>
              <w:t xml:space="preserve">Dispersion factors from </w:t>
            </w:r>
            <w:r>
              <w:rPr>
                <w:rFonts w:ascii="Arial" w:hAnsi="Arial" w:cs="Arial"/>
                <w:color w:val="000000"/>
              </w:rPr>
              <w:t xml:space="preserve">OAR 340-245-8060 </w:t>
            </w:r>
            <w:r w:rsidRPr="00487636">
              <w:rPr>
                <w:rFonts w:ascii="Arial" w:hAnsi="Arial" w:cs="Arial"/>
                <w:color w:val="000000"/>
              </w:rPr>
              <w:t>Table</w:t>
            </w:r>
            <w:r>
              <w:rPr>
                <w:rFonts w:ascii="Arial" w:hAnsi="Arial" w:cs="Arial"/>
                <w:color w:val="000000"/>
              </w:rPr>
              <w:t xml:space="preserve"> 6</w:t>
            </w:r>
            <w:r w:rsidRPr="00487636">
              <w:rPr>
                <w:rFonts w:ascii="Arial" w:hAnsi="Arial" w:cs="Arial"/>
                <w:color w:val="000000"/>
              </w:rPr>
              <w:t>.</w:t>
            </w:r>
          </w:p>
        </w:tc>
        <w:tc>
          <w:tcPr>
            <w:tcW w:w="1840" w:type="dxa"/>
            <w:tcBorders>
              <w:top w:val="nil"/>
              <w:left w:val="nil"/>
              <w:bottom w:val="nil"/>
              <w:right w:val="nil"/>
            </w:tcBorders>
            <w:shd w:val="clear" w:color="auto" w:fill="auto"/>
            <w:noWrap/>
            <w:vAlign w:val="bottom"/>
            <w:hideMark/>
          </w:tcPr>
          <w:p w14:paraId="3D85CE01" w14:textId="77777777" w:rsidR="0010235F" w:rsidRPr="00487636" w:rsidRDefault="0010235F" w:rsidP="00487636">
            <w:pPr>
              <w:jc w:val="center"/>
              <w:rPr>
                <w:rFonts w:ascii="Arial" w:hAnsi="Arial" w:cs="Arial"/>
                <w:color w:val="000000"/>
              </w:rPr>
            </w:pPr>
          </w:p>
        </w:tc>
        <w:tc>
          <w:tcPr>
            <w:tcW w:w="1880" w:type="dxa"/>
            <w:tcBorders>
              <w:top w:val="nil"/>
              <w:left w:val="nil"/>
              <w:bottom w:val="nil"/>
              <w:right w:val="nil"/>
            </w:tcBorders>
            <w:shd w:val="clear" w:color="auto" w:fill="auto"/>
            <w:noWrap/>
            <w:vAlign w:val="bottom"/>
            <w:hideMark/>
          </w:tcPr>
          <w:p w14:paraId="3D85CE02" w14:textId="77777777" w:rsidR="0010235F" w:rsidRPr="00487636" w:rsidRDefault="0010235F" w:rsidP="00487636">
            <w:pPr>
              <w:rPr>
                <w:rFonts w:ascii="Arial" w:hAnsi="Arial" w:cs="Arial"/>
                <w:color w:val="000000"/>
              </w:rPr>
            </w:pPr>
          </w:p>
        </w:tc>
      </w:tr>
    </w:tbl>
    <w:p w14:paraId="3D85CE04" w14:textId="77777777" w:rsidR="00487636" w:rsidRDefault="00487636" w:rsidP="00487636">
      <w:pPr>
        <w:rPr>
          <w:rFonts w:ascii="Arial" w:hAnsi="Arial" w:cs="Arial"/>
        </w:rPr>
        <w:sectPr w:rsidR="00487636" w:rsidSect="005D4872">
          <w:pgSz w:w="15840" w:h="12240" w:orient="landscape" w:code="1"/>
          <w:pgMar w:top="1080" w:right="1080" w:bottom="1080" w:left="1080" w:header="576" w:footer="576" w:gutter="0"/>
          <w:cols w:space="360"/>
          <w:docGrid w:linePitch="299"/>
        </w:sectPr>
      </w:pPr>
    </w:p>
    <w:p w14:paraId="3D85CE05" w14:textId="77777777" w:rsidR="0010235F" w:rsidRPr="0010235F" w:rsidRDefault="0010235F" w:rsidP="0010235F">
      <w:pPr>
        <w:pStyle w:val="NoSpacing"/>
        <w:jc w:val="center"/>
        <w:rPr>
          <w:rFonts w:ascii="Arial" w:hAnsi="Arial" w:cs="Arial"/>
          <w:b/>
        </w:rPr>
      </w:pPr>
      <w:r w:rsidRPr="0010235F">
        <w:rPr>
          <w:rFonts w:ascii="Arial" w:hAnsi="Arial" w:cs="Arial"/>
          <w:b/>
        </w:rPr>
        <w:t>Ex</w:t>
      </w:r>
      <w:r>
        <w:rPr>
          <w:rFonts w:ascii="Arial" w:hAnsi="Arial" w:cs="Arial"/>
          <w:b/>
        </w:rPr>
        <w:t>ample</w:t>
      </w:r>
      <w:r w:rsidRPr="0010235F">
        <w:rPr>
          <w:rFonts w:ascii="Arial" w:hAnsi="Arial" w:cs="Arial"/>
          <w:b/>
        </w:rPr>
        <w:t xml:space="preserve"> 1</w:t>
      </w:r>
      <w:r w:rsidR="00A37F3E">
        <w:rPr>
          <w:rFonts w:ascii="Arial" w:hAnsi="Arial" w:cs="Arial"/>
          <w:b/>
        </w:rPr>
        <w:t>-3</w:t>
      </w:r>
      <w:r w:rsidRPr="0010235F">
        <w:rPr>
          <w:rFonts w:ascii="Arial" w:hAnsi="Arial" w:cs="Arial"/>
          <w:b/>
        </w:rPr>
        <w:t xml:space="preserve"> –Summary Risk Table for Level 1 Screening Risk Assessment</w:t>
      </w:r>
    </w:p>
    <w:p w14:paraId="3D85CE06" w14:textId="77777777" w:rsidR="0010235F" w:rsidRPr="0010235F" w:rsidRDefault="0010235F" w:rsidP="0010235F">
      <w:pPr>
        <w:pStyle w:val="NoSpacing"/>
        <w:rPr>
          <w:rFonts w:ascii="Arial" w:hAnsi="Arial" w:cs="Arial"/>
        </w:rPr>
      </w:pPr>
    </w:p>
    <w:tbl>
      <w:tblPr>
        <w:tblW w:w="20445" w:type="dxa"/>
        <w:tblInd w:w="99" w:type="dxa"/>
        <w:tblLook w:val="04A0" w:firstRow="1" w:lastRow="0" w:firstColumn="1" w:lastColumn="0" w:noHBand="0" w:noVBand="1"/>
      </w:tblPr>
      <w:tblGrid>
        <w:gridCol w:w="1550"/>
        <w:gridCol w:w="1130"/>
        <w:gridCol w:w="967"/>
        <w:gridCol w:w="906"/>
        <w:gridCol w:w="1250"/>
        <w:gridCol w:w="1039"/>
        <w:gridCol w:w="1130"/>
        <w:gridCol w:w="967"/>
        <w:gridCol w:w="906"/>
        <w:gridCol w:w="1250"/>
        <w:gridCol w:w="1039"/>
        <w:gridCol w:w="1130"/>
        <w:gridCol w:w="967"/>
        <w:gridCol w:w="906"/>
        <w:gridCol w:w="1250"/>
        <w:gridCol w:w="1039"/>
        <w:gridCol w:w="1013"/>
        <w:gridCol w:w="967"/>
        <w:gridCol w:w="1039"/>
      </w:tblGrid>
      <w:tr w:rsidR="0010235F" w:rsidRPr="0010235F" w14:paraId="3D85CE0D" w14:textId="77777777" w:rsidTr="004B6AD3">
        <w:trPr>
          <w:trHeight w:val="288"/>
        </w:trPr>
        <w:tc>
          <w:tcPr>
            <w:tcW w:w="1550" w:type="dxa"/>
            <w:tcBorders>
              <w:top w:val="single" w:sz="4" w:space="0" w:color="auto"/>
              <w:left w:val="single" w:sz="4" w:space="0" w:color="auto"/>
              <w:bottom w:val="single" w:sz="4" w:space="0" w:color="auto"/>
              <w:right w:val="nil"/>
            </w:tcBorders>
            <w:shd w:val="clear" w:color="auto" w:fill="auto"/>
            <w:noWrap/>
            <w:vAlign w:val="bottom"/>
            <w:hideMark/>
          </w:tcPr>
          <w:p w14:paraId="3D85CE07"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5292" w:type="dxa"/>
            <w:gridSpan w:val="5"/>
            <w:tcBorders>
              <w:top w:val="single" w:sz="4" w:space="0" w:color="auto"/>
              <w:left w:val="nil"/>
              <w:bottom w:val="single" w:sz="4" w:space="0" w:color="auto"/>
              <w:right w:val="nil"/>
            </w:tcBorders>
            <w:shd w:val="clear" w:color="auto" w:fill="auto"/>
            <w:noWrap/>
            <w:vAlign w:val="bottom"/>
            <w:hideMark/>
          </w:tcPr>
          <w:p w14:paraId="3D85CE0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Residential Exposure</w:t>
            </w:r>
          </w:p>
        </w:tc>
        <w:tc>
          <w:tcPr>
            <w:tcW w:w="529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85CE09"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Non-Resident Child Exposure</w:t>
            </w:r>
          </w:p>
        </w:tc>
        <w:tc>
          <w:tcPr>
            <w:tcW w:w="4253" w:type="dxa"/>
            <w:gridSpan w:val="4"/>
            <w:tcBorders>
              <w:top w:val="single" w:sz="4" w:space="0" w:color="auto"/>
              <w:left w:val="nil"/>
              <w:bottom w:val="single" w:sz="4" w:space="0" w:color="auto"/>
              <w:right w:val="nil"/>
            </w:tcBorders>
            <w:shd w:val="clear" w:color="auto" w:fill="auto"/>
            <w:noWrap/>
            <w:vAlign w:val="bottom"/>
            <w:hideMark/>
          </w:tcPr>
          <w:p w14:paraId="3D85CE0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Non-Resident Worker Exposure</w:t>
            </w:r>
          </w:p>
        </w:tc>
        <w:tc>
          <w:tcPr>
            <w:tcW w:w="1039" w:type="dxa"/>
            <w:tcBorders>
              <w:top w:val="single" w:sz="4" w:space="0" w:color="auto"/>
              <w:left w:val="nil"/>
              <w:bottom w:val="single" w:sz="4" w:space="0" w:color="auto"/>
              <w:right w:val="nil"/>
            </w:tcBorders>
            <w:shd w:val="clear" w:color="auto" w:fill="auto"/>
            <w:noWrap/>
            <w:vAlign w:val="bottom"/>
            <w:hideMark/>
          </w:tcPr>
          <w:p w14:paraId="3D85CE0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301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85CE0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Acute Exposure</w:t>
            </w:r>
          </w:p>
        </w:tc>
      </w:tr>
      <w:tr w:rsidR="0010235F" w:rsidRPr="0010235F" w14:paraId="3D85CE21" w14:textId="77777777" w:rsidTr="004B6AD3">
        <w:trPr>
          <w:trHeight w:val="288"/>
        </w:trPr>
        <w:tc>
          <w:tcPr>
            <w:tcW w:w="1550" w:type="dxa"/>
            <w:tcBorders>
              <w:top w:val="nil"/>
              <w:left w:val="single" w:sz="4" w:space="0" w:color="auto"/>
              <w:bottom w:val="nil"/>
              <w:right w:val="nil"/>
            </w:tcBorders>
            <w:shd w:val="clear" w:color="auto" w:fill="auto"/>
            <w:noWrap/>
            <w:vAlign w:val="bottom"/>
            <w:hideMark/>
          </w:tcPr>
          <w:p w14:paraId="3D85CE0E"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1130" w:type="dxa"/>
            <w:tcBorders>
              <w:top w:val="nil"/>
              <w:left w:val="nil"/>
              <w:bottom w:val="nil"/>
              <w:right w:val="nil"/>
            </w:tcBorders>
            <w:shd w:val="clear" w:color="auto" w:fill="auto"/>
            <w:noWrap/>
            <w:vAlign w:val="bottom"/>
            <w:hideMark/>
          </w:tcPr>
          <w:p w14:paraId="3D85CE0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Annual Avg</w:t>
            </w:r>
          </w:p>
        </w:tc>
        <w:tc>
          <w:tcPr>
            <w:tcW w:w="967" w:type="dxa"/>
            <w:tcBorders>
              <w:top w:val="nil"/>
              <w:left w:val="nil"/>
              <w:bottom w:val="nil"/>
              <w:right w:val="nil"/>
            </w:tcBorders>
            <w:shd w:val="clear" w:color="auto" w:fill="auto"/>
            <w:noWrap/>
            <w:vAlign w:val="bottom"/>
            <w:hideMark/>
          </w:tcPr>
          <w:p w14:paraId="3D85CE1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906" w:type="dxa"/>
            <w:tcBorders>
              <w:top w:val="nil"/>
              <w:left w:val="nil"/>
              <w:bottom w:val="nil"/>
              <w:right w:val="nil"/>
            </w:tcBorders>
            <w:shd w:val="clear" w:color="auto" w:fill="auto"/>
            <w:noWrap/>
            <w:vAlign w:val="bottom"/>
            <w:hideMark/>
          </w:tcPr>
          <w:p w14:paraId="3D85CE1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Excess</w:t>
            </w:r>
          </w:p>
        </w:tc>
        <w:tc>
          <w:tcPr>
            <w:tcW w:w="1250" w:type="dxa"/>
            <w:tcBorders>
              <w:top w:val="nil"/>
              <w:left w:val="nil"/>
              <w:bottom w:val="nil"/>
              <w:right w:val="nil"/>
            </w:tcBorders>
            <w:shd w:val="clear" w:color="auto" w:fill="auto"/>
            <w:noWrap/>
            <w:vAlign w:val="bottom"/>
            <w:hideMark/>
          </w:tcPr>
          <w:p w14:paraId="3D85CE1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1039" w:type="dxa"/>
            <w:tcBorders>
              <w:top w:val="nil"/>
              <w:left w:val="nil"/>
              <w:bottom w:val="nil"/>
              <w:right w:val="single" w:sz="4" w:space="0" w:color="auto"/>
            </w:tcBorders>
            <w:shd w:val="clear" w:color="auto" w:fill="auto"/>
            <w:noWrap/>
            <w:vAlign w:val="bottom"/>
            <w:hideMark/>
          </w:tcPr>
          <w:p w14:paraId="3D85CE13"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130" w:type="dxa"/>
            <w:tcBorders>
              <w:top w:val="nil"/>
              <w:left w:val="nil"/>
              <w:bottom w:val="nil"/>
              <w:right w:val="nil"/>
            </w:tcBorders>
            <w:shd w:val="clear" w:color="auto" w:fill="auto"/>
            <w:noWrap/>
            <w:vAlign w:val="bottom"/>
            <w:hideMark/>
          </w:tcPr>
          <w:p w14:paraId="3D85CE14" w14:textId="77777777" w:rsidR="0010235F" w:rsidRPr="0010235F" w:rsidRDefault="009B117D" w:rsidP="0010235F">
            <w:pPr>
              <w:jc w:val="center"/>
              <w:rPr>
                <w:rFonts w:ascii="Arial" w:hAnsi="Arial" w:cs="Arial"/>
                <w:b/>
                <w:bCs/>
                <w:color w:val="000000"/>
                <w:sz w:val="20"/>
                <w:szCs w:val="20"/>
              </w:rPr>
            </w:pPr>
            <w:r>
              <w:rPr>
                <w:rFonts w:ascii="Arial" w:hAnsi="Arial" w:cs="Arial"/>
                <w:b/>
                <w:bCs/>
                <w:color w:val="000000"/>
                <w:sz w:val="20"/>
                <w:szCs w:val="20"/>
              </w:rPr>
              <w:t>Annual Average</w:t>
            </w:r>
          </w:p>
        </w:tc>
        <w:tc>
          <w:tcPr>
            <w:tcW w:w="967" w:type="dxa"/>
            <w:tcBorders>
              <w:top w:val="nil"/>
              <w:left w:val="nil"/>
              <w:bottom w:val="nil"/>
              <w:right w:val="nil"/>
            </w:tcBorders>
            <w:shd w:val="clear" w:color="auto" w:fill="auto"/>
            <w:noWrap/>
            <w:vAlign w:val="bottom"/>
            <w:hideMark/>
          </w:tcPr>
          <w:p w14:paraId="3D85CE1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906" w:type="dxa"/>
            <w:tcBorders>
              <w:top w:val="nil"/>
              <w:left w:val="nil"/>
              <w:bottom w:val="nil"/>
              <w:right w:val="nil"/>
            </w:tcBorders>
            <w:shd w:val="clear" w:color="auto" w:fill="auto"/>
            <w:noWrap/>
            <w:vAlign w:val="bottom"/>
            <w:hideMark/>
          </w:tcPr>
          <w:p w14:paraId="3D85CE1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Excess</w:t>
            </w:r>
          </w:p>
        </w:tc>
        <w:tc>
          <w:tcPr>
            <w:tcW w:w="1250" w:type="dxa"/>
            <w:tcBorders>
              <w:top w:val="nil"/>
              <w:left w:val="nil"/>
              <w:bottom w:val="nil"/>
              <w:right w:val="nil"/>
            </w:tcBorders>
            <w:shd w:val="clear" w:color="auto" w:fill="auto"/>
            <w:noWrap/>
            <w:vAlign w:val="bottom"/>
            <w:hideMark/>
          </w:tcPr>
          <w:p w14:paraId="3D85CE1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1039" w:type="dxa"/>
            <w:tcBorders>
              <w:top w:val="nil"/>
              <w:left w:val="nil"/>
              <w:bottom w:val="nil"/>
              <w:right w:val="single" w:sz="4" w:space="0" w:color="auto"/>
            </w:tcBorders>
            <w:shd w:val="clear" w:color="auto" w:fill="auto"/>
            <w:noWrap/>
            <w:vAlign w:val="bottom"/>
            <w:hideMark/>
          </w:tcPr>
          <w:p w14:paraId="3D85CE18"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130" w:type="dxa"/>
            <w:tcBorders>
              <w:top w:val="nil"/>
              <w:left w:val="nil"/>
              <w:bottom w:val="nil"/>
              <w:right w:val="nil"/>
            </w:tcBorders>
            <w:shd w:val="clear" w:color="auto" w:fill="auto"/>
            <w:noWrap/>
            <w:vAlign w:val="bottom"/>
            <w:hideMark/>
          </w:tcPr>
          <w:p w14:paraId="3D85CE19" w14:textId="77777777" w:rsidR="0010235F" w:rsidRPr="0010235F" w:rsidRDefault="009B117D" w:rsidP="0010235F">
            <w:pPr>
              <w:jc w:val="center"/>
              <w:rPr>
                <w:rFonts w:ascii="Arial" w:hAnsi="Arial" w:cs="Arial"/>
                <w:b/>
                <w:bCs/>
                <w:color w:val="000000"/>
                <w:sz w:val="20"/>
                <w:szCs w:val="20"/>
              </w:rPr>
            </w:pPr>
            <w:r>
              <w:rPr>
                <w:rFonts w:ascii="Arial" w:hAnsi="Arial" w:cs="Arial"/>
                <w:b/>
                <w:bCs/>
                <w:color w:val="000000"/>
                <w:sz w:val="20"/>
                <w:szCs w:val="20"/>
              </w:rPr>
              <w:t>Annual Average</w:t>
            </w:r>
          </w:p>
        </w:tc>
        <w:tc>
          <w:tcPr>
            <w:tcW w:w="967" w:type="dxa"/>
            <w:tcBorders>
              <w:top w:val="nil"/>
              <w:left w:val="nil"/>
              <w:bottom w:val="nil"/>
              <w:right w:val="nil"/>
            </w:tcBorders>
            <w:shd w:val="clear" w:color="auto" w:fill="auto"/>
            <w:noWrap/>
            <w:vAlign w:val="bottom"/>
            <w:hideMark/>
          </w:tcPr>
          <w:p w14:paraId="3D85CE1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906" w:type="dxa"/>
            <w:tcBorders>
              <w:top w:val="nil"/>
              <w:left w:val="nil"/>
              <w:bottom w:val="nil"/>
              <w:right w:val="nil"/>
            </w:tcBorders>
            <w:shd w:val="clear" w:color="auto" w:fill="auto"/>
            <w:noWrap/>
            <w:vAlign w:val="bottom"/>
            <w:hideMark/>
          </w:tcPr>
          <w:p w14:paraId="3D85CE1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Excess</w:t>
            </w:r>
          </w:p>
        </w:tc>
        <w:tc>
          <w:tcPr>
            <w:tcW w:w="1250" w:type="dxa"/>
            <w:tcBorders>
              <w:top w:val="nil"/>
              <w:left w:val="nil"/>
              <w:bottom w:val="nil"/>
              <w:right w:val="nil"/>
            </w:tcBorders>
            <w:shd w:val="clear" w:color="auto" w:fill="auto"/>
            <w:noWrap/>
            <w:vAlign w:val="bottom"/>
            <w:hideMark/>
          </w:tcPr>
          <w:p w14:paraId="3D85CE1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1039" w:type="dxa"/>
            <w:tcBorders>
              <w:top w:val="nil"/>
              <w:left w:val="nil"/>
              <w:bottom w:val="nil"/>
              <w:right w:val="single" w:sz="4" w:space="0" w:color="auto"/>
            </w:tcBorders>
            <w:shd w:val="clear" w:color="auto" w:fill="auto"/>
            <w:noWrap/>
            <w:vAlign w:val="bottom"/>
            <w:hideMark/>
          </w:tcPr>
          <w:p w14:paraId="3D85CE1D"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013" w:type="dxa"/>
            <w:tcBorders>
              <w:top w:val="nil"/>
              <w:left w:val="nil"/>
              <w:bottom w:val="nil"/>
              <w:right w:val="nil"/>
            </w:tcBorders>
            <w:shd w:val="clear" w:color="auto" w:fill="auto"/>
            <w:noWrap/>
            <w:vAlign w:val="bottom"/>
            <w:hideMark/>
          </w:tcPr>
          <w:p w14:paraId="3D85CE1E" w14:textId="77777777" w:rsidR="0010235F" w:rsidRPr="0010235F" w:rsidRDefault="009B117D" w:rsidP="0010235F">
            <w:pPr>
              <w:jc w:val="center"/>
              <w:rPr>
                <w:rFonts w:ascii="Arial" w:hAnsi="Arial" w:cs="Arial"/>
                <w:b/>
                <w:bCs/>
                <w:color w:val="000000"/>
                <w:sz w:val="20"/>
                <w:szCs w:val="20"/>
              </w:rPr>
            </w:pPr>
            <w:r>
              <w:rPr>
                <w:rFonts w:ascii="Arial" w:hAnsi="Arial" w:cs="Arial"/>
                <w:b/>
                <w:bCs/>
                <w:color w:val="000000"/>
                <w:sz w:val="20"/>
                <w:szCs w:val="20"/>
              </w:rPr>
              <w:t>24-Hour Average</w:t>
            </w:r>
          </w:p>
        </w:tc>
        <w:tc>
          <w:tcPr>
            <w:tcW w:w="967" w:type="dxa"/>
            <w:tcBorders>
              <w:top w:val="nil"/>
              <w:left w:val="nil"/>
              <w:bottom w:val="nil"/>
              <w:right w:val="nil"/>
            </w:tcBorders>
            <w:shd w:val="clear" w:color="auto" w:fill="auto"/>
            <w:noWrap/>
            <w:vAlign w:val="bottom"/>
            <w:hideMark/>
          </w:tcPr>
          <w:p w14:paraId="3D85CE1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Acute</w:t>
            </w:r>
          </w:p>
        </w:tc>
        <w:tc>
          <w:tcPr>
            <w:tcW w:w="1039" w:type="dxa"/>
            <w:tcBorders>
              <w:top w:val="nil"/>
              <w:left w:val="nil"/>
              <w:bottom w:val="nil"/>
              <w:right w:val="single" w:sz="4" w:space="0" w:color="auto"/>
            </w:tcBorders>
            <w:shd w:val="clear" w:color="auto" w:fill="auto"/>
            <w:noWrap/>
            <w:vAlign w:val="bottom"/>
            <w:hideMark/>
          </w:tcPr>
          <w:p w14:paraId="3D85CE2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r>
      <w:tr w:rsidR="0010235F" w:rsidRPr="0010235F" w14:paraId="3D85CE35" w14:textId="77777777" w:rsidTr="004B6AD3">
        <w:trPr>
          <w:trHeight w:val="288"/>
        </w:trPr>
        <w:tc>
          <w:tcPr>
            <w:tcW w:w="1550" w:type="dxa"/>
            <w:tcBorders>
              <w:top w:val="nil"/>
              <w:left w:val="single" w:sz="4" w:space="0" w:color="auto"/>
              <w:bottom w:val="nil"/>
              <w:right w:val="nil"/>
            </w:tcBorders>
            <w:shd w:val="clear" w:color="auto" w:fill="auto"/>
            <w:noWrap/>
            <w:vAlign w:val="bottom"/>
            <w:hideMark/>
          </w:tcPr>
          <w:p w14:paraId="3D85CE22"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 </w:t>
            </w:r>
          </w:p>
        </w:tc>
        <w:tc>
          <w:tcPr>
            <w:tcW w:w="1130" w:type="dxa"/>
            <w:tcBorders>
              <w:top w:val="nil"/>
              <w:left w:val="nil"/>
              <w:bottom w:val="nil"/>
              <w:right w:val="nil"/>
            </w:tcBorders>
            <w:shd w:val="clear" w:color="auto" w:fill="auto"/>
            <w:noWrap/>
            <w:vAlign w:val="bottom"/>
            <w:hideMark/>
          </w:tcPr>
          <w:p w14:paraId="3D85CE2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Conc.</w:t>
            </w:r>
          </w:p>
        </w:tc>
        <w:tc>
          <w:tcPr>
            <w:tcW w:w="967" w:type="dxa"/>
            <w:tcBorders>
              <w:top w:val="nil"/>
              <w:left w:val="nil"/>
              <w:bottom w:val="nil"/>
              <w:right w:val="nil"/>
            </w:tcBorders>
            <w:shd w:val="clear" w:color="auto" w:fill="auto"/>
            <w:noWrap/>
            <w:vAlign w:val="bottom"/>
            <w:hideMark/>
          </w:tcPr>
          <w:p w14:paraId="3D85CE2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906" w:type="dxa"/>
            <w:tcBorders>
              <w:top w:val="nil"/>
              <w:left w:val="nil"/>
              <w:bottom w:val="nil"/>
              <w:right w:val="nil"/>
            </w:tcBorders>
            <w:shd w:val="clear" w:color="auto" w:fill="auto"/>
            <w:noWrap/>
            <w:vAlign w:val="bottom"/>
            <w:hideMark/>
          </w:tcPr>
          <w:p w14:paraId="3D85CE2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1250" w:type="dxa"/>
            <w:tcBorders>
              <w:top w:val="nil"/>
              <w:left w:val="nil"/>
              <w:bottom w:val="nil"/>
              <w:right w:val="nil"/>
            </w:tcBorders>
            <w:shd w:val="clear" w:color="auto" w:fill="auto"/>
            <w:noWrap/>
            <w:vAlign w:val="bottom"/>
            <w:hideMark/>
          </w:tcPr>
          <w:p w14:paraId="3D85CE2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Noncancer</w:t>
            </w:r>
          </w:p>
        </w:tc>
        <w:tc>
          <w:tcPr>
            <w:tcW w:w="1039" w:type="dxa"/>
            <w:tcBorders>
              <w:top w:val="nil"/>
              <w:left w:val="nil"/>
              <w:bottom w:val="nil"/>
              <w:right w:val="single" w:sz="4" w:space="0" w:color="auto"/>
            </w:tcBorders>
            <w:shd w:val="clear" w:color="auto" w:fill="auto"/>
            <w:noWrap/>
            <w:vAlign w:val="bottom"/>
            <w:hideMark/>
          </w:tcPr>
          <w:p w14:paraId="3D85CE2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Hazard</w:t>
            </w:r>
          </w:p>
        </w:tc>
        <w:tc>
          <w:tcPr>
            <w:tcW w:w="1130" w:type="dxa"/>
            <w:tcBorders>
              <w:top w:val="nil"/>
              <w:left w:val="nil"/>
              <w:bottom w:val="nil"/>
              <w:right w:val="nil"/>
            </w:tcBorders>
            <w:shd w:val="clear" w:color="auto" w:fill="auto"/>
            <w:noWrap/>
            <w:vAlign w:val="bottom"/>
            <w:hideMark/>
          </w:tcPr>
          <w:p w14:paraId="3D85CE28" w14:textId="77777777" w:rsidR="0010235F" w:rsidRPr="0010235F" w:rsidRDefault="009B117D" w:rsidP="0010235F">
            <w:pPr>
              <w:jc w:val="center"/>
              <w:rPr>
                <w:rFonts w:ascii="Arial" w:hAnsi="Arial" w:cs="Arial"/>
                <w:b/>
                <w:bCs/>
                <w:color w:val="000000"/>
                <w:sz w:val="20"/>
                <w:szCs w:val="20"/>
              </w:rPr>
            </w:pPr>
            <w:r>
              <w:rPr>
                <w:rFonts w:ascii="Arial" w:hAnsi="Arial" w:cs="Arial"/>
                <w:b/>
                <w:bCs/>
                <w:color w:val="000000"/>
                <w:sz w:val="20"/>
                <w:szCs w:val="20"/>
              </w:rPr>
              <w:t>Conc.</w:t>
            </w:r>
          </w:p>
        </w:tc>
        <w:tc>
          <w:tcPr>
            <w:tcW w:w="967" w:type="dxa"/>
            <w:tcBorders>
              <w:top w:val="nil"/>
              <w:left w:val="nil"/>
              <w:bottom w:val="nil"/>
              <w:right w:val="nil"/>
            </w:tcBorders>
            <w:shd w:val="clear" w:color="auto" w:fill="auto"/>
            <w:noWrap/>
            <w:vAlign w:val="bottom"/>
            <w:hideMark/>
          </w:tcPr>
          <w:p w14:paraId="3D85CE29"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906" w:type="dxa"/>
            <w:tcBorders>
              <w:top w:val="nil"/>
              <w:left w:val="nil"/>
              <w:bottom w:val="nil"/>
              <w:right w:val="nil"/>
            </w:tcBorders>
            <w:shd w:val="clear" w:color="auto" w:fill="auto"/>
            <w:noWrap/>
            <w:vAlign w:val="bottom"/>
            <w:hideMark/>
          </w:tcPr>
          <w:p w14:paraId="3D85CE2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1250" w:type="dxa"/>
            <w:tcBorders>
              <w:top w:val="nil"/>
              <w:left w:val="nil"/>
              <w:bottom w:val="nil"/>
              <w:right w:val="nil"/>
            </w:tcBorders>
            <w:shd w:val="clear" w:color="auto" w:fill="auto"/>
            <w:noWrap/>
            <w:vAlign w:val="bottom"/>
            <w:hideMark/>
          </w:tcPr>
          <w:p w14:paraId="3D85CE2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Noncancer</w:t>
            </w:r>
          </w:p>
        </w:tc>
        <w:tc>
          <w:tcPr>
            <w:tcW w:w="1039" w:type="dxa"/>
            <w:tcBorders>
              <w:top w:val="nil"/>
              <w:left w:val="nil"/>
              <w:bottom w:val="nil"/>
              <w:right w:val="single" w:sz="4" w:space="0" w:color="auto"/>
            </w:tcBorders>
            <w:shd w:val="clear" w:color="auto" w:fill="auto"/>
            <w:noWrap/>
            <w:vAlign w:val="bottom"/>
            <w:hideMark/>
          </w:tcPr>
          <w:p w14:paraId="3D85CE2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Hazard</w:t>
            </w:r>
          </w:p>
        </w:tc>
        <w:tc>
          <w:tcPr>
            <w:tcW w:w="1130" w:type="dxa"/>
            <w:tcBorders>
              <w:top w:val="nil"/>
              <w:left w:val="nil"/>
              <w:bottom w:val="nil"/>
              <w:right w:val="nil"/>
            </w:tcBorders>
            <w:shd w:val="clear" w:color="auto" w:fill="auto"/>
            <w:noWrap/>
            <w:vAlign w:val="bottom"/>
            <w:hideMark/>
          </w:tcPr>
          <w:p w14:paraId="3D85CE2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Conc.</w:t>
            </w:r>
          </w:p>
        </w:tc>
        <w:tc>
          <w:tcPr>
            <w:tcW w:w="967" w:type="dxa"/>
            <w:tcBorders>
              <w:top w:val="nil"/>
              <w:left w:val="nil"/>
              <w:bottom w:val="nil"/>
              <w:right w:val="nil"/>
            </w:tcBorders>
            <w:shd w:val="clear" w:color="auto" w:fill="auto"/>
            <w:noWrap/>
            <w:vAlign w:val="bottom"/>
            <w:hideMark/>
          </w:tcPr>
          <w:p w14:paraId="3D85CE2E"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906" w:type="dxa"/>
            <w:tcBorders>
              <w:top w:val="nil"/>
              <w:left w:val="nil"/>
              <w:bottom w:val="nil"/>
              <w:right w:val="nil"/>
            </w:tcBorders>
            <w:shd w:val="clear" w:color="auto" w:fill="auto"/>
            <w:noWrap/>
            <w:vAlign w:val="bottom"/>
            <w:hideMark/>
          </w:tcPr>
          <w:p w14:paraId="3D85CE2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1250" w:type="dxa"/>
            <w:tcBorders>
              <w:top w:val="nil"/>
              <w:left w:val="nil"/>
              <w:bottom w:val="nil"/>
              <w:right w:val="nil"/>
            </w:tcBorders>
            <w:shd w:val="clear" w:color="auto" w:fill="auto"/>
            <w:noWrap/>
            <w:vAlign w:val="bottom"/>
            <w:hideMark/>
          </w:tcPr>
          <w:p w14:paraId="3D85CE3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Noncancer</w:t>
            </w:r>
          </w:p>
        </w:tc>
        <w:tc>
          <w:tcPr>
            <w:tcW w:w="1039" w:type="dxa"/>
            <w:tcBorders>
              <w:top w:val="nil"/>
              <w:left w:val="nil"/>
              <w:bottom w:val="nil"/>
              <w:right w:val="single" w:sz="4" w:space="0" w:color="auto"/>
            </w:tcBorders>
            <w:shd w:val="clear" w:color="auto" w:fill="auto"/>
            <w:noWrap/>
            <w:vAlign w:val="bottom"/>
            <w:hideMark/>
          </w:tcPr>
          <w:p w14:paraId="3D85CE3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Hazard</w:t>
            </w:r>
          </w:p>
        </w:tc>
        <w:tc>
          <w:tcPr>
            <w:tcW w:w="1013" w:type="dxa"/>
            <w:tcBorders>
              <w:top w:val="nil"/>
              <w:left w:val="nil"/>
              <w:bottom w:val="nil"/>
              <w:right w:val="nil"/>
            </w:tcBorders>
            <w:shd w:val="clear" w:color="auto" w:fill="auto"/>
            <w:noWrap/>
            <w:vAlign w:val="bottom"/>
            <w:hideMark/>
          </w:tcPr>
          <w:p w14:paraId="3D85CE3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Conc.</w:t>
            </w:r>
          </w:p>
        </w:tc>
        <w:tc>
          <w:tcPr>
            <w:tcW w:w="967" w:type="dxa"/>
            <w:tcBorders>
              <w:top w:val="nil"/>
              <w:left w:val="nil"/>
              <w:bottom w:val="nil"/>
              <w:right w:val="nil"/>
            </w:tcBorders>
            <w:shd w:val="clear" w:color="auto" w:fill="auto"/>
            <w:noWrap/>
            <w:vAlign w:val="bottom"/>
            <w:hideMark/>
          </w:tcPr>
          <w:p w14:paraId="3D85CE3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1039" w:type="dxa"/>
            <w:tcBorders>
              <w:top w:val="nil"/>
              <w:left w:val="nil"/>
              <w:bottom w:val="nil"/>
              <w:right w:val="single" w:sz="4" w:space="0" w:color="auto"/>
            </w:tcBorders>
            <w:shd w:val="clear" w:color="auto" w:fill="auto"/>
            <w:noWrap/>
            <w:vAlign w:val="bottom"/>
            <w:hideMark/>
          </w:tcPr>
          <w:p w14:paraId="3D85CE3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Hazard</w:t>
            </w:r>
          </w:p>
        </w:tc>
      </w:tr>
      <w:tr w:rsidR="0010235F" w:rsidRPr="0010235F" w14:paraId="3D85CE49" w14:textId="77777777" w:rsidTr="00607B7E">
        <w:trPr>
          <w:trHeight w:val="288"/>
        </w:trPr>
        <w:tc>
          <w:tcPr>
            <w:tcW w:w="1550" w:type="dxa"/>
            <w:tcBorders>
              <w:top w:val="nil"/>
              <w:left w:val="single" w:sz="4" w:space="0" w:color="auto"/>
              <w:bottom w:val="single" w:sz="4" w:space="0" w:color="auto"/>
              <w:right w:val="nil"/>
            </w:tcBorders>
            <w:shd w:val="clear" w:color="auto" w:fill="auto"/>
            <w:noWrap/>
            <w:vAlign w:val="bottom"/>
            <w:hideMark/>
          </w:tcPr>
          <w:p w14:paraId="3D85CE36" w14:textId="77777777" w:rsidR="0010235F" w:rsidRPr="0010235F" w:rsidRDefault="009B117D" w:rsidP="0010235F">
            <w:pPr>
              <w:rPr>
                <w:rFonts w:ascii="Arial" w:hAnsi="Arial" w:cs="Arial"/>
                <w:b/>
                <w:bCs/>
                <w:color w:val="000000"/>
                <w:sz w:val="20"/>
                <w:szCs w:val="20"/>
              </w:rPr>
            </w:pPr>
            <w:r>
              <w:rPr>
                <w:rFonts w:ascii="Arial" w:hAnsi="Arial" w:cs="Arial"/>
                <w:b/>
                <w:bCs/>
                <w:color w:val="000000"/>
                <w:sz w:val="20"/>
                <w:szCs w:val="20"/>
              </w:rPr>
              <w:t>Air Toxic</w:t>
            </w:r>
          </w:p>
        </w:tc>
        <w:tc>
          <w:tcPr>
            <w:tcW w:w="1130" w:type="dxa"/>
            <w:tcBorders>
              <w:top w:val="nil"/>
              <w:left w:val="nil"/>
              <w:bottom w:val="single" w:sz="4" w:space="0" w:color="auto"/>
              <w:right w:val="nil"/>
            </w:tcBorders>
            <w:shd w:val="clear" w:color="auto" w:fill="auto"/>
            <w:noWrap/>
            <w:vAlign w:val="bottom"/>
            <w:hideMark/>
          </w:tcPr>
          <w:p w14:paraId="3D85CE3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67" w:type="dxa"/>
            <w:tcBorders>
              <w:top w:val="nil"/>
              <w:left w:val="nil"/>
              <w:bottom w:val="single" w:sz="4" w:space="0" w:color="auto"/>
              <w:right w:val="nil"/>
            </w:tcBorders>
            <w:shd w:val="clear" w:color="auto" w:fill="auto"/>
            <w:noWrap/>
            <w:vAlign w:val="bottom"/>
            <w:hideMark/>
          </w:tcPr>
          <w:p w14:paraId="3D85CE3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06" w:type="dxa"/>
            <w:tcBorders>
              <w:top w:val="nil"/>
              <w:left w:val="nil"/>
              <w:bottom w:val="single" w:sz="4" w:space="0" w:color="auto"/>
              <w:right w:val="nil"/>
            </w:tcBorders>
            <w:shd w:val="clear" w:color="auto" w:fill="auto"/>
            <w:noWrap/>
            <w:vAlign w:val="bottom"/>
            <w:hideMark/>
          </w:tcPr>
          <w:p w14:paraId="3D85CE39"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Risk</w:t>
            </w:r>
          </w:p>
        </w:tc>
        <w:tc>
          <w:tcPr>
            <w:tcW w:w="1250" w:type="dxa"/>
            <w:tcBorders>
              <w:top w:val="nil"/>
              <w:left w:val="nil"/>
              <w:bottom w:val="single" w:sz="4" w:space="0" w:color="auto"/>
              <w:right w:val="nil"/>
            </w:tcBorders>
            <w:shd w:val="clear" w:color="auto" w:fill="auto"/>
            <w:noWrap/>
            <w:vAlign w:val="bottom"/>
            <w:hideMark/>
          </w:tcPr>
          <w:p w14:paraId="3D85CE3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(ug/m3)</w:t>
            </w:r>
          </w:p>
        </w:tc>
        <w:tc>
          <w:tcPr>
            <w:tcW w:w="1039" w:type="dxa"/>
            <w:tcBorders>
              <w:top w:val="nil"/>
              <w:left w:val="nil"/>
              <w:bottom w:val="single" w:sz="4" w:space="0" w:color="auto"/>
              <w:right w:val="single" w:sz="4" w:space="0" w:color="auto"/>
            </w:tcBorders>
            <w:shd w:val="clear" w:color="auto" w:fill="auto"/>
            <w:noWrap/>
            <w:vAlign w:val="bottom"/>
            <w:hideMark/>
          </w:tcPr>
          <w:p w14:paraId="3D85CE3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Quotient</w:t>
            </w:r>
          </w:p>
        </w:tc>
        <w:tc>
          <w:tcPr>
            <w:tcW w:w="1130" w:type="dxa"/>
            <w:tcBorders>
              <w:top w:val="nil"/>
              <w:left w:val="nil"/>
              <w:bottom w:val="single" w:sz="4" w:space="0" w:color="auto"/>
              <w:right w:val="nil"/>
            </w:tcBorders>
            <w:shd w:val="clear" w:color="auto" w:fill="auto"/>
            <w:noWrap/>
            <w:vAlign w:val="bottom"/>
            <w:hideMark/>
          </w:tcPr>
          <w:p w14:paraId="3D85CE3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67" w:type="dxa"/>
            <w:tcBorders>
              <w:top w:val="nil"/>
              <w:left w:val="nil"/>
              <w:bottom w:val="single" w:sz="4" w:space="0" w:color="auto"/>
              <w:right w:val="nil"/>
            </w:tcBorders>
            <w:shd w:val="clear" w:color="auto" w:fill="auto"/>
            <w:noWrap/>
            <w:vAlign w:val="bottom"/>
            <w:hideMark/>
          </w:tcPr>
          <w:p w14:paraId="3D85CE3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06" w:type="dxa"/>
            <w:tcBorders>
              <w:top w:val="nil"/>
              <w:left w:val="nil"/>
              <w:bottom w:val="single" w:sz="4" w:space="0" w:color="auto"/>
              <w:right w:val="nil"/>
            </w:tcBorders>
            <w:shd w:val="clear" w:color="auto" w:fill="auto"/>
            <w:noWrap/>
            <w:vAlign w:val="bottom"/>
            <w:hideMark/>
          </w:tcPr>
          <w:p w14:paraId="3D85CE3E"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Risk</w:t>
            </w:r>
          </w:p>
        </w:tc>
        <w:tc>
          <w:tcPr>
            <w:tcW w:w="1250" w:type="dxa"/>
            <w:tcBorders>
              <w:top w:val="nil"/>
              <w:left w:val="nil"/>
              <w:bottom w:val="single" w:sz="4" w:space="0" w:color="auto"/>
              <w:right w:val="nil"/>
            </w:tcBorders>
            <w:shd w:val="clear" w:color="auto" w:fill="auto"/>
            <w:noWrap/>
            <w:vAlign w:val="bottom"/>
            <w:hideMark/>
          </w:tcPr>
          <w:p w14:paraId="3D85CE3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1039" w:type="dxa"/>
            <w:tcBorders>
              <w:top w:val="nil"/>
              <w:left w:val="nil"/>
              <w:bottom w:val="single" w:sz="4" w:space="0" w:color="auto"/>
              <w:right w:val="single" w:sz="4" w:space="0" w:color="auto"/>
            </w:tcBorders>
            <w:shd w:val="clear" w:color="auto" w:fill="auto"/>
            <w:noWrap/>
            <w:vAlign w:val="bottom"/>
            <w:hideMark/>
          </w:tcPr>
          <w:p w14:paraId="3D85CE4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Quotient</w:t>
            </w:r>
          </w:p>
        </w:tc>
        <w:tc>
          <w:tcPr>
            <w:tcW w:w="1130" w:type="dxa"/>
            <w:tcBorders>
              <w:top w:val="nil"/>
              <w:left w:val="nil"/>
              <w:bottom w:val="single" w:sz="4" w:space="0" w:color="auto"/>
              <w:right w:val="nil"/>
            </w:tcBorders>
            <w:shd w:val="clear" w:color="auto" w:fill="auto"/>
            <w:noWrap/>
            <w:vAlign w:val="bottom"/>
            <w:hideMark/>
          </w:tcPr>
          <w:p w14:paraId="3D85CE4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67" w:type="dxa"/>
            <w:tcBorders>
              <w:top w:val="nil"/>
              <w:left w:val="nil"/>
              <w:bottom w:val="single" w:sz="4" w:space="0" w:color="auto"/>
              <w:right w:val="nil"/>
            </w:tcBorders>
            <w:shd w:val="clear" w:color="auto" w:fill="auto"/>
            <w:noWrap/>
            <w:vAlign w:val="bottom"/>
            <w:hideMark/>
          </w:tcPr>
          <w:p w14:paraId="3D85CE4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06" w:type="dxa"/>
            <w:tcBorders>
              <w:top w:val="nil"/>
              <w:left w:val="nil"/>
              <w:bottom w:val="single" w:sz="4" w:space="0" w:color="auto"/>
              <w:right w:val="nil"/>
            </w:tcBorders>
            <w:shd w:val="clear" w:color="auto" w:fill="auto"/>
            <w:noWrap/>
            <w:vAlign w:val="bottom"/>
            <w:hideMark/>
          </w:tcPr>
          <w:p w14:paraId="3D85CE4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Risk</w:t>
            </w:r>
          </w:p>
        </w:tc>
        <w:tc>
          <w:tcPr>
            <w:tcW w:w="1250" w:type="dxa"/>
            <w:tcBorders>
              <w:top w:val="nil"/>
              <w:left w:val="nil"/>
              <w:bottom w:val="single" w:sz="4" w:space="0" w:color="auto"/>
              <w:right w:val="nil"/>
            </w:tcBorders>
            <w:shd w:val="clear" w:color="auto" w:fill="auto"/>
            <w:noWrap/>
            <w:vAlign w:val="bottom"/>
            <w:hideMark/>
          </w:tcPr>
          <w:p w14:paraId="3D85CE4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1039" w:type="dxa"/>
            <w:tcBorders>
              <w:top w:val="nil"/>
              <w:left w:val="nil"/>
              <w:bottom w:val="single" w:sz="4" w:space="0" w:color="auto"/>
              <w:right w:val="single" w:sz="4" w:space="0" w:color="auto"/>
            </w:tcBorders>
            <w:shd w:val="clear" w:color="auto" w:fill="auto"/>
            <w:noWrap/>
            <w:vAlign w:val="bottom"/>
            <w:hideMark/>
          </w:tcPr>
          <w:p w14:paraId="3D85CE4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Quotient</w:t>
            </w:r>
          </w:p>
        </w:tc>
        <w:tc>
          <w:tcPr>
            <w:tcW w:w="1013" w:type="dxa"/>
            <w:tcBorders>
              <w:top w:val="nil"/>
              <w:left w:val="nil"/>
              <w:bottom w:val="single" w:sz="4" w:space="0" w:color="auto"/>
              <w:right w:val="nil"/>
            </w:tcBorders>
            <w:shd w:val="clear" w:color="auto" w:fill="auto"/>
            <w:noWrap/>
            <w:vAlign w:val="bottom"/>
            <w:hideMark/>
          </w:tcPr>
          <w:p w14:paraId="3D85CE4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67" w:type="dxa"/>
            <w:tcBorders>
              <w:top w:val="nil"/>
              <w:left w:val="nil"/>
              <w:bottom w:val="single" w:sz="4" w:space="0" w:color="auto"/>
              <w:right w:val="nil"/>
            </w:tcBorders>
            <w:shd w:val="clear" w:color="auto" w:fill="auto"/>
            <w:noWrap/>
            <w:vAlign w:val="bottom"/>
            <w:hideMark/>
          </w:tcPr>
          <w:p w14:paraId="3D85CE4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1039" w:type="dxa"/>
            <w:tcBorders>
              <w:top w:val="nil"/>
              <w:left w:val="nil"/>
              <w:bottom w:val="single" w:sz="4" w:space="0" w:color="auto"/>
              <w:right w:val="single" w:sz="4" w:space="0" w:color="auto"/>
            </w:tcBorders>
            <w:shd w:val="clear" w:color="auto" w:fill="auto"/>
            <w:noWrap/>
            <w:vAlign w:val="bottom"/>
            <w:hideMark/>
          </w:tcPr>
          <w:p w14:paraId="3D85CE4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Quotient</w:t>
            </w:r>
          </w:p>
        </w:tc>
      </w:tr>
      <w:tr w:rsidR="0010235F" w:rsidRPr="0010235F" w14:paraId="3D85CE5D" w14:textId="77777777" w:rsidTr="00607B7E">
        <w:trPr>
          <w:trHeight w:val="288"/>
        </w:trPr>
        <w:tc>
          <w:tcPr>
            <w:tcW w:w="1550" w:type="dxa"/>
            <w:tcBorders>
              <w:top w:val="nil"/>
              <w:left w:val="single" w:sz="4" w:space="0" w:color="auto"/>
              <w:bottom w:val="nil"/>
              <w:right w:val="nil"/>
            </w:tcBorders>
            <w:shd w:val="clear" w:color="auto" w:fill="auto"/>
            <w:noWrap/>
            <w:vAlign w:val="bottom"/>
            <w:hideMark/>
          </w:tcPr>
          <w:p w14:paraId="3D85CE4A"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 </w:t>
            </w:r>
          </w:p>
        </w:tc>
        <w:tc>
          <w:tcPr>
            <w:tcW w:w="1130" w:type="dxa"/>
            <w:tcBorders>
              <w:top w:val="nil"/>
              <w:left w:val="nil"/>
              <w:bottom w:val="nil"/>
              <w:right w:val="nil"/>
            </w:tcBorders>
            <w:shd w:val="clear" w:color="auto" w:fill="auto"/>
            <w:noWrap/>
            <w:vAlign w:val="bottom"/>
            <w:hideMark/>
          </w:tcPr>
          <w:p w14:paraId="3D85CE4B" w14:textId="77777777" w:rsidR="0010235F" w:rsidRPr="0010235F" w:rsidRDefault="0010235F" w:rsidP="0010235F">
            <w:pPr>
              <w:jc w:val="center"/>
              <w:rPr>
                <w:rFonts w:ascii="Arial" w:hAnsi="Arial" w:cs="Arial"/>
                <w:b/>
                <w:bCs/>
                <w:color w:val="000000"/>
                <w:sz w:val="20"/>
                <w:szCs w:val="20"/>
              </w:rPr>
            </w:pPr>
          </w:p>
        </w:tc>
        <w:tc>
          <w:tcPr>
            <w:tcW w:w="967" w:type="dxa"/>
            <w:tcBorders>
              <w:top w:val="nil"/>
              <w:left w:val="nil"/>
              <w:bottom w:val="nil"/>
              <w:right w:val="nil"/>
            </w:tcBorders>
            <w:shd w:val="clear" w:color="auto" w:fill="auto"/>
            <w:noWrap/>
            <w:vAlign w:val="bottom"/>
            <w:hideMark/>
          </w:tcPr>
          <w:p w14:paraId="3D85CE4C"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CE4D"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nil"/>
              <w:bottom w:val="nil"/>
              <w:right w:val="nil"/>
            </w:tcBorders>
            <w:shd w:val="clear" w:color="auto" w:fill="auto"/>
            <w:noWrap/>
            <w:vAlign w:val="bottom"/>
            <w:hideMark/>
          </w:tcPr>
          <w:p w14:paraId="3D85CE4E"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CE4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30" w:type="dxa"/>
            <w:tcBorders>
              <w:top w:val="nil"/>
              <w:left w:val="nil"/>
              <w:bottom w:val="nil"/>
              <w:right w:val="nil"/>
            </w:tcBorders>
            <w:shd w:val="clear" w:color="auto" w:fill="auto"/>
            <w:noWrap/>
            <w:vAlign w:val="bottom"/>
            <w:hideMark/>
          </w:tcPr>
          <w:p w14:paraId="3D85CE50" w14:textId="77777777" w:rsidR="0010235F" w:rsidRPr="0010235F" w:rsidRDefault="0010235F" w:rsidP="0010235F">
            <w:pPr>
              <w:jc w:val="center"/>
              <w:rPr>
                <w:rFonts w:ascii="Arial" w:hAnsi="Arial" w:cs="Arial"/>
                <w:b/>
                <w:bCs/>
                <w:color w:val="000000"/>
                <w:sz w:val="20"/>
                <w:szCs w:val="20"/>
              </w:rPr>
            </w:pPr>
          </w:p>
        </w:tc>
        <w:tc>
          <w:tcPr>
            <w:tcW w:w="967" w:type="dxa"/>
            <w:tcBorders>
              <w:top w:val="nil"/>
              <w:left w:val="nil"/>
              <w:bottom w:val="nil"/>
              <w:right w:val="nil"/>
            </w:tcBorders>
            <w:shd w:val="clear" w:color="auto" w:fill="auto"/>
            <w:noWrap/>
            <w:vAlign w:val="bottom"/>
            <w:hideMark/>
          </w:tcPr>
          <w:p w14:paraId="3D85CE51"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CE52"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nil"/>
              <w:bottom w:val="nil"/>
              <w:right w:val="nil"/>
            </w:tcBorders>
            <w:shd w:val="clear" w:color="auto" w:fill="auto"/>
            <w:noWrap/>
            <w:vAlign w:val="bottom"/>
            <w:hideMark/>
          </w:tcPr>
          <w:p w14:paraId="3D85CE53"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nil"/>
            </w:tcBorders>
            <w:shd w:val="clear" w:color="auto" w:fill="auto"/>
            <w:noWrap/>
            <w:vAlign w:val="bottom"/>
            <w:hideMark/>
          </w:tcPr>
          <w:p w14:paraId="3D85CE54" w14:textId="77777777" w:rsidR="0010235F" w:rsidRPr="0010235F" w:rsidRDefault="0010235F" w:rsidP="0010235F">
            <w:pPr>
              <w:jc w:val="center"/>
              <w:rPr>
                <w:rFonts w:ascii="Arial" w:hAnsi="Arial" w:cs="Arial"/>
                <w:b/>
                <w:bCs/>
                <w:color w:val="000000"/>
                <w:sz w:val="20"/>
                <w:szCs w:val="20"/>
              </w:rPr>
            </w:pPr>
          </w:p>
        </w:tc>
        <w:tc>
          <w:tcPr>
            <w:tcW w:w="1130" w:type="dxa"/>
            <w:tcBorders>
              <w:top w:val="nil"/>
              <w:left w:val="single" w:sz="4" w:space="0" w:color="auto"/>
              <w:bottom w:val="nil"/>
              <w:right w:val="nil"/>
            </w:tcBorders>
            <w:shd w:val="clear" w:color="auto" w:fill="auto"/>
            <w:noWrap/>
            <w:vAlign w:val="bottom"/>
            <w:hideMark/>
          </w:tcPr>
          <w:p w14:paraId="3D85CE5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CE5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nil"/>
            </w:tcBorders>
            <w:shd w:val="clear" w:color="auto" w:fill="auto"/>
            <w:noWrap/>
            <w:vAlign w:val="bottom"/>
            <w:hideMark/>
          </w:tcPr>
          <w:p w14:paraId="3D85CE5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single" w:sz="4" w:space="0" w:color="auto"/>
              <w:bottom w:val="nil"/>
              <w:right w:val="nil"/>
            </w:tcBorders>
            <w:shd w:val="clear" w:color="auto" w:fill="auto"/>
            <w:noWrap/>
            <w:vAlign w:val="bottom"/>
            <w:hideMark/>
          </w:tcPr>
          <w:p w14:paraId="3D85CE58"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nil"/>
            </w:tcBorders>
            <w:shd w:val="clear" w:color="auto" w:fill="auto"/>
            <w:noWrap/>
            <w:vAlign w:val="bottom"/>
            <w:hideMark/>
          </w:tcPr>
          <w:p w14:paraId="3D85CE59" w14:textId="77777777" w:rsidR="0010235F" w:rsidRPr="0010235F" w:rsidRDefault="0010235F" w:rsidP="0010235F">
            <w:pPr>
              <w:jc w:val="center"/>
              <w:rPr>
                <w:rFonts w:ascii="Arial" w:hAnsi="Arial" w:cs="Arial"/>
                <w:b/>
                <w:bCs/>
                <w:color w:val="000000"/>
                <w:sz w:val="20"/>
                <w:szCs w:val="20"/>
              </w:rPr>
            </w:pPr>
          </w:p>
        </w:tc>
        <w:tc>
          <w:tcPr>
            <w:tcW w:w="1013" w:type="dxa"/>
            <w:tcBorders>
              <w:top w:val="nil"/>
              <w:left w:val="single" w:sz="4" w:space="0" w:color="auto"/>
              <w:bottom w:val="nil"/>
              <w:right w:val="nil"/>
            </w:tcBorders>
            <w:shd w:val="clear" w:color="auto" w:fill="auto"/>
            <w:noWrap/>
            <w:vAlign w:val="bottom"/>
            <w:hideMark/>
          </w:tcPr>
          <w:p w14:paraId="3D85CE5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CE5B"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1039" w:type="dxa"/>
            <w:tcBorders>
              <w:top w:val="nil"/>
              <w:left w:val="nil"/>
              <w:bottom w:val="nil"/>
              <w:right w:val="single" w:sz="4" w:space="0" w:color="auto"/>
            </w:tcBorders>
            <w:shd w:val="clear" w:color="auto" w:fill="auto"/>
            <w:noWrap/>
            <w:vAlign w:val="bottom"/>
            <w:hideMark/>
          </w:tcPr>
          <w:p w14:paraId="3D85CE5C"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CE70" w14:textId="77777777" w:rsidTr="00607B7E">
        <w:trPr>
          <w:trHeight w:val="288"/>
        </w:trPr>
        <w:tc>
          <w:tcPr>
            <w:tcW w:w="2680" w:type="dxa"/>
            <w:gridSpan w:val="2"/>
            <w:tcBorders>
              <w:top w:val="nil"/>
              <w:left w:val="single" w:sz="4" w:space="0" w:color="auto"/>
              <w:bottom w:val="nil"/>
              <w:right w:val="nil"/>
            </w:tcBorders>
            <w:shd w:val="clear" w:color="auto" w:fill="auto"/>
            <w:noWrap/>
            <w:vAlign w:val="bottom"/>
            <w:hideMark/>
          </w:tcPr>
          <w:p w14:paraId="3D85CE5E" w14:textId="77777777" w:rsidR="0010235F" w:rsidRPr="00E103E8" w:rsidRDefault="0010235F" w:rsidP="0010235F">
            <w:pPr>
              <w:rPr>
                <w:rFonts w:ascii="Arial" w:hAnsi="Arial" w:cs="Arial"/>
                <w:b/>
                <w:bCs/>
                <w:color w:val="000000"/>
              </w:rPr>
            </w:pPr>
            <w:r w:rsidRPr="00E103E8">
              <w:rPr>
                <w:rFonts w:ascii="Arial" w:hAnsi="Arial" w:cs="Arial"/>
                <w:b/>
                <w:bCs/>
                <w:color w:val="000000"/>
              </w:rPr>
              <w:t>Emission Unit 1</w:t>
            </w:r>
          </w:p>
        </w:tc>
        <w:tc>
          <w:tcPr>
            <w:tcW w:w="967" w:type="dxa"/>
            <w:tcBorders>
              <w:top w:val="nil"/>
              <w:left w:val="nil"/>
              <w:bottom w:val="nil"/>
              <w:right w:val="nil"/>
            </w:tcBorders>
            <w:shd w:val="clear" w:color="auto" w:fill="auto"/>
            <w:noWrap/>
            <w:vAlign w:val="bottom"/>
            <w:hideMark/>
          </w:tcPr>
          <w:p w14:paraId="3D85CE5F"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CE60"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nil"/>
              <w:bottom w:val="nil"/>
              <w:right w:val="nil"/>
            </w:tcBorders>
            <w:shd w:val="clear" w:color="auto" w:fill="auto"/>
            <w:noWrap/>
            <w:vAlign w:val="bottom"/>
            <w:hideMark/>
          </w:tcPr>
          <w:p w14:paraId="3D85CE61"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CE6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30" w:type="dxa"/>
            <w:tcBorders>
              <w:top w:val="nil"/>
              <w:left w:val="nil"/>
              <w:bottom w:val="nil"/>
              <w:right w:val="nil"/>
            </w:tcBorders>
            <w:shd w:val="clear" w:color="auto" w:fill="auto"/>
            <w:noWrap/>
            <w:vAlign w:val="bottom"/>
            <w:hideMark/>
          </w:tcPr>
          <w:p w14:paraId="3D85CE63" w14:textId="77777777" w:rsidR="0010235F" w:rsidRPr="0010235F" w:rsidRDefault="0010235F" w:rsidP="0010235F">
            <w:pPr>
              <w:jc w:val="center"/>
              <w:rPr>
                <w:rFonts w:ascii="Arial" w:hAnsi="Arial" w:cs="Arial"/>
                <w:b/>
                <w:bCs/>
                <w:color w:val="000000"/>
                <w:sz w:val="20"/>
                <w:szCs w:val="20"/>
              </w:rPr>
            </w:pPr>
          </w:p>
        </w:tc>
        <w:tc>
          <w:tcPr>
            <w:tcW w:w="967" w:type="dxa"/>
            <w:tcBorders>
              <w:top w:val="nil"/>
              <w:left w:val="nil"/>
              <w:bottom w:val="nil"/>
              <w:right w:val="nil"/>
            </w:tcBorders>
            <w:shd w:val="clear" w:color="auto" w:fill="auto"/>
            <w:noWrap/>
            <w:vAlign w:val="bottom"/>
            <w:hideMark/>
          </w:tcPr>
          <w:p w14:paraId="3D85CE64"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CE65"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nil"/>
              <w:bottom w:val="nil"/>
              <w:right w:val="nil"/>
            </w:tcBorders>
            <w:shd w:val="clear" w:color="auto" w:fill="auto"/>
            <w:noWrap/>
            <w:vAlign w:val="bottom"/>
            <w:hideMark/>
          </w:tcPr>
          <w:p w14:paraId="3D85CE66"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nil"/>
            </w:tcBorders>
            <w:shd w:val="clear" w:color="auto" w:fill="auto"/>
            <w:noWrap/>
            <w:vAlign w:val="bottom"/>
            <w:hideMark/>
          </w:tcPr>
          <w:p w14:paraId="3D85CE67" w14:textId="77777777" w:rsidR="0010235F" w:rsidRPr="0010235F" w:rsidRDefault="0010235F" w:rsidP="0010235F">
            <w:pPr>
              <w:jc w:val="center"/>
              <w:rPr>
                <w:rFonts w:ascii="Arial" w:hAnsi="Arial" w:cs="Arial"/>
                <w:b/>
                <w:bCs/>
                <w:color w:val="000000"/>
                <w:sz w:val="20"/>
                <w:szCs w:val="20"/>
              </w:rPr>
            </w:pPr>
          </w:p>
        </w:tc>
        <w:tc>
          <w:tcPr>
            <w:tcW w:w="1130" w:type="dxa"/>
            <w:tcBorders>
              <w:top w:val="nil"/>
              <w:left w:val="single" w:sz="4" w:space="0" w:color="auto"/>
              <w:bottom w:val="nil"/>
              <w:right w:val="nil"/>
            </w:tcBorders>
            <w:shd w:val="clear" w:color="auto" w:fill="auto"/>
            <w:noWrap/>
            <w:vAlign w:val="bottom"/>
            <w:hideMark/>
          </w:tcPr>
          <w:p w14:paraId="3D85CE6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CE69"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tcBorders>
            <w:shd w:val="clear" w:color="auto" w:fill="auto"/>
            <w:noWrap/>
            <w:vAlign w:val="bottom"/>
            <w:hideMark/>
          </w:tcPr>
          <w:p w14:paraId="3D85CE6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bottom w:val="nil"/>
              <w:right w:val="nil"/>
            </w:tcBorders>
            <w:shd w:val="clear" w:color="auto" w:fill="auto"/>
            <w:noWrap/>
            <w:vAlign w:val="bottom"/>
            <w:hideMark/>
          </w:tcPr>
          <w:p w14:paraId="3D85CE6B"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nil"/>
            </w:tcBorders>
            <w:shd w:val="clear" w:color="auto" w:fill="auto"/>
            <w:noWrap/>
            <w:vAlign w:val="bottom"/>
            <w:hideMark/>
          </w:tcPr>
          <w:p w14:paraId="3D85CE6C" w14:textId="77777777" w:rsidR="0010235F" w:rsidRPr="0010235F" w:rsidRDefault="0010235F" w:rsidP="0010235F">
            <w:pPr>
              <w:jc w:val="center"/>
              <w:rPr>
                <w:rFonts w:ascii="Arial" w:hAnsi="Arial" w:cs="Arial"/>
                <w:b/>
                <w:bCs/>
                <w:color w:val="000000"/>
                <w:sz w:val="20"/>
                <w:szCs w:val="20"/>
              </w:rPr>
            </w:pPr>
          </w:p>
        </w:tc>
        <w:tc>
          <w:tcPr>
            <w:tcW w:w="1013" w:type="dxa"/>
            <w:tcBorders>
              <w:top w:val="nil"/>
              <w:left w:val="single" w:sz="4" w:space="0" w:color="auto"/>
              <w:bottom w:val="nil"/>
              <w:right w:val="nil"/>
            </w:tcBorders>
            <w:shd w:val="clear" w:color="auto" w:fill="auto"/>
            <w:noWrap/>
            <w:vAlign w:val="bottom"/>
            <w:hideMark/>
          </w:tcPr>
          <w:p w14:paraId="3D85CE6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CE6E" w14:textId="77777777" w:rsidR="0010235F" w:rsidRPr="0010235F" w:rsidRDefault="0010235F" w:rsidP="0010235F">
            <w:pPr>
              <w:rPr>
                <w:rFonts w:ascii="Arial" w:hAnsi="Arial" w:cs="Arial"/>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CE6F"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E8654A" w:rsidRPr="0010235F" w14:paraId="3D85CE84" w14:textId="77777777" w:rsidTr="00607B7E">
        <w:trPr>
          <w:trHeight w:val="288"/>
        </w:trPr>
        <w:tc>
          <w:tcPr>
            <w:tcW w:w="1550" w:type="dxa"/>
            <w:tcBorders>
              <w:top w:val="nil"/>
              <w:left w:val="single" w:sz="4" w:space="0" w:color="auto"/>
              <w:bottom w:val="nil"/>
              <w:right w:val="nil"/>
            </w:tcBorders>
            <w:shd w:val="clear" w:color="auto" w:fill="auto"/>
            <w:vAlign w:val="bottom"/>
            <w:hideMark/>
          </w:tcPr>
          <w:p w14:paraId="3D85CE71" w14:textId="77777777" w:rsidR="00E8654A" w:rsidRPr="00E103E8" w:rsidRDefault="00E8654A" w:rsidP="0010235F">
            <w:pPr>
              <w:rPr>
                <w:rFonts w:ascii="Arial" w:hAnsi="Arial" w:cs="Arial"/>
                <w:color w:val="000000"/>
              </w:rPr>
            </w:pPr>
            <w:r w:rsidRPr="00E103E8">
              <w:rPr>
                <w:rFonts w:ascii="Arial" w:hAnsi="Arial" w:cs="Arial"/>
                <w:color w:val="000000"/>
              </w:rPr>
              <w:t>Cobalt</w:t>
            </w:r>
          </w:p>
        </w:tc>
        <w:tc>
          <w:tcPr>
            <w:tcW w:w="1130" w:type="dxa"/>
            <w:tcBorders>
              <w:top w:val="nil"/>
              <w:left w:val="nil"/>
              <w:bottom w:val="nil"/>
              <w:right w:val="nil"/>
            </w:tcBorders>
            <w:shd w:val="clear" w:color="auto" w:fill="auto"/>
            <w:vAlign w:val="bottom"/>
            <w:hideMark/>
          </w:tcPr>
          <w:p w14:paraId="3D85CE72" w14:textId="77777777" w:rsidR="00E8654A" w:rsidRPr="00E103E8" w:rsidRDefault="00E8654A" w:rsidP="00031A6A">
            <w:pPr>
              <w:jc w:val="center"/>
              <w:rPr>
                <w:rFonts w:ascii="Arial" w:hAnsi="Arial" w:cs="Arial"/>
                <w:color w:val="000000"/>
              </w:rPr>
            </w:pPr>
            <w:r w:rsidRPr="00E103E8">
              <w:rPr>
                <w:rFonts w:ascii="Arial" w:hAnsi="Arial" w:cs="Arial"/>
                <w:color w:val="000000"/>
              </w:rPr>
              <w:t>0.030</w:t>
            </w:r>
          </w:p>
        </w:tc>
        <w:tc>
          <w:tcPr>
            <w:tcW w:w="967" w:type="dxa"/>
            <w:tcBorders>
              <w:top w:val="nil"/>
              <w:left w:val="nil"/>
              <w:bottom w:val="nil"/>
              <w:right w:val="nil"/>
            </w:tcBorders>
            <w:shd w:val="clear" w:color="auto" w:fill="auto"/>
            <w:noWrap/>
            <w:vAlign w:val="bottom"/>
            <w:hideMark/>
          </w:tcPr>
          <w:p w14:paraId="3D85CE73"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0.00011</w:t>
            </w:r>
          </w:p>
        </w:tc>
        <w:tc>
          <w:tcPr>
            <w:tcW w:w="906" w:type="dxa"/>
            <w:tcBorders>
              <w:top w:val="nil"/>
              <w:left w:val="nil"/>
              <w:bottom w:val="nil"/>
              <w:right w:val="nil"/>
            </w:tcBorders>
            <w:shd w:val="clear" w:color="auto" w:fill="auto"/>
            <w:noWrap/>
            <w:vAlign w:val="bottom"/>
            <w:hideMark/>
          </w:tcPr>
          <w:p w14:paraId="3D85CE74" w14:textId="77777777" w:rsidR="00E8654A" w:rsidRPr="0010235F" w:rsidRDefault="00E8654A" w:rsidP="0010235F">
            <w:pPr>
              <w:jc w:val="center"/>
              <w:rPr>
                <w:rFonts w:ascii="Arial" w:hAnsi="Arial" w:cs="Arial"/>
                <w:color w:val="000000"/>
                <w:sz w:val="20"/>
                <w:szCs w:val="20"/>
              </w:rPr>
            </w:pPr>
            <w:r>
              <w:rPr>
                <w:rFonts w:ascii="Arial" w:hAnsi="Arial" w:cs="Arial"/>
                <w:color w:val="000000"/>
                <w:sz w:val="20"/>
                <w:szCs w:val="20"/>
              </w:rPr>
              <w:t>273</w:t>
            </w:r>
          </w:p>
        </w:tc>
        <w:tc>
          <w:tcPr>
            <w:tcW w:w="1250" w:type="dxa"/>
            <w:tcBorders>
              <w:top w:val="nil"/>
              <w:left w:val="nil"/>
              <w:bottom w:val="nil"/>
              <w:right w:val="nil"/>
            </w:tcBorders>
            <w:shd w:val="clear" w:color="auto" w:fill="auto"/>
            <w:noWrap/>
            <w:vAlign w:val="bottom"/>
            <w:hideMark/>
          </w:tcPr>
          <w:p w14:paraId="3D85CE75"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0.10</w:t>
            </w:r>
          </w:p>
        </w:tc>
        <w:tc>
          <w:tcPr>
            <w:tcW w:w="1039" w:type="dxa"/>
            <w:tcBorders>
              <w:top w:val="nil"/>
              <w:left w:val="nil"/>
              <w:bottom w:val="nil"/>
              <w:right w:val="single" w:sz="4" w:space="0" w:color="auto"/>
            </w:tcBorders>
            <w:shd w:val="clear" w:color="auto" w:fill="auto"/>
            <w:noWrap/>
            <w:vAlign w:val="bottom"/>
            <w:hideMark/>
          </w:tcPr>
          <w:p w14:paraId="3D85CE76" w14:textId="77777777" w:rsidR="00E8654A" w:rsidRPr="0010235F" w:rsidRDefault="00E8654A" w:rsidP="0010235F">
            <w:pPr>
              <w:jc w:val="center"/>
              <w:rPr>
                <w:rFonts w:ascii="Arial" w:hAnsi="Arial" w:cs="Arial"/>
                <w:color w:val="000000"/>
                <w:sz w:val="20"/>
                <w:szCs w:val="20"/>
              </w:rPr>
            </w:pPr>
            <w:r>
              <w:rPr>
                <w:rFonts w:ascii="Arial" w:hAnsi="Arial" w:cs="Arial"/>
                <w:color w:val="000000"/>
                <w:sz w:val="20"/>
                <w:szCs w:val="20"/>
              </w:rPr>
              <w:t>0.3</w:t>
            </w:r>
            <w:r w:rsidRPr="0010235F">
              <w:rPr>
                <w:rFonts w:ascii="Arial" w:hAnsi="Arial" w:cs="Arial"/>
                <w:color w:val="000000"/>
                <w:sz w:val="20"/>
                <w:szCs w:val="20"/>
              </w:rPr>
              <w:t>0</w:t>
            </w:r>
          </w:p>
        </w:tc>
        <w:tc>
          <w:tcPr>
            <w:tcW w:w="1130" w:type="dxa"/>
            <w:tcBorders>
              <w:top w:val="nil"/>
              <w:left w:val="nil"/>
              <w:bottom w:val="nil"/>
              <w:right w:val="nil"/>
            </w:tcBorders>
            <w:shd w:val="clear" w:color="auto" w:fill="auto"/>
            <w:vAlign w:val="bottom"/>
            <w:hideMark/>
          </w:tcPr>
          <w:p w14:paraId="3D85CE77" w14:textId="77777777" w:rsidR="00E8654A" w:rsidRPr="0010235F" w:rsidRDefault="00E8654A" w:rsidP="00031A6A">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13</w:t>
            </w:r>
          </w:p>
        </w:tc>
        <w:tc>
          <w:tcPr>
            <w:tcW w:w="967" w:type="dxa"/>
            <w:tcBorders>
              <w:top w:val="nil"/>
              <w:left w:val="nil"/>
              <w:bottom w:val="nil"/>
              <w:right w:val="nil"/>
            </w:tcBorders>
            <w:shd w:val="clear" w:color="auto" w:fill="auto"/>
            <w:noWrap/>
            <w:vAlign w:val="bottom"/>
            <w:hideMark/>
          </w:tcPr>
          <w:p w14:paraId="3D85CE78"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0.0047</w:t>
            </w:r>
          </w:p>
        </w:tc>
        <w:tc>
          <w:tcPr>
            <w:tcW w:w="906" w:type="dxa"/>
            <w:tcBorders>
              <w:top w:val="nil"/>
              <w:left w:val="nil"/>
              <w:bottom w:val="nil"/>
              <w:right w:val="nil"/>
            </w:tcBorders>
            <w:shd w:val="clear" w:color="auto" w:fill="auto"/>
            <w:noWrap/>
            <w:vAlign w:val="bottom"/>
            <w:hideMark/>
          </w:tcPr>
          <w:p w14:paraId="3D85CE79" w14:textId="77777777" w:rsidR="00E8654A" w:rsidRPr="0010235F" w:rsidRDefault="00E8654A" w:rsidP="0010235F">
            <w:pPr>
              <w:jc w:val="center"/>
              <w:rPr>
                <w:rFonts w:ascii="Arial" w:hAnsi="Arial" w:cs="Arial"/>
                <w:color w:val="000000"/>
                <w:sz w:val="20"/>
                <w:szCs w:val="20"/>
              </w:rPr>
            </w:pPr>
            <w:r>
              <w:rPr>
                <w:rFonts w:ascii="Arial" w:hAnsi="Arial" w:cs="Arial"/>
                <w:color w:val="000000"/>
                <w:sz w:val="20"/>
                <w:szCs w:val="20"/>
              </w:rPr>
              <w:t>3</w:t>
            </w:r>
          </w:p>
        </w:tc>
        <w:tc>
          <w:tcPr>
            <w:tcW w:w="1250" w:type="dxa"/>
            <w:tcBorders>
              <w:top w:val="nil"/>
              <w:left w:val="nil"/>
              <w:bottom w:val="nil"/>
              <w:right w:val="nil"/>
            </w:tcBorders>
            <w:shd w:val="clear" w:color="auto" w:fill="auto"/>
            <w:noWrap/>
            <w:vAlign w:val="bottom"/>
            <w:hideMark/>
          </w:tcPr>
          <w:p w14:paraId="3D85CE7A"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0.42</w:t>
            </w:r>
          </w:p>
        </w:tc>
        <w:tc>
          <w:tcPr>
            <w:tcW w:w="1039" w:type="dxa"/>
            <w:tcBorders>
              <w:top w:val="nil"/>
              <w:left w:val="nil"/>
              <w:bottom w:val="nil"/>
              <w:right w:val="nil"/>
            </w:tcBorders>
            <w:shd w:val="clear" w:color="auto" w:fill="auto"/>
            <w:noWrap/>
            <w:vAlign w:val="bottom"/>
            <w:hideMark/>
          </w:tcPr>
          <w:p w14:paraId="3D85CE7B"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31</w:t>
            </w:r>
          </w:p>
        </w:tc>
        <w:tc>
          <w:tcPr>
            <w:tcW w:w="1130" w:type="dxa"/>
            <w:tcBorders>
              <w:top w:val="nil"/>
              <w:left w:val="single" w:sz="4" w:space="0" w:color="auto"/>
              <w:bottom w:val="nil"/>
              <w:right w:val="nil"/>
            </w:tcBorders>
            <w:shd w:val="clear" w:color="auto" w:fill="auto"/>
            <w:vAlign w:val="bottom"/>
            <w:hideMark/>
          </w:tcPr>
          <w:p w14:paraId="3D85CE7C" w14:textId="77777777" w:rsidR="00E8654A" w:rsidRPr="0010235F" w:rsidRDefault="00E8654A" w:rsidP="00031A6A">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13</w:t>
            </w:r>
          </w:p>
        </w:tc>
        <w:tc>
          <w:tcPr>
            <w:tcW w:w="967" w:type="dxa"/>
            <w:tcBorders>
              <w:top w:val="nil"/>
              <w:left w:val="nil"/>
              <w:bottom w:val="nil"/>
              <w:right w:val="nil"/>
            </w:tcBorders>
            <w:shd w:val="clear" w:color="auto" w:fill="auto"/>
            <w:noWrap/>
            <w:vAlign w:val="bottom"/>
            <w:hideMark/>
          </w:tcPr>
          <w:p w14:paraId="3D85CE7D"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0.0013</w:t>
            </w:r>
          </w:p>
        </w:tc>
        <w:tc>
          <w:tcPr>
            <w:tcW w:w="906" w:type="dxa"/>
            <w:tcBorders>
              <w:top w:val="nil"/>
              <w:left w:val="nil"/>
              <w:bottom w:val="nil"/>
            </w:tcBorders>
            <w:shd w:val="clear" w:color="auto" w:fill="auto"/>
            <w:noWrap/>
            <w:vAlign w:val="bottom"/>
            <w:hideMark/>
          </w:tcPr>
          <w:p w14:paraId="3D85CE7E" w14:textId="77777777" w:rsidR="00E8654A" w:rsidRPr="0010235F" w:rsidRDefault="00E8654A" w:rsidP="0010235F">
            <w:pPr>
              <w:jc w:val="center"/>
              <w:rPr>
                <w:rFonts w:ascii="Arial" w:hAnsi="Arial" w:cs="Arial"/>
                <w:color w:val="000000"/>
                <w:sz w:val="20"/>
                <w:szCs w:val="20"/>
              </w:rPr>
            </w:pPr>
            <w:r>
              <w:rPr>
                <w:rFonts w:ascii="Arial" w:hAnsi="Arial" w:cs="Arial"/>
                <w:color w:val="000000"/>
                <w:sz w:val="20"/>
                <w:szCs w:val="20"/>
              </w:rPr>
              <w:t>1</w:t>
            </w:r>
            <w:r w:rsidRPr="0010235F">
              <w:rPr>
                <w:rFonts w:ascii="Arial" w:hAnsi="Arial" w:cs="Arial"/>
                <w:color w:val="000000"/>
                <w:sz w:val="20"/>
                <w:szCs w:val="20"/>
              </w:rPr>
              <w:t>0</w:t>
            </w:r>
          </w:p>
        </w:tc>
        <w:tc>
          <w:tcPr>
            <w:tcW w:w="1250" w:type="dxa"/>
            <w:tcBorders>
              <w:top w:val="nil"/>
              <w:bottom w:val="nil"/>
              <w:right w:val="nil"/>
            </w:tcBorders>
            <w:shd w:val="clear" w:color="auto" w:fill="auto"/>
            <w:noWrap/>
            <w:vAlign w:val="bottom"/>
            <w:hideMark/>
          </w:tcPr>
          <w:p w14:paraId="3D85CE7F"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0.42</w:t>
            </w:r>
          </w:p>
        </w:tc>
        <w:tc>
          <w:tcPr>
            <w:tcW w:w="1039" w:type="dxa"/>
            <w:tcBorders>
              <w:top w:val="nil"/>
              <w:left w:val="nil"/>
              <w:bottom w:val="nil"/>
              <w:right w:val="nil"/>
            </w:tcBorders>
            <w:shd w:val="clear" w:color="auto" w:fill="auto"/>
            <w:noWrap/>
            <w:vAlign w:val="bottom"/>
            <w:hideMark/>
          </w:tcPr>
          <w:p w14:paraId="3D85CE80"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31</w:t>
            </w:r>
          </w:p>
        </w:tc>
        <w:tc>
          <w:tcPr>
            <w:tcW w:w="1013" w:type="dxa"/>
            <w:tcBorders>
              <w:top w:val="nil"/>
              <w:left w:val="single" w:sz="4" w:space="0" w:color="auto"/>
              <w:bottom w:val="nil"/>
              <w:right w:val="nil"/>
            </w:tcBorders>
            <w:shd w:val="clear" w:color="auto" w:fill="auto"/>
            <w:vAlign w:val="bottom"/>
            <w:hideMark/>
          </w:tcPr>
          <w:p w14:paraId="3D85CE81" w14:textId="77777777" w:rsidR="00E8654A" w:rsidRPr="00487636" w:rsidRDefault="00E8654A" w:rsidP="00562904">
            <w:pPr>
              <w:jc w:val="center"/>
              <w:rPr>
                <w:rFonts w:ascii="Arial" w:hAnsi="Arial" w:cs="Arial"/>
                <w:color w:val="000000"/>
              </w:rPr>
            </w:pPr>
            <w:r>
              <w:rPr>
                <w:rFonts w:ascii="Arial" w:hAnsi="Arial" w:cs="Arial"/>
                <w:color w:val="000000"/>
              </w:rPr>
              <w:t>0.41</w:t>
            </w:r>
          </w:p>
        </w:tc>
        <w:tc>
          <w:tcPr>
            <w:tcW w:w="967" w:type="dxa"/>
            <w:tcBorders>
              <w:top w:val="nil"/>
              <w:left w:val="nil"/>
              <w:bottom w:val="nil"/>
              <w:right w:val="nil"/>
            </w:tcBorders>
            <w:shd w:val="clear" w:color="auto" w:fill="auto"/>
            <w:noWrap/>
            <w:vAlign w:val="bottom"/>
            <w:hideMark/>
          </w:tcPr>
          <w:p w14:paraId="3D85CE82" w14:textId="77777777" w:rsidR="00E8654A" w:rsidRPr="0010235F" w:rsidRDefault="00E8654A" w:rsidP="0010235F">
            <w:pPr>
              <w:jc w:val="center"/>
              <w:rPr>
                <w:rFonts w:ascii="Arial" w:hAnsi="Arial" w:cs="Arial"/>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CE83"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 </w:t>
            </w:r>
          </w:p>
        </w:tc>
      </w:tr>
      <w:tr w:rsidR="00E8654A" w:rsidRPr="0010235F" w14:paraId="3D85CE98" w14:textId="77777777" w:rsidTr="00607B7E">
        <w:trPr>
          <w:trHeight w:val="300"/>
        </w:trPr>
        <w:tc>
          <w:tcPr>
            <w:tcW w:w="1550" w:type="dxa"/>
            <w:tcBorders>
              <w:top w:val="nil"/>
              <w:left w:val="single" w:sz="4" w:space="0" w:color="auto"/>
              <w:bottom w:val="nil"/>
              <w:right w:val="nil"/>
            </w:tcBorders>
            <w:shd w:val="clear" w:color="auto" w:fill="auto"/>
            <w:vAlign w:val="center"/>
            <w:hideMark/>
          </w:tcPr>
          <w:p w14:paraId="3D85CE85" w14:textId="77777777" w:rsidR="00E8654A" w:rsidRPr="00E103E8" w:rsidRDefault="00E8654A" w:rsidP="0010235F">
            <w:pPr>
              <w:rPr>
                <w:rFonts w:ascii="Arial" w:hAnsi="Arial" w:cs="Arial"/>
                <w:color w:val="000000"/>
              </w:rPr>
            </w:pPr>
            <w:r w:rsidRPr="00E103E8">
              <w:rPr>
                <w:rFonts w:ascii="Arial" w:hAnsi="Arial" w:cs="Arial"/>
                <w:color w:val="000000"/>
              </w:rPr>
              <w:t>Manganese</w:t>
            </w:r>
          </w:p>
        </w:tc>
        <w:tc>
          <w:tcPr>
            <w:tcW w:w="1130" w:type="dxa"/>
            <w:tcBorders>
              <w:top w:val="nil"/>
              <w:left w:val="nil"/>
              <w:bottom w:val="nil"/>
              <w:right w:val="nil"/>
            </w:tcBorders>
            <w:shd w:val="clear" w:color="auto" w:fill="auto"/>
            <w:vAlign w:val="bottom"/>
            <w:hideMark/>
          </w:tcPr>
          <w:p w14:paraId="3D85CE86" w14:textId="77777777" w:rsidR="00E8654A" w:rsidRPr="00E103E8" w:rsidRDefault="00E8654A" w:rsidP="00031A6A">
            <w:pPr>
              <w:jc w:val="center"/>
              <w:rPr>
                <w:rFonts w:ascii="Arial" w:hAnsi="Arial" w:cs="Arial"/>
                <w:color w:val="000000"/>
              </w:rPr>
            </w:pPr>
            <w:r w:rsidRPr="00E103E8">
              <w:rPr>
                <w:rFonts w:ascii="Arial" w:hAnsi="Arial" w:cs="Arial"/>
                <w:color w:val="000000"/>
              </w:rPr>
              <w:t>0.053</w:t>
            </w:r>
          </w:p>
        </w:tc>
        <w:tc>
          <w:tcPr>
            <w:tcW w:w="967" w:type="dxa"/>
            <w:tcBorders>
              <w:top w:val="nil"/>
              <w:left w:val="nil"/>
              <w:bottom w:val="nil"/>
              <w:right w:val="nil"/>
            </w:tcBorders>
            <w:shd w:val="clear" w:color="auto" w:fill="auto"/>
            <w:noWrap/>
            <w:vAlign w:val="bottom"/>
            <w:hideMark/>
          </w:tcPr>
          <w:p w14:paraId="3D85CE87" w14:textId="77777777" w:rsidR="00E8654A" w:rsidRPr="0010235F" w:rsidRDefault="00E8654A"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CE88" w14:textId="77777777" w:rsidR="00E8654A" w:rsidRPr="0010235F" w:rsidRDefault="00E8654A"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CE89"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0.09</w:t>
            </w:r>
            <w:r w:rsidR="004B6AD3">
              <w:rPr>
                <w:rFonts w:ascii="Arial" w:hAnsi="Arial" w:cs="Arial"/>
                <w:color w:val="000000"/>
                <w:sz w:val="20"/>
                <w:szCs w:val="20"/>
              </w:rPr>
              <w:t>0</w:t>
            </w:r>
          </w:p>
        </w:tc>
        <w:tc>
          <w:tcPr>
            <w:tcW w:w="1039" w:type="dxa"/>
            <w:tcBorders>
              <w:top w:val="nil"/>
              <w:left w:val="nil"/>
              <w:bottom w:val="nil"/>
              <w:right w:val="single" w:sz="4" w:space="0" w:color="auto"/>
            </w:tcBorders>
            <w:shd w:val="clear" w:color="auto" w:fill="auto"/>
            <w:noWrap/>
            <w:vAlign w:val="bottom"/>
            <w:hideMark/>
          </w:tcPr>
          <w:p w14:paraId="3D85CE8A" w14:textId="77777777" w:rsidR="00E8654A" w:rsidRPr="0010235F" w:rsidRDefault="00E8654A" w:rsidP="00031A6A">
            <w:pPr>
              <w:jc w:val="center"/>
              <w:rPr>
                <w:rFonts w:ascii="Arial" w:hAnsi="Arial" w:cs="Arial"/>
                <w:color w:val="000000"/>
                <w:sz w:val="20"/>
                <w:szCs w:val="20"/>
              </w:rPr>
            </w:pPr>
            <w:r>
              <w:rPr>
                <w:rFonts w:ascii="Arial" w:hAnsi="Arial" w:cs="Arial"/>
                <w:color w:val="000000"/>
                <w:sz w:val="20"/>
                <w:szCs w:val="20"/>
              </w:rPr>
              <w:t>0.5</w:t>
            </w:r>
            <w:r w:rsidRPr="0010235F">
              <w:rPr>
                <w:rFonts w:ascii="Arial" w:hAnsi="Arial" w:cs="Arial"/>
                <w:color w:val="000000"/>
                <w:sz w:val="20"/>
                <w:szCs w:val="20"/>
              </w:rPr>
              <w:t>8</w:t>
            </w:r>
          </w:p>
        </w:tc>
        <w:tc>
          <w:tcPr>
            <w:tcW w:w="1130" w:type="dxa"/>
            <w:tcBorders>
              <w:top w:val="nil"/>
              <w:left w:val="nil"/>
              <w:bottom w:val="nil"/>
              <w:right w:val="nil"/>
            </w:tcBorders>
            <w:shd w:val="clear" w:color="auto" w:fill="auto"/>
            <w:vAlign w:val="bottom"/>
            <w:hideMark/>
          </w:tcPr>
          <w:p w14:paraId="3D85CE8B"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23</w:t>
            </w:r>
          </w:p>
        </w:tc>
        <w:tc>
          <w:tcPr>
            <w:tcW w:w="967" w:type="dxa"/>
            <w:tcBorders>
              <w:top w:val="nil"/>
              <w:left w:val="nil"/>
              <w:bottom w:val="nil"/>
              <w:right w:val="nil"/>
            </w:tcBorders>
            <w:shd w:val="clear" w:color="auto" w:fill="auto"/>
            <w:noWrap/>
            <w:vAlign w:val="bottom"/>
            <w:hideMark/>
          </w:tcPr>
          <w:p w14:paraId="3D85CE8C" w14:textId="77777777" w:rsidR="00E8654A" w:rsidRPr="0010235F" w:rsidRDefault="00E8654A"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CE8D" w14:textId="77777777" w:rsidR="00E8654A" w:rsidRPr="0010235F" w:rsidRDefault="00E8654A"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CE8E"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0.38</w:t>
            </w:r>
          </w:p>
        </w:tc>
        <w:tc>
          <w:tcPr>
            <w:tcW w:w="1039" w:type="dxa"/>
            <w:tcBorders>
              <w:top w:val="nil"/>
              <w:left w:val="nil"/>
              <w:bottom w:val="nil"/>
              <w:right w:val="nil"/>
            </w:tcBorders>
            <w:shd w:val="clear" w:color="auto" w:fill="auto"/>
            <w:noWrap/>
            <w:vAlign w:val="bottom"/>
            <w:hideMark/>
          </w:tcPr>
          <w:p w14:paraId="3D85CE8F"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w:t>
            </w:r>
            <w:r>
              <w:rPr>
                <w:rFonts w:ascii="Arial" w:hAnsi="Arial" w:cs="Arial"/>
                <w:color w:val="000000"/>
                <w:sz w:val="20"/>
                <w:szCs w:val="20"/>
              </w:rPr>
              <w:t>061</w:t>
            </w:r>
          </w:p>
        </w:tc>
        <w:tc>
          <w:tcPr>
            <w:tcW w:w="1130" w:type="dxa"/>
            <w:tcBorders>
              <w:top w:val="nil"/>
              <w:left w:val="single" w:sz="4" w:space="0" w:color="auto"/>
              <w:bottom w:val="nil"/>
              <w:right w:val="nil"/>
            </w:tcBorders>
            <w:shd w:val="clear" w:color="auto" w:fill="auto"/>
            <w:vAlign w:val="bottom"/>
            <w:hideMark/>
          </w:tcPr>
          <w:p w14:paraId="3D85CE90" w14:textId="77777777" w:rsidR="00E8654A" w:rsidRPr="0010235F" w:rsidRDefault="00E8654A" w:rsidP="00031A6A">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23</w:t>
            </w:r>
          </w:p>
        </w:tc>
        <w:tc>
          <w:tcPr>
            <w:tcW w:w="967" w:type="dxa"/>
            <w:tcBorders>
              <w:top w:val="nil"/>
              <w:left w:val="nil"/>
              <w:bottom w:val="nil"/>
              <w:right w:val="nil"/>
            </w:tcBorders>
            <w:shd w:val="clear" w:color="auto" w:fill="auto"/>
            <w:noWrap/>
            <w:vAlign w:val="bottom"/>
            <w:hideMark/>
          </w:tcPr>
          <w:p w14:paraId="3D85CE91" w14:textId="77777777" w:rsidR="00E8654A" w:rsidRPr="0010235F" w:rsidRDefault="00E8654A" w:rsidP="0010235F">
            <w:pPr>
              <w:jc w:val="center"/>
              <w:rPr>
                <w:rFonts w:ascii="Arial" w:hAnsi="Arial" w:cs="Arial"/>
                <w:color w:val="000000"/>
                <w:sz w:val="20"/>
                <w:szCs w:val="20"/>
              </w:rPr>
            </w:pPr>
          </w:p>
        </w:tc>
        <w:tc>
          <w:tcPr>
            <w:tcW w:w="906" w:type="dxa"/>
            <w:tcBorders>
              <w:top w:val="nil"/>
              <w:left w:val="nil"/>
              <w:bottom w:val="nil"/>
            </w:tcBorders>
            <w:shd w:val="clear" w:color="auto" w:fill="auto"/>
            <w:noWrap/>
            <w:vAlign w:val="bottom"/>
            <w:hideMark/>
          </w:tcPr>
          <w:p w14:paraId="3D85CE92"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50" w:type="dxa"/>
            <w:tcBorders>
              <w:top w:val="nil"/>
              <w:bottom w:val="nil"/>
              <w:right w:val="nil"/>
            </w:tcBorders>
            <w:shd w:val="clear" w:color="auto" w:fill="auto"/>
            <w:noWrap/>
            <w:vAlign w:val="bottom"/>
            <w:hideMark/>
          </w:tcPr>
          <w:p w14:paraId="3D85CE93"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0.38</w:t>
            </w:r>
          </w:p>
        </w:tc>
        <w:tc>
          <w:tcPr>
            <w:tcW w:w="1039" w:type="dxa"/>
            <w:tcBorders>
              <w:top w:val="nil"/>
              <w:left w:val="nil"/>
              <w:bottom w:val="nil"/>
              <w:right w:val="nil"/>
            </w:tcBorders>
            <w:shd w:val="clear" w:color="auto" w:fill="auto"/>
            <w:noWrap/>
            <w:vAlign w:val="bottom"/>
            <w:hideMark/>
          </w:tcPr>
          <w:p w14:paraId="3D85CE94"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w:t>
            </w:r>
            <w:r>
              <w:rPr>
                <w:rFonts w:ascii="Arial" w:hAnsi="Arial" w:cs="Arial"/>
                <w:color w:val="000000"/>
                <w:sz w:val="20"/>
                <w:szCs w:val="20"/>
              </w:rPr>
              <w:t>06</w:t>
            </w:r>
          </w:p>
        </w:tc>
        <w:tc>
          <w:tcPr>
            <w:tcW w:w="1013" w:type="dxa"/>
            <w:tcBorders>
              <w:top w:val="nil"/>
              <w:left w:val="single" w:sz="4" w:space="0" w:color="auto"/>
              <w:bottom w:val="nil"/>
              <w:right w:val="nil"/>
            </w:tcBorders>
            <w:shd w:val="clear" w:color="auto" w:fill="auto"/>
            <w:vAlign w:val="bottom"/>
            <w:hideMark/>
          </w:tcPr>
          <w:p w14:paraId="3D85CE95" w14:textId="77777777" w:rsidR="00E8654A" w:rsidRPr="00487636" w:rsidRDefault="00E8654A" w:rsidP="00562904">
            <w:pPr>
              <w:jc w:val="center"/>
              <w:rPr>
                <w:rFonts w:ascii="Arial" w:hAnsi="Arial" w:cs="Arial"/>
                <w:color w:val="000000"/>
              </w:rPr>
            </w:pPr>
            <w:r>
              <w:rPr>
                <w:rFonts w:ascii="Arial" w:hAnsi="Arial" w:cs="Arial"/>
                <w:color w:val="000000"/>
              </w:rPr>
              <w:t>0.68</w:t>
            </w:r>
          </w:p>
        </w:tc>
        <w:tc>
          <w:tcPr>
            <w:tcW w:w="967" w:type="dxa"/>
            <w:tcBorders>
              <w:top w:val="nil"/>
              <w:left w:val="nil"/>
              <w:bottom w:val="nil"/>
              <w:right w:val="nil"/>
            </w:tcBorders>
            <w:shd w:val="clear" w:color="auto" w:fill="auto"/>
            <w:noWrap/>
            <w:vAlign w:val="bottom"/>
            <w:hideMark/>
          </w:tcPr>
          <w:p w14:paraId="3D85CE96"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0.30</w:t>
            </w:r>
          </w:p>
        </w:tc>
        <w:tc>
          <w:tcPr>
            <w:tcW w:w="1039" w:type="dxa"/>
            <w:tcBorders>
              <w:top w:val="nil"/>
              <w:left w:val="nil"/>
              <w:bottom w:val="nil"/>
              <w:right w:val="single" w:sz="4" w:space="0" w:color="auto"/>
            </w:tcBorders>
            <w:shd w:val="clear" w:color="auto" w:fill="auto"/>
            <w:noWrap/>
            <w:vAlign w:val="bottom"/>
            <w:hideMark/>
          </w:tcPr>
          <w:p w14:paraId="3D85CE97" w14:textId="77777777" w:rsidR="00E8654A" w:rsidRPr="0010235F" w:rsidRDefault="002121BC" w:rsidP="002121BC">
            <w:pPr>
              <w:jc w:val="center"/>
              <w:rPr>
                <w:rFonts w:ascii="Arial" w:hAnsi="Arial" w:cs="Arial"/>
                <w:color w:val="000000"/>
                <w:sz w:val="20"/>
                <w:szCs w:val="20"/>
              </w:rPr>
            </w:pPr>
            <w:r>
              <w:rPr>
                <w:rFonts w:ascii="Arial" w:hAnsi="Arial" w:cs="Arial"/>
                <w:color w:val="000000"/>
                <w:sz w:val="20"/>
                <w:szCs w:val="20"/>
              </w:rPr>
              <w:t>2.3</w:t>
            </w:r>
          </w:p>
        </w:tc>
      </w:tr>
      <w:tr w:rsidR="00E8654A" w:rsidRPr="0010235F" w14:paraId="3D85CEAC" w14:textId="77777777" w:rsidTr="00607B7E">
        <w:trPr>
          <w:trHeight w:val="288"/>
        </w:trPr>
        <w:tc>
          <w:tcPr>
            <w:tcW w:w="1550" w:type="dxa"/>
            <w:tcBorders>
              <w:top w:val="nil"/>
              <w:left w:val="single" w:sz="4" w:space="0" w:color="auto"/>
              <w:bottom w:val="nil"/>
              <w:right w:val="nil"/>
            </w:tcBorders>
            <w:shd w:val="clear" w:color="auto" w:fill="auto"/>
            <w:vAlign w:val="bottom"/>
            <w:hideMark/>
          </w:tcPr>
          <w:p w14:paraId="3D85CE99" w14:textId="77777777" w:rsidR="00E8654A" w:rsidRPr="00E103E8" w:rsidRDefault="00E8654A" w:rsidP="0010235F">
            <w:pPr>
              <w:rPr>
                <w:rFonts w:ascii="Arial" w:hAnsi="Arial" w:cs="Arial"/>
                <w:color w:val="000000"/>
              </w:rPr>
            </w:pPr>
            <w:r w:rsidRPr="00E103E8">
              <w:rPr>
                <w:rFonts w:ascii="Arial" w:hAnsi="Arial" w:cs="Arial"/>
                <w:color w:val="000000"/>
              </w:rPr>
              <w:t>Nickel</w:t>
            </w:r>
          </w:p>
        </w:tc>
        <w:tc>
          <w:tcPr>
            <w:tcW w:w="1130" w:type="dxa"/>
            <w:tcBorders>
              <w:top w:val="nil"/>
              <w:left w:val="nil"/>
              <w:bottom w:val="nil"/>
              <w:right w:val="nil"/>
            </w:tcBorders>
            <w:shd w:val="clear" w:color="auto" w:fill="auto"/>
            <w:vAlign w:val="bottom"/>
            <w:hideMark/>
          </w:tcPr>
          <w:p w14:paraId="3D85CE9A" w14:textId="77777777" w:rsidR="00E8654A" w:rsidRPr="00E103E8" w:rsidRDefault="00E8654A" w:rsidP="00031A6A">
            <w:pPr>
              <w:jc w:val="center"/>
              <w:rPr>
                <w:rFonts w:ascii="Arial" w:hAnsi="Arial" w:cs="Arial"/>
                <w:color w:val="000000"/>
              </w:rPr>
            </w:pPr>
            <w:r w:rsidRPr="00E103E8">
              <w:rPr>
                <w:rFonts w:ascii="Arial" w:hAnsi="Arial" w:cs="Arial"/>
                <w:color w:val="000000"/>
              </w:rPr>
              <w:t>0.060</w:t>
            </w:r>
          </w:p>
        </w:tc>
        <w:tc>
          <w:tcPr>
            <w:tcW w:w="967" w:type="dxa"/>
            <w:tcBorders>
              <w:top w:val="nil"/>
              <w:left w:val="nil"/>
              <w:bottom w:val="nil"/>
              <w:right w:val="nil"/>
            </w:tcBorders>
            <w:shd w:val="clear" w:color="auto" w:fill="auto"/>
            <w:noWrap/>
            <w:vAlign w:val="bottom"/>
            <w:hideMark/>
          </w:tcPr>
          <w:p w14:paraId="3D85CE9B"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0.0040</w:t>
            </w:r>
          </w:p>
        </w:tc>
        <w:tc>
          <w:tcPr>
            <w:tcW w:w="906" w:type="dxa"/>
            <w:tcBorders>
              <w:top w:val="nil"/>
              <w:left w:val="nil"/>
              <w:bottom w:val="nil"/>
              <w:right w:val="nil"/>
            </w:tcBorders>
            <w:shd w:val="clear" w:color="auto" w:fill="auto"/>
            <w:noWrap/>
            <w:vAlign w:val="bottom"/>
            <w:hideMark/>
          </w:tcPr>
          <w:p w14:paraId="3D85CE9C" w14:textId="77777777" w:rsidR="00E8654A" w:rsidRPr="0010235F" w:rsidRDefault="00E8654A" w:rsidP="0010235F">
            <w:pPr>
              <w:jc w:val="center"/>
              <w:rPr>
                <w:rFonts w:ascii="Arial" w:hAnsi="Arial" w:cs="Arial"/>
                <w:color w:val="000000"/>
                <w:sz w:val="20"/>
                <w:szCs w:val="20"/>
              </w:rPr>
            </w:pPr>
            <w:r>
              <w:rPr>
                <w:rFonts w:ascii="Arial" w:hAnsi="Arial" w:cs="Arial"/>
                <w:color w:val="000000"/>
                <w:sz w:val="20"/>
                <w:szCs w:val="20"/>
              </w:rPr>
              <w:t>15</w:t>
            </w:r>
          </w:p>
        </w:tc>
        <w:tc>
          <w:tcPr>
            <w:tcW w:w="1250" w:type="dxa"/>
            <w:tcBorders>
              <w:top w:val="nil"/>
              <w:left w:val="nil"/>
              <w:bottom w:val="nil"/>
              <w:right w:val="nil"/>
            </w:tcBorders>
            <w:shd w:val="clear" w:color="auto" w:fill="auto"/>
            <w:noWrap/>
            <w:vAlign w:val="bottom"/>
            <w:hideMark/>
          </w:tcPr>
          <w:p w14:paraId="3D85CE9D"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0.014</w:t>
            </w:r>
          </w:p>
        </w:tc>
        <w:tc>
          <w:tcPr>
            <w:tcW w:w="1039" w:type="dxa"/>
            <w:tcBorders>
              <w:top w:val="nil"/>
              <w:left w:val="nil"/>
              <w:bottom w:val="nil"/>
              <w:right w:val="single" w:sz="4" w:space="0" w:color="auto"/>
            </w:tcBorders>
            <w:shd w:val="clear" w:color="auto" w:fill="auto"/>
            <w:noWrap/>
            <w:vAlign w:val="bottom"/>
            <w:hideMark/>
          </w:tcPr>
          <w:p w14:paraId="3D85CE9E" w14:textId="77777777" w:rsidR="00E8654A" w:rsidRPr="0010235F" w:rsidRDefault="00E8654A" w:rsidP="0010235F">
            <w:pPr>
              <w:jc w:val="center"/>
              <w:rPr>
                <w:rFonts w:ascii="Arial" w:hAnsi="Arial" w:cs="Arial"/>
                <w:color w:val="000000"/>
                <w:sz w:val="20"/>
                <w:szCs w:val="20"/>
              </w:rPr>
            </w:pPr>
            <w:r>
              <w:rPr>
                <w:rFonts w:ascii="Arial" w:hAnsi="Arial" w:cs="Arial"/>
                <w:color w:val="000000"/>
                <w:sz w:val="20"/>
                <w:szCs w:val="20"/>
              </w:rPr>
              <w:t>4.</w:t>
            </w:r>
            <w:r w:rsidRPr="0010235F">
              <w:rPr>
                <w:rFonts w:ascii="Arial" w:hAnsi="Arial" w:cs="Arial"/>
                <w:color w:val="000000"/>
                <w:sz w:val="20"/>
                <w:szCs w:val="20"/>
              </w:rPr>
              <w:t>3</w:t>
            </w:r>
          </w:p>
        </w:tc>
        <w:tc>
          <w:tcPr>
            <w:tcW w:w="1130" w:type="dxa"/>
            <w:tcBorders>
              <w:top w:val="nil"/>
              <w:left w:val="nil"/>
              <w:bottom w:val="nil"/>
              <w:right w:val="nil"/>
            </w:tcBorders>
            <w:shd w:val="clear" w:color="auto" w:fill="auto"/>
            <w:vAlign w:val="bottom"/>
            <w:hideMark/>
          </w:tcPr>
          <w:p w14:paraId="3D85CE9F"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26</w:t>
            </w:r>
          </w:p>
        </w:tc>
        <w:tc>
          <w:tcPr>
            <w:tcW w:w="967" w:type="dxa"/>
            <w:tcBorders>
              <w:top w:val="nil"/>
              <w:left w:val="nil"/>
              <w:bottom w:val="nil"/>
              <w:right w:val="nil"/>
            </w:tcBorders>
            <w:shd w:val="clear" w:color="auto" w:fill="auto"/>
            <w:noWrap/>
            <w:vAlign w:val="bottom"/>
            <w:hideMark/>
          </w:tcPr>
          <w:p w14:paraId="3D85CEA0"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0.16</w:t>
            </w:r>
          </w:p>
        </w:tc>
        <w:tc>
          <w:tcPr>
            <w:tcW w:w="906" w:type="dxa"/>
            <w:tcBorders>
              <w:top w:val="nil"/>
              <w:left w:val="nil"/>
              <w:bottom w:val="nil"/>
              <w:right w:val="nil"/>
            </w:tcBorders>
            <w:shd w:val="clear" w:color="auto" w:fill="auto"/>
            <w:noWrap/>
            <w:vAlign w:val="bottom"/>
            <w:hideMark/>
          </w:tcPr>
          <w:p w14:paraId="3D85CEA1" w14:textId="77777777" w:rsidR="00E8654A" w:rsidRPr="0010235F" w:rsidRDefault="00E8654A" w:rsidP="0010235F">
            <w:pPr>
              <w:jc w:val="center"/>
              <w:rPr>
                <w:rFonts w:ascii="Arial" w:hAnsi="Arial" w:cs="Arial"/>
                <w:color w:val="000000"/>
                <w:sz w:val="20"/>
                <w:szCs w:val="20"/>
              </w:rPr>
            </w:pPr>
            <w:r>
              <w:rPr>
                <w:rFonts w:ascii="Arial" w:hAnsi="Arial" w:cs="Arial"/>
                <w:color w:val="000000"/>
                <w:sz w:val="20"/>
                <w:szCs w:val="20"/>
              </w:rPr>
              <w:t>0.17</w:t>
            </w:r>
          </w:p>
        </w:tc>
        <w:tc>
          <w:tcPr>
            <w:tcW w:w="1250" w:type="dxa"/>
            <w:tcBorders>
              <w:top w:val="nil"/>
              <w:left w:val="nil"/>
              <w:bottom w:val="nil"/>
              <w:right w:val="nil"/>
            </w:tcBorders>
            <w:shd w:val="clear" w:color="auto" w:fill="auto"/>
            <w:noWrap/>
            <w:vAlign w:val="bottom"/>
            <w:hideMark/>
          </w:tcPr>
          <w:p w14:paraId="3D85CEA2"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0.042</w:t>
            </w:r>
          </w:p>
        </w:tc>
        <w:tc>
          <w:tcPr>
            <w:tcW w:w="1039" w:type="dxa"/>
            <w:tcBorders>
              <w:top w:val="nil"/>
              <w:left w:val="nil"/>
              <w:bottom w:val="nil"/>
              <w:right w:val="nil"/>
            </w:tcBorders>
            <w:shd w:val="clear" w:color="auto" w:fill="auto"/>
            <w:noWrap/>
            <w:vAlign w:val="bottom"/>
            <w:hideMark/>
          </w:tcPr>
          <w:p w14:paraId="3D85CEA3" w14:textId="77777777" w:rsidR="00E8654A" w:rsidRPr="0010235F" w:rsidRDefault="00E8654A" w:rsidP="0010235F">
            <w:pPr>
              <w:jc w:val="center"/>
              <w:rPr>
                <w:rFonts w:ascii="Arial" w:hAnsi="Arial" w:cs="Arial"/>
                <w:color w:val="000000"/>
                <w:sz w:val="20"/>
                <w:szCs w:val="20"/>
              </w:rPr>
            </w:pPr>
            <w:r>
              <w:rPr>
                <w:rFonts w:ascii="Arial" w:hAnsi="Arial" w:cs="Arial"/>
                <w:color w:val="000000"/>
                <w:sz w:val="20"/>
                <w:szCs w:val="20"/>
              </w:rPr>
              <w:t>0.63</w:t>
            </w:r>
          </w:p>
        </w:tc>
        <w:tc>
          <w:tcPr>
            <w:tcW w:w="1130" w:type="dxa"/>
            <w:tcBorders>
              <w:top w:val="nil"/>
              <w:left w:val="single" w:sz="4" w:space="0" w:color="auto"/>
              <w:bottom w:val="nil"/>
              <w:right w:val="nil"/>
            </w:tcBorders>
            <w:shd w:val="clear" w:color="auto" w:fill="auto"/>
            <w:vAlign w:val="bottom"/>
            <w:hideMark/>
          </w:tcPr>
          <w:p w14:paraId="3D85CEA4" w14:textId="77777777" w:rsidR="00E8654A" w:rsidRPr="0010235F" w:rsidRDefault="00E8654A" w:rsidP="00031A6A">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26</w:t>
            </w:r>
          </w:p>
        </w:tc>
        <w:tc>
          <w:tcPr>
            <w:tcW w:w="967" w:type="dxa"/>
            <w:tcBorders>
              <w:top w:val="nil"/>
              <w:left w:val="nil"/>
              <w:bottom w:val="nil"/>
              <w:right w:val="nil"/>
            </w:tcBorders>
            <w:shd w:val="clear" w:color="auto" w:fill="auto"/>
            <w:noWrap/>
            <w:vAlign w:val="bottom"/>
            <w:hideMark/>
          </w:tcPr>
          <w:p w14:paraId="3D85CEA5"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0.046</w:t>
            </w:r>
          </w:p>
        </w:tc>
        <w:tc>
          <w:tcPr>
            <w:tcW w:w="906" w:type="dxa"/>
            <w:tcBorders>
              <w:top w:val="nil"/>
              <w:left w:val="nil"/>
              <w:bottom w:val="nil"/>
            </w:tcBorders>
            <w:shd w:val="clear" w:color="auto" w:fill="auto"/>
            <w:noWrap/>
            <w:vAlign w:val="bottom"/>
            <w:hideMark/>
          </w:tcPr>
          <w:p w14:paraId="3D85CEA6" w14:textId="77777777" w:rsidR="00E8654A" w:rsidRPr="0010235F" w:rsidRDefault="00E8654A" w:rsidP="00031A6A">
            <w:pPr>
              <w:jc w:val="center"/>
              <w:rPr>
                <w:rFonts w:ascii="Arial" w:hAnsi="Arial" w:cs="Arial"/>
                <w:color w:val="000000"/>
                <w:sz w:val="20"/>
                <w:szCs w:val="20"/>
              </w:rPr>
            </w:pPr>
            <w:r>
              <w:rPr>
                <w:rFonts w:ascii="Arial" w:hAnsi="Arial" w:cs="Arial"/>
                <w:color w:val="000000"/>
                <w:sz w:val="20"/>
                <w:szCs w:val="20"/>
              </w:rPr>
              <w:t>0.57</w:t>
            </w:r>
          </w:p>
        </w:tc>
        <w:tc>
          <w:tcPr>
            <w:tcW w:w="1250" w:type="dxa"/>
            <w:tcBorders>
              <w:top w:val="nil"/>
              <w:bottom w:val="nil"/>
              <w:right w:val="nil"/>
            </w:tcBorders>
            <w:shd w:val="clear" w:color="auto" w:fill="auto"/>
            <w:noWrap/>
            <w:vAlign w:val="bottom"/>
            <w:hideMark/>
          </w:tcPr>
          <w:p w14:paraId="3D85CEA7"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0.042</w:t>
            </w:r>
          </w:p>
        </w:tc>
        <w:tc>
          <w:tcPr>
            <w:tcW w:w="1039" w:type="dxa"/>
            <w:tcBorders>
              <w:top w:val="nil"/>
              <w:left w:val="nil"/>
              <w:bottom w:val="nil"/>
              <w:right w:val="nil"/>
            </w:tcBorders>
            <w:shd w:val="clear" w:color="auto" w:fill="auto"/>
            <w:noWrap/>
            <w:vAlign w:val="bottom"/>
            <w:hideMark/>
          </w:tcPr>
          <w:p w14:paraId="3D85CEA8" w14:textId="77777777" w:rsidR="00E8654A" w:rsidRPr="0010235F" w:rsidRDefault="00E8654A" w:rsidP="0010235F">
            <w:pPr>
              <w:jc w:val="center"/>
              <w:rPr>
                <w:rFonts w:ascii="Arial" w:hAnsi="Arial" w:cs="Arial"/>
                <w:color w:val="000000"/>
                <w:sz w:val="20"/>
                <w:szCs w:val="20"/>
              </w:rPr>
            </w:pPr>
            <w:r>
              <w:rPr>
                <w:rFonts w:ascii="Arial" w:hAnsi="Arial" w:cs="Arial"/>
                <w:color w:val="000000"/>
                <w:sz w:val="20"/>
                <w:szCs w:val="20"/>
              </w:rPr>
              <w:t>0.6</w:t>
            </w:r>
          </w:p>
        </w:tc>
        <w:tc>
          <w:tcPr>
            <w:tcW w:w="1013" w:type="dxa"/>
            <w:tcBorders>
              <w:top w:val="nil"/>
              <w:left w:val="single" w:sz="4" w:space="0" w:color="auto"/>
              <w:bottom w:val="nil"/>
              <w:right w:val="nil"/>
            </w:tcBorders>
            <w:shd w:val="clear" w:color="auto" w:fill="auto"/>
            <w:vAlign w:val="bottom"/>
            <w:hideMark/>
          </w:tcPr>
          <w:p w14:paraId="3D85CEA9" w14:textId="77777777" w:rsidR="00E8654A" w:rsidRPr="00487636" w:rsidRDefault="00E8654A" w:rsidP="00562904">
            <w:pPr>
              <w:jc w:val="center"/>
              <w:rPr>
                <w:rFonts w:ascii="Arial" w:hAnsi="Arial" w:cs="Arial"/>
                <w:color w:val="000000"/>
              </w:rPr>
            </w:pPr>
            <w:r>
              <w:rPr>
                <w:rFonts w:ascii="Arial" w:hAnsi="Arial" w:cs="Arial"/>
                <w:color w:val="000000"/>
              </w:rPr>
              <w:t>0.81</w:t>
            </w:r>
          </w:p>
        </w:tc>
        <w:tc>
          <w:tcPr>
            <w:tcW w:w="967" w:type="dxa"/>
            <w:tcBorders>
              <w:top w:val="nil"/>
              <w:left w:val="nil"/>
              <w:bottom w:val="nil"/>
              <w:right w:val="nil"/>
            </w:tcBorders>
            <w:shd w:val="clear" w:color="auto" w:fill="auto"/>
            <w:noWrap/>
            <w:vAlign w:val="bottom"/>
            <w:hideMark/>
          </w:tcPr>
          <w:p w14:paraId="3D85CEAA" w14:textId="77777777" w:rsidR="00E8654A" w:rsidRPr="0010235F" w:rsidRDefault="00E8654A" w:rsidP="0010235F">
            <w:pPr>
              <w:jc w:val="center"/>
              <w:rPr>
                <w:rFonts w:ascii="Arial" w:hAnsi="Arial" w:cs="Arial"/>
                <w:color w:val="000000"/>
                <w:sz w:val="20"/>
                <w:szCs w:val="20"/>
              </w:rPr>
            </w:pPr>
            <w:r w:rsidRPr="0010235F">
              <w:rPr>
                <w:rFonts w:ascii="Arial" w:hAnsi="Arial" w:cs="Arial"/>
                <w:color w:val="000000"/>
                <w:sz w:val="20"/>
                <w:szCs w:val="20"/>
              </w:rPr>
              <w:t>0.20</w:t>
            </w:r>
          </w:p>
        </w:tc>
        <w:tc>
          <w:tcPr>
            <w:tcW w:w="1039" w:type="dxa"/>
            <w:tcBorders>
              <w:top w:val="nil"/>
              <w:left w:val="nil"/>
              <w:bottom w:val="nil"/>
              <w:right w:val="single" w:sz="4" w:space="0" w:color="auto"/>
            </w:tcBorders>
            <w:shd w:val="clear" w:color="auto" w:fill="auto"/>
            <w:noWrap/>
            <w:vAlign w:val="bottom"/>
            <w:hideMark/>
          </w:tcPr>
          <w:p w14:paraId="3D85CEAB" w14:textId="77777777" w:rsidR="00E8654A" w:rsidRPr="0010235F" w:rsidRDefault="002121BC" w:rsidP="0010235F">
            <w:pPr>
              <w:jc w:val="center"/>
              <w:rPr>
                <w:rFonts w:ascii="Arial" w:hAnsi="Arial" w:cs="Arial"/>
                <w:color w:val="000000"/>
                <w:sz w:val="20"/>
                <w:szCs w:val="20"/>
              </w:rPr>
            </w:pPr>
            <w:r>
              <w:rPr>
                <w:rFonts w:ascii="Arial" w:hAnsi="Arial" w:cs="Arial"/>
                <w:color w:val="000000"/>
                <w:sz w:val="20"/>
                <w:szCs w:val="20"/>
              </w:rPr>
              <w:t>4.1</w:t>
            </w:r>
          </w:p>
        </w:tc>
      </w:tr>
      <w:tr w:rsidR="0010235F" w:rsidRPr="0010235F" w14:paraId="3D85CEBF" w14:textId="77777777" w:rsidTr="00607B7E">
        <w:trPr>
          <w:trHeight w:val="288"/>
        </w:trPr>
        <w:tc>
          <w:tcPr>
            <w:tcW w:w="2680" w:type="dxa"/>
            <w:gridSpan w:val="2"/>
            <w:tcBorders>
              <w:top w:val="nil"/>
              <w:left w:val="single" w:sz="4" w:space="0" w:color="auto"/>
              <w:bottom w:val="nil"/>
              <w:right w:val="nil"/>
            </w:tcBorders>
            <w:shd w:val="clear" w:color="auto" w:fill="auto"/>
            <w:noWrap/>
            <w:vAlign w:val="bottom"/>
            <w:hideMark/>
          </w:tcPr>
          <w:p w14:paraId="3D85CEAD" w14:textId="77777777" w:rsidR="0010235F" w:rsidRPr="00E103E8" w:rsidRDefault="0010235F" w:rsidP="0010235F">
            <w:pPr>
              <w:rPr>
                <w:rFonts w:ascii="Arial" w:hAnsi="Arial" w:cs="Arial"/>
                <w:b/>
                <w:bCs/>
                <w:color w:val="000000"/>
              </w:rPr>
            </w:pPr>
            <w:r w:rsidRPr="00E103E8">
              <w:rPr>
                <w:rFonts w:ascii="Arial" w:hAnsi="Arial" w:cs="Arial"/>
                <w:b/>
                <w:bCs/>
                <w:color w:val="000000"/>
              </w:rPr>
              <w:t>Total Unit 1</w:t>
            </w:r>
          </w:p>
        </w:tc>
        <w:tc>
          <w:tcPr>
            <w:tcW w:w="967" w:type="dxa"/>
            <w:tcBorders>
              <w:top w:val="nil"/>
              <w:left w:val="nil"/>
              <w:bottom w:val="nil"/>
              <w:right w:val="nil"/>
            </w:tcBorders>
            <w:shd w:val="clear" w:color="auto" w:fill="auto"/>
            <w:noWrap/>
            <w:vAlign w:val="bottom"/>
            <w:hideMark/>
          </w:tcPr>
          <w:p w14:paraId="3D85CEAE" w14:textId="77777777" w:rsidR="0010235F" w:rsidRPr="0010235F" w:rsidRDefault="0010235F" w:rsidP="0010235F">
            <w:pP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CEAF" w14:textId="77777777" w:rsidR="0010235F" w:rsidRPr="0010235F" w:rsidRDefault="00031A6A" w:rsidP="0010235F">
            <w:pPr>
              <w:jc w:val="center"/>
              <w:rPr>
                <w:rFonts w:ascii="Arial" w:hAnsi="Arial" w:cs="Arial"/>
                <w:b/>
                <w:bCs/>
                <w:color w:val="000000"/>
                <w:sz w:val="20"/>
                <w:szCs w:val="20"/>
              </w:rPr>
            </w:pPr>
            <w:r>
              <w:rPr>
                <w:rFonts w:ascii="Arial" w:hAnsi="Arial" w:cs="Arial"/>
                <w:b/>
                <w:bCs/>
                <w:color w:val="000000"/>
                <w:sz w:val="20"/>
                <w:szCs w:val="20"/>
              </w:rPr>
              <w:t>288</w:t>
            </w:r>
          </w:p>
        </w:tc>
        <w:tc>
          <w:tcPr>
            <w:tcW w:w="1250" w:type="dxa"/>
            <w:tcBorders>
              <w:top w:val="nil"/>
              <w:left w:val="nil"/>
              <w:bottom w:val="nil"/>
              <w:right w:val="nil"/>
            </w:tcBorders>
            <w:shd w:val="clear" w:color="auto" w:fill="auto"/>
            <w:noWrap/>
            <w:vAlign w:val="bottom"/>
            <w:hideMark/>
          </w:tcPr>
          <w:p w14:paraId="3D85CEB0"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nil"/>
            </w:tcBorders>
            <w:shd w:val="clear" w:color="auto" w:fill="auto"/>
            <w:noWrap/>
            <w:vAlign w:val="bottom"/>
            <w:hideMark/>
          </w:tcPr>
          <w:p w14:paraId="3D85CEB1" w14:textId="77777777" w:rsidR="0010235F" w:rsidRPr="0010235F" w:rsidRDefault="00031A6A" w:rsidP="0010235F">
            <w:pPr>
              <w:jc w:val="center"/>
              <w:rPr>
                <w:rFonts w:ascii="Arial" w:hAnsi="Arial" w:cs="Arial"/>
                <w:b/>
                <w:bCs/>
                <w:color w:val="000000"/>
                <w:sz w:val="20"/>
                <w:szCs w:val="20"/>
              </w:rPr>
            </w:pPr>
            <w:r>
              <w:rPr>
                <w:rFonts w:ascii="Arial" w:hAnsi="Arial" w:cs="Arial"/>
                <w:b/>
                <w:bCs/>
                <w:color w:val="000000"/>
                <w:sz w:val="20"/>
                <w:szCs w:val="20"/>
              </w:rPr>
              <w:t>5</w:t>
            </w:r>
          </w:p>
        </w:tc>
        <w:tc>
          <w:tcPr>
            <w:tcW w:w="1130" w:type="dxa"/>
            <w:tcBorders>
              <w:top w:val="nil"/>
              <w:left w:val="single" w:sz="4" w:space="0" w:color="auto"/>
              <w:bottom w:val="nil"/>
              <w:right w:val="nil"/>
            </w:tcBorders>
            <w:shd w:val="clear" w:color="auto" w:fill="auto"/>
            <w:noWrap/>
            <w:vAlign w:val="bottom"/>
            <w:hideMark/>
          </w:tcPr>
          <w:p w14:paraId="3D85CEB2"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nil"/>
              <w:right w:val="nil"/>
            </w:tcBorders>
            <w:shd w:val="clear" w:color="auto" w:fill="auto"/>
            <w:noWrap/>
            <w:vAlign w:val="bottom"/>
            <w:hideMark/>
          </w:tcPr>
          <w:p w14:paraId="3D85CEB3" w14:textId="77777777" w:rsidR="0010235F" w:rsidRPr="0010235F" w:rsidRDefault="0010235F" w:rsidP="0010235F">
            <w:pP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CEB4" w14:textId="77777777" w:rsidR="0010235F" w:rsidRPr="0010235F" w:rsidRDefault="00031A6A" w:rsidP="0010235F">
            <w:pPr>
              <w:jc w:val="center"/>
              <w:rPr>
                <w:rFonts w:ascii="Arial" w:hAnsi="Arial" w:cs="Arial"/>
                <w:b/>
                <w:bCs/>
                <w:color w:val="000000"/>
                <w:sz w:val="20"/>
                <w:szCs w:val="20"/>
              </w:rPr>
            </w:pPr>
            <w:r>
              <w:rPr>
                <w:rFonts w:ascii="Arial" w:hAnsi="Arial" w:cs="Arial"/>
                <w:b/>
                <w:bCs/>
                <w:color w:val="000000"/>
                <w:sz w:val="20"/>
                <w:szCs w:val="20"/>
              </w:rPr>
              <w:t>3</w:t>
            </w:r>
          </w:p>
        </w:tc>
        <w:tc>
          <w:tcPr>
            <w:tcW w:w="1250" w:type="dxa"/>
            <w:tcBorders>
              <w:top w:val="nil"/>
              <w:left w:val="nil"/>
              <w:bottom w:val="nil"/>
              <w:right w:val="nil"/>
            </w:tcBorders>
            <w:shd w:val="clear" w:color="auto" w:fill="auto"/>
            <w:noWrap/>
            <w:vAlign w:val="bottom"/>
            <w:hideMark/>
          </w:tcPr>
          <w:p w14:paraId="3D85CEB5"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nil"/>
            </w:tcBorders>
            <w:shd w:val="clear" w:color="auto" w:fill="auto"/>
            <w:noWrap/>
            <w:vAlign w:val="bottom"/>
            <w:hideMark/>
          </w:tcPr>
          <w:p w14:paraId="3D85CEB6" w14:textId="77777777" w:rsidR="0010235F" w:rsidRPr="0010235F" w:rsidRDefault="00031A6A" w:rsidP="0010235F">
            <w:pPr>
              <w:jc w:val="center"/>
              <w:rPr>
                <w:rFonts w:ascii="Arial" w:hAnsi="Arial" w:cs="Arial"/>
                <w:b/>
                <w:bCs/>
                <w:color w:val="000000"/>
                <w:sz w:val="20"/>
                <w:szCs w:val="20"/>
              </w:rPr>
            </w:pPr>
            <w:r>
              <w:rPr>
                <w:rFonts w:ascii="Arial" w:hAnsi="Arial" w:cs="Arial"/>
                <w:b/>
                <w:bCs/>
                <w:color w:val="000000"/>
                <w:sz w:val="20"/>
                <w:szCs w:val="20"/>
              </w:rPr>
              <w:t>0.72</w:t>
            </w:r>
          </w:p>
        </w:tc>
        <w:tc>
          <w:tcPr>
            <w:tcW w:w="1130" w:type="dxa"/>
            <w:tcBorders>
              <w:top w:val="nil"/>
              <w:left w:val="single" w:sz="4" w:space="0" w:color="auto"/>
              <w:bottom w:val="nil"/>
              <w:right w:val="nil"/>
            </w:tcBorders>
            <w:shd w:val="clear" w:color="auto" w:fill="auto"/>
            <w:noWrap/>
            <w:vAlign w:val="bottom"/>
            <w:hideMark/>
          </w:tcPr>
          <w:p w14:paraId="3D85CEB7"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nil"/>
              <w:right w:val="nil"/>
            </w:tcBorders>
            <w:shd w:val="clear" w:color="auto" w:fill="auto"/>
            <w:noWrap/>
            <w:vAlign w:val="bottom"/>
            <w:hideMark/>
          </w:tcPr>
          <w:p w14:paraId="3D85CEB8" w14:textId="77777777" w:rsidR="0010235F" w:rsidRPr="0010235F" w:rsidRDefault="0010235F" w:rsidP="0010235F">
            <w:pPr>
              <w:rPr>
                <w:rFonts w:ascii="Arial" w:hAnsi="Arial" w:cs="Arial"/>
                <w:b/>
                <w:bCs/>
                <w:color w:val="000000"/>
                <w:sz w:val="20"/>
                <w:szCs w:val="20"/>
              </w:rPr>
            </w:pPr>
          </w:p>
        </w:tc>
        <w:tc>
          <w:tcPr>
            <w:tcW w:w="906" w:type="dxa"/>
            <w:tcBorders>
              <w:top w:val="nil"/>
              <w:left w:val="nil"/>
              <w:bottom w:val="nil"/>
            </w:tcBorders>
            <w:shd w:val="clear" w:color="auto" w:fill="auto"/>
            <w:noWrap/>
            <w:vAlign w:val="bottom"/>
            <w:hideMark/>
          </w:tcPr>
          <w:p w14:paraId="3D85CEB9" w14:textId="77777777" w:rsidR="0010235F" w:rsidRPr="0010235F" w:rsidRDefault="00E103E8" w:rsidP="0010235F">
            <w:pPr>
              <w:jc w:val="center"/>
              <w:rPr>
                <w:rFonts w:ascii="Arial" w:hAnsi="Arial" w:cs="Arial"/>
                <w:b/>
                <w:bCs/>
                <w:color w:val="000000"/>
                <w:sz w:val="20"/>
                <w:szCs w:val="20"/>
              </w:rPr>
            </w:pPr>
            <w:r>
              <w:rPr>
                <w:rFonts w:ascii="Arial" w:hAnsi="Arial" w:cs="Arial"/>
                <w:b/>
                <w:bCs/>
                <w:color w:val="000000"/>
                <w:sz w:val="20"/>
                <w:szCs w:val="20"/>
              </w:rPr>
              <w:t>11</w:t>
            </w:r>
          </w:p>
        </w:tc>
        <w:tc>
          <w:tcPr>
            <w:tcW w:w="1250" w:type="dxa"/>
            <w:tcBorders>
              <w:top w:val="nil"/>
              <w:bottom w:val="nil"/>
              <w:right w:val="nil"/>
            </w:tcBorders>
            <w:shd w:val="clear" w:color="auto" w:fill="auto"/>
            <w:noWrap/>
            <w:vAlign w:val="bottom"/>
            <w:hideMark/>
          </w:tcPr>
          <w:p w14:paraId="3D85CEBA"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nil"/>
            </w:tcBorders>
            <w:shd w:val="clear" w:color="auto" w:fill="auto"/>
            <w:noWrap/>
            <w:vAlign w:val="bottom"/>
            <w:hideMark/>
          </w:tcPr>
          <w:p w14:paraId="3D85CEBB" w14:textId="77777777" w:rsidR="0010235F" w:rsidRPr="0010235F" w:rsidRDefault="00E8654A" w:rsidP="0010235F">
            <w:pPr>
              <w:jc w:val="center"/>
              <w:rPr>
                <w:rFonts w:ascii="Arial" w:hAnsi="Arial" w:cs="Arial"/>
                <w:b/>
                <w:bCs/>
                <w:color w:val="000000"/>
                <w:sz w:val="20"/>
                <w:szCs w:val="20"/>
              </w:rPr>
            </w:pPr>
            <w:r>
              <w:rPr>
                <w:rFonts w:ascii="Arial" w:hAnsi="Arial" w:cs="Arial"/>
                <w:b/>
                <w:bCs/>
                <w:color w:val="000000"/>
                <w:sz w:val="20"/>
                <w:szCs w:val="20"/>
              </w:rPr>
              <w:t>0.7</w:t>
            </w:r>
          </w:p>
        </w:tc>
        <w:tc>
          <w:tcPr>
            <w:tcW w:w="1013" w:type="dxa"/>
            <w:tcBorders>
              <w:top w:val="nil"/>
              <w:left w:val="single" w:sz="4" w:space="0" w:color="auto"/>
              <w:bottom w:val="nil"/>
              <w:right w:val="nil"/>
            </w:tcBorders>
            <w:shd w:val="clear" w:color="auto" w:fill="auto"/>
            <w:noWrap/>
            <w:vAlign w:val="bottom"/>
            <w:hideMark/>
          </w:tcPr>
          <w:p w14:paraId="3D85CEBC"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nil"/>
              <w:right w:val="nil"/>
            </w:tcBorders>
            <w:shd w:val="clear" w:color="auto" w:fill="auto"/>
            <w:noWrap/>
            <w:vAlign w:val="bottom"/>
            <w:hideMark/>
          </w:tcPr>
          <w:p w14:paraId="3D85CEBD"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CEBE" w14:textId="77777777" w:rsidR="0010235F" w:rsidRPr="0010235F" w:rsidRDefault="002121BC" w:rsidP="0010235F">
            <w:pPr>
              <w:jc w:val="center"/>
              <w:rPr>
                <w:rFonts w:ascii="Arial" w:hAnsi="Arial" w:cs="Arial"/>
                <w:b/>
                <w:bCs/>
                <w:color w:val="000000"/>
                <w:sz w:val="20"/>
                <w:szCs w:val="20"/>
              </w:rPr>
            </w:pPr>
            <w:r>
              <w:rPr>
                <w:rFonts w:ascii="Arial" w:hAnsi="Arial" w:cs="Arial"/>
                <w:b/>
                <w:bCs/>
                <w:color w:val="000000"/>
                <w:sz w:val="20"/>
                <w:szCs w:val="20"/>
              </w:rPr>
              <w:t>6</w:t>
            </w:r>
          </w:p>
        </w:tc>
      </w:tr>
      <w:tr w:rsidR="0010235F" w:rsidRPr="0010235F" w14:paraId="3D85CED3" w14:textId="77777777" w:rsidTr="00607B7E">
        <w:trPr>
          <w:trHeight w:val="288"/>
        </w:trPr>
        <w:tc>
          <w:tcPr>
            <w:tcW w:w="1550" w:type="dxa"/>
            <w:tcBorders>
              <w:top w:val="nil"/>
              <w:left w:val="single" w:sz="4" w:space="0" w:color="auto"/>
              <w:bottom w:val="nil"/>
              <w:right w:val="nil"/>
            </w:tcBorders>
            <w:shd w:val="clear" w:color="auto" w:fill="auto"/>
            <w:noWrap/>
            <w:vAlign w:val="bottom"/>
            <w:hideMark/>
          </w:tcPr>
          <w:p w14:paraId="3D85CEC0"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 </w:t>
            </w:r>
          </w:p>
        </w:tc>
        <w:tc>
          <w:tcPr>
            <w:tcW w:w="1130" w:type="dxa"/>
            <w:tcBorders>
              <w:top w:val="nil"/>
              <w:left w:val="nil"/>
              <w:bottom w:val="single" w:sz="4" w:space="0" w:color="auto"/>
              <w:right w:val="nil"/>
            </w:tcBorders>
            <w:shd w:val="clear" w:color="auto" w:fill="auto"/>
            <w:noWrap/>
            <w:vAlign w:val="bottom"/>
            <w:hideMark/>
          </w:tcPr>
          <w:p w14:paraId="3D85CEC1"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CEC2"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CEC3"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50" w:type="dxa"/>
            <w:tcBorders>
              <w:top w:val="nil"/>
              <w:left w:val="nil"/>
              <w:bottom w:val="single" w:sz="4" w:space="0" w:color="auto"/>
              <w:right w:val="nil"/>
            </w:tcBorders>
            <w:shd w:val="clear" w:color="auto" w:fill="auto"/>
            <w:noWrap/>
            <w:vAlign w:val="bottom"/>
            <w:hideMark/>
          </w:tcPr>
          <w:p w14:paraId="3D85CEC4"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14:paraId="3D85CEC5"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130" w:type="dxa"/>
            <w:tcBorders>
              <w:top w:val="nil"/>
              <w:left w:val="nil"/>
              <w:bottom w:val="single" w:sz="4" w:space="0" w:color="auto"/>
              <w:right w:val="nil"/>
            </w:tcBorders>
            <w:shd w:val="clear" w:color="auto" w:fill="auto"/>
            <w:noWrap/>
            <w:vAlign w:val="bottom"/>
            <w:hideMark/>
          </w:tcPr>
          <w:p w14:paraId="3D85CEC6"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CEC7"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CEC8"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50" w:type="dxa"/>
            <w:tcBorders>
              <w:top w:val="nil"/>
              <w:left w:val="nil"/>
              <w:bottom w:val="single" w:sz="4" w:space="0" w:color="auto"/>
              <w:right w:val="nil"/>
            </w:tcBorders>
            <w:shd w:val="clear" w:color="auto" w:fill="auto"/>
            <w:noWrap/>
            <w:vAlign w:val="bottom"/>
            <w:hideMark/>
          </w:tcPr>
          <w:p w14:paraId="3D85CEC9"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039" w:type="dxa"/>
            <w:tcBorders>
              <w:top w:val="nil"/>
              <w:left w:val="nil"/>
              <w:bottom w:val="single" w:sz="4" w:space="0" w:color="auto"/>
              <w:right w:val="nil"/>
            </w:tcBorders>
            <w:shd w:val="clear" w:color="auto" w:fill="auto"/>
            <w:noWrap/>
            <w:vAlign w:val="bottom"/>
            <w:hideMark/>
          </w:tcPr>
          <w:p w14:paraId="3D85CECA"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130" w:type="dxa"/>
            <w:tcBorders>
              <w:top w:val="nil"/>
              <w:left w:val="single" w:sz="4" w:space="0" w:color="auto"/>
              <w:bottom w:val="single" w:sz="4" w:space="0" w:color="auto"/>
              <w:right w:val="nil"/>
            </w:tcBorders>
            <w:shd w:val="clear" w:color="auto" w:fill="auto"/>
            <w:noWrap/>
            <w:vAlign w:val="bottom"/>
            <w:hideMark/>
          </w:tcPr>
          <w:p w14:paraId="3D85CECB"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CECC"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06" w:type="dxa"/>
            <w:tcBorders>
              <w:top w:val="nil"/>
              <w:left w:val="nil"/>
              <w:bottom w:val="single" w:sz="4" w:space="0" w:color="auto"/>
            </w:tcBorders>
            <w:shd w:val="clear" w:color="auto" w:fill="auto"/>
            <w:noWrap/>
            <w:vAlign w:val="bottom"/>
            <w:hideMark/>
          </w:tcPr>
          <w:p w14:paraId="3D85CECD"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50" w:type="dxa"/>
            <w:tcBorders>
              <w:top w:val="nil"/>
              <w:bottom w:val="single" w:sz="4" w:space="0" w:color="auto"/>
              <w:right w:val="nil"/>
            </w:tcBorders>
            <w:shd w:val="clear" w:color="auto" w:fill="auto"/>
            <w:noWrap/>
            <w:vAlign w:val="bottom"/>
            <w:hideMark/>
          </w:tcPr>
          <w:p w14:paraId="3D85CECE"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039" w:type="dxa"/>
            <w:tcBorders>
              <w:top w:val="nil"/>
              <w:left w:val="nil"/>
              <w:bottom w:val="single" w:sz="4" w:space="0" w:color="auto"/>
              <w:right w:val="nil"/>
            </w:tcBorders>
            <w:shd w:val="clear" w:color="auto" w:fill="auto"/>
            <w:noWrap/>
            <w:vAlign w:val="bottom"/>
            <w:hideMark/>
          </w:tcPr>
          <w:p w14:paraId="3D85CECF"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013" w:type="dxa"/>
            <w:tcBorders>
              <w:top w:val="nil"/>
              <w:left w:val="single" w:sz="4" w:space="0" w:color="auto"/>
              <w:bottom w:val="single" w:sz="4" w:space="0" w:color="auto"/>
              <w:right w:val="nil"/>
            </w:tcBorders>
            <w:shd w:val="clear" w:color="auto" w:fill="auto"/>
            <w:noWrap/>
            <w:vAlign w:val="bottom"/>
            <w:hideMark/>
          </w:tcPr>
          <w:p w14:paraId="3D85CED0"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CED1"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14:paraId="3D85CED2"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CEE7" w14:textId="77777777" w:rsidTr="00607B7E">
        <w:trPr>
          <w:trHeight w:val="288"/>
        </w:trPr>
        <w:tc>
          <w:tcPr>
            <w:tcW w:w="1550" w:type="dxa"/>
            <w:tcBorders>
              <w:top w:val="single" w:sz="4" w:space="0" w:color="auto"/>
              <w:left w:val="single" w:sz="4" w:space="0" w:color="auto"/>
              <w:bottom w:val="nil"/>
              <w:right w:val="nil"/>
            </w:tcBorders>
            <w:shd w:val="clear" w:color="auto" w:fill="auto"/>
            <w:noWrap/>
            <w:vAlign w:val="bottom"/>
            <w:hideMark/>
          </w:tcPr>
          <w:p w14:paraId="3D85CED4"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 </w:t>
            </w:r>
          </w:p>
        </w:tc>
        <w:tc>
          <w:tcPr>
            <w:tcW w:w="1130" w:type="dxa"/>
            <w:tcBorders>
              <w:top w:val="nil"/>
              <w:left w:val="nil"/>
              <w:bottom w:val="nil"/>
              <w:right w:val="nil"/>
            </w:tcBorders>
            <w:shd w:val="clear" w:color="auto" w:fill="auto"/>
            <w:noWrap/>
            <w:vAlign w:val="bottom"/>
            <w:hideMark/>
          </w:tcPr>
          <w:p w14:paraId="3D85CED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CED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nil"/>
              <w:right w:val="nil"/>
            </w:tcBorders>
            <w:shd w:val="clear" w:color="auto" w:fill="auto"/>
            <w:noWrap/>
            <w:vAlign w:val="bottom"/>
            <w:hideMark/>
          </w:tcPr>
          <w:p w14:paraId="3D85CED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left w:val="nil"/>
              <w:bottom w:val="nil"/>
              <w:right w:val="nil"/>
            </w:tcBorders>
            <w:shd w:val="clear" w:color="auto" w:fill="auto"/>
            <w:noWrap/>
            <w:vAlign w:val="bottom"/>
            <w:hideMark/>
          </w:tcPr>
          <w:p w14:paraId="3D85CED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nil"/>
              <w:right w:val="single" w:sz="4" w:space="0" w:color="auto"/>
            </w:tcBorders>
            <w:shd w:val="clear" w:color="auto" w:fill="auto"/>
            <w:noWrap/>
            <w:vAlign w:val="bottom"/>
            <w:hideMark/>
          </w:tcPr>
          <w:p w14:paraId="3D85CED9"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30" w:type="dxa"/>
            <w:tcBorders>
              <w:top w:val="nil"/>
              <w:left w:val="nil"/>
              <w:bottom w:val="nil"/>
              <w:right w:val="nil"/>
            </w:tcBorders>
            <w:shd w:val="clear" w:color="auto" w:fill="auto"/>
            <w:noWrap/>
            <w:vAlign w:val="bottom"/>
            <w:hideMark/>
          </w:tcPr>
          <w:p w14:paraId="3D85CED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CED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nil"/>
              <w:right w:val="nil"/>
            </w:tcBorders>
            <w:shd w:val="clear" w:color="auto" w:fill="auto"/>
            <w:noWrap/>
            <w:vAlign w:val="bottom"/>
            <w:hideMark/>
          </w:tcPr>
          <w:p w14:paraId="3D85CED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left w:val="nil"/>
              <w:bottom w:val="nil"/>
              <w:right w:val="nil"/>
            </w:tcBorders>
            <w:shd w:val="clear" w:color="auto" w:fill="auto"/>
            <w:noWrap/>
            <w:vAlign w:val="bottom"/>
            <w:hideMark/>
          </w:tcPr>
          <w:p w14:paraId="3D85CED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nil"/>
              <w:right w:val="nil"/>
            </w:tcBorders>
            <w:shd w:val="clear" w:color="auto" w:fill="auto"/>
            <w:noWrap/>
            <w:vAlign w:val="bottom"/>
            <w:hideMark/>
          </w:tcPr>
          <w:p w14:paraId="3D85CEDE"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30" w:type="dxa"/>
            <w:tcBorders>
              <w:top w:val="nil"/>
              <w:left w:val="single" w:sz="4" w:space="0" w:color="auto"/>
              <w:bottom w:val="nil"/>
              <w:right w:val="nil"/>
            </w:tcBorders>
            <w:shd w:val="clear" w:color="auto" w:fill="auto"/>
            <w:noWrap/>
            <w:vAlign w:val="bottom"/>
            <w:hideMark/>
          </w:tcPr>
          <w:p w14:paraId="3D85CED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CEE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nil"/>
            </w:tcBorders>
            <w:shd w:val="clear" w:color="auto" w:fill="auto"/>
            <w:noWrap/>
            <w:vAlign w:val="bottom"/>
            <w:hideMark/>
          </w:tcPr>
          <w:p w14:paraId="3D85CEE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bottom w:val="nil"/>
              <w:right w:val="nil"/>
            </w:tcBorders>
            <w:shd w:val="clear" w:color="auto" w:fill="auto"/>
            <w:noWrap/>
            <w:vAlign w:val="bottom"/>
            <w:hideMark/>
          </w:tcPr>
          <w:p w14:paraId="3D85CEE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nil"/>
              <w:right w:val="nil"/>
            </w:tcBorders>
            <w:shd w:val="clear" w:color="auto" w:fill="auto"/>
            <w:noWrap/>
            <w:vAlign w:val="bottom"/>
            <w:hideMark/>
          </w:tcPr>
          <w:p w14:paraId="3D85CEE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13" w:type="dxa"/>
            <w:tcBorders>
              <w:top w:val="nil"/>
              <w:left w:val="single" w:sz="4" w:space="0" w:color="auto"/>
              <w:bottom w:val="nil"/>
              <w:right w:val="nil"/>
            </w:tcBorders>
            <w:shd w:val="clear" w:color="auto" w:fill="auto"/>
            <w:noWrap/>
            <w:vAlign w:val="bottom"/>
            <w:hideMark/>
          </w:tcPr>
          <w:p w14:paraId="3D85CEE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CEE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nil"/>
              <w:right w:val="single" w:sz="4" w:space="0" w:color="auto"/>
            </w:tcBorders>
            <w:shd w:val="clear" w:color="auto" w:fill="auto"/>
            <w:noWrap/>
            <w:vAlign w:val="bottom"/>
            <w:hideMark/>
          </w:tcPr>
          <w:p w14:paraId="3D85CEE6"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CEFA" w14:textId="77777777" w:rsidTr="00607B7E">
        <w:trPr>
          <w:trHeight w:val="288"/>
        </w:trPr>
        <w:tc>
          <w:tcPr>
            <w:tcW w:w="2680" w:type="dxa"/>
            <w:gridSpan w:val="2"/>
            <w:tcBorders>
              <w:top w:val="nil"/>
              <w:left w:val="single" w:sz="4" w:space="0" w:color="auto"/>
              <w:bottom w:val="nil"/>
              <w:right w:val="nil"/>
            </w:tcBorders>
            <w:shd w:val="clear" w:color="auto" w:fill="auto"/>
            <w:noWrap/>
            <w:vAlign w:val="bottom"/>
            <w:hideMark/>
          </w:tcPr>
          <w:p w14:paraId="3D85CEE8" w14:textId="77777777" w:rsidR="0010235F" w:rsidRPr="00E103E8" w:rsidRDefault="0010235F" w:rsidP="0010235F">
            <w:pPr>
              <w:rPr>
                <w:rFonts w:ascii="Arial" w:hAnsi="Arial" w:cs="Arial"/>
                <w:b/>
                <w:bCs/>
                <w:color w:val="000000"/>
              </w:rPr>
            </w:pPr>
            <w:r w:rsidRPr="00E103E8">
              <w:rPr>
                <w:rFonts w:ascii="Arial" w:hAnsi="Arial" w:cs="Arial"/>
                <w:b/>
                <w:bCs/>
                <w:color w:val="000000"/>
              </w:rPr>
              <w:t>Emission Unit 2</w:t>
            </w:r>
          </w:p>
        </w:tc>
        <w:tc>
          <w:tcPr>
            <w:tcW w:w="967" w:type="dxa"/>
            <w:tcBorders>
              <w:top w:val="nil"/>
              <w:left w:val="nil"/>
              <w:bottom w:val="nil"/>
              <w:right w:val="nil"/>
            </w:tcBorders>
            <w:shd w:val="clear" w:color="auto" w:fill="auto"/>
            <w:noWrap/>
            <w:vAlign w:val="bottom"/>
            <w:hideMark/>
          </w:tcPr>
          <w:p w14:paraId="3D85CEE9"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CEEA"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nil"/>
              <w:bottom w:val="nil"/>
              <w:right w:val="nil"/>
            </w:tcBorders>
            <w:shd w:val="clear" w:color="auto" w:fill="auto"/>
            <w:noWrap/>
            <w:vAlign w:val="bottom"/>
            <w:hideMark/>
          </w:tcPr>
          <w:p w14:paraId="3D85CEEB"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CEE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30" w:type="dxa"/>
            <w:tcBorders>
              <w:top w:val="nil"/>
              <w:left w:val="nil"/>
              <w:bottom w:val="nil"/>
              <w:right w:val="nil"/>
            </w:tcBorders>
            <w:shd w:val="clear" w:color="auto" w:fill="auto"/>
            <w:noWrap/>
            <w:vAlign w:val="bottom"/>
            <w:hideMark/>
          </w:tcPr>
          <w:p w14:paraId="3D85CEED" w14:textId="77777777" w:rsidR="0010235F" w:rsidRPr="0010235F" w:rsidRDefault="0010235F" w:rsidP="0010235F">
            <w:pPr>
              <w:jc w:val="center"/>
              <w:rPr>
                <w:rFonts w:ascii="Arial" w:hAnsi="Arial" w:cs="Arial"/>
                <w:b/>
                <w:bCs/>
                <w:color w:val="000000"/>
                <w:sz w:val="20"/>
                <w:szCs w:val="20"/>
              </w:rPr>
            </w:pPr>
          </w:p>
        </w:tc>
        <w:tc>
          <w:tcPr>
            <w:tcW w:w="967" w:type="dxa"/>
            <w:tcBorders>
              <w:top w:val="nil"/>
              <w:left w:val="nil"/>
              <w:bottom w:val="nil"/>
              <w:right w:val="nil"/>
            </w:tcBorders>
            <w:shd w:val="clear" w:color="auto" w:fill="auto"/>
            <w:noWrap/>
            <w:vAlign w:val="bottom"/>
            <w:hideMark/>
          </w:tcPr>
          <w:p w14:paraId="3D85CEEE"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CEEF"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nil"/>
              <w:bottom w:val="nil"/>
              <w:right w:val="nil"/>
            </w:tcBorders>
            <w:shd w:val="clear" w:color="auto" w:fill="auto"/>
            <w:noWrap/>
            <w:vAlign w:val="bottom"/>
            <w:hideMark/>
          </w:tcPr>
          <w:p w14:paraId="3D85CEF0"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nil"/>
            </w:tcBorders>
            <w:shd w:val="clear" w:color="auto" w:fill="auto"/>
            <w:noWrap/>
            <w:vAlign w:val="bottom"/>
            <w:hideMark/>
          </w:tcPr>
          <w:p w14:paraId="3D85CEF1" w14:textId="77777777" w:rsidR="0010235F" w:rsidRPr="0010235F" w:rsidRDefault="0010235F" w:rsidP="0010235F">
            <w:pPr>
              <w:jc w:val="center"/>
              <w:rPr>
                <w:rFonts w:ascii="Arial" w:hAnsi="Arial" w:cs="Arial"/>
                <w:b/>
                <w:bCs/>
                <w:color w:val="000000"/>
                <w:sz w:val="20"/>
                <w:szCs w:val="20"/>
              </w:rPr>
            </w:pPr>
          </w:p>
        </w:tc>
        <w:tc>
          <w:tcPr>
            <w:tcW w:w="1130" w:type="dxa"/>
            <w:tcBorders>
              <w:top w:val="nil"/>
              <w:left w:val="single" w:sz="4" w:space="0" w:color="auto"/>
              <w:bottom w:val="nil"/>
              <w:right w:val="nil"/>
            </w:tcBorders>
            <w:shd w:val="clear" w:color="auto" w:fill="auto"/>
            <w:noWrap/>
            <w:vAlign w:val="bottom"/>
            <w:hideMark/>
          </w:tcPr>
          <w:p w14:paraId="3D85CEF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CEF3"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tcBorders>
            <w:shd w:val="clear" w:color="auto" w:fill="auto"/>
            <w:noWrap/>
            <w:vAlign w:val="bottom"/>
            <w:hideMark/>
          </w:tcPr>
          <w:p w14:paraId="3D85CEF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bottom w:val="nil"/>
              <w:right w:val="nil"/>
            </w:tcBorders>
            <w:shd w:val="clear" w:color="auto" w:fill="auto"/>
            <w:noWrap/>
            <w:vAlign w:val="bottom"/>
            <w:hideMark/>
          </w:tcPr>
          <w:p w14:paraId="3D85CEF5"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nil"/>
            </w:tcBorders>
            <w:shd w:val="clear" w:color="auto" w:fill="auto"/>
            <w:noWrap/>
            <w:vAlign w:val="bottom"/>
            <w:hideMark/>
          </w:tcPr>
          <w:p w14:paraId="3D85CEF6" w14:textId="77777777" w:rsidR="0010235F" w:rsidRPr="0010235F" w:rsidRDefault="0010235F" w:rsidP="0010235F">
            <w:pPr>
              <w:jc w:val="center"/>
              <w:rPr>
                <w:rFonts w:ascii="Arial" w:hAnsi="Arial" w:cs="Arial"/>
                <w:b/>
                <w:bCs/>
                <w:color w:val="000000"/>
                <w:sz w:val="20"/>
                <w:szCs w:val="20"/>
              </w:rPr>
            </w:pPr>
          </w:p>
        </w:tc>
        <w:tc>
          <w:tcPr>
            <w:tcW w:w="1013" w:type="dxa"/>
            <w:tcBorders>
              <w:top w:val="nil"/>
              <w:left w:val="single" w:sz="4" w:space="0" w:color="auto"/>
              <w:bottom w:val="nil"/>
              <w:right w:val="nil"/>
            </w:tcBorders>
            <w:shd w:val="clear" w:color="auto" w:fill="auto"/>
            <w:noWrap/>
            <w:vAlign w:val="bottom"/>
            <w:hideMark/>
          </w:tcPr>
          <w:p w14:paraId="3D85CEF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CEF8"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CEF9"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4B6AD3" w:rsidRPr="0010235F" w14:paraId="3D85CF0E" w14:textId="77777777" w:rsidTr="00607B7E">
        <w:trPr>
          <w:trHeight w:val="288"/>
        </w:trPr>
        <w:tc>
          <w:tcPr>
            <w:tcW w:w="1550" w:type="dxa"/>
            <w:tcBorders>
              <w:top w:val="nil"/>
              <w:left w:val="single" w:sz="4" w:space="0" w:color="auto"/>
              <w:bottom w:val="nil"/>
              <w:right w:val="nil"/>
            </w:tcBorders>
            <w:shd w:val="clear" w:color="auto" w:fill="auto"/>
            <w:noWrap/>
            <w:vAlign w:val="bottom"/>
            <w:hideMark/>
          </w:tcPr>
          <w:p w14:paraId="3D85CEFB" w14:textId="77777777" w:rsidR="004B6AD3" w:rsidRPr="00E103E8" w:rsidRDefault="004B6AD3" w:rsidP="007525E6">
            <w:pPr>
              <w:rPr>
                <w:rFonts w:ascii="Arial" w:hAnsi="Arial" w:cs="Arial"/>
                <w:color w:val="000000"/>
              </w:rPr>
            </w:pPr>
            <w:r w:rsidRPr="00E103E8">
              <w:rPr>
                <w:rFonts w:ascii="Arial" w:hAnsi="Arial" w:cs="Arial"/>
                <w:color w:val="000000"/>
              </w:rPr>
              <w:t>Acetaldehyde</w:t>
            </w:r>
          </w:p>
        </w:tc>
        <w:tc>
          <w:tcPr>
            <w:tcW w:w="1130" w:type="dxa"/>
            <w:tcBorders>
              <w:top w:val="nil"/>
              <w:left w:val="nil"/>
              <w:bottom w:val="nil"/>
              <w:right w:val="nil"/>
            </w:tcBorders>
            <w:shd w:val="clear" w:color="auto" w:fill="auto"/>
            <w:vAlign w:val="bottom"/>
            <w:hideMark/>
          </w:tcPr>
          <w:p w14:paraId="3D85CEFC" w14:textId="77777777" w:rsidR="004B6AD3" w:rsidRPr="00E103E8" w:rsidRDefault="004B6AD3" w:rsidP="00031A6A">
            <w:pPr>
              <w:jc w:val="center"/>
              <w:rPr>
                <w:rFonts w:ascii="Arial" w:hAnsi="Arial" w:cs="Arial"/>
                <w:color w:val="000000"/>
              </w:rPr>
            </w:pPr>
            <w:r w:rsidRPr="00E103E8">
              <w:rPr>
                <w:rFonts w:ascii="Arial" w:hAnsi="Arial" w:cs="Arial"/>
                <w:color w:val="000000"/>
              </w:rPr>
              <w:t>17</w:t>
            </w:r>
          </w:p>
        </w:tc>
        <w:tc>
          <w:tcPr>
            <w:tcW w:w="967" w:type="dxa"/>
            <w:tcBorders>
              <w:top w:val="nil"/>
              <w:left w:val="nil"/>
              <w:bottom w:val="nil"/>
              <w:right w:val="nil"/>
            </w:tcBorders>
            <w:shd w:val="clear" w:color="auto" w:fill="auto"/>
            <w:noWrap/>
            <w:vAlign w:val="bottom"/>
            <w:hideMark/>
          </w:tcPr>
          <w:p w14:paraId="3D85CEFD" w14:textId="77777777" w:rsidR="004B6AD3" w:rsidRPr="0010235F" w:rsidRDefault="004B6AD3" w:rsidP="00E103E8">
            <w:pPr>
              <w:jc w:val="center"/>
              <w:rPr>
                <w:rFonts w:ascii="Arial" w:hAnsi="Arial" w:cs="Arial"/>
                <w:color w:val="000000"/>
                <w:sz w:val="20"/>
                <w:szCs w:val="20"/>
              </w:rPr>
            </w:pPr>
            <w:r>
              <w:rPr>
                <w:rFonts w:ascii="Arial" w:hAnsi="Arial" w:cs="Arial"/>
                <w:color w:val="000000"/>
                <w:sz w:val="20"/>
                <w:szCs w:val="20"/>
              </w:rPr>
              <w:t>0.45</w:t>
            </w:r>
          </w:p>
        </w:tc>
        <w:tc>
          <w:tcPr>
            <w:tcW w:w="906" w:type="dxa"/>
            <w:tcBorders>
              <w:top w:val="nil"/>
              <w:left w:val="nil"/>
              <w:bottom w:val="nil"/>
              <w:right w:val="nil"/>
            </w:tcBorders>
            <w:shd w:val="clear" w:color="auto" w:fill="auto"/>
            <w:noWrap/>
            <w:vAlign w:val="bottom"/>
            <w:hideMark/>
          </w:tcPr>
          <w:p w14:paraId="3D85CEFE"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38</w:t>
            </w:r>
          </w:p>
        </w:tc>
        <w:tc>
          <w:tcPr>
            <w:tcW w:w="1250" w:type="dxa"/>
            <w:tcBorders>
              <w:top w:val="nil"/>
              <w:left w:val="nil"/>
              <w:bottom w:val="nil"/>
              <w:right w:val="nil"/>
            </w:tcBorders>
            <w:shd w:val="clear" w:color="auto" w:fill="auto"/>
            <w:noWrap/>
            <w:vAlign w:val="bottom"/>
            <w:hideMark/>
          </w:tcPr>
          <w:p w14:paraId="3D85CEFF"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9</w:t>
            </w:r>
          </w:p>
        </w:tc>
        <w:tc>
          <w:tcPr>
            <w:tcW w:w="1039" w:type="dxa"/>
            <w:tcBorders>
              <w:top w:val="nil"/>
              <w:left w:val="nil"/>
              <w:bottom w:val="nil"/>
              <w:right w:val="single" w:sz="4" w:space="0" w:color="auto"/>
            </w:tcBorders>
            <w:shd w:val="clear" w:color="auto" w:fill="auto"/>
            <w:noWrap/>
            <w:vAlign w:val="bottom"/>
            <w:hideMark/>
          </w:tcPr>
          <w:p w14:paraId="3D85CF00"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1.9</w:t>
            </w:r>
          </w:p>
        </w:tc>
        <w:tc>
          <w:tcPr>
            <w:tcW w:w="1130" w:type="dxa"/>
            <w:tcBorders>
              <w:top w:val="nil"/>
              <w:left w:val="nil"/>
              <w:bottom w:val="nil"/>
              <w:right w:val="nil"/>
            </w:tcBorders>
            <w:shd w:val="clear" w:color="auto" w:fill="auto"/>
            <w:vAlign w:val="bottom"/>
            <w:hideMark/>
          </w:tcPr>
          <w:p w14:paraId="3D85CF01" w14:textId="77777777" w:rsidR="004B6AD3" w:rsidRPr="00487636" w:rsidRDefault="004B6AD3" w:rsidP="00031A6A">
            <w:pPr>
              <w:jc w:val="center"/>
              <w:rPr>
                <w:rFonts w:ascii="Arial" w:hAnsi="Arial" w:cs="Arial"/>
                <w:color w:val="000000"/>
              </w:rPr>
            </w:pPr>
            <w:r>
              <w:rPr>
                <w:rFonts w:ascii="Arial" w:hAnsi="Arial" w:cs="Arial"/>
                <w:color w:val="000000"/>
              </w:rPr>
              <w:t>1</w:t>
            </w:r>
            <w:r w:rsidRPr="00487636">
              <w:rPr>
                <w:rFonts w:ascii="Arial" w:hAnsi="Arial" w:cs="Arial"/>
                <w:color w:val="000000"/>
              </w:rPr>
              <w:t>0</w:t>
            </w:r>
          </w:p>
        </w:tc>
        <w:tc>
          <w:tcPr>
            <w:tcW w:w="967" w:type="dxa"/>
            <w:tcBorders>
              <w:top w:val="nil"/>
              <w:left w:val="nil"/>
              <w:bottom w:val="nil"/>
              <w:right w:val="nil"/>
            </w:tcBorders>
            <w:shd w:val="clear" w:color="auto" w:fill="auto"/>
            <w:noWrap/>
            <w:vAlign w:val="bottom"/>
            <w:hideMark/>
          </w:tcPr>
          <w:p w14:paraId="3D85CF02"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11</w:t>
            </w:r>
          </w:p>
        </w:tc>
        <w:tc>
          <w:tcPr>
            <w:tcW w:w="906" w:type="dxa"/>
            <w:tcBorders>
              <w:top w:val="nil"/>
              <w:left w:val="nil"/>
              <w:bottom w:val="nil"/>
              <w:right w:val="nil"/>
            </w:tcBorders>
            <w:shd w:val="clear" w:color="auto" w:fill="auto"/>
            <w:noWrap/>
            <w:vAlign w:val="bottom"/>
            <w:hideMark/>
          </w:tcPr>
          <w:p w14:paraId="3D85CF03"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0.9</w:t>
            </w:r>
          </w:p>
        </w:tc>
        <w:tc>
          <w:tcPr>
            <w:tcW w:w="1250" w:type="dxa"/>
            <w:tcBorders>
              <w:top w:val="nil"/>
              <w:left w:val="nil"/>
              <w:bottom w:val="nil"/>
              <w:right w:val="nil"/>
            </w:tcBorders>
            <w:shd w:val="clear" w:color="auto" w:fill="auto"/>
            <w:noWrap/>
            <w:vAlign w:val="bottom"/>
            <w:hideMark/>
          </w:tcPr>
          <w:p w14:paraId="3D85CF04"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38</w:t>
            </w:r>
          </w:p>
        </w:tc>
        <w:tc>
          <w:tcPr>
            <w:tcW w:w="1039" w:type="dxa"/>
            <w:tcBorders>
              <w:top w:val="nil"/>
              <w:left w:val="nil"/>
              <w:bottom w:val="nil"/>
              <w:right w:val="nil"/>
            </w:tcBorders>
            <w:shd w:val="clear" w:color="auto" w:fill="auto"/>
            <w:noWrap/>
            <w:vAlign w:val="bottom"/>
            <w:hideMark/>
          </w:tcPr>
          <w:p w14:paraId="3D85CF05" w14:textId="77777777" w:rsidR="004B6AD3" w:rsidRPr="0010235F" w:rsidRDefault="004B6AD3" w:rsidP="00E103E8">
            <w:pPr>
              <w:jc w:val="center"/>
              <w:rPr>
                <w:rFonts w:ascii="Arial" w:hAnsi="Arial" w:cs="Arial"/>
                <w:color w:val="000000"/>
                <w:sz w:val="20"/>
                <w:szCs w:val="20"/>
              </w:rPr>
            </w:pPr>
            <w:r w:rsidRPr="0010235F">
              <w:rPr>
                <w:rFonts w:ascii="Arial" w:hAnsi="Arial" w:cs="Arial"/>
                <w:color w:val="000000"/>
                <w:sz w:val="20"/>
                <w:szCs w:val="20"/>
              </w:rPr>
              <w:t>0.</w:t>
            </w:r>
            <w:r>
              <w:rPr>
                <w:rFonts w:ascii="Arial" w:hAnsi="Arial" w:cs="Arial"/>
                <w:color w:val="000000"/>
                <w:sz w:val="20"/>
                <w:szCs w:val="20"/>
              </w:rPr>
              <w:t>26</w:t>
            </w:r>
          </w:p>
        </w:tc>
        <w:tc>
          <w:tcPr>
            <w:tcW w:w="1130" w:type="dxa"/>
            <w:tcBorders>
              <w:top w:val="nil"/>
              <w:left w:val="single" w:sz="4" w:space="0" w:color="auto"/>
              <w:bottom w:val="nil"/>
              <w:right w:val="nil"/>
            </w:tcBorders>
            <w:shd w:val="clear" w:color="auto" w:fill="auto"/>
            <w:vAlign w:val="bottom"/>
            <w:hideMark/>
          </w:tcPr>
          <w:p w14:paraId="3D85CF06" w14:textId="77777777" w:rsidR="004B6AD3" w:rsidRPr="00487636" w:rsidRDefault="004B6AD3" w:rsidP="00031A6A">
            <w:pPr>
              <w:jc w:val="center"/>
              <w:rPr>
                <w:rFonts w:ascii="Arial" w:hAnsi="Arial" w:cs="Arial"/>
                <w:color w:val="000000"/>
              </w:rPr>
            </w:pPr>
            <w:r>
              <w:rPr>
                <w:rFonts w:ascii="Arial" w:hAnsi="Arial" w:cs="Arial"/>
                <w:color w:val="000000"/>
              </w:rPr>
              <w:t>1</w:t>
            </w:r>
            <w:r w:rsidRPr="00487636">
              <w:rPr>
                <w:rFonts w:ascii="Arial" w:hAnsi="Arial" w:cs="Arial"/>
                <w:color w:val="000000"/>
              </w:rPr>
              <w:t>0</w:t>
            </w:r>
          </w:p>
        </w:tc>
        <w:tc>
          <w:tcPr>
            <w:tcW w:w="967" w:type="dxa"/>
            <w:tcBorders>
              <w:top w:val="nil"/>
              <w:left w:val="nil"/>
              <w:bottom w:val="nil"/>
              <w:right w:val="nil"/>
            </w:tcBorders>
            <w:shd w:val="clear" w:color="auto" w:fill="auto"/>
            <w:noWrap/>
            <w:vAlign w:val="bottom"/>
            <w:hideMark/>
          </w:tcPr>
          <w:p w14:paraId="3D85CF07"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5.4</w:t>
            </w:r>
          </w:p>
        </w:tc>
        <w:tc>
          <w:tcPr>
            <w:tcW w:w="906" w:type="dxa"/>
            <w:tcBorders>
              <w:top w:val="nil"/>
              <w:left w:val="nil"/>
              <w:bottom w:val="nil"/>
            </w:tcBorders>
            <w:shd w:val="clear" w:color="auto" w:fill="auto"/>
            <w:noWrap/>
            <w:vAlign w:val="bottom"/>
            <w:hideMark/>
          </w:tcPr>
          <w:p w14:paraId="3D85CF08"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2</w:t>
            </w:r>
          </w:p>
        </w:tc>
        <w:tc>
          <w:tcPr>
            <w:tcW w:w="1250" w:type="dxa"/>
            <w:tcBorders>
              <w:top w:val="nil"/>
              <w:bottom w:val="nil"/>
              <w:right w:val="nil"/>
            </w:tcBorders>
            <w:shd w:val="clear" w:color="auto" w:fill="auto"/>
            <w:noWrap/>
            <w:vAlign w:val="bottom"/>
            <w:hideMark/>
          </w:tcPr>
          <w:p w14:paraId="3D85CF09" w14:textId="77777777" w:rsidR="004B6AD3" w:rsidRPr="0010235F" w:rsidRDefault="004B6AD3" w:rsidP="004B6AD3">
            <w:pPr>
              <w:jc w:val="center"/>
              <w:rPr>
                <w:rFonts w:ascii="Arial" w:hAnsi="Arial" w:cs="Arial"/>
                <w:color w:val="000000"/>
                <w:sz w:val="20"/>
                <w:szCs w:val="20"/>
              </w:rPr>
            </w:pPr>
            <w:r>
              <w:rPr>
                <w:rFonts w:ascii="Arial" w:hAnsi="Arial" w:cs="Arial"/>
                <w:color w:val="000000"/>
                <w:sz w:val="20"/>
                <w:szCs w:val="20"/>
              </w:rPr>
              <w:t>38</w:t>
            </w:r>
          </w:p>
        </w:tc>
        <w:tc>
          <w:tcPr>
            <w:tcW w:w="1039" w:type="dxa"/>
            <w:tcBorders>
              <w:top w:val="nil"/>
              <w:left w:val="nil"/>
              <w:bottom w:val="nil"/>
              <w:right w:val="nil"/>
            </w:tcBorders>
            <w:shd w:val="clear" w:color="auto" w:fill="auto"/>
            <w:noWrap/>
            <w:vAlign w:val="bottom"/>
            <w:hideMark/>
          </w:tcPr>
          <w:p w14:paraId="3D85CF0A" w14:textId="77777777" w:rsidR="004B6AD3" w:rsidRPr="0010235F" w:rsidRDefault="004B6AD3" w:rsidP="00E103E8">
            <w:pPr>
              <w:jc w:val="center"/>
              <w:rPr>
                <w:rFonts w:ascii="Arial" w:hAnsi="Arial" w:cs="Arial"/>
                <w:color w:val="000000"/>
                <w:sz w:val="20"/>
                <w:szCs w:val="20"/>
              </w:rPr>
            </w:pPr>
            <w:r w:rsidRPr="0010235F">
              <w:rPr>
                <w:rFonts w:ascii="Arial" w:hAnsi="Arial" w:cs="Arial"/>
                <w:color w:val="000000"/>
                <w:sz w:val="20"/>
                <w:szCs w:val="20"/>
              </w:rPr>
              <w:t>0.</w:t>
            </w:r>
            <w:r>
              <w:rPr>
                <w:rFonts w:ascii="Arial" w:hAnsi="Arial" w:cs="Arial"/>
                <w:color w:val="000000"/>
                <w:sz w:val="20"/>
                <w:szCs w:val="20"/>
              </w:rPr>
              <w:t>26</w:t>
            </w:r>
          </w:p>
        </w:tc>
        <w:tc>
          <w:tcPr>
            <w:tcW w:w="1013" w:type="dxa"/>
            <w:tcBorders>
              <w:top w:val="nil"/>
              <w:left w:val="single" w:sz="4" w:space="0" w:color="auto"/>
              <w:bottom w:val="nil"/>
              <w:right w:val="nil"/>
            </w:tcBorders>
            <w:shd w:val="clear" w:color="auto" w:fill="auto"/>
            <w:vAlign w:val="bottom"/>
            <w:hideMark/>
          </w:tcPr>
          <w:p w14:paraId="3D85CF0B" w14:textId="77777777" w:rsidR="004B6AD3" w:rsidRPr="00487636" w:rsidRDefault="004B6AD3" w:rsidP="00562904">
            <w:pPr>
              <w:jc w:val="center"/>
              <w:rPr>
                <w:rFonts w:ascii="Arial" w:hAnsi="Arial" w:cs="Arial"/>
                <w:color w:val="000000"/>
              </w:rPr>
            </w:pPr>
            <w:r>
              <w:rPr>
                <w:rFonts w:ascii="Arial" w:hAnsi="Arial" w:cs="Arial"/>
                <w:color w:val="000000"/>
              </w:rPr>
              <w:t>191</w:t>
            </w:r>
          </w:p>
        </w:tc>
        <w:tc>
          <w:tcPr>
            <w:tcW w:w="967" w:type="dxa"/>
            <w:tcBorders>
              <w:top w:val="nil"/>
              <w:left w:val="nil"/>
              <w:bottom w:val="nil"/>
              <w:right w:val="nil"/>
            </w:tcBorders>
            <w:shd w:val="clear" w:color="auto" w:fill="auto"/>
            <w:noWrap/>
            <w:vAlign w:val="bottom"/>
            <w:hideMark/>
          </w:tcPr>
          <w:p w14:paraId="3D85CF0C"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470</w:t>
            </w:r>
          </w:p>
        </w:tc>
        <w:tc>
          <w:tcPr>
            <w:tcW w:w="1039" w:type="dxa"/>
            <w:tcBorders>
              <w:top w:val="nil"/>
              <w:left w:val="nil"/>
              <w:bottom w:val="nil"/>
              <w:right w:val="single" w:sz="4" w:space="0" w:color="auto"/>
            </w:tcBorders>
            <w:shd w:val="clear" w:color="auto" w:fill="auto"/>
            <w:noWrap/>
            <w:vAlign w:val="bottom"/>
            <w:hideMark/>
          </w:tcPr>
          <w:p w14:paraId="3D85CF0D"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0.4</w:t>
            </w:r>
          </w:p>
        </w:tc>
      </w:tr>
      <w:tr w:rsidR="004B6AD3" w:rsidRPr="0010235F" w14:paraId="3D85CF22" w14:textId="77777777" w:rsidTr="00607B7E">
        <w:trPr>
          <w:trHeight w:val="288"/>
        </w:trPr>
        <w:tc>
          <w:tcPr>
            <w:tcW w:w="1550" w:type="dxa"/>
            <w:tcBorders>
              <w:top w:val="nil"/>
              <w:left w:val="single" w:sz="4" w:space="0" w:color="auto"/>
              <w:bottom w:val="nil"/>
              <w:right w:val="nil"/>
            </w:tcBorders>
            <w:shd w:val="clear" w:color="auto" w:fill="auto"/>
            <w:noWrap/>
            <w:vAlign w:val="bottom"/>
            <w:hideMark/>
          </w:tcPr>
          <w:p w14:paraId="3D85CF0F" w14:textId="77777777" w:rsidR="004B6AD3" w:rsidRPr="00E103E8" w:rsidRDefault="004B6AD3" w:rsidP="007525E6">
            <w:pPr>
              <w:rPr>
                <w:rFonts w:ascii="Arial" w:hAnsi="Arial" w:cs="Arial"/>
                <w:color w:val="000000"/>
              </w:rPr>
            </w:pPr>
            <w:r w:rsidRPr="00E103E8">
              <w:rPr>
                <w:rFonts w:ascii="Arial" w:hAnsi="Arial" w:cs="Arial"/>
                <w:color w:val="000000"/>
              </w:rPr>
              <w:t>Acetone</w:t>
            </w:r>
          </w:p>
        </w:tc>
        <w:tc>
          <w:tcPr>
            <w:tcW w:w="1130" w:type="dxa"/>
            <w:tcBorders>
              <w:top w:val="nil"/>
              <w:left w:val="nil"/>
              <w:bottom w:val="nil"/>
              <w:right w:val="nil"/>
            </w:tcBorders>
            <w:shd w:val="clear" w:color="auto" w:fill="auto"/>
            <w:vAlign w:val="bottom"/>
            <w:hideMark/>
          </w:tcPr>
          <w:p w14:paraId="3D85CF10" w14:textId="77777777" w:rsidR="004B6AD3" w:rsidRPr="00E103E8" w:rsidRDefault="004B6AD3" w:rsidP="00031A6A">
            <w:pPr>
              <w:jc w:val="center"/>
              <w:rPr>
                <w:rFonts w:ascii="Arial" w:hAnsi="Arial" w:cs="Arial"/>
                <w:color w:val="000000"/>
              </w:rPr>
            </w:pPr>
            <w:r>
              <w:rPr>
                <w:rFonts w:ascii="Arial" w:hAnsi="Arial" w:cs="Arial"/>
                <w:color w:val="000000"/>
              </w:rPr>
              <w:t>14</w:t>
            </w:r>
          </w:p>
        </w:tc>
        <w:tc>
          <w:tcPr>
            <w:tcW w:w="967" w:type="dxa"/>
            <w:tcBorders>
              <w:top w:val="nil"/>
              <w:left w:val="nil"/>
              <w:bottom w:val="nil"/>
              <w:right w:val="nil"/>
            </w:tcBorders>
            <w:shd w:val="clear" w:color="auto" w:fill="auto"/>
            <w:noWrap/>
            <w:vAlign w:val="bottom"/>
            <w:hideMark/>
          </w:tcPr>
          <w:p w14:paraId="3D85CF11" w14:textId="77777777" w:rsidR="004B6AD3" w:rsidRPr="0010235F" w:rsidRDefault="004B6AD3"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CF12" w14:textId="77777777" w:rsidR="004B6AD3" w:rsidRPr="0010235F" w:rsidRDefault="004B6AD3"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CF13"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3</w:t>
            </w:r>
            <w:r w:rsidRPr="0010235F">
              <w:rPr>
                <w:rFonts w:ascii="Arial" w:hAnsi="Arial" w:cs="Arial"/>
                <w:color w:val="000000"/>
                <w:sz w:val="20"/>
                <w:szCs w:val="20"/>
              </w:rPr>
              <w:t>1,000</w:t>
            </w:r>
          </w:p>
        </w:tc>
        <w:tc>
          <w:tcPr>
            <w:tcW w:w="1039" w:type="dxa"/>
            <w:tcBorders>
              <w:top w:val="nil"/>
              <w:left w:val="nil"/>
              <w:bottom w:val="nil"/>
              <w:right w:val="single" w:sz="4" w:space="0" w:color="auto"/>
            </w:tcBorders>
            <w:shd w:val="clear" w:color="auto" w:fill="auto"/>
            <w:noWrap/>
            <w:vAlign w:val="bottom"/>
            <w:hideMark/>
          </w:tcPr>
          <w:p w14:paraId="3D85CF14" w14:textId="77777777" w:rsidR="004B6AD3" w:rsidRPr="0010235F" w:rsidRDefault="004B6AD3" w:rsidP="00E103E8">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0044</w:t>
            </w:r>
          </w:p>
        </w:tc>
        <w:tc>
          <w:tcPr>
            <w:tcW w:w="1130" w:type="dxa"/>
            <w:tcBorders>
              <w:top w:val="nil"/>
              <w:left w:val="nil"/>
              <w:bottom w:val="nil"/>
              <w:right w:val="nil"/>
            </w:tcBorders>
            <w:shd w:val="clear" w:color="auto" w:fill="auto"/>
            <w:vAlign w:val="bottom"/>
            <w:hideMark/>
          </w:tcPr>
          <w:p w14:paraId="3D85CF15" w14:textId="77777777" w:rsidR="004B6AD3" w:rsidRPr="00487636" w:rsidRDefault="004B6AD3" w:rsidP="00031A6A">
            <w:pPr>
              <w:jc w:val="center"/>
              <w:rPr>
                <w:rFonts w:ascii="Arial" w:hAnsi="Arial" w:cs="Arial"/>
                <w:color w:val="000000"/>
              </w:rPr>
            </w:pPr>
            <w:r>
              <w:rPr>
                <w:rFonts w:ascii="Arial" w:hAnsi="Arial" w:cs="Arial"/>
                <w:color w:val="000000"/>
              </w:rPr>
              <w:t>8</w:t>
            </w:r>
          </w:p>
        </w:tc>
        <w:tc>
          <w:tcPr>
            <w:tcW w:w="967" w:type="dxa"/>
            <w:tcBorders>
              <w:top w:val="nil"/>
              <w:left w:val="nil"/>
              <w:bottom w:val="nil"/>
              <w:right w:val="nil"/>
            </w:tcBorders>
            <w:shd w:val="clear" w:color="auto" w:fill="auto"/>
            <w:noWrap/>
            <w:vAlign w:val="bottom"/>
            <w:hideMark/>
          </w:tcPr>
          <w:p w14:paraId="3D85CF16" w14:textId="77777777" w:rsidR="004B6AD3" w:rsidRPr="0010235F" w:rsidRDefault="004B6AD3"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CF17" w14:textId="77777777" w:rsidR="004B6AD3" w:rsidRPr="0010235F" w:rsidRDefault="004B6AD3"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CF18"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130,000</w:t>
            </w:r>
          </w:p>
        </w:tc>
        <w:tc>
          <w:tcPr>
            <w:tcW w:w="1039" w:type="dxa"/>
            <w:tcBorders>
              <w:top w:val="nil"/>
              <w:left w:val="nil"/>
              <w:bottom w:val="nil"/>
              <w:right w:val="nil"/>
            </w:tcBorders>
            <w:shd w:val="clear" w:color="auto" w:fill="auto"/>
            <w:noWrap/>
            <w:vAlign w:val="bottom"/>
            <w:hideMark/>
          </w:tcPr>
          <w:p w14:paraId="3D85CF19" w14:textId="77777777" w:rsidR="004B6AD3" w:rsidRPr="0010235F" w:rsidRDefault="004B6AD3" w:rsidP="00E103E8">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0006</w:t>
            </w:r>
          </w:p>
        </w:tc>
        <w:tc>
          <w:tcPr>
            <w:tcW w:w="1130" w:type="dxa"/>
            <w:tcBorders>
              <w:top w:val="nil"/>
              <w:left w:val="single" w:sz="4" w:space="0" w:color="auto"/>
              <w:bottom w:val="nil"/>
              <w:right w:val="nil"/>
            </w:tcBorders>
            <w:shd w:val="clear" w:color="auto" w:fill="auto"/>
            <w:vAlign w:val="bottom"/>
            <w:hideMark/>
          </w:tcPr>
          <w:p w14:paraId="3D85CF1A" w14:textId="77777777" w:rsidR="004B6AD3" w:rsidRPr="00487636" w:rsidRDefault="004B6AD3" w:rsidP="00031A6A">
            <w:pPr>
              <w:jc w:val="center"/>
              <w:rPr>
                <w:rFonts w:ascii="Arial" w:hAnsi="Arial" w:cs="Arial"/>
                <w:color w:val="000000"/>
              </w:rPr>
            </w:pPr>
            <w:r>
              <w:rPr>
                <w:rFonts w:ascii="Arial" w:hAnsi="Arial" w:cs="Arial"/>
                <w:color w:val="000000"/>
              </w:rPr>
              <w:t>8</w:t>
            </w:r>
          </w:p>
        </w:tc>
        <w:tc>
          <w:tcPr>
            <w:tcW w:w="967" w:type="dxa"/>
            <w:tcBorders>
              <w:top w:val="nil"/>
              <w:left w:val="nil"/>
              <w:bottom w:val="nil"/>
              <w:right w:val="nil"/>
            </w:tcBorders>
            <w:shd w:val="clear" w:color="auto" w:fill="auto"/>
            <w:noWrap/>
            <w:vAlign w:val="bottom"/>
            <w:hideMark/>
          </w:tcPr>
          <w:p w14:paraId="3D85CF1B" w14:textId="77777777" w:rsidR="004B6AD3" w:rsidRPr="0010235F" w:rsidRDefault="004B6AD3" w:rsidP="0010235F">
            <w:pPr>
              <w:jc w:val="center"/>
              <w:rPr>
                <w:rFonts w:ascii="Arial" w:hAnsi="Arial" w:cs="Arial"/>
                <w:color w:val="000000"/>
                <w:sz w:val="20"/>
                <w:szCs w:val="20"/>
              </w:rPr>
            </w:pPr>
          </w:p>
        </w:tc>
        <w:tc>
          <w:tcPr>
            <w:tcW w:w="906" w:type="dxa"/>
            <w:tcBorders>
              <w:top w:val="nil"/>
              <w:left w:val="nil"/>
              <w:bottom w:val="nil"/>
            </w:tcBorders>
            <w:shd w:val="clear" w:color="auto" w:fill="auto"/>
            <w:noWrap/>
            <w:vAlign w:val="bottom"/>
            <w:hideMark/>
          </w:tcPr>
          <w:p w14:paraId="3D85CF1C" w14:textId="77777777" w:rsidR="004B6AD3" w:rsidRPr="0010235F" w:rsidRDefault="004B6AD3" w:rsidP="0010235F">
            <w:pPr>
              <w:jc w:val="center"/>
              <w:rPr>
                <w:rFonts w:ascii="Arial" w:hAnsi="Arial" w:cs="Arial"/>
                <w:color w:val="000000"/>
                <w:sz w:val="20"/>
                <w:szCs w:val="20"/>
              </w:rPr>
            </w:pPr>
          </w:p>
        </w:tc>
        <w:tc>
          <w:tcPr>
            <w:tcW w:w="1250" w:type="dxa"/>
            <w:tcBorders>
              <w:top w:val="nil"/>
              <w:bottom w:val="nil"/>
              <w:right w:val="nil"/>
            </w:tcBorders>
            <w:shd w:val="clear" w:color="auto" w:fill="auto"/>
            <w:noWrap/>
            <w:vAlign w:val="bottom"/>
            <w:hideMark/>
          </w:tcPr>
          <w:p w14:paraId="3D85CF1D" w14:textId="77777777" w:rsidR="004B6AD3" w:rsidRPr="0010235F" w:rsidRDefault="004B6AD3" w:rsidP="004B6AD3">
            <w:pPr>
              <w:jc w:val="center"/>
              <w:rPr>
                <w:rFonts w:ascii="Arial" w:hAnsi="Arial" w:cs="Arial"/>
                <w:color w:val="000000"/>
                <w:sz w:val="20"/>
                <w:szCs w:val="20"/>
              </w:rPr>
            </w:pPr>
            <w:r>
              <w:rPr>
                <w:rFonts w:ascii="Arial" w:hAnsi="Arial" w:cs="Arial"/>
                <w:color w:val="000000"/>
                <w:sz w:val="20"/>
                <w:szCs w:val="20"/>
              </w:rPr>
              <w:t>130,000</w:t>
            </w:r>
          </w:p>
        </w:tc>
        <w:tc>
          <w:tcPr>
            <w:tcW w:w="1039" w:type="dxa"/>
            <w:tcBorders>
              <w:top w:val="nil"/>
              <w:left w:val="nil"/>
              <w:bottom w:val="nil"/>
              <w:right w:val="nil"/>
            </w:tcBorders>
            <w:shd w:val="clear" w:color="auto" w:fill="auto"/>
            <w:noWrap/>
            <w:vAlign w:val="bottom"/>
            <w:hideMark/>
          </w:tcPr>
          <w:p w14:paraId="3D85CF1E" w14:textId="77777777" w:rsidR="004B6AD3" w:rsidRPr="0010235F" w:rsidRDefault="004B6AD3" w:rsidP="00E103E8">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0006</w:t>
            </w:r>
          </w:p>
        </w:tc>
        <w:tc>
          <w:tcPr>
            <w:tcW w:w="1013" w:type="dxa"/>
            <w:tcBorders>
              <w:top w:val="nil"/>
              <w:left w:val="single" w:sz="4" w:space="0" w:color="auto"/>
              <w:bottom w:val="nil"/>
              <w:right w:val="nil"/>
            </w:tcBorders>
            <w:shd w:val="clear" w:color="auto" w:fill="auto"/>
            <w:vAlign w:val="bottom"/>
            <w:hideMark/>
          </w:tcPr>
          <w:p w14:paraId="3D85CF1F" w14:textId="77777777" w:rsidR="004B6AD3" w:rsidRPr="00487636" w:rsidRDefault="004B6AD3" w:rsidP="00562904">
            <w:pPr>
              <w:jc w:val="center"/>
              <w:rPr>
                <w:rFonts w:ascii="Arial" w:hAnsi="Arial" w:cs="Arial"/>
                <w:color w:val="000000"/>
              </w:rPr>
            </w:pPr>
            <w:r>
              <w:rPr>
                <w:rFonts w:ascii="Arial" w:hAnsi="Arial" w:cs="Arial"/>
                <w:color w:val="000000"/>
              </w:rPr>
              <w:t>159</w:t>
            </w:r>
          </w:p>
        </w:tc>
        <w:tc>
          <w:tcPr>
            <w:tcW w:w="967" w:type="dxa"/>
            <w:tcBorders>
              <w:top w:val="nil"/>
              <w:left w:val="nil"/>
              <w:bottom w:val="nil"/>
              <w:right w:val="nil"/>
            </w:tcBorders>
            <w:shd w:val="clear" w:color="auto" w:fill="auto"/>
            <w:noWrap/>
            <w:vAlign w:val="bottom"/>
            <w:hideMark/>
          </w:tcPr>
          <w:p w14:paraId="3D85CF20" w14:textId="77777777" w:rsidR="004B6AD3" w:rsidRPr="0010235F" w:rsidRDefault="004B6AD3" w:rsidP="00E103E8">
            <w:pPr>
              <w:jc w:val="center"/>
              <w:rPr>
                <w:rFonts w:ascii="Arial" w:hAnsi="Arial" w:cs="Arial"/>
                <w:color w:val="000000"/>
                <w:sz w:val="20"/>
                <w:szCs w:val="20"/>
              </w:rPr>
            </w:pPr>
            <w:r>
              <w:rPr>
                <w:rFonts w:ascii="Arial" w:hAnsi="Arial" w:cs="Arial"/>
                <w:color w:val="000000"/>
                <w:sz w:val="20"/>
                <w:szCs w:val="20"/>
              </w:rPr>
              <w:t>6</w:t>
            </w:r>
            <w:r w:rsidRPr="0010235F">
              <w:rPr>
                <w:rFonts w:ascii="Arial" w:hAnsi="Arial" w:cs="Arial"/>
                <w:color w:val="000000"/>
                <w:sz w:val="20"/>
                <w:szCs w:val="20"/>
              </w:rPr>
              <w:t>2,000</w:t>
            </w:r>
          </w:p>
        </w:tc>
        <w:tc>
          <w:tcPr>
            <w:tcW w:w="1039" w:type="dxa"/>
            <w:tcBorders>
              <w:top w:val="nil"/>
              <w:left w:val="nil"/>
              <w:bottom w:val="nil"/>
              <w:right w:val="single" w:sz="4" w:space="0" w:color="auto"/>
            </w:tcBorders>
            <w:shd w:val="clear" w:color="auto" w:fill="auto"/>
            <w:noWrap/>
            <w:vAlign w:val="bottom"/>
            <w:hideMark/>
          </w:tcPr>
          <w:p w14:paraId="3D85CF21"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0.003</w:t>
            </w:r>
          </w:p>
        </w:tc>
      </w:tr>
      <w:tr w:rsidR="004B6AD3" w:rsidRPr="0010235F" w14:paraId="3D85CF36" w14:textId="77777777" w:rsidTr="00607B7E">
        <w:trPr>
          <w:trHeight w:val="288"/>
        </w:trPr>
        <w:tc>
          <w:tcPr>
            <w:tcW w:w="1550" w:type="dxa"/>
            <w:tcBorders>
              <w:top w:val="nil"/>
              <w:left w:val="single" w:sz="4" w:space="0" w:color="auto"/>
              <w:bottom w:val="nil"/>
              <w:right w:val="nil"/>
            </w:tcBorders>
            <w:shd w:val="clear" w:color="auto" w:fill="auto"/>
            <w:noWrap/>
            <w:vAlign w:val="bottom"/>
            <w:hideMark/>
          </w:tcPr>
          <w:p w14:paraId="3D85CF23" w14:textId="77777777" w:rsidR="004B6AD3" w:rsidRPr="00E103E8" w:rsidRDefault="004B6AD3" w:rsidP="007525E6">
            <w:pPr>
              <w:rPr>
                <w:rFonts w:ascii="Arial" w:hAnsi="Arial" w:cs="Arial"/>
                <w:color w:val="000000"/>
              </w:rPr>
            </w:pPr>
            <w:r w:rsidRPr="00E103E8">
              <w:rPr>
                <w:rFonts w:ascii="Arial" w:hAnsi="Arial" w:cs="Arial"/>
                <w:color w:val="000000"/>
              </w:rPr>
              <w:t>Acrolein</w:t>
            </w:r>
          </w:p>
        </w:tc>
        <w:tc>
          <w:tcPr>
            <w:tcW w:w="1130" w:type="dxa"/>
            <w:tcBorders>
              <w:top w:val="nil"/>
              <w:left w:val="nil"/>
              <w:bottom w:val="nil"/>
              <w:right w:val="nil"/>
            </w:tcBorders>
            <w:shd w:val="clear" w:color="auto" w:fill="auto"/>
            <w:vAlign w:val="bottom"/>
            <w:hideMark/>
          </w:tcPr>
          <w:p w14:paraId="3D85CF24" w14:textId="77777777" w:rsidR="004B6AD3" w:rsidRPr="00E103E8" w:rsidRDefault="004B6AD3" w:rsidP="00031A6A">
            <w:pPr>
              <w:jc w:val="center"/>
              <w:rPr>
                <w:rFonts w:ascii="Arial" w:hAnsi="Arial" w:cs="Arial"/>
                <w:color w:val="000000"/>
              </w:rPr>
            </w:pPr>
            <w:r>
              <w:rPr>
                <w:rFonts w:ascii="Arial" w:hAnsi="Arial" w:cs="Arial"/>
                <w:color w:val="000000"/>
              </w:rPr>
              <w:t>4</w:t>
            </w:r>
          </w:p>
        </w:tc>
        <w:tc>
          <w:tcPr>
            <w:tcW w:w="967" w:type="dxa"/>
            <w:tcBorders>
              <w:top w:val="nil"/>
              <w:left w:val="nil"/>
              <w:bottom w:val="nil"/>
              <w:right w:val="nil"/>
            </w:tcBorders>
            <w:shd w:val="clear" w:color="auto" w:fill="auto"/>
            <w:noWrap/>
            <w:vAlign w:val="bottom"/>
            <w:hideMark/>
          </w:tcPr>
          <w:p w14:paraId="3D85CF25" w14:textId="77777777" w:rsidR="004B6AD3" w:rsidRPr="0010235F" w:rsidRDefault="004B6AD3"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CF26" w14:textId="77777777" w:rsidR="004B6AD3" w:rsidRPr="0010235F" w:rsidRDefault="004B6AD3"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CF27"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0.35</w:t>
            </w:r>
          </w:p>
        </w:tc>
        <w:tc>
          <w:tcPr>
            <w:tcW w:w="1039" w:type="dxa"/>
            <w:tcBorders>
              <w:top w:val="nil"/>
              <w:left w:val="nil"/>
              <w:bottom w:val="nil"/>
              <w:right w:val="single" w:sz="4" w:space="0" w:color="auto"/>
            </w:tcBorders>
            <w:shd w:val="clear" w:color="auto" w:fill="auto"/>
            <w:noWrap/>
            <w:vAlign w:val="bottom"/>
            <w:hideMark/>
          </w:tcPr>
          <w:p w14:paraId="3D85CF28"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12</w:t>
            </w:r>
          </w:p>
        </w:tc>
        <w:tc>
          <w:tcPr>
            <w:tcW w:w="1130" w:type="dxa"/>
            <w:tcBorders>
              <w:top w:val="nil"/>
              <w:left w:val="nil"/>
              <w:bottom w:val="nil"/>
              <w:right w:val="nil"/>
            </w:tcBorders>
            <w:shd w:val="clear" w:color="auto" w:fill="auto"/>
            <w:vAlign w:val="bottom"/>
            <w:hideMark/>
          </w:tcPr>
          <w:p w14:paraId="3D85CF29" w14:textId="77777777" w:rsidR="004B6AD3" w:rsidRPr="00487636" w:rsidRDefault="004B6AD3" w:rsidP="00031A6A">
            <w:pPr>
              <w:jc w:val="center"/>
              <w:rPr>
                <w:rFonts w:ascii="Arial" w:hAnsi="Arial" w:cs="Arial"/>
                <w:color w:val="000000"/>
              </w:rPr>
            </w:pPr>
            <w:r>
              <w:rPr>
                <w:rFonts w:ascii="Arial" w:hAnsi="Arial" w:cs="Arial"/>
                <w:color w:val="000000"/>
              </w:rPr>
              <w:t>3</w:t>
            </w:r>
          </w:p>
        </w:tc>
        <w:tc>
          <w:tcPr>
            <w:tcW w:w="967" w:type="dxa"/>
            <w:tcBorders>
              <w:top w:val="nil"/>
              <w:left w:val="nil"/>
              <w:bottom w:val="nil"/>
              <w:right w:val="nil"/>
            </w:tcBorders>
            <w:shd w:val="clear" w:color="auto" w:fill="auto"/>
            <w:noWrap/>
            <w:vAlign w:val="bottom"/>
            <w:hideMark/>
          </w:tcPr>
          <w:p w14:paraId="3D85CF2A" w14:textId="77777777" w:rsidR="004B6AD3" w:rsidRPr="0010235F" w:rsidRDefault="004B6AD3"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CF2B" w14:textId="77777777" w:rsidR="004B6AD3" w:rsidRPr="0010235F" w:rsidRDefault="004B6AD3"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CF2C"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1.5</w:t>
            </w:r>
          </w:p>
        </w:tc>
        <w:tc>
          <w:tcPr>
            <w:tcW w:w="1039" w:type="dxa"/>
            <w:tcBorders>
              <w:top w:val="nil"/>
              <w:left w:val="nil"/>
              <w:bottom w:val="nil"/>
              <w:right w:val="nil"/>
            </w:tcBorders>
            <w:shd w:val="clear" w:color="auto" w:fill="auto"/>
            <w:noWrap/>
            <w:vAlign w:val="bottom"/>
            <w:hideMark/>
          </w:tcPr>
          <w:p w14:paraId="3D85CF2D"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1.7</w:t>
            </w:r>
          </w:p>
        </w:tc>
        <w:tc>
          <w:tcPr>
            <w:tcW w:w="1130" w:type="dxa"/>
            <w:tcBorders>
              <w:top w:val="nil"/>
              <w:left w:val="single" w:sz="4" w:space="0" w:color="auto"/>
              <w:bottom w:val="nil"/>
              <w:right w:val="nil"/>
            </w:tcBorders>
            <w:shd w:val="clear" w:color="auto" w:fill="auto"/>
            <w:vAlign w:val="bottom"/>
            <w:hideMark/>
          </w:tcPr>
          <w:p w14:paraId="3D85CF2E" w14:textId="77777777" w:rsidR="004B6AD3" w:rsidRPr="00487636" w:rsidRDefault="004B6AD3" w:rsidP="00031A6A">
            <w:pPr>
              <w:jc w:val="center"/>
              <w:rPr>
                <w:rFonts w:ascii="Arial" w:hAnsi="Arial" w:cs="Arial"/>
                <w:color w:val="000000"/>
              </w:rPr>
            </w:pPr>
            <w:r>
              <w:rPr>
                <w:rFonts w:ascii="Arial" w:hAnsi="Arial" w:cs="Arial"/>
                <w:color w:val="000000"/>
              </w:rPr>
              <w:t>3</w:t>
            </w:r>
          </w:p>
        </w:tc>
        <w:tc>
          <w:tcPr>
            <w:tcW w:w="967" w:type="dxa"/>
            <w:tcBorders>
              <w:top w:val="nil"/>
              <w:left w:val="nil"/>
              <w:bottom w:val="nil"/>
              <w:right w:val="nil"/>
            </w:tcBorders>
            <w:shd w:val="clear" w:color="auto" w:fill="auto"/>
            <w:noWrap/>
            <w:vAlign w:val="bottom"/>
            <w:hideMark/>
          </w:tcPr>
          <w:p w14:paraId="3D85CF2F" w14:textId="77777777" w:rsidR="004B6AD3" w:rsidRPr="0010235F" w:rsidRDefault="004B6AD3" w:rsidP="0010235F">
            <w:pPr>
              <w:jc w:val="center"/>
              <w:rPr>
                <w:rFonts w:ascii="Arial" w:hAnsi="Arial" w:cs="Arial"/>
                <w:color w:val="000000"/>
                <w:sz w:val="20"/>
                <w:szCs w:val="20"/>
              </w:rPr>
            </w:pPr>
          </w:p>
        </w:tc>
        <w:tc>
          <w:tcPr>
            <w:tcW w:w="906" w:type="dxa"/>
            <w:tcBorders>
              <w:top w:val="nil"/>
              <w:left w:val="nil"/>
              <w:bottom w:val="nil"/>
            </w:tcBorders>
            <w:shd w:val="clear" w:color="auto" w:fill="auto"/>
            <w:noWrap/>
            <w:vAlign w:val="bottom"/>
            <w:hideMark/>
          </w:tcPr>
          <w:p w14:paraId="3D85CF30" w14:textId="77777777" w:rsidR="004B6AD3" w:rsidRPr="0010235F" w:rsidRDefault="004B6AD3"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50" w:type="dxa"/>
            <w:tcBorders>
              <w:top w:val="nil"/>
              <w:bottom w:val="nil"/>
              <w:right w:val="nil"/>
            </w:tcBorders>
            <w:shd w:val="clear" w:color="auto" w:fill="auto"/>
            <w:noWrap/>
            <w:vAlign w:val="bottom"/>
            <w:hideMark/>
          </w:tcPr>
          <w:p w14:paraId="3D85CF31" w14:textId="77777777" w:rsidR="004B6AD3" w:rsidRPr="0010235F" w:rsidRDefault="004B6AD3" w:rsidP="004B6AD3">
            <w:pPr>
              <w:jc w:val="center"/>
              <w:rPr>
                <w:rFonts w:ascii="Arial" w:hAnsi="Arial" w:cs="Arial"/>
                <w:color w:val="000000"/>
                <w:sz w:val="20"/>
                <w:szCs w:val="20"/>
              </w:rPr>
            </w:pPr>
            <w:r>
              <w:rPr>
                <w:rFonts w:ascii="Arial" w:hAnsi="Arial" w:cs="Arial"/>
                <w:color w:val="000000"/>
                <w:sz w:val="20"/>
                <w:szCs w:val="20"/>
              </w:rPr>
              <w:t>1.5</w:t>
            </w:r>
          </w:p>
        </w:tc>
        <w:tc>
          <w:tcPr>
            <w:tcW w:w="1039" w:type="dxa"/>
            <w:tcBorders>
              <w:top w:val="nil"/>
              <w:left w:val="nil"/>
              <w:bottom w:val="nil"/>
              <w:right w:val="nil"/>
            </w:tcBorders>
            <w:shd w:val="clear" w:color="auto" w:fill="auto"/>
            <w:noWrap/>
            <w:vAlign w:val="bottom"/>
            <w:hideMark/>
          </w:tcPr>
          <w:p w14:paraId="3D85CF32"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1.7</w:t>
            </w:r>
          </w:p>
        </w:tc>
        <w:tc>
          <w:tcPr>
            <w:tcW w:w="1013" w:type="dxa"/>
            <w:tcBorders>
              <w:top w:val="nil"/>
              <w:left w:val="single" w:sz="4" w:space="0" w:color="auto"/>
              <w:bottom w:val="nil"/>
              <w:right w:val="nil"/>
            </w:tcBorders>
            <w:shd w:val="clear" w:color="auto" w:fill="auto"/>
            <w:vAlign w:val="bottom"/>
            <w:hideMark/>
          </w:tcPr>
          <w:p w14:paraId="3D85CF33" w14:textId="77777777" w:rsidR="004B6AD3" w:rsidRPr="00487636" w:rsidRDefault="004B6AD3" w:rsidP="00562904">
            <w:pPr>
              <w:jc w:val="center"/>
              <w:rPr>
                <w:rFonts w:ascii="Arial" w:hAnsi="Arial" w:cs="Arial"/>
                <w:color w:val="000000"/>
              </w:rPr>
            </w:pPr>
            <w:r>
              <w:rPr>
                <w:rFonts w:ascii="Arial" w:hAnsi="Arial" w:cs="Arial"/>
                <w:color w:val="000000"/>
              </w:rPr>
              <w:t>48</w:t>
            </w:r>
          </w:p>
        </w:tc>
        <w:tc>
          <w:tcPr>
            <w:tcW w:w="967" w:type="dxa"/>
            <w:tcBorders>
              <w:top w:val="nil"/>
              <w:left w:val="nil"/>
              <w:bottom w:val="nil"/>
              <w:right w:val="nil"/>
            </w:tcBorders>
            <w:shd w:val="clear" w:color="auto" w:fill="auto"/>
            <w:noWrap/>
            <w:vAlign w:val="bottom"/>
            <w:hideMark/>
          </w:tcPr>
          <w:p w14:paraId="3D85CF34"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6.9</w:t>
            </w:r>
          </w:p>
        </w:tc>
        <w:tc>
          <w:tcPr>
            <w:tcW w:w="1039" w:type="dxa"/>
            <w:tcBorders>
              <w:top w:val="nil"/>
              <w:left w:val="nil"/>
              <w:bottom w:val="nil"/>
              <w:right w:val="single" w:sz="4" w:space="0" w:color="auto"/>
            </w:tcBorders>
            <w:shd w:val="clear" w:color="auto" w:fill="auto"/>
            <w:noWrap/>
            <w:vAlign w:val="bottom"/>
            <w:hideMark/>
          </w:tcPr>
          <w:p w14:paraId="3D85CF35"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6.9</w:t>
            </w:r>
          </w:p>
        </w:tc>
      </w:tr>
      <w:tr w:rsidR="0010235F" w:rsidRPr="0010235F" w14:paraId="3D85CF49" w14:textId="77777777" w:rsidTr="00607B7E">
        <w:trPr>
          <w:trHeight w:val="288"/>
        </w:trPr>
        <w:tc>
          <w:tcPr>
            <w:tcW w:w="2680" w:type="dxa"/>
            <w:gridSpan w:val="2"/>
            <w:tcBorders>
              <w:top w:val="nil"/>
              <w:left w:val="single" w:sz="4" w:space="0" w:color="auto"/>
              <w:bottom w:val="single" w:sz="4" w:space="0" w:color="auto"/>
              <w:right w:val="nil"/>
            </w:tcBorders>
            <w:shd w:val="clear" w:color="auto" w:fill="auto"/>
            <w:noWrap/>
            <w:vAlign w:val="bottom"/>
            <w:hideMark/>
          </w:tcPr>
          <w:p w14:paraId="3D85CF37" w14:textId="77777777" w:rsidR="0010235F" w:rsidRPr="00E103E8" w:rsidRDefault="0010235F" w:rsidP="0010235F">
            <w:pPr>
              <w:rPr>
                <w:rFonts w:ascii="Arial" w:hAnsi="Arial" w:cs="Arial"/>
                <w:b/>
                <w:bCs/>
                <w:color w:val="000000"/>
              </w:rPr>
            </w:pPr>
            <w:r w:rsidRPr="00E103E8">
              <w:rPr>
                <w:rFonts w:ascii="Arial" w:hAnsi="Arial" w:cs="Arial"/>
                <w:b/>
                <w:bCs/>
                <w:color w:val="000000"/>
              </w:rPr>
              <w:t>Total Unit 2</w:t>
            </w:r>
          </w:p>
        </w:tc>
        <w:tc>
          <w:tcPr>
            <w:tcW w:w="967" w:type="dxa"/>
            <w:tcBorders>
              <w:top w:val="nil"/>
              <w:left w:val="nil"/>
              <w:bottom w:val="single" w:sz="4" w:space="0" w:color="auto"/>
              <w:right w:val="nil"/>
            </w:tcBorders>
            <w:shd w:val="clear" w:color="auto" w:fill="auto"/>
            <w:noWrap/>
            <w:vAlign w:val="bottom"/>
            <w:hideMark/>
          </w:tcPr>
          <w:p w14:paraId="3D85CF3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CF39" w14:textId="77777777" w:rsidR="0010235F" w:rsidRPr="0010235F" w:rsidRDefault="00E103E8" w:rsidP="0010235F">
            <w:pPr>
              <w:jc w:val="center"/>
              <w:rPr>
                <w:rFonts w:ascii="Arial" w:hAnsi="Arial" w:cs="Arial"/>
                <w:b/>
                <w:bCs/>
                <w:color w:val="000000"/>
                <w:sz w:val="20"/>
                <w:szCs w:val="20"/>
              </w:rPr>
            </w:pPr>
            <w:r>
              <w:rPr>
                <w:rFonts w:ascii="Arial" w:hAnsi="Arial" w:cs="Arial"/>
                <w:b/>
                <w:bCs/>
                <w:color w:val="000000"/>
                <w:sz w:val="20"/>
                <w:szCs w:val="20"/>
              </w:rPr>
              <w:t>38</w:t>
            </w:r>
          </w:p>
        </w:tc>
        <w:tc>
          <w:tcPr>
            <w:tcW w:w="1250" w:type="dxa"/>
            <w:tcBorders>
              <w:top w:val="nil"/>
              <w:left w:val="nil"/>
              <w:bottom w:val="single" w:sz="4" w:space="0" w:color="auto"/>
              <w:right w:val="nil"/>
            </w:tcBorders>
            <w:shd w:val="clear" w:color="auto" w:fill="auto"/>
            <w:noWrap/>
            <w:vAlign w:val="bottom"/>
            <w:hideMark/>
          </w:tcPr>
          <w:p w14:paraId="3D85CF3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14:paraId="3D85CF3B" w14:textId="77777777" w:rsidR="0010235F" w:rsidRPr="0010235F" w:rsidRDefault="00E103E8" w:rsidP="0010235F">
            <w:pPr>
              <w:jc w:val="center"/>
              <w:rPr>
                <w:rFonts w:ascii="Arial" w:hAnsi="Arial" w:cs="Arial"/>
                <w:b/>
                <w:bCs/>
                <w:color w:val="000000"/>
                <w:sz w:val="20"/>
                <w:szCs w:val="20"/>
              </w:rPr>
            </w:pPr>
            <w:r>
              <w:rPr>
                <w:rFonts w:ascii="Arial" w:hAnsi="Arial" w:cs="Arial"/>
                <w:b/>
                <w:bCs/>
                <w:color w:val="000000"/>
                <w:sz w:val="20"/>
                <w:szCs w:val="20"/>
              </w:rPr>
              <w:t>14</w:t>
            </w:r>
          </w:p>
        </w:tc>
        <w:tc>
          <w:tcPr>
            <w:tcW w:w="1130" w:type="dxa"/>
            <w:tcBorders>
              <w:top w:val="nil"/>
              <w:left w:val="nil"/>
              <w:bottom w:val="single" w:sz="4" w:space="0" w:color="auto"/>
              <w:right w:val="nil"/>
            </w:tcBorders>
            <w:shd w:val="clear" w:color="auto" w:fill="auto"/>
            <w:noWrap/>
            <w:vAlign w:val="bottom"/>
            <w:hideMark/>
          </w:tcPr>
          <w:p w14:paraId="3D85CF3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single" w:sz="4" w:space="0" w:color="auto"/>
              <w:right w:val="nil"/>
            </w:tcBorders>
            <w:shd w:val="clear" w:color="auto" w:fill="auto"/>
            <w:vAlign w:val="bottom"/>
            <w:hideMark/>
          </w:tcPr>
          <w:p w14:paraId="3D85CF3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CF3E" w14:textId="77777777" w:rsidR="0010235F" w:rsidRPr="0010235F" w:rsidRDefault="00E103E8" w:rsidP="0010235F">
            <w:pPr>
              <w:jc w:val="center"/>
              <w:rPr>
                <w:rFonts w:ascii="Arial" w:hAnsi="Arial" w:cs="Arial"/>
                <w:b/>
                <w:bCs/>
                <w:color w:val="000000"/>
                <w:sz w:val="20"/>
                <w:szCs w:val="20"/>
              </w:rPr>
            </w:pPr>
            <w:r>
              <w:rPr>
                <w:rFonts w:ascii="Arial" w:hAnsi="Arial" w:cs="Arial"/>
                <w:b/>
                <w:bCs/>
                <w:color w:val="000000"/>
                <w:sz w:val="20"/>
                <w:szCs w:val="20"/>
              </w:rPr>
              <w:t>0.9</w:t>
            </w:r>
          </w:p>
        </w:tc>
        <w:tc>
          <w:tcPr>
            <w:tcW w:w="1250" w:type="dxa"/>
            <w:tcBorders>
              <w:top w:val="nil"/>
              <w:left w:val="nil"/>
              <w:bottom w:val="single" w:sz="4" w:space="0" w:color="auto"/>
              <w:right w:val="nil"/>
            </w:tcBorders>
            <w:shd w:val="clear" w:color="auto" w:fill="auto"/>
            <w:noWrap/>
            <w:vAlign w:val="bottom"/>
            <w:hideMark/>
          </w:tcPr>
          <w:p w14:paraId="3D85CF3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single" w:sz="4" w:space="0" w:color="auto"/>
              <w:right w:val="nil"/>
            </w:tcBorders>
            <w:shd w:val="clear" w:color="auto" w:fill="auto"/>
            <w:noWrap/>
            <w:vAlign w:val="bottom"/>
            <w:hideMark/>
          </w:tcPr>
          <w:p w14:paraId="3D85CF40" w14:textId="77777777" w:rsidR="0010235F" w:rsidRPr="0010235F" w:rsidRDefault="00E103E8" w:rsidP="0010235F">
            <w:pPr>
              <w:jc w:val="center"/>
              <w:rPr>
                <w:rFonts w:ascii="Arial" w:hAnsi="Arial" w:cs="Arial"/>
                <w:b/>
                <w:bCs/>
                <w:color w:val="000000"/>
                <w:sz w:val="20"/>
                <w:szCs w:val="20"/>
              </w:rPr>
            </w:pPr>
            <w:r>
              <w:rPr>
                <w:rFonts w:ascii="Arial" w:hAnsi="Arial" w:cs="Arial"/>
                <w:b/>
                <w:bCs/>
                <w:color w:val="000000"/>
                <w:sz w:val="20"/>
                <w:szCs w:val="20"/>
              </w:rPr>
              <w:t>1.9</w:t>
            </w:r>
          </w:p>
        </w:tc>
        <w:tc>
          <w:tcPr>
            <w:tcW w:w="1130" w:type="dxa"/>
            <w:tcBorders>
              <w:top w:val="nil"/>
              <w:left w:val="single" w:sz="4" w:space="0" w:color="auto"/>
              <w:bottom w:val="single" w:sz="4" w:space="0" w:color="auto"/>
              <w:right w:val="nil"/>
            </w:tcBorders>
            <w:shd w:val="clear" w:color="auto" w:fill="auto"/>
            <w:noWrap/>
            <w:vAlign w:val="bottom"/>
            <w:hideMark/>
          </w:tcPr>
          <w:p w14:paraId="3D85CF4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single" w:sz="4" w:space="0" w:color="auto"/>
              <w:right w:val="nil"/>
            </w:tcBorders>
            <w:shd w:val="clear" w:color="auto" w:fill="auto"/>
            <w:vAlign w:val="bottom"/>
            <w:hideMark/>
          </w:tcPr>
          <w:p w14:paraId="3D85CF4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single" w:sz="4" w:space="0" w:color="auto"/>
            </w:tcBorders>
            <w:shd w:val="clear" w:color="auto" w:fill="auto"/>
            <w:noWrap/>
            <w:vAlign w:val="bottom"/>
            <w:hideMark/>
          </w:tcPr>
          <w:p w14:paraId="3D85CF43" w14:textId="77777777" w:rsidR="0010235F" w:rsidRPr="0010235F" w:rsidRDefault="00E103E8" w:rsidP="0010235F">
            <w:pPr>
              <w:jc w:val="center"/>
              <w:rPr>
                <w:rFonts w:ascii="Arial" w:hAnsi="Arial" w:cs="Arial"/>
                <w:b/>
                <w:bCs/>
                <w:color w:val="000000"/>
                <w:sz w:val="20"/>
                <w:szCs w:val="20"/>
              </w:rPr>
            </w:pPr>
            <w:r>
              <w:rPr>
                <w:rFonts w:ascii="Arial" w:hAnsi="Arial" w:cs="Arial"/>
                <w:b/>
                <w:bCs/>
                <w:color w:val="000000"/>
                <w:sz w:val="20"/>
                <w:szCs w:val="20"/>
              </w:rPr>
              <w:t>2</w:t>
            </w:r>
          </w:p>
        </w:tc>
        <w:tc>
          <w:tcPr>
            <w:tcW w:w="1250" w:type="dxa"/>
            <w:tcBorders>
              <w:top w:val="nil"/>
              <w:bottom w:val="single" w:sz="4" w:space="0" w:color="auto"/>
              <w:right w:val="nil"/>
            </w:tcBorders>
            <w:shd w:val="clear" w:color="auto" w:fill="auto"/>
            <w:noWrap/>
            <w:vAlign w:val="bottom"/>
            <w:hideMark/>
          </w:tcPr>
          <w:p w14:paraId="3D85CF4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single" w:sz="4" w:space="0" w:color="auto"/>
              <w:right w:val="nil"/>
            </w:tcBorders>
            <w:shd w:val="clear" w:color="auto" w:fill="auto"/>
            <w:noWrap/>
            <w:vAlign w:val="bottom"/>
            <w:hideMark/>
          </w:tcPr>
          <w:p w14:paraId="3D85CF45" w14:textId="77777777" w:rsidR="0010235F" w:rsidRPr="0010235F" w:rsidRDefault="00E103E8" w:rsidP="0010235F">
            <w:pPr>
              <w:jc w:val="center"/>
              <w:rPr>
                <w:rFonts w:ascii="Arial" w:hAnsi="Arial" w:cs="Arial"/>
                <w:b/>
                <w:bCs/>
                <w:color w:val="000000"/>
                <w:sz w:val="20"/>
                <w:szCs w:val="20"/>
              </w:rPr>
            </w:pPr>
            <w:r>
              <w:rPr>
                <w:rFonts w:ascii="Arial" w:hAnsi="Arial" w:cs="Arial"/>
                <w:b/>
                <w:bCs/>
                <w:color w:val="000000"/>
                <w:sz w:val="20"/>
                <w:szCs w:val="20"/>
              </w:rPr>
              <w:t>1.9</w:t>
            </w:r>
          </w:p>
        </w:tc>
        <w:tc>
          <w:tcPr>
            <w:tcW w:w="1013" w:type="dxa"/>
            <w:tcBorders>
              <w:top w:val="nil"/>
              <w:left w:val="single" w:sz="4" w:space="0" w:color="auto"/>
              <w:bottom w:val="single" w:sz="4" w:space="0" w:color="auto"/>
              <w:right w:val="nil"/>
            </w:tcBorders>
            <w:shd w:val="clear" w:color="auto" w:fill="auto"/>
            <w:noWrap/>
            <w:vAlign w:val="bottom"/>
            <w:hideMark/>
          </w:tcPr>
          <w:p w14:paraId="3D85CF4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CF4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14:paraId="3D85CF48" w14:textId="77777777" w:rsidR="0010235F" w:rsidRPr="0010235F" w:rsidRDefault="002121BC" w:rsidP="0010235F">
            <w:pPr>
              <w:jc w:val="center"/>
              <w:rPr>
                <w:rFonts w:ascii="Arial" w:hAnsi="Arial" w:cs="Arial"/>
                <w:b/>
                <w:bCs/>
                <w:color w:val="000000"/>
                <w:sz w:val="20"/>
                <w:szCs w:val="20"/>
              </w:rPr>
            </w:pPr>
            <w:r>
              <w:rPr>
                <w:rFonts w:ascii="Arial" w:hAnsi="Arial" w:cs="Arial"/>
                <w:b/>
                <w:bCs/>
                <w:color w:val="000000"/>
                <w:sz w:val="20"/>
                <w:szCs w:val="20"/>
              </w:rPr>
              <w:t>7</w:t>
            </w:r>
          </w:p>
        </w:tc>
      </w:tr>
      <w:tr w:rsidR="0010235F" w:rsidRPr="0010235F" w14:paraId="3D85CF5D" w14:textId="77777777" w:rsidTr="00607B7E">
        <w:trPr>
          <w:trHeight w:val="288"/>
        </w:trPr>
        <w:tc>
          <w:tcPr>
            <w:tcW w:w="1550" w:type="dxa"/>
            <w:tcBorders>
              <w:top w:val="nil"/>
              <w:left w:val="single" w:sz="4" w:space="0" w:color="auto"/>
              <w:bottom w:val="nil"/>
              <w:right w:val="nil"/>
            </w:tcBorders>
            <w:shd w:val="clear" w:color="auto" w:fill="auto"/>
            <w:noWrap/>
            <w:vAlign w:val="bottom"/>
            <w:hideMark/>
          </w:tcPr>
          <w:p w14:paraId="3D85CF4A"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1130" w:type="dxa"/>
            <w:tcBorders>
              <w:top w:val="nil"/>
              <w:left w:val="nil"/>
              <w:bottom w:val="nil"/>
              <w:right w:val="nil"/>
            </w:tcBorders>
            <w:shd w:val="clear" w:color="auto" w:fill="auto"/>
            <w:noWrap/>
            <w:vAlign w:val="bottom"/>
            <w:hideMark/>
          </w:tcPr>
          <w:p w14:paraId="3D85CF4B" w14:textId="77777777" w:rsidR="0010235F" w:rsidRPr="0010235F" w:rsidRDefault="0010235F" w:rsidP="0010235F">
            <w:pPr>
              <w:jc w:val="center"/>
              <w:rPr>
                <w:rFonts w:ascii="Arial" w:hAnsi="Arial" w:cs="Arial"/>
                <w:color w:val="000000"/>
                <w:sz w:val="20"/>
                <w:szCs w:val="20"/>
              </w:rPr>
            </w:pPr>
          </w:p>
        </w:tc>
        <w:tc>
          <w:tcPr>
            <w:tcW w:w="967" w:type="dxa"/>
            <w:tcBorders>
              <w:top w:val="nil"/>
              <w:left w:val="nil"/>
              <w:bottom w:val="nil"/>
              <w:right w:val="nil"/>
            </w:tcBorders>
            <w:shd w:val="clear" w:color="auto" w:fill="auto"/>
            <w:noWrap/>
            <w:vAlign w:val="bottom"/>
            <w:hideMark/>
          </w:tcPr>
          <w:p w14:paraId="3D85CF4C"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CF4D" w14:textId="77777777" w:rsidR="0010235F" w:rsidRPr="0010235F" w:rsidRDefault="0010235F" w:rsidP="0010235F">
            <w:pPr>
              <w:jc w:val="center"/>
              <w:rPr>
                <w:rFonts w:ascii="Arial" w:hAnsi="Arial" w:cs="Arial"/>
                <w:sz w:val="20"/>
                <w:szCs w:val="20"/>
              </w:rPr>
            </w:pPr>
          </w:p>
        </w:tc>
        <w:tc>
          <w:tcPr>
            <w:tcW w:w="1250" w:type="dxa"/>
            <w:tcBorders>
              <w:top w:val="nil"/>
              <w:left w:val="nil"/>
              <w:bottom w:val="nil"/>
              <w:right w:val="nil"/>
            </w:tcBorders>
            <w:shd w:val="clear" w:color="auto" w:fill="auto"/>
            <w:noWrap/>
            <w:vAlign w:val="bottom"/>
            <w:hideMark/>
          </w:tcPr>
          <w:p w14:paraId="3D85CF4E" w14:textId="77777777" w:rsidR="0010235F" w:rsidRPr="0010235F" w:rsidRDefault="0010235F" w:rsidP="0010235F">
            <w:pPr>
              <w:jc w:val="center"/>
              <w:rPr>
                <w:rFonts w:ascii="Arial" w:hAnsi="Arial" w:cs="Arial"/>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CF4F"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130" w:type="dxa"/>
            <w:tcBorders>
              <w:top w:val="nil"/>
              <w:left w:val="nil"/>
              <w:right w:val="nil"/>
            </w:tcBorders>
            <w:shd w:val="clear" w:color="auto" w:fill="auto"/>
            <w:noWrap/>
            <w:vAlign w:val="bottom"/>
            <w:hideMark/>
          </w:tcPr>
          <w:p w14:paraId="3D85CF50" w14:textId="77777777" w:rsidR="0010235F" w:rsidRPr="0010235F" w:rsidRDefault="0010235F" w:rsidP="0010235F">
            <w:pPr>
              <w:jc w:val="center"/>
              <w:rPr>
                <w:rFonts w:ascii="Arial" w:hAnsi="Arial" w:cs="Arial"/>
                <w:color w:val="000000"/>
                <w:sz w:val="20"/>
                <w:szCs w:val="20"/>
              </w:rPr>
            </w:pPr>
          </w:p>
        </w:tc>
        <w:tc>
          <w:tcPr>
            <w:tcW w:w="967" w:type="dxa"/>
            <w:tcBorders>
              <w:top w:val="nil"/>
              <w:left w:val="nil"/>
              <w:bottom w:val="nil"/>
              <w:right w:val="nil"/>
            </w:tcBorders>
            <w:shd w:val="clear" w:color="auto" w:fill="auto"/>
            <w:noWrap/>
            <w:vAlign w:val="bottom"/>
            <w:hideMark/>
          </w:tcPr>
          <w:p w14:paraId="3D85CF51"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CF52" w14:textId="77777777" w:rsidR="0010235F" w:rsidRPr="0010235F" w:rsidRDefault="0010235F" w:rsidP="0010235F">
            <w:pPr>
              <w:jc w:val="center"/>
              <w:rPr>
                <w:rFonts w:ascii="Arial" w:hAnsi="Arial" w:cs="Arial"/>
                <w:sz w:val="20"/>
                <w:szCs w:val="20"/>
              </w:rPr>
            </w:pPr>
          </w:p>
        </w:tc>
        <w:tc>
          <w:tcPr>
            <w:tcW w:w="1250" w:type="dxa"/>
            <w:tcBorders>
              <w:top w:val="nil"/>
              <w:left w:val="nil"/>
              <w:bottom w:val="nil"/>
              <w:right w:val="nil"/>
            </w:tcBorders>
            <w:shd w:val="clear" w:color="auto" w:fill="auto"/>
            <w:noWrap/>
            <w:vAlign w:val="bottom"/>
            <w:hideMark/>
          </w:tcPr>
          <w:p w14:paraId="3D85CF53" w14:textId="77777777" w:rsidR="0010235F" w:rsidRPr="0010235F" w:rsidRDefault="0010235F" w:rsidP="0010235F">
            <w:pPr>
              <w:jc w:val="center"/>
              <w:rPr>
                <w:rFonts w:ascii="Arial" w:hAnsi="Arial" w:cs="Arial"/>
                <w:sz w:val="20"/>
                <w:szCs w:val="20"/>
              </w:rPr>
            </w:pPr>
          </w:p>
        </w:tc>
        <w:tc>
          <w:tcPr>
            <w:tcW w:w="1039" w:type="dxa"/>
            <w:tcBorders>
              <w:top w:val="nil"/>
              <w:left w:val="nil"/>
              <w:bottom w:val="nil"/>
              <w:right w:val="nil"/>
            </w:tcBorders>
            <w:shd w:val="clear" w:color="auto" w:fill="auto"/>
            <w:noWrap/>
            <w:vAlign w:val="bottom"/>
            <w:hideMark/>
          </w:tcPr>
          <w:p w14:paraId="3D85CF54" w14:textId="77777777" w:rsidR="0010235F" w:rsidRPr="0010235F" w:rsidRDefault="0010235F" w:rsidP="0010235F">
            <w:pPr>
              <w:jc w:val="center"/>
              <w:rPr>
                <w:rFonts w:ascii="Arial" w:hAnsi="Arial" w:cs="Arial"/>
                <w:color w:val="000000"/>
                <w:sz w:val="20"/>
                <w:szCs w:val="20"/>
              </w:rPr>
            </w:pPr>
          </w:p>
        </w:tc>
        <w:tc>
          <w:tcPr>
            <w:tcW w:w="1130" w:type="dxa"/>
            <w:tcBorders>
              <w:top w:val="nil"/>
              <w:left w:val="single" w:sz="4" w:space="0" w:color="auto"/>
              <w:bottom w:val="nil"/>
              <w:right w:val="nil"/>
            </w:tcBorders>
            <w:shd w:val="clear" w:color="auto" w:fill="auto"/>
            <w:noWrap/>
            <w:vAlign w:val="bottom"/>
            <w:hideMark/>
          </w:tcPr>
          <w:p w14:paraId="3D85CF55"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nil"/>
              <w:right w:val="nil"/>
            </w:tcBorders>
            <w:shd w:val="clear" w:color="auto" w:fill="auto"/>
            <w:noWrap/>
            <w:vAlign w:val="bottom"/>
            <w:hideMark/>
          </w:tcPr>
          <w:p w14:paraId="3D85CF56"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tcBorders>
            <w:shd w:val="clear" w:color="auto" w:fill="auto"/>
            <w:noWrap/>
            <w:vAlign w:val="bottom"/>
            <w:hideMark/>
          </w:tcPr>
          <w:p w14:paraId="3D85CF57" w14:textId="77777777" w:rsidR="0010235F" w:rsidRPr="0010235F" w:rsidRDefault="0010235F" w:rsidP="0010235F">
            <w:pPr>
              <w:jc w:val="center"/>
              <w:rPr>
                <w:rFonts w:ascii="Arial" w:hAnsi="Arial" w:cs="Arial"/>
                <w:sz w:val="20"/>
                <w:szCs w:val="20"/>
              </w:rPr>
            </w:pPr>
            <w:r w:rsidRPr="0010235F">
              <w:rPr>
                <w:rFonts w:ascii="Arial" w:hAnsi="Arial" w:cs="Arial"/>
                <w:sz w:val="20"/>
                <w:szCs w:val="20"/>
              </w:rPr>
              <w:t> </w:t>
            </w:r>
          </w:p>
        </w:tc>
        <w:tc>
          <w:tcPr>
            <w:tcW w:w="1250" w:type="dxa"/>
            <w:tcBorders>
              <w:top w:val="nil"/>
              <w:bottom w:val="nil"/>
              <w:right w:val="nil"/>
            </w:tcBorders>
            <w:shd w:val="clear" w:color="auto" w:fill="auto"/>
            <w:noWrap/>
            <w:vAlign w:val="bottom"/>
            <w:hideMark/>
          </w:tcPr>
          <w:p w14:paraId="3D85CF58" w14:textId="77777777" w:rsidR="0010235F" w:rsidRPr="0010235F" w:rsidRDefault="0010235F" w:rsidP="0010235F">
            <w:pPr>
              <w:jc w:val="center"/>
              <w:rPr>
                <w:rFonts w:ascii="Arial" w:hAnsi="Arial" w:cs="Arial"/>
                <w:sz w:val="20"/>
                <w:szCs w:val="20"/>
              </w:rPr>
            </w:pPr>
          </w:p>
        </w:tc>
        <w:tc>
          <w:tcPr>
            <w:tcW w:w="1039" w:type="dxa"/>
            <w:tcBorders>
              <w:top w:val="nil"/>
              <w:left w:val="nil"/>
              <w:bottom w:val="nil"/>
              <w:right w:val="nil"/>
            </w:tcBorders>
            <w:shd w:val="clear" w:color="auto" w:fill="auto"/>
            <w:noWrap/>
            <w:vAlign w:val="bottom"/>
            <w:hideMark/>
          </w:tcPr>
          <w:p w14:paraId="3D85CF59" w14:textId="77777777" w:rsidR="0010235F" w:rsidRPr="0010235F" w:rsidRDefault="0010235F" w:rsidP="0010235F">
            <w:pPr>
              <w:jc w:val="center"/>
              <w:rPr>
                <w:rFonts w:ascii="Arial" w:hAnsi="Arial" w:cs="Arial"/>
                <w:color w:val="000000"/>
                <w:sz w:val="20"/>
                <w:szCs w:val="20"/>
              </w:rPr>
            </w:pPr>
          </w:p>
        </w:tc>
        <w:tc>
          <w:tcPr>
            <w:tcW w:w="1013" w:type="dxa"/>
            <w:tcBorders>
              <w:top w:val="nil"/>
              <w:left w:val="single" w:sz="4" w:space="0" w:color="auto"/>
              <w:bottom w:val="nil"/>
              <w:right w:val="nil"/>
            </w:tcBorders>
            <w:shd w:val="clear" w:color="auto" w:fill="auto"/>
            <w:noWrap/>
            <w:vAlign w:val="bottom"/>
            <w:hideMark/>
          </w:tcPr>
          <w:p w14:paraId="3D85CF5A"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nil"/>
              <w:right w:val="nil"/>
            </w:tcBorders>
            <w:shd w:val="clear" w:color="auto" w:fill="auto"/>
            <w:noWrap/>
            <w:vAlign w:val="bottom"/>
            <w:hideMark/>
          </w:tcPr>
          <w:p w14:paraId="3D85CF5B" w14:textId="77777777" w:rsidR="0010235F" w:rsidRPr="0010235F" w:rsidRDefault="0010235F" w:rsidP="0010235F">
            <w:pPr>
              <w:rPr>
                <w:rFonts w:ascii="Arial" w:hAnsi="Arial" w:cs="Arial"/>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CF5C"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CF6F" w14:textId="77777777" w:rsidTr="00607B7E">
        <w:trPr>
          <w:trHeight w:val="288"/>
        </w:trPr>
        <w:tc>
          <w:tcPr>
            <w:tcW w:w="3647" w:type="dxa"/>
            <w:gridSpan w:val="3"/>
            <w:tcBorders>
              <w:top w:val="nil"/>
              <w:left w:val="single" w:sz="4" w:space="0" w:color="auto"/>
              <w:bottom w:val="nil"/>
              <w:right w:val="nil"/>
            </w:tcBorders>
            <w:shd w:val="clear" w:color="auto" w:fill="auto"/>
            <w:noWrap/>
            <w:vAlign w:val="bottom"/>
            <w:hideMark/>
          </w:tcPr>
          <w:p w14:paraId="3D85CF5E"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Total Source (Unit 1 and Unit 2)</w:t>
            </w:r>
          </w:p>
        </w:tc>
        <w:tc>
          <w:tcPr>
            <w:tcW w:w="906" w:type="dxa"/>
            <w:tcBorders>
              <w:top w:val="nil"/>
              <w:left w:val="nil"/>
              <w:bottom w:val="nil"/>
              <w:right w:val="nil"/>
            </w:tcBorders>
            <w:shd w:val="clear" w:color="auto" w:fill="auto"/>
            <w:noWrap/>
            <w:vAlign w:val="bottom"/>
            <w:hideMark/>
          </w:tcPr>
          <w:p w14:paraId="3D85CF5F" w14:textId="77777777" w:rsidR="0010235F" w:rsidRPr="0010235F" w:rsidRDefault="00E103E8" w:rsidP="0010235F">
            <w:pPr>
              <w:jc w:val="center"/>
              <w:rPr>
                <w:rFonts w:ascii="Arial" w:hAnsi="Arial" w:cs="Arial"/>
                <w:b/>
                <w:bCs/>
                <w:sz w:val="20"/>
                <w:szCs w:val="20"/>
              </w:rPr>
            </w:pPr>
            <w:r>
              <w:rPr>
                <w:rFonts w:ascii="Arial" w:hAnsi="Arial" w:cs="Arial"/>
                <w:b/>
                <w:bCs/>
                <w:sz w:val="20"/>
                <w:szCs w:val="20"/>
              </w:rPr>
              <w:t>326</w:t>
            </w:r>
          </w:p>
        </w:tc>
        <w:tc>
          <w:tcPr>
            <w:tcW w:w="1250" w:type="dxa"/>
            <w:tcBorders>
              <w:top w:val="nil"/>
              <w:left w:val="nil"/>
              <w:bottom w:val="nil"/>
              <w:right w:val="nil"/>
            </w:tcBorders>
            <w:shd w:val="clear" w:color="auto" w:fill="auto"/>
            <w:noWrap/>
            <w:vAlign w:val="bottom"/>
            <w:hideMark/>
          </w:tcPr>
          <w:p w14:paraId="3D85CF60" w14:textId="77777777" w:rsidR="0010235F" w:rsidRPr="0010235F" w:rsidRDefault="0010235F" w:rsidP="0010235F">
            <w:pPr>
              <w:rPr>
                <w:rFonts w:ascii="Arial" w:hAnsi="Arial" w:cs="Arial"/>
                <w:b/>
                <w:bCs/>
                <w:sz w:val="20"/>
                <w:szCs w:val="20"/>
              </w:rPr>
            </w:pPr>
          </w:p>
        </w:tc>
        <w:tc>
          <w:tcPr>
            <w:tcW w:w="1039" w:type="dxa"/>
            <w:tcBorders>
              <w:top w:val="nil"/>
              <w:left w:val="nil"/>
              <w:bottom w:val="nil"/>
              <w:right w:val="single" w:sz="4" w:space="0" w:color="auto"/>
            </w:tcBorders>
            <w:shd w:val="clear" w:color="auto" w:fill="auto"/>
            <w:noWrap/>
            <w:vAlign w:val="bottom"/>
            <w:hideMark/>
          </w:tcPr>
          <w:p w14:paraId="3D85CF61" w14:textId="77777777" w:rsidR="0010235F" w:rsidRPr="0010235F" w:rsidRDefault="00E103E8" w:rsidP="0010235F">
            <w:pPr>
              <w:jc w:val="center"/>
              <w:rPr>
                <w:rFonts w:ascii="Arial" w:hAnsi="Arial" w:cs="Arial"/>
                <w:b/>
                <w:bCs/>
                <w:sz w:val="20"/>
                <w:szCs w:val="20"/>
              </w:rPr>
            </w:pPr>
            <w:r>
              <w:rPr>
                <w:rFonts w:ascii="Arial" w:hAnsi="Arial" w:cs="Arial"/>
                <w:b/>
                <w:bCs/>
                <w:sz w:val="20"/>
                <w:szCs w:val="20"/>
              </w:rPr>
              <w:t>19</w:t>
            </w:r>
          </w:p>
        </w:tc>
        <w:tc>
          <w:tcPr>
            <w:tcW w:w="1130" w:type="dxa"/>
            <w:tcBorders>
              <w:top w:val="nil"/>
              <w:left w:val="nil"/>
              <w:bottom w:val="nil"/>
              <w:right w:val="nil"/>
            </w:tcBorders>
            <w:shd w:val="clear" w:color="auto" w:fill="auto"/>
            <w:noWrap/>
            <w:vAlign w:val="bottom"/>
            <w:hideMark/>
          </w:tcPr>
          <w:p w14:paraId="3D85CF62" w14:textId="77777777" w:rsidR="0010235F" w:rsidRPr="0010235F" w:rsidRDefault="0010235F" w:rsidP="0010235F">
            <w:pPr>
              <w:rPr>
                <w:rFonts w:ascii="Arial" w:hAnsi="Arial" w:cs="Arial"/>
                <w:b/>
                <w:bCs/>
                <w:sz w:val="20"/>
                <w:szCs w:val="20"/>
              </w:rPr>
            </w:pPr>
          </w:p>
        </w:tc>
        <w:tc>
          <w:tcPr>
            <w:tcW w:w="967" w:type="dxa"/>
            <w:tcBorders>
              <w:top w:val="nil"/>
              <w:left w:val="nil"/>
              <w:bottom w:val="nil"/>
              <w:right w:val="nil"/>
            </w:tcBorders>
            <w:shd w:val="clear" w:color="auto" w:fill="auto"/>
            <w:noWrap/>
            <w:vAlign w:val="bottom"/>
            <w:hideMark/>
          </w:tcPr>
          <w:p w14:paraId="3D85CF63" w14:textId="77777777" w:rsidR="0010235F" w:rsidRPr="0010235F" w:rsidRDefault="0010235F" w:rsidP="0010235F">
            <w:pPr>
              <w:rPr>
                <w:rFonts w:ascii="Arial" w:hAnsi="Arial" w:cs="Arial"/>
                <w:b/>
                <w:bCs/>
                <w:sz w:val="20"/>
                <w:szCs w:val="20"/>
              </w:rPr>
            </w:pPr>
          </w:p>
        </w:tc>
        <w:tc>
          <w:tcPr>
            <w:tcW w:w="906" w:type="dxa"/>
            <w:tcBorders>
              <w:top w:val="nil"/>
              <w:left w:val="nil"/>
              <w:bottom w:val="nil"/>
              <w:right w:val="nil"/>
            </w:tcBorders>
            <w:shd w:val="clear" w:color="auto" w:fill="auto"/>
            <w:noWrap/>
            <w:vAlign w:val="bottom"/>
            <w:hideMark/>
          </w:tcPr>
          <w:p w14:paraId="3D85CF64" w14:textId="77777777" w:rsidR="0010235F" w:rsidRPr="0010235F" w:rsidRDefault="00E103E8" w:rsidP="0010235F">
            <w:pPr>
              <w:jc w:val="center"/>
              <w:rPr>
                <w:rFonts w:ascii="Arial" w:hAnsi="Arial" w:cs="Arial"/>
                <w:b/>
                <w:bCs/>
                <w:sz w:val="20"/>
                <w:szCs w:val="20"/>
              </w:rPr>
            </w:pPr>
            <w:r>
              <w:rPr>
                <w:rFonts w:ascii="Arial" w:hAnsi="Arial" w:cs="Arial"/>
                <w:b/>
                <w:bCs/>
                <w:sz w:val="20"/>
                <w:szCs w:val="20"/>
              </w:rPr>
              <w:t>4</w:t>
            </w:r>
          </w:p>
        </w:tc>
        <w:tc>
          <w:tcPr>
            <w:tcW w:w="1250" w:type="dxa"/>
            <w:tcBorders>
              <w:top w:val="nil"/>
              <w:left w:val="nil"/>
              <w:bottom w:val="nil"/>
              <w:right w:val="nil"/>
            </w:tcBorders>
            <w:shd w:val="clear" w:color="auto" w:fill="auto"/>
            <w:noWrap/>
            <w:vAlign w:val="bottom"/>
            <w:hideMark/>
          </w:tcPr>
          <w:p w14:paraId="3D85CF65" w14:textId="77777777" w:rsidR="0010235F" w:rsidRPr="0010235F" w:rsidRDefault="0010235F" w:rsidP="0010235F">
            <w:pPr>
              <w:jc w:val="center"/>
              <w:rPr>
                <w:rFonts w:ascii="Arial" w:hAnsi="Arial" w:cs="Arial"/>
                <w:b/>
                <w:bCs/>
                <w:sz w:val="20"/>
                <w:szCs w:val="20"/>
              </w:rPr>
            </w:pPr>
          </w:p>
        </w:tc>
        <w:tc>
          <w:tcPr>
            <w:tcW w:w="1039" w:type="dxa"/>
            <w:tcBorders>
              <w:top w:val="nil"/>
              <w:left w:val="nil"/>
              <w:bottom w:val="nil"/>
              <w:right w:val="nil"/>
            </w:tcBorders>
            <w:shd w:val="clear" w:color="auto" w:fill="auto"/>
            <w:noWrap/>
            <w:vAlign w:val="bottom"/>
            <w:hideMark/>
          </w:tcPr>
          <w:p w14:paraId="3D85CF66" w14:textId="77777777" w:rsidR="0010235F" w:rsidRPr="0010235F" w:rsidRDefault="00E103E8" w:rsidP="0010235F">
            <w:pPr>
              <w:jc w:val="center"/>
              <w:rPr>
                <w:rFonts w:ascii="Arial" w:hAnsi="Arial" w:cs="Arial"/>
                <w:b/>
                <w:bCs/>
                <w:sz w:val="20"/>
                <w:szCs w:val="20"/>
              </w:rPr>
            </w:pPr>
            <w:r>
              <w:rPr>
                <w:rFonts w:ascii="Arial" w:hAnsi="Arial" w:cs="Arial"/>
                <w:b/>
                <w:bCs/>
                <w:sz w:val="20"/>
                <w:szCs w:val="20"/>
              </w:rPr>
              <w:t>3</w:t>
            </w:r>
          </w:p>
        </w:tc>
        <w:tc>
          <w:tcPr>
            <w:tcW w:w="1130" w:type="dxa"/>
            <w:tcBorders>
              <w:top w:val="nil"/>
              <w:left w:val="single" w:sz="4" w:space="0" w:color="auto"/>
              <w:bottom w:val="nil"/>
              <w:right w:val="nil"/>
            </w:tcBorders>
            <w:shd w:val="clear" w:color="auto" w:fill="auto"/>
            <w:noWrap/>
            <w:vAlign w:val="bottom"/>
            <w:hideMark/>
          </w:tcPr>
          <w:p w14:paraId="3D85CF67" w14:textId="77777777" w:rsidR="0010235F" w:rsidRPr="0010235F" w:rsidRDefault="0010235F" w:rsidP="0010235F">
            <w:pPr>
              <w:rPr>
                <w:rFonts w:ascii="Arial" w:hAnsi="Arial" w:cs="Arial"/>
                <w:b/>
                <w:bCs/>
                <w:sz w:val="20"/>
                <w:szCs w:val="20"/>
              </w:rPr>
            </w:pPr>
            <w:r w:rsidRPr="0010235F">
              <w:rPr>
                <w:rFonts w:ascii="Arial" w:hAnsi="Arial" w:cs="Arial"/>
                <w:b/>
                <w:bCs/>
                <w:sz w:val="20"/>
                <w:szCs w:val="20"/>
              </w:rPr>
              <w:t> </w:t>
            </w:r>
          </w:p>
        </w:tc>
        <w:tc>
          <w:tcPr>
            <w:tcW w:w="967" w:type="dxa"/>
            <w:tcBorders>
              <w:top w:val="nil"/>
              <w:left w:val="nil"/>
              <w:bottom w:val="nil"/>
              <w:right w:val="nil"/>
            </w:tcBorders>
            <w:shd w:val="clear" w:color="auto" w:fill="auto"/>
            <w:noWrap/>
            <w:vAlign w:val="bottom"/>
            <w:hideMark/>
          </w:tcPr>
          <w:p w14:paraId="3D85CF68" w14:textId="77777777" w:rsidR="0010235F" w:rsidRPr="0010235F" w:rsidRDefault="0010235F" w:rsidP="0010235F">
            <w:pPr>
              <w:rPr>
                <w:rFonts w:ascii="Arial" w:hAnsi="Arial" w:cs="Arial"/>
                <w:b/>
                <w:bCs/>
                <w:sz w:val="20"/>
                <w:szCs w:val="20"/>
              </w:rPr>
            </w:pPr>
          </w:p>
        </w:tc>
        <w:tc>
          <w:tcPr>
            <w:tcW w:w="906" w:type="dxa"/>
            <w:tcBorders>
              <w:top w:val="nil"/>
              <w:left w:val="nil"/>
              <w:bottom w:val="nil"/>
            </w:tcBorders>
            <w:shd w:val="clear" w:color="auto" w:fill="auto"/>
            <w:noWrap/>
            <w:vAlign w:val="bottom"/>
            <w:hideMark/>
          </w:tcPr>
          <w:p w14:paraId="3D85CF69" w14:textId="77777777" w:rsidR="0010235F" w:rsidRPr="0010235F" w:rsidRDefault="00E103E8" w:rsidP="0010235F">
            <w:pPr>
              <w:jc w:val="center"/>
              <w:rPr>
                <w:rFonts w:ascii="Arial" w:hAnsi="Arial" w:cs="Arial"/>
                <w:b/>
                <w:bCs/>
                <w:sz w:val="20"/>
                <w:szCs w:val="20"/>
              </w:rPr>
            </w:pPr>
            <w:r>
              <w:rPr>
                <w:rFonts w:ascii="Arial" w:hAnsi="Arial" w:cs="Arial"/>
                <w:b/>
                <w:bCs/>
                <w:sz w:val="20"/>
                <w:szCs w:val="20"/>
              </w:rPr>
              <w:t>13</w:t>
            </w:r>
          </w:p>
        </w:tc>
        <w:tc>
          <w:tcPr>
            <w:tcW w:w="1250" w:type="dxa"/>
            <w:tcBorders>
              <w:top w:val="nil"/>
              <w:bottom w:val="nil"/>
              <w:right w:val="nil"/>
            </w:tcBorders>
            <w:shd w:val="clear" w:color="auto" w:fill="auto"/>
            <w:noWrap/>
            <w:vAlign w:val="bottom"/>
            <w:hideMark/>
          </w:tcPr>
          <w:p w14:paraId="3D85CF6A" w14:textId="77777777" w:rsidR="0010235F" w:rsidRPr="0010235F" w:rsidRDefault="0010235F" w:rsidP="0010235F">
            <w:pPr>
              <w:jc w:val="center"/>
              <w:rPr>
                <w:rFonts w:ascii="Arial" w:hAnsi="Arial" w:cs="Arial"/>
                <w:b/>
                <w:bCs/>
                <w:sz w:val="20"/>
                <w:szCs w:val="20"/>
              </w:rPr>
            </w:pPr>
          </w:p>
        </w:tc>
        <w:tc>
          <w:tcPr>
            <w:tcW w:w="1039" w:type="dxa"/>
            <w:tcBorders>
              <w:top w:val="nil"/>
              <w:left w:val="nil"/>
              <w:bottom w:val="nil"/>
              <w:right w:val="nil"/>
            </w:tcBorders>
            <w:shd w:val="clear" w:color="auto" w:fill="auto"/>
            <w:noWrap/>
            <w:vAlign w:val="bottom"/>
            <w:hideMark/>
          </w:tcPr>
          <w:p w14:paraId="3D85CF6B" w14:textId="77777777" w:rsidR="0010235F" w:rsidRPr="0010235F" w:rsidRDefault="00E103E8" w:rsidP="0010235F">
            <w:pPr>
              <w:jc w:val="center"/>
              <w:rPr>
                <w:rFonts w:ascii="Arial" w:hAnsi="Arial" w:cs="Arial"/>
                <w:b/>
                <w:bCs/>
                <w:sz w:val="20"/>
                <w:szCs w:val="20"/>
              </w:rPr>
            </w:pPr>
            <w:r>
              <w:rPr>
                <w:rFonts w:ascii="Arial" w:hAnsi="Arial" w:cs="Arial"/>
                <w:b/>
                <w:bCs/>
                <w:sz w:val="20"/>
                <w:szCs w:val="20"/>
              </w:rPr>
              <w:t>3</w:t>
            </w:r>
          </w:p>
        </w:tc>
        <w:tc>
          <w:tcPr>
            <w:tcW w:w="1013" w:type="dxa"/>
            <w:tcBorders>
              <w:top w:val="nil"/>
              <w:left w:val="single" w:sz="4" w:space="0" w:color="auto"/>
              <w:bottom w:val="nil"/>
              <w:right w:val="nil"/>
            </w:tcBorders>
            <w:shd w:val="clear" w:color="auto" w:fill="auto"/>
            <w:noWrap/>
            <w:vAlign w:val="bottom"/>
            <w:hideMark/>
          </w:tcPr>
          <w:p w14:paraId="3D85CF6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CF6D" w14:textId="77777777" w:rsidR="0010235F" w:rsidRPr="0010235F" w:rsidRDefault="0010235F" w:rsidP="0010235F">
            <w:pPr>
              <w:rPr>
                <w:rFonts w:ascii="Arial" w:hAnsi="Arial" w:cs="Arial"/>
                <w:b/>
                <w:bCs/>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CF6E" w14:textId="77777777" w:rsidR="0010235F" w:rsidRPr="0010235F" w:rsidRDefault="002121BC" w:rsidP="00E103E8">
            <w:pPr>
              <w:jc w:val="center"/>
              <w:rPr>
                <w:rFonts w:ascii="Arial" w:hAnsi="Arial" w:cs="Arial"/>
                <w:b/>
                <w:bCs/>
                <w:sz w:val="20"/>
                <w:szCs w:val="20"/>
              </w:rPr>
            </w:pPr>
            <w:r>
              <w:rPr>
                <w:rFonts w:ascii="Arial" w:hAnsi="Arial" w:cs="Arial"/>
                <w:b/>
                <w:bCs/>
                <w:sz w:val="20"/>
                <w:szCs w:val="20"/>
              </w:rPr>
              <w:t>1</w:t>
            </w:r>
            <w:r w:rsidR="00E103E8">
              <w:rPr>
                <w:rFonts w:ascii="Arial" w:hAnsi="Arial" w:cs="Arial"/>
                <w:b/>
                <w:bCs/>
                <w:sz w:val="20"/>
                <w:szCs w:val="20"/>
              </w:rPr>
              <w:t>4</w:t>
            </w:r>
          </w:p>
        </w:tc>
      </w:tr>
      <w:tr w:rsidR="00DF15A7" w:rsidRPr="0010235F" w14:paraId="3D85CF83" w14:textId="77777777" w:rsidTr="00607B7E">
        <w:trPr>
          <w:trHeight w:val="288"/>
        </w:trPr>
        <w:tc>
          <w:tcPr>
            <w:tcW w:w="1550" w:type="dxa"/>
            <w:tcBorders>
              <w:top w:val="nil"/>
              <w:left w:val="single" w:sz="4" w:space="0" w:color="auto"/>
              <w:bottom w:val="single" w:sz="4" w:space="0" w:color="auto"/>
              <w:right w:val="nil"/>
            </w:tcBorders>
            <w:shd w:val="clear" w:color="auto" w:fill="auto"/>
            <w:noWrap/>
            <w:vAlign w:val="bottom"/>
            <w:hideMark/>
          </w:tcPr>
          <w:p w14:paraId="3D85CF70" w14:textId="77777777" w:rsidR="00DF15A7" w:rsidRPr="0010235F" w:rsidRDefault="00DF15A7" w:rsidP="0010235F">
            <w:pPr>
              <w:rPr>
                <w:rFonts w:ascii="Arial" w:hAnsi="Arial" w:cs="Arial"/>
                <w:color w:val="000000"/>
                <w:sz w:val="20"/>
                <w:szCs w:val="20"/>
              </w:rPr>
            </w:pPr>
          </w:p>
        </w:tc>
        <w:tc>
          <w:tcPr>
            <w:tcW w:w="1130" w:type="dxa"/>
            <w:tcBorders>
              <w:top w:val="nil"/>
              <w:left w:val="nil"/>
              <w:bottom w:val="single" w:sz="4" w:space="0" w:color="auto"/>
              <w:right w:val="nil"/>
            </w:tcBorders>
            <w:shd w:val="clear" w:color="auto" w:fill="auto"/>
            <w:noWrap/>
            <w:vAlign w:val="bottom"/>
            <w:hideMark/>
          </w:tcPr>
          <w:p w14:paraId="3D85CF71" w14:textId="77777777" w:rsidR="00DF15A7" w:rsidRPr="0010235F" w:rsidRDefault="00DF15A7" w:rsidP="0010235F">
            <w:pPr>
              <w:rPr>
                <w:rFonts w:ascii="Arial" w:hAnsi="Arial" w:cs="Arial"/>
                <w:color w:val="000000"/>
                <w:sz w:val="20"/>
                <w:szCs w:val="20"/>
              </w:rPr>
            </w:pPr>
          </w:p>
        </w:tc>
        <w:tc>
          <w:tcPr>
            <w:tcW w:w="967" w:type="dxa"/>
            <w:tcBorders>
              <w:top w:val="nil"/>
              <w:left w:val="nil"/>
              <w:bottom w:val="single" w:sz="4" w:space="0" w:color="auto"/>
              <w:right w:val="nil"/>
            </w:tcBorders>
            <w:shd w:val="clear" w:color="auto" w:fill="auto"/>
            <w:noWrap/>
            <w:vAlign w:val="bottom"/>
            <w:hideMark/>
          </w:tcPr>
          <w:p w14:paraId="3D85CF72" w14:textId="77777777" w:rsidR="00DF15A7" w:rsidRPr="0010235F" w:rsidRDefault="00DF15A7" w:rsidP="0010235F">
            <w:pPr>
              <w:rPr>
                <w:rFonts w:ascii="Arial" w:hAnsi="Arial" w:cs="Arial"/>
                <w:color w:val="000000"/>
                <w:sz w:val="20"/>
                <w:szCs w:val="20"/>
              </w:rPr>
            </w:pPr>
          </w:p>
        </w:tc>
        <w:tc>
          <w:tcPr>
            <w:tcW w:w="906" w:type="dxa"/>
            <w:tcBorders>
              <w:top w:val="nil"/>
              <w:left w:val="nil"/>
              <w:bottom w:val="single" w:sz="4" w:space="0" w:color="auto"/>
              <w:right w:val="nil"/>
            </w:tcBorders>
            <w:shd w:val="clear" w:color="auto" w:fill="auto"/>
            <w:noWrap/>
            <w:vAlign w:val="bottom"/>
            <w:hideMark/>
          </w:tcPr>
          <w:p w14:paraId="3D85CF73" w14:textId="77777777" w:rsidR="00DF15A7" w:rsidRPr="0010235F" w:rsidRDefault="00DF15A7" w:rsidP="0010235F">
            <w:pPr>
              <w:jc w:val="center"/>
              <w:rPr>
                <w:rFonts w:ascii="Arial" w:hAnsi="Arial" w:cs="Arial"/>
                <w:color w:val="000000"/>
                <w:sz w:val="20"/>
                <w:szCs w:val="20"/>
              </w:rPr>
            </w:pPr>
          </w:p>
        </w:tc>
        <w:tc>
          <w:tcPr>
            <w:tcW w:w="1250" w:type="dxa"/>
            <w:tcBorders>
              <w:top w:val="nil"/>
              <w:left w:val="nil"/>
              <w:bottom w:val="single" w:sz="4" w:space="0" w:color="auto"/>
              <w:right w:val="nil"/>
            </w:tcBorders>
            <w:shd w:val="clear" w:color="auto" w:fill="auto"/>
            <w:noWrap/>
            <w:vAlign w:val="bottom"/>
            <w:hideMark/>
          </w:tcPr>
          <w:p w14:paraId="3D85CF74" w14:textId="77777777" w:rsidR="00DF15A7" w:rsidRPr="0010235F" w:rsidRDefault="00DF15A7" w:rsidP="0010235F">
            <w:pPr>
              <w:rPr>
                <w:rFonts w:ascii="Arial" w:hAnsi="Arial" w:cs="Arial"/>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bottom"/>
            <w:hideMark/>
          </w:tcPr>
          <w:p w14:paraId="3D85CF75" w14:textId="77777777" w:rsidR="00DF15A7" w:rsidRPr="0010235F" w:rsidRDefault="00DF15A7" w:rsidP="0010235F">
            <w:pPr>
              <w:jc w:val="center"/>
              <w:rPr>
                <w:rFonts w:ascii="Arial" w:hAnsi="Arial" w:cs="Arial"/>
                <w:color w:val="000000"/>
                <w:sz w:val="20"/>
                <w:szCs w:val="20"/>
              </w:rPr>
            </w:pPr>
          </w:p>
        </w:tc>
        <w:tc>
          <w:tcPr>
            <w:tcW w:w="1130" w:type="dxa"/>
            <w:tcBorders>
              <w:top w:val="nil"/>
              <w:left w:val="single" w:sz="4" w:space="0" w:color="auto"/>
              <w:bottom w:val="single" w:sz="4" w:space="0" w:color="auto"/>
              <w:right w:val="nil"/>
            </w:tcBorders>
            <w:shd w:val="clear" w:color="auto" w:fill="auto"/>
            <w:noWrap/>
            <w:vAlign w:val="bottom"/>
            <w:hideMark/>
          </w:tcPr>
          <w:p w14:paraId="3D85CF76" w14:textId="77777777" w:rsidR="00DF15A7" w:rsidRPr="0010235F" w:rsidRDefault="00DF15A7" w:rsidP="0010235F">
            <w:pPr>
              <w:rPr>
                <w:rFonts w:ascii="Arial" w:hAnsi="Arial" w:cs="Arial"/>
                <w:color w:val="000000"/>
                <w:sz w:val="20"/>
                <w:szCs w:val="20"/>
              </w:rPr>
            </w:pPr>
          </w:p>
        </w:tc>
        <w:tc>
          <w:tcPr>
            <w:tcW w:w="967" w:type="dxa"/>
            <w:tcBorders>
              <w:top w:val="nil"/>
              <w:left w:val="nil"/>
              <w:bottom w:val="single" w:sz="4" w:space="0" w:color="auto"/>
              <w:right w:val="nil"/>
            </w:tcBorders>
            <w:shd w:val="clear" w:color="auto" w:fill="auto"/>
            <w:noWrap/>
            <w:vAlign w:val="bottom"/>
            <w:hideMark/>
          </w:tcPr>
          <w:p w14:paraId="3D85CF77" w14:textId="77777777" w:rsidR="00DF15A7" w:rsidRPr="0010235F" w:rsidRDefault="00DF15A7" w:rsidP="0010235F">
            <w:pPr>
              <w:rPr>
                <w:rFonts w:ascii="Arial" w:hAnsi="Arial" w:cs="Arial"/>
                <w:color w:val="000000"/>
                <w:sz w:val="20"/>
                <w:szCs w:val="20"/>
              </w:rPr>
            </w:pPr>
          </w:p>
        </w:tc>
        <w:tc>
          <w:tcPr>
            <w:tcW w:w="906" w:type="dxa"/>
            <w:tcBorders>
              <w:top w:val="nil"/>
              <w:left w:val="nil"/>
              <w:bottom w:val="single" w:sz="4" w:space="0" w:color="auto"/>
              <w:right w:val="nil"/>
            </w:tcBorders>
            <w:shd w:val="clear" w:color="auto" w:fill="auto"/>
            <w:noWrap/>
            <w:vAlign w:val="bottom"/>
            <w:hideMark/>
          </w:tcPr>
          <w:p w14:paraId="3D85CF78" w14:textId="77777777" w:rsidR="00DF15A7" w:rsidRPr="0010235F" w:rsidRDefault="00DF15A7" w:rsidP="0010235F">
            <w:pPr>
              <w:jc w:val="center"/>
              <w:rPr>
                <w:rFonts w:ascii="Arial" w:hAnsi="Arial" w:cs="Arial"/>
                <w:color w:val="000000"/>
                <w:sz w:val="20"/>
                <w:szCs w:val="20"/>
              </w:rPr>
            </w:pPr>
          </w:p>
        </w:tc>
        <w:tc>
          <w:tcPr>
            <w:tcW w:w="1250" w:type="dxa"/>
            <w:tcBorders>
              <w:top w:val="nil"/>
              <w:left w:val="nil"/>
              <w:bottom w:val="single" w:sz="4" w:space="0" w:color="auto"/>
              <w:right w:val="nil"/>
            </w:tcBorders>
            <w:shd w:val="clear" w:color="auto" w:fill="auto"/>
            <w:noWrap/>
            <w:vAlign w:val="bottom"/>
            <w:hideMark/>
          </w:tcPr>
          <w:p w14:paraId="3D85CF79" w14:textId="77777777" w:rsidR="00DF15A7" w:rsidRPr="0010235F" w:rsidRDefault="00DF15A7" w:rsidP="0010235F">
            <w:pPr>
              <w:jc w:val="center"/>
              <w:rPr>
                <w:rFonts w:ascii="Arial" w:hAnsi="Arial" w:cs="Arial"/>
                <w:color w:val="000000"/>
                <w:sz w:val="20"/>
                <w:szCs w:val="20"/>
              </w:rPr>
            </w:pPr>
          </w:p>
        </w:tc>
        <w:tc>
          <w:tcPr>
            <w:tcW w:w="1039" w:type="dxa"/>
            <w:tcBorders>
              <w:top w:val="nil"/>
              <w:left w:val="nil"/>
              <w:bottom w:val="single" w:sz="4" w:space="0" w:color="auto"/>
              <w:right w:val="nil"/>
            </w:tcBorders>
            <w:shd w:val="clear" w:color="auto" w:fill="auto"/>
            <w:noWrap/>
            <w:vAlign w:val="bottom"/>
            <w:hideMark/>
          </w:tcPr>
          <w:p w14:paraId="3D85CF7A" w14:textId="77777777" w:rsidR="00DF15A7" w:rsidRPr="0010235F" w:rsidRDefault="00DF15A7" w:rsidP="0010235F">
            <w:pPr>
              <w:jc w:val="center"/>
              <w:rPr>
                <w:rFonts w:ascii="Arial" w:hAnsi="Arial" w:cs="Arial"/>
                <w:color w:val="000000"/>
                <w:sz w:val="20"/>
                <w:szCs w:val="20"/>
              </w:rPr>
            </w:pPr>
          </w:p>
        </w:tc>
        <w:tc>
          <w:tcPr>
            <w:tcW w:w="1130" w:type="dxa"/>
            <w:tcBorders>
              <w:top w:val="nil"/>
              <w:left w:val="single" w:sz="4" w:space="0" w:color="auto"/>
              <w:bottom w:val="single" w:sz="4" w:space="0" w:color="auto"/>
              <w:right w:val="nil"/>
            </w:tcBorders>
            <w:shd w:val="clear" w:color="auto" w:fill="auto"/>
            <w:noWrap/>
            <w:vAlign w:val="bottom"/>
            <w:hideMark/>
          </w:tcPr>
          <w:p w14:paraId="3D85CF7B" w14:textId="77777777" w:rsidR="00DF15A7" w:rsidRPr="0010235F" w:rsidRDefault="00DF15A7" w:rsidP="0010235F">
            <w:pPr>
              <w:rPr>
                <w:rFonts w:ascii="Arial" w:hAnsi="Arial" w:cs="Arial"/>
                <w:color w:val="000000"/>
                <w:sz w:val="20"/>
                <w:szCs w:val="20"/>
              </w:rPr>
            </w:pPr>
          </w:p>
        </w:tc>
        <w:tc>
          <w:tcPr>
            <w:tcW w:w="967" w:type="dxa"/>
            <w:tcBorders>
              <w:top w:val="nil"/>
              <w:left w:val="nil"/>
              <w:bottom w:val="single" w:sz="4" w:space="0" w:color="auto"/>
              <w:right w:val="nil"/>
            </w:tcBorders>
            <w:shd w:val="clear" w:color="auto" w:fill="auto"/>
            <w:noWrap/>
            <w:vAlign w:val="bottom"/>
            <w:hideMark/>
          </w:tcPr>
          <w:p w14:paraId="3D85CF7C" w14:textId="77777777" w:rsidR="00DF15A7" w:rsidRPr="0010235F" w:rsidRDefault="00DF15A7" w:rsidP="0010235F">
            <w:pPr>
              <w:rPr>
                <w:rFonts w:ascii="Arial" w:hAnsi="Arial" w:cs="Arial"/>
                <w:color w:val="000000"/>
                <w:sz w:val="20"/>
                <w:szCs w:val="20"/>
              </w:rPr>
            </w:pPr>
          </w:p>
        </w:tc>
        <w:tc>
          <w:tcPr>
            <w:tcW w:w="906" w:type="dxa"/>
            <w:tcBorders>
              <w:top w:val="nil"/>
              <w:left w:val="nil"/>
              <w:bottom w:val="single" w:sz="4" w:space="0" w:color="auto"/>
            </w:tcBorders>
            <w:shd w:val="clear" w:color="auto" w:fill="auto"/>
            <w:noWrap/>
            <w:vAlign w:val="bottom"/>
            <w:hideMark/>
          </w:tcPr>
          <w:p w14:paraId="3D85CF7D" w14:textId="77777777" w:rsidR="00DF15A7" w:rsidRPr="0010235F" w:rsidRDefault="00DF15A7" w:rsidP="0010235F">
            <w:pPr>
              <w:jc w:val="center"/>
              <w:rPr>
                <w:rFonts w:ascii="Arial" w:hAnsi="Arial" w:cs="Arial"/>
                <w:color w:val="000000"/>
                <w:sz w:val="20"/>
                <w:szCs w:val="20"/>
              </w:rPr>
            </w:pPr>
          </w:p>
        </w:tc>
        <w:tc>
          <w:tcPr>
            <w:tcW w:w="1250" w:type="dxa"/>
            <w:tcBorders>
              <w:top w:val="nil"/>
              <w:bottom w:val="single" w:sz="4" w:space="0" w:color="auto"/>
              <w:right w:val="nil"/>
            </w:tcBorders>
            <w:shd w:val="clear" w:color="auto" w:fill="auto"/>
            <w:noWrap/>
            <w:vAlign w:val="bottom"/>
            <w:hideMark/>
          </w:tcPr>
          <w:p w14:paraId="3D85CF7E" w14:textId="77777777" w:rsidR="00DF15A7" w:rsidRPr="0010235F" w:rsidRDefault="00DF15A7" w:rsidP="0010235F">
            <w:pPr>
              <w:jc w:val="center"/>
              <w:rPr>
                <w:rFonts w:ascii="Arial" w:hAnsi="Arial" w:cs="Arial"/>
                <w:color w:val="000000"/>
                <w:sz w:val="20"/>
                <w:szCs w:val="20"/>
              </w:rPr>
            </w:pPr>
          </w:p>
        </w:tc>
        <w:tc>
          <w:tcPr>
            <w:tcW w:w="1039" w:type="dxa"/>
            <w:tcBorders>
              <w:top w:val="nil"/>
              <w:left w:val="nil"/>
              <w:bottom w:val="single" w:sz="4" w:space="0" w:color="auto"/>
              <w:right w:val="nil"/>
            </w:tcBorders>
            <w:shd w:val="clear" w:color="auto" w:fill="auto"/>
            <w:noWrap/>
            <w:vAlign w:val="bottom"/>
            <w:hideMark/>
          </w:tcPr>
          <w:p w14:paraId="3D85CF7F" w14:textId="77777777" w:rsidR="00DF15A7" w:rsidRPr="0010235F" w:rsidRDefault="00DF15A7" w:rsidP="0010235F">
            <w:pPr>
              <w:jc w:val="center"/>
              <w:rPr>
                <w:rFonts w:ascii="Arial" w:hAnsi="Arial" w:cs="Arial"/>
                <w:color w:val="000000"/>
                <w:sz w:val="20"/>
                <w:szCs w:val="20"/>
              </w:rPr>
            </w:pPr>
          </w:p>
        </w:tc>
        <w:tc>
          <w:tcPr>
            <w:tcW w:w="1013" w:type="dxa"/>
            <w:tcBorders>
              <w:top w:val="nil"/>
              <w:left w:val="single" w:sz="4" w:space="0" w:color="auto"/>
              <w:bottom w:val="single" w:sz="4" w:space="0" w:color="auto"/>
              <w:right w:val="nil"/>
            </w:tcBorders>
            <w:shd w:val="clear" w:color="auto" w:fill="auto"/>
            <w:noWrap/>
            <w:vAlign w:val="bottom"/>
            <w:hideMark/>
          </w:tcPr>
          <w:p w14:paraId="3D85CF80" w14:textId="77777777" w:rsidR="00DF15A7" w:rsidRPr="0010235F" w:rsidRDefault="00DF15A7" w:rsidP="0010235F">
            <w:pPr>
              <w:jc w:val="center"/>
              <w:rPr>
                <w:rFonts w:ascii="Arial" w:hAnsi="Arial" w:cs="Arial"/>
                <w:color w:val="000000"/>
                <w:sz w:val="20"/>
                <w:szCs w:val="20"/>
              </w:rPr>
            </w:pPr>
          </w:p>
        </w:tc>
        <w:tc>
          <w:tcPr>
            <w:tcW w:w="967" w:type="dxa"/>
            <w:tcBorders>
              <w:top w:val="nil"/>
              <w:left w:val="nil"/>
              <w:bottom w:val="single" w:sz="4" w:space="0" w:color="auto"/>
              <w:right w:val="nil"/>
            </w:tcBorders>
            <w:shd w:val="clear" w:color="auto" w:fill="auto"/>
            <w:noWrap/>
            <w:vAlign w:val="bottom"/>
            <w:hideMark/>
          </w:tcPr>
          <w:p w14:paraId="3D85CF81" w14:textId="77777777" w:rsidR="00DF15A7" w:rsidRPr="0010235F" w:rsidRDefault="00DF15A7" w:rsidP="0010235F">
            <w:pPr>
              <w:rPr>
                <w:rFonts w:ascii="Arial" w:hAnsi="Arial" w:cs="Arial"/>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bottom"/>
            <w:hideMark/>
          </w:tcPr>
          <w:p w14:paraId="3D85CF82" w14:textId="77777777" w:rsidR="00DF15A7" w:rsidRPr="0010235F" w:rsidRDefault="00DF15A7" w:rsidP="0010235F">
            <w:pPr>
              <w:jc w:val="center"/>
              <w:rPr>
                <w:rFonts w:ascii="Arial" w:hAnsi="Arial" w:cs="Arial"/>
                <w:color w:val="000000"/>
                <w:sz w:val="20"/>
                <w:szCs w:val="20"/>
              </w:rPr>
            </w:pPr>
          </w:p>
        </w:tc>
      </w:tr>
      <w:tr w:rsidR="00981065" w:rsidRPr="0010235F" w14:paraId="3D85CF97" w14:textId="77777777" w:rsidTr="00607B7E">
        <w:trPr>
          <w:trHeight w:val="404"/>
        </w:trPr>
        <w:tc>
          <w:tcPr>
            <w:tcW w:w="3647" w:type="dxa"/>
            <w:gridSpan w:val="3"/>
            <w:tcBorders>
              <w:top w:val="nil"/>
              <w:left w:val="single" w:sz="4" w:space="0" w:color="auto"/>
              <w:bottom w:val="single" w:sz="4" w:space="0" w:color="auto"/>
              <w:right w:val="nil"/>
            </w:tcBorders>
            <w:shd w:val="clear" w:color="auto" w:fill="auto"/>
            <w:noWrap/>
            <w:vAlign w:val="bottom"/>
            <w:hideMark/>
          </w:tcPr>
          <w:p w14:paraId="3D85CF84" w14:textId="77777777" w:rsidR="00981065" w:rsidRPr="0010235F" w:rsidRDefault="00981065" w:rsidP="0010235F">
            <w:pPr>
              <w:rPr>
                <w:rFonts w:ascii="Arial" w:hAnsi="Arial" w:cs="Arial"/>
                <w:color w:val="000000"/>
                <w:sz w:val="20"/>
                <w:szCs w:val="20"/>
              </w:rPr>
            </w:pPr>
            <w:r w:rsidRPr="0010235F">
              <w:rPr>
                <w:rFonts w:ascii="Arial" w:hAnsi="Arial" w:cs="Arial"/>
                <w:color w:val="000000"/>
                <w:sz w:val="20"/>
                <w:szCs w:val="20"/>
              </w:rPr>
              <w:t> </w:t>
            </w:r>
          </w:p>
          <w:p w14:paraId="3D85CF85" w14:textId="77777777" w:rsidR="00981065" w:rsidRPr="0010235F" w:rsidRDefault="00981065" w:rsidP="0010235F">
            <w:pPr>
              <w:rPr>
                <w:rFonts w:ascii="Arial" w:hAnsi="Arial" w:cs="Arial"/>
                <w:color w:val="000000"/>
                <w:sz w:val="20"/>
                <w:szCs w:val="20"/>
              </w:rPr>
            </w:pPr>
            <w:r w:rsidRPr="0010235F">
              <w:rPr>
                <w:rFonts w:ascii="Arial" w:hAnsi="Arial" w:cs="Arial"/>
                <w:color w:val="000000"/>
                <w:sz w:val="20"/>
                <w:szCs w:val="20"/>
              </w:rPr>
              <w:t> </w:t>
            </w:r>
            <w:r w:rsidRPr="00DF15A7">
              <w:rPr>
                <w:rFonts w:ascii="Arial" w:hAnsi="Arial" w:cs="Arial"/>
                <w:i/>
                <w:color w:val="000000"/>
                <w:sz w:val="20"/>
                <w:szCs w:val="20"/>
              </w:rPr>
              <w:t> Existing Facility R</w:t>
            </w:r>
            <w:r>
              <w:rPr>
                <w:rFonts w:ascii="Arial" w:hAnsi="Arial" w:cs="Arial"/>
                <w:i/>
                <w:color w:val="000000"/>
                <w:sz w:val="20"/>
                <w:szCs w:val="20"/>
              </w:rPr>
              <w:t>isk Action Level</w:t>
            </w:r>
          </w:p>
          <w:p w14:paraId="3D85CF86" w14:textId="77777777" w:rsidR="00981065" w:rsidRPr="0010235F" w:rsidRDefault="00981065" w:rsidP="0010235F">
            <w:pPr>
              <w:rPr>
                <w:rFonts w:ascii="Arial" w:hAnsi="Arial" w:cs="Arial"/>
                <w:color w:val="000000"/>
                <w:sz w:val="20"/>
                <w:szCs w:val="20"/>
              </w:rPr>
            </w:pPr>
            <w:r w:rsidRPr="0010235F">
              <w:rPr>
                <w:rFonts w:ascii="Arial" w:hAnsi="Arial" w:cs="Arial"/>
                <w:color w:val="000000"/>
                <w:sz w:val="20"/>
                <w:szCs w:val="20"/>
              </w:rPr>
              <w:t> </w:t>
            </w:r>
          </w:p>
        </w:tc>
        <w:tc>
          <w:tcPr>
            <w:tcW w:w="906" w:type="dxa"/>
            <w:tcBorders>
              <w:top w:val="nil"/>
              <w:left w:val="nil"/>
              <w:bottom w:val="single" w:sz="4" w:space="0" w:color="auto"/>
              <w:right w:val="nil"/>
            </w:tcBorders>
            <w:shd w:val="clear" w:color="auto" w:fill="auto"/>
            <w:noWrap/>
            <w:vAlign w:val="center"/>
            <w:hideMark/>
          </w:tcPr>
          <w:p w14:paraId="3D85CF87" w14:textId="77777777" w:rsidR="00981065" w:rsidRPr="00DF15A7" w:rsidRDefault="00981065" w:rsidP="00981065">
            <w:pPr>
              <w:jc w:val="center"/>
              <w:rPr>
                <w:rFonts w:ascii="Arial" w:hAnsi="Arial" w:cs="Arial"/>
                <w:i/>
                <w:color w:val="000000"/>
                <w:sz w:val="20"/>
                <w:szCs w:val="20"/>
              </w:rPr>
            </w:pPr>
            <w:r w:rsidRPr="00DF15A7">
              <w:rPr>
                <w:rFonts w:ascii="Arial" w:hAnsi="Arial" w:cs="Arial"/>
                <w:i/>
                <w:color w:val="000000"/>
                <w:sz w:val="20"/>
                <w:szCs w:val="20"/>
              </w:rPr>
              <w:t>25</w:t>
            </w:r>
          </w:p>
        </w:tc>
        <w:tc>
          <w:tcPr>
            <w:tcW w:w="1250" w:type="dxa"/>
            <w:tcBorders>
              <w:top w:val="nil"/>
              <w:left w:val="nil"/>
              <w:bottom w:val="single" w:sz="4" w:space="0" w:color="auto"/>
              <w:right w:val="nil"/>
            </w:tcBorders>
            <w:shd w:val="clear" w:color="auto" w:fill="auto"/>
            <w:noWrap/>
            <w:vAlign w:val="center"/>
            <w:hideMark/>
          </w:tcPr>
          <w:p w14:paraId="3D85CF88" w14:textId="77777777" w:rsidR="00981065" w:rsidRPr="00DF15A7" w:rsidRDefault="00981065" w:rsidP="00981065">
            <w:pPr>
              <w:jc w:val="center"/>
              <w:rPr>
                <w:rFonts w:ascii="Arial" w:hAnsi="Arial" w:cs="Arial"/>
                <w:i/>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center"/>
            <w:hideMark/>
          </w:tcPr>
          <w:p w14:paraId="3D85CF89" w14:textId="77777777" w:rsidR="00981065" w:rsidRPr="00DF15A7" w:rsidRDefault="00981065" w:rsidP="00981065">
            <w:pPr>
              <w:jc w:val="center"/>
              <w:rPr>
                <w:rFonts w:ascii="Arial" w:hAnsi="Arial" w:cs="Arial"/>
                <w:i/>
                <w:color w:val="000000"/>
                <w:sz w:val="20"/>
                <w:szCs w:val="20"/>
              </w:rPr>
            </w:pPr>
            <w:r w:rsidRPr="00DF15A7">
              <w:rPr>
                <w:rFonts w:ascii="Arial" w:hAnsi="Arial" w:cs="Arial"/>
                <w:i/>
                <w:color w:val="000000"/>
                <w:sz w:val="20"/>
                <w:szCs w:val="20"/>
              </w:rPr>
              <w:t>1</w:t>
            </w:r>
          </w:p>
        </w:tc>
        <w:tc>
          <w:tcPr>
            <w:tcW w:w="1130" w:type="dxa"/>
            <w:tcBorders>
              <w:top w:val="single" w:sz="4" w:space="0" w:color="auto"/>
              <w:left w:val="single" w:sz="4" w:space="0" w:color="auto"/>
              <w:bottom w:val="single" w:sz="4" w:space="0" w:color="auto"/>
              <w:right w:val="nil"/>
            </w:tcBorders>
            <w:shd w:val="clear" w:color="auto" w:fill="auto"/>
            <w:noWrap/>
            <w:vAlign w:val="center"/>
            <w:hideMark/>
          </w:tcPr>
          <w:p w14:paraId="3D85CF8A" w14:textId="77777777" w:rsidR="00981065" w:rsidRPr="00DF15A7" w:rsidRDefault="00981065" w:rsidP="00981065">
            <w:pPr>
              <w:jc w:val="center"/>
              <w:rPr>
                <w:rFonts w:ascii="Arial" w:hAnsi="Arial" w:cs="Arial"/>
                <w:i/>
                <w:color w:val="000000"/>
                <w:sz w:val="20"/>
                <w:szCs w:val="20"/>
              </w:rPr>
            </w:pPr>
          </w:p>
        </w:tc>
        <w:tc>
          <w:tcPr>
            <w:tcW w:w="967" w:type="dxa"/>
            <w:tcBorders>
              <w:top w:val="nil"/>
              <w:left w:val="nil"/>
              <w:bottom w:val="single" w:sz="4" w:space="0" w:color="auto"/>
              <w:right w:val="nil"/>
            </w:tcBorders>
            <w:shd w:val="clear" w:color="auto" w:fill="auto"/>
            <w:noWrap/>
            <w:vAlign w:val="center"/>
            <w:hideMark/>
          </w:tcPr>
          <w:p w14:paraId="3D85CF8B" w14:textId="77777777" w:rsidR="00981065" w:rsidRPr="00DF15A7" w:rsidRDefault="00981065" w:rsidP="00981065">
            <w:pPr>
              <w:jc w:val="center"/>
              <w:rPr>
                <w:rFonts w:ascii="Arial" w:hAnsi="Arial" w:cs="Arial"/>
                <w:i/>
                <w:color w:val="000000"/>
                <w:sz w:val="20"/>
                <w:szCs w:val="20"/>
              </w:rPr>
            </w:pPr>
          </w:p>
        </w:tc>
        <w:tc>
          <w:tcPr>
            <w:tcW w:w="906" w:type="dxa"/>
            <w:tcBorders>
              <w:top w:val="nil"/>
              <w:left w:val="nil"/>
              <w:bottom w:val="single" w:sz="4" w:space="0" w:color="auto"/>
              <w:right w:val="nil"/>
            </w:tcBorders>
            <w:shd w:val="clear" w:color="auto" w:fill="auto"/>
            <w:noWrap/>
            <w:vAlign w:val="center"/>
            <w:hideMark/>
          </w:tcPr>
          <w:p w14:paraId="3D85CF8C" w14:textId="77777777" w:rsidR="00981065" w:rsidRPr="00DF15A7" w:rsidRDefault="00981065" w:rsidP="00981065">
            <w:pPr>
              <w:jc w:val="center"/>
              <w:rPr>
                <w:rFonts w:ascii="Arial" w:hAnsi="Arial" w:cs="Arial"/>
                <w:i/>
                <w:color w:val="000000"/>
                <w:sz w:val="20"/>
                <w:szCs w:val="20"/>
              </w:rPr>
            </w:pPr>
            <w:r w:rsidRPr="00DF15A7">
              <w:rPr>
                <w:rFonts w:ascii="Arial" w:hAnsi="Arial" w:cs="Arial"/>
                <w:i/>
                <w:color w:val="000000"/>
                <w:sz w:val="20"/>
                <w:szCs w:val="20"/>
              </w:rPr>
              <w:t>25</w:t>
            </w:r>
          </w:p>
        </w:tc>
        <w:tc>
          <w:tcPr>
            <w:tcW w:w="1250" w:type="dxa"/>
            <w:tcBorders>
              <w:top w:val="nil"/>
              <w:left w:val="nil"/>
              <w:bottom w:val="single" w:sz="4" w:space="0" w:color="auto"/>
              <w:right w:val="nil"/>
            </w:tcBorders>
            <w:shd w:val="clear" w:color="auto" w:fill="auto"/>
            <w:noWrap/>
            <w:vAlign w:val="center"/>
            <w:hideMark/>
          </w:tcPr>
          <w:p w14:paraId="3D85CF8D" w14:textId="77777777" w:rsidR="00981065" w:rsidRPr="00DF15A7" w:rsidRDefault="00981065" w:rsidP="00981065">
            <w:pPr>
              <w:jc w:val="center"/>
              <w:rPr>
                <w:rFonts w:ascii="Arial" w:hAnsi="Arial" w:cs="Arial"/>
                <w:i/>
                <w:color w:val="000000"/>
                <w:sz w:val="20"/>
                <w:szCs w:val="20"/>
              </w:rPr>
            </w:pPr>
          </w:p>
        </w:tc>
        <w:tc>
          <w:tcPr>
            <w:tcW w:w="1039" w:type="dxa"/>
            <w:tcBorders>
              <w:top w:val="nil"/>
              <w:left w:val="nil"/>
              <w:bottom w:val="single" w:sz="4" w:space="0" w:color="auto"/>
              <w:right w:val="nil"/>
            </w:tcBorders>
            <w:shd w:val="clear" w:color="auto" w:fill="auto"/>
            <w:noWrap/>
            <w:vAlign w:val="center"/>
            <w:hideMark/>
          </w:tcPr>
          <w:p w14:paraId="3D85CF8E" w14:textId="77777777" w:rsidR="00981065" w:rsidRPr="00DF15A7" w:rsidRDefault="00981065" w:rsidP="00981065">
            <w:pPr>
              <w:jc w:val="center"/>
              <w:rPr>
                <w:rFonts w:ascii="Arial" w:hAnsi="Arial" w:cs="Arial"/>
                <w:i/>
                <w:color w:val="000000"/>
                <w:sz w:val="20"/>
                <w:szCs w:val="20"/>
              </w:rPr>
            </w:pPr>
            <w:r w:rsidRPr="00DF15A7">
              <w:rPr>
                <w:rFonts w:ascii="Arial" w:hAnsi="Arial" w:cs="Arial"/>
                <w:i/>
                <w:color w:val="000000"/>
                <w:sz w:val="20"/>
                <w:szCs w:val="20"/>
              </w:rPr>
              <w:t>1</w:t>
            </w:r>
          </w:p>
        </w:tc>
        <w:tc>
          <w:tcPr>
            <w:tcW w:w="1130" w:type="dxa"/>
            <w:tcBorders>
              <w:top w:val="nil"/>
              <w:left w:val="single" w:sz="4" w:space="0" w:color="auto"/>
              <w:bottom w:val="single" w:sz="4" w:space="0" w:color="auto"/>
              <w:right w:val="nil"/>
            </w:tcBorders>
            <w:shd w:val="clear" w:color="auto" w:fill="auto"/>
            <w:noWrap/>
            <w:vAlign w:val="center"/>
            <w:hideMark/>
          </w:tcPr>
          <w:p w14:paraId="3D85CF8F" w14:textId="77777777" w:rsidR="00981065" w:rsidRPr="00DF15A7" w:rsidRDefault="00981065" w:rsidP="00981065">
            <w:pPr>
              <w:jc w:val="center"/>
              <w:rPr>
                <w:rFonts w:ascii="Arial" w:hAnsi="Arial" w:cs="Arial"/>
                <w:i/>
                <w:color w:val="000000"/>
                <w:sz w:val="20"/>
                <w:szCs w:val="20"/>
              </w:rPr>
            </w:pPr>
          </w:p>
        </w:tc>
        <w:tc>
          <w:tcPr>
            <w:tcW w:w="967" w:type="dxa"/>
            <w:tcBorders>
              <w:top w:val="nil"/>
              <w:left w:val="nil"/>
              <w:bottom w:val="single" w:sz="4" w:space="0" w:color="auto"/>
              <w:right w:val="nil"/>
            </w:tcBorders>
            <w:shd w:val="clear" w:color="auto" w:fill="auto"/>
            <w:noWrap/>
            <w:vAlign w:val="center"/>
            <w:hideMark/>
          </w:tcPr>
          <w:p w14:paraId="3D85CF90" w14:textId="77777777" w:rsidR="00981065" w:rsidRPr="00DF15A7" w:rsidRDefault="00981065" w:rsidP="00981065">
            <w:pPr>
              <w:jc w:val="center"/>
              <w:rPr>
                <w:rFonts w:ascii="Arial" w:hAnsi="Arial" w:cs="Arial"/>
                <w:i/>
                <w:color w:val="000000"/>
                <w:sz w:val="20"/>
                <w:szCs w:val="20"/>
              </w:rPr>
            </w:pPr>
          </w:p>
        </w:tc>
        <w:tc>
          <w:tcPr>
            <w:tcW w:w="906" w:type="dxa"/>
            <w:tcBorders>
              <w:top w:val="nil"/>
              <w:left w:val="nil"/>
              <w:bottom w:val="single" w:sz="4" w:space="0" w:color="auto"/>
            </w:tcBorders>
            <w:shd w:val="clear" w:color="auto" w:fill="auto"/>
            <w:noWrap/>
            <w:vAlign w:val="center"/>
            <w:hideMark/>
          </w:tcPr>
          <w:p w14:paraId="3D85CF91" w14:textId="77777777" w:rsidR="00981065" w:rsidRPr="00DF15A7" w:rsidRDefault="00981065" w:rsidP="00981065">
            <w:pPr>
              <w:jc w:val="center"/>
              <w:rPr>
                <w:rFonts w:ascii="Arial" w:hAnsi="Arial" w:cs="Arial"/>
                <w:i/>
                <w:color w:val="000000"/>
                <w:sz w:val="20"/>
                <w:szCs w:val="20"/>
              </w:rPr>
            </w:pPr>
            <w:r w:rsidRPr="00DF15A7">
              <w:rPr>
                <w:rFonts w:ascii="Arial" w:hAnsi="Arial" w:cs="Arial"/>
                <w:i/>
                <w:color w:val="000000"/>
                <w:sz w:val="20"/>
                <w:szCs w:val="20"/>
              </w:rPr>
              <w:t>25</w:t>
            </w:r>
          </w:p>
        </w:tc>
        <w:tc>
          <w:tcPr>
            <w:tcW w:w="1250" w:type="dxa"/>
            <w:tcBorders>
              <w:top w:val="nil"/>
              <w:bottom w:val="single" w:sz="4" w:space="0" w:color="auto"/>
              <w:right w:val="nil"/>
            </w:tcBorders>
            <w:shd w:val="clear" w:color="auto" w:fill="auto"/>
            <w:noWrap/>
            <w:vAlign w:val="center"/>
            <w:hideMark/>
          </w:tcPr>
          <w:p w14:paraId="3D85CF92" w14:textId="77777777" w:rsidR="00981065" w:rsidRPr="00DF15A7" w:rsidRDefault="00981065" w:rsidP="00981065">
            <w:pPr>
              <w:jc w:val="center"/>
              <w:rPr>
                <w:rFonts w:ascii="Arial" w:hAnsi="Arial" w:cs="Arial"/>
                <w:i/>
                <w:color w:val="000000"/>
                <w:sz w:val="20"/>
                <w:szCs w:val="20"/>
              </w:rPr>
            </w:pPr>
          </w:p>
        </w:tc>
        <w:tc>
          <w:tcPr>
            <w:tcW w:w="1039" w:type="dxa"/>
            <w:tcBorders>
              <w:top w:val="nil"/>
              <w:left w:val="nil"/>
              <w:bottom w:val="single" w:sz="4" w:space="0" w:color="auto"/>
              <w:right w:val="nil"/>
            </w:tcBorders>
            <w:shd w:val="clear" w:color="auto" w:fill="auto"/>
            <w:noWrap/>
            <w:vAlign w:val="center"/>
            <w:hideMark/>
          </w:tcPr>
          <w:p w14:paraId="3D85CF93" w14:textId="77777777" w:rsidR="00981065" w:rsidRPr="00DF15A7" w:rsidRDefault="00981065" w:rsidP="00981065">
            <w:pPr>
              <w:jc w:val="center"/>
              <w:rPr>
                <w:rFonts w:ascii="Arial" w:hAnsi="Arial" w:cs="Arial"/>
                <w:i/>
                <w:color w:val="000000"/>
                <w:sz w:val="20"/>
                <w:szCs w:val="20"/>
              </w:rPr>
            </w:pPr>
            <w:r w:rsidRPr="00DF15A7">
              <w:rPr>
                <w:rFonts w:ascii="Arial" w:hAnsi="Arial" w:cs="Arial"/>
                <w:i/>
                <w:color w:val="000000"/>
                <w:sz w:val="20"/>
                <w:szCs w:val="20"/>
              </w:rPr>
              <w:t>1</w:t>
            </w:r>
          </w:p>
        </w:tc>
        <w:tc>
          <w:tcPr>
            <w:tcW w:w="1013" w:type="dxa"/>
            <w:tcBorders>
              <w:top w:val="nil"/>
              <w:left w:val="single" w:sz="4" w:space="0" w:color="auto"/>
              <w:bottom w:val="single" w:sz="4" w:space="0" w:color="auto"/>
              <w:right w:val="nil"/>
            </w:tcBorders>
            <w:shd w:val="clear" w:color="auto" w:fill="auto"/>
            <w:noWrap/>
            <w:vAlign w:val="center"/>
            <w:hideMark/>
          </w:tcPr>
          <w:p w14:paraId="3D85CF94" w14:textId="77777777" w:rsidR="00981065" w:rsidRPr="00DF15A7" w:rsidRDefault="00981065" w:rsidP="00981065">
            <w:pPr>
              <w:jc w:val="center"/>
              <w:rPr>
                <w:rFonts w:ascii="Arial" w:hAnsi="Arial" w:cs="Arial"/>
                <w:i/>
                <w:color w:val="000000"/>
                <w:sz w:val="20"/>
                <w:szCs w:val="20"/>
              </w:rPr>
            </w:pPr>
          </w:p>
        </w:tc>
        <w:tc>
          <w:tcPr>
            <w:tcW w:w="967" w:type="dxa"/>
            <w:tcBorders>
              <w:top w:val="nil"/>
              <w:left w:val="nil"/>
              <w:bottom w:val="single" w:sz="4" w:space="0" w:color="auto"/>
              <w:right w:val="nil"/>
            </w:tcBorders>
            <w:shd w:val="clear" w:color="auto" w:fill="auto"/>
            <w:noWrap/>
            <w:vAlign w:val="center"/>
            <w:hideMark/>
          </w:tcPr>
          <w:p w14:paraId="3D85CF95" w14:textId="77777777" w:rsidR="00981065" w:rsidRPr="00DF15A7" w:rsidRDefault="00981065" w:rsidP="00981065">
            <w:pPr>
              <w:jc w:val="center"/>
              <w:rPr>
                <w:rFonts w:ascii="Arial" w:hAnsi="Arial" w:cs="Arial"/>
                <w:i/>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center"/>
            <w:hideMark/>
          </w:tcPr>
          <w:p w14:paraId="3D85CF96" w14:textId="77777777" w:rsidR="00981065" w:rsidRPr="00DF15A7" w:rsidRDefault="00981065" w:rsidP="00981065">
            <w:pPr>
              <w:jc w:val="center"/>
              <w:rPr>
                <w:rFonts w:ascii="Arial" w:hAnsi="Arial" w:cs="Arial"/>
                <w:i/>
                <w:color w:val="000000"/>
                <w:sz w:val="20"/>
                <w:szCs w:val="20"/>
              </w:rPr>
            </w:pPr>
            <w:r w:rsidRPr="00DF15A7">
              <w:rPr>
                <w:rFonts w:ascii="Arial" w:hAnsi="Arial" w:cs="Arial"/>
                <w:i/>
                <w:color w:val="000000"/>
                <w:sz w:val="20"/>
                <w:szCs w:val="20"/>
              </w:rPr>
              <w:t>1</w:t>
            </w:r>
          </w:p>
        </w:tc>
      </w:tr>
    </w:tbl>
    <w:p w14:paraId="3D85CF98" w14:textId="77777777" w:rsidR="0010235F" w:rsidRPr="0010235F" w:rsidRDefault="0010235F" w:rsidP="0010235F">
      <w:pPr>
        <w:pStyle w:val="NoSpacing"/>
        <w:rPr>
          <w:rFonts w:ascii="Arial" w:hAnsi="Arial" w:cs="Arial"/>
        </w:rPr>
      </w:pPr>
    </w:p>
    <w:tbl>
      <w:tblPr>
        <w:tblW w:w="9378" w:type="dxa"/>
        <w:tblInd w:w="99" w:type="dxa"/>
        <w:tblLook w:val="04A0" w:firstRow="1" w:lastRow="0" w:firstColumn="1" w:lastColumn="0" w:noHBand="0" w:noVBand="1"/>
      </w:tblPr>
      <w:tblGrid>
        <w:gridCol w:w="9378"/>
      </w:tblGrid>
      <w:tr w:rsidR="0010235F" w:rsidRPr="0010235F" w14:paraId="3D85CF9A" w14:textId="77777777" w:rsidTr="0010235F">
        <w:trPr>
          <w:trHeight w:val="288"/>
        </w:trPr>
        <w:tc>
          <w:tcPr>
            <w:tcW w:w="9378" w:type="dxa"/>
            <w:tcBorders>
              <w:top w:val="nil"/>
              <w:left w:val="nil"/>
              <w:bottom w:val="nil"/>
              <w:right w:val="nil"/>
            </w:tcBorders>
            <w:shd w:val="clear" w:color="auto" w:fill="auto"/>
            <w:noWrap/>
            <w:vAlign w:val="bottom"/>
            <w:hideMark/>
          </w:tcPr>
          <w:p w14:paraId="3D85CF99" w14:textId="77777777" w:rsidR="0010235F" w:rsidRPr="0010235F" w:rsidRDefault="0010235F" w:rsidP="0010235F">
            <w:pPr>
              <w:rPr>
                <w:rFonts w:ascii="Arial" w:hAnsi="Arial" w:cs="Arial"/>
                <w:b/>
                <w:bCs/>
                <w:color w:val="000000"/>
              </w:rPr>
            </w:pPr>
            <w:r w:rsidRPr="0010235F">
              <w:rPr>
                <w:rFonts w:ascii="Arial" w:hAnsi="Arial" w:cs="Arial"/>
                <w:b/>
                <w:bCs/>
                <w:color w:val="000000"/>
              </w:rPr>
              <w:t>Notes:</w:t>
            </w:r>
          </w:p>
        </w:tc>
      </w:tr>
      <w:tr w:rsidR="0010235F" w:rsidRPr="0010235F" w14:paraId="3D85CF9D" w14:textId="77777777" w:rsidTr="0010235F">
        <w:trPr>
          <w:trHeight w:val="288"/>
        </w:trPr>
        <w:tc>
          <w:tcPr>
            <w:tcW w:w="9378" w:type="dxa"/>
            <w:tcBorders>
              <w:top w:val="nil"/>
              <w:left w:val="nil"/>
              <w:bottom w:val="nil"/>
              <w:right w:val="nil"/>
            </w:tcBorders>
            <w:shd w:val="clear" w:color="auto" w:fill="auto"/>
            <w:noWrap/>
            <w:vAlign w:val="bottom"/>
            <w:hideMark/>
          </w:tcPr>
          <w:p w14:paraId="3D85CF9B" w14:textId="77777777" w:rsidR="0010235F" w:rsidRPr="0010235F" w:rsidRDefault="0010235F" w:rsidP="0010235F">
            <w:pPr>
              <w:rPr>
                <w:rFonts w:ascii="Arial" w:hAnsi="Arial" w:cs="Arial"/>
                <w:color w:val="000000"/>
              </w:rPr>
            </w:pPr>
            <w:r w:rsidRPr="0010235F">
              <w:rPr>
                <w:rFonts w:ascii="Arial" w:hAnsi="Arial" w:cs="Arial"/>
                <w:color w:val="000000"/>
              </w:rPr>
              <w:t xml:space="preserve">Excess Cancer Risk = Annual conc.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 Cancer RBC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w:t>
            </w:r>
          </w:p>
          <w:p w14:paraId="3D85CF9C" w14:textId="77777777" w:rsidR="0010235F" w:rsidRPr="0010235F" w:rsidRDefault="0010235F" w:rsidP="0010235F">
            <w:pPr>
              <w:rPr>
                <w:rFonts w:ascii="Arial" w:hAnsi="Arial" w:cs="Arial"/>
                <w:color w:val="000000"/>
              </w:rPr>
            </w:pPr>
            <w:r w:rsidRPr="0010235F">
              <w:rPr>
                <w:rFonts w:ascii="Arial" w:hAnsi="Arial" w:cs="Arial"/>
                <w:color w:val="000000"/>
              </w:rPr>
              <w:t>Expressed as risk per million</w:t>
            </w:r>
          </w:p>
        </w:tc>
      </w:tr>
      <w:tr w:rsidR="0010235F" w:rsidRPr="0010235F" w14:paraId="3D85CF9F" w14:textId="77777777" w:rsidTr="0010235F">
        <w:trPr>
          <w:trHeight w:val="288"/>
        </w:trPr>
        <w:tc>
          <w:tcPr>
            <w:tcW w:w="9378" w:type="dxa"/>
            <w:tcBorders>
              <w:top w:val="nil"/>
              <w:left w:val="nil"/>
              <w:bottom w:val="nil"/>
              <w:right w:val="nil"/>
            </w:tcBorders>
            <w:shd w:val="clear" w:color="auto" w:fill="auto"/>
            <w:noWrap/>
            <w:vAlign w:val="bottom"/>
            <w:hideMark/>
          </w:tcPr>
          <w:p w14:paraId="3D85CF9E" w14:textId="77777777" w:rsidR="0010235F" w:rsidRPr="0010235F" w:rsidRDefault="0010235F" w:rsidP="0010235F">
            <w:pPr>
              <w:rPr>
                <w:rFonts w:ascii="Arial" w:hAnsi="Arial" w:cs="Arial"/>
                <w:color w:val="000000"/>
              </w:rPr>
            </w:pPr>
            <w:r w:rsidRPr="0010235F">
              <w:rPr>
                <w:rFonts w:ascii="Arial" w:hAnsi="Arial" w:cs="Arial"/>
                <w:color w:val="000000"/>
              </w:rPr>
              <w:t xml:space="preserve">Chronic Hazard Quotient = Annual conc.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 Noncancer RBC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x 1</w:t>
            </w:r>
          </w:p>
        </w:tc>
      </w:tr>
      <w:tr w:rsidR="0010235F" w:rsidRPr="0010235F" w14:paraId="3D85CFA1" w14:textId="77777777" w:rsidTr="0010235F">
        <w:trPr>
          <w:trHeight w:val="276"/>
        </w:trPr>
        <w:tc>
          <w:tcPr>
            <w:tcW w:w="9378" w:type="dxa"/>
            <w:tcBorders>
              <w:top w:val="nil"/>
              <w:left w:val="nil"/>
              <w:bottom w:val="nil"/>
              <w:right w:val="nil"/>
            </w:tcBorders>
            <w:shd w:val="clear" w:color="auto" w:fill="auto"/>
            <w:noWrap/>
            <w:vAlign w:val="bottom"/>
            <w:hideMark/>
          </w:tcPr>
          <w:p w14:paraId="3D85CFA0" w14:textId="77777777" w:rsidR="0010235F" w:rsidRPr="0010235F" w:rsidRDefault="0010235F" w:rsidP="0010235F">
            <w:pPr>
              <w:rPr>
                <w:rFonts w:ascii="Arial" w:hAnsi="Arial" w:cs="Arial"/>
                <w:color w:val="000000"/>
              </w:rPr>
            </w:pPr>
            <w:r w:rsidRPr="0010235F">
              <w:rPr>
                <w:rFonts w:ascii="Arial" w:hAnsi="Arial" w:cs="Arial"/>
                <w:color w:val="000000"/>
              </w:rPr>
              <w:t xml:space="preserve">Acute Hazard Quotient = 24-hr conc.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 Acute RBC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x 1</w:t>
            </w:r>
          </w:p>
        </w:tc>
      </w:tr>
      <w:tr w:rsidR="0010235F" w:rsidRPr="0010235F" w14:paraId="3D85CFA3" w14:textId="77777777" w:rsidTr="0010235F">
        <w:trPr>
          <w:trHeight w:val="276"/>
        </w:trPr>
        <w:tc>
          <w:tcPr>
            <w:tcW w:w="9378" w:type="dxa"/>
            <w:tcBorders>
              <w:top w:val="nil"/>
              <w:left w:val="nil"/>
              <w:bottom w:val="nil"/>
              <w:right w:val="nil"/>
            </w:tcBorders>
            <w:shd w:val="clear" w:color="auto" w:fill="auto"/>
            <w:noWrap/>
            <w:vAlign w:val="bottom"/>
            <w:hideMark/>
          </w:tcPr>
          <w:p w14:paraId="3D85CFA2" w14:textId="77777777" w:rsidR="0010235F" w:rsidRPr="0010235F" w:rsidRDefault="0010235F" w:rsidP="0010235F">
            <w:pPr>
              <w:rPr>
                <w:rFonts w:ascii="Arial" w:hAnsi="Arial" w:cs="Arial"/>
                <w:color w:val="000000"/>
              </w:rPr>
            </w:pPr>
            <w:r w:rsidRPr="0010235F">
              <w:rPr>
                <w:rFonts w:ascii="Arial" w:hAnsi="Arial" w:cs="Arial"/>
                <w:color w:val="000000"/>
              </w:rPr>
              <w:t xml:space="preserve">Air concentrations calculated using dispersion factors from </w:t>
            </w:r>
            <w:r>
              <w:rPr>
                <w:rFonts w:ascii="Arial" w:hAnsi="Arial" w:cs="Arial"/>
                <w:color w:val="000000"/>
              </w:rPr>
              <w:t xml:space="preserve">OAR 340-245-8060 </w:t>
            </w:r>
            <w:r w:rsidRPr="0010235F">
              <w:rPr>
                <w:rFonts w:ascii="Arial" w:hAnsi="Arial" w:cs="Arial"/>
                <w:color w:val="000000"/>
              </w:rPr>
              <w:t xml:space="preserve">Table </w:t>
            </w:r>
            <w:r>
              <w:rPr>
                <w:rFonts w:ascii="Arial" w:hAnsi="Arial" w:cs="Arial"/>
                <w:color w:val="000000"/>
              </w:rPr>
              <w:t>6</w:t>
            </w:r>
            <w:r w:rsidRPr="0010235F">
              <w:rPr>
                <w:rFonts w:ascii="Arial" w:hAnsi="Arial" w:cs="Arial"/>
                <w:color w:val="000000"/>
              </w:rPr>
              <w:t>.</w:t>
            </w:r>
          </w:p>
        </w:tc>
      </w:tr>
    </w:tbl>
    <w:p w14:paraId="3D85CFA4" w14:textId="77777777" w:rsidR="0010235F" w:rsidRPr="0010235F" w:rsidRDefault="0010235F" w:rsidP="0010235F">
      <w:pPr>
        <w:rPr>
          <w:rFonts w:ascii="Arial" w:hAnsi="Arial" w:cs="Arial"/>
        </w:rPr>
      </w:pPr>
      <w:r w:rsidRPr="0010235F">
        <w:rPr>
          <w:rFonts w:ascii="Arial" w:hAnsi="Arial" w:cs="Arial"/>
        </w:rPr>
        <w:br w:type="page"/>
      </w:r>
    </w:p>
    <w:p w14:paraId="3D85CFA5" w14:textId="77777777" w:rsidR="0010235F" w:rsidRPr="0010235F" w:rsidRDefault="0010235F" w:rsidP="0010235F">
      <w:pPr>
        <w:pStyle w:val="NoSpacing"/>
        <w:jc w:val="center"/>
        <w:rPr>
          <w:rFonts w:ascii="Arial" w:hAnsi="Arial" w:cs="Arial"/>
          <w:b/>
        </w:rPr>
      </w:pPr>
      <w:r w:rsidRPr="0010235F">
        <w:rPr>
          <w:rFonts w:ascii="Arial" w:hAnsi="Arial" w:cs="Arial"/>
          <w:b/>
        </w:rPr>
        <w:t>Ex</w:t>
      </w:r>
      <w:r>
        <w:rPr>
          <w:rFonts w:ascii="Arial" w:hAnsi="Arial" w:cs="Arial"/>
          <w:b/>
        </w:rPr>
        <w:t>ample</w:t>
      </w:r>
      <w:r w:rsidRPr="0010235F">
        <w:rPr>
          <w:rFonts w:ascii="Arial" w:hAnsi="Arial" w:cs="Arial"/>
          <w:b/>
        </w:rPr>
        <w:t xml:space="preserve"> 2 –Summary Risk Table for Level 2 Screening Risk Assessment</w:t>
      </w:r>
    </w:p>
    <w:p w14:paraId="3D85CFA6" w14:textId="77777777" w:rsidR="0010235F" w:rsidRPr="0010235F" w:rsidRDefault="0010235F" w:rsidP="0010235F">
      <w:pPr>
        <w:pStyle w:val="NoSpacing"/>
        <w:rPr>
          <w:rFonts w:ascii="Arial" w:hAnsi="Arial" w:cs="Arial"/>
        </w:rPr>
      </w:pPr>
    </w:p>
    <w:tbl>
      <w:tblPr>
        <w:tblW w:w="20865" w:type="dxa"/>
        <w:tblInd w:w="99" w:type="dxa"/>
        <w:tblLook w:val="04A0" w:firstRow="1" w:lastRow="0" w:firstColumn="1" w:lastColumn="0" w:noHBand="0" w:noVBand="1"/>
      </w:tblPr>
      <w:tblGrid>
        <w:gridCol w:w="1429"/>
        <w:gridCol w:w="1279"/>
        <w:gridCol w:w="967"/>
        <w:gridCol w:w="906"/>
        <w:gridCol w:w="1250"/>
        <w:gridCol w:w="1039"/>
        <w:gridCol w:w="1274"/>
        <w:gridCol w:w="967"/>
        <w:gridCol w:w="906"/>
        <w:gridCol w:w="1250"/>
        <w:gridCol w:w="1051"/>
        <w:gridCol w:w="1170"/>
        <w:gridCol w:w="967"/>
        <w:gridCol w:w="906"/>
        <w:gridCol w:w="1250"/>
        <w:gridCol w:w="1051"/>
        <w:gridCol w:w="1197"/>
        <w:gridCol w:w="967"/>
        <w:gridCol w:w="1039"/>
      </w:tblGrid>
      <w:tr w:rsidR="0010235F" w:rsidRPr="0010235F" w14:paraId="3D85CFAD" w14:textId="77777777" w:rsidTr="00923502">
        <w:trPr>
          <w:trHeight w:val="288"/>
        </w:trPr>
        <w:tc>
          <w:tcPr>
            <w:tcW w:w="1429" w:type="dxa"/>
            <w:tcBorders>
              <w:top w:val="single" w:sz="4" w:space="0" w:color="auto"/>
              <w:left w:val="single" w:sz="4" w:space="0" w:color="auto"/>
              <w:bottom w:val="single" w:sz="4" w:space="0" w:color="auto"/>
              <w:right w:val="nil"/>
            </w:tcBorders>
            <w:shd w:val="clear" w:color="auto" w:fill="auto"/>
            <w:noWrap/>
            <w:vAlign w:val="bottom"/>
            <w:hideMark/>
          </w:tcPr>
          <w:p w14:paraId="3D85CFA7"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5441" w:type="dxa"/>
            <w:gridSpan w:val="5"/>
            <w:tcBorders>
              <w:top w:val="single" w:sz="4" w:space="0" w:color="auto"/>
              <w:left w:val="nil"/>
              <w:bottom w:val="single" w:sz="4" w:space="0" w:color="auto"/>
              <w:right w:val="nil"/>
            </w:tcBorders>
            <w:shd w:val="clear" w:color="auto" w:fill="auto"/>
            <w:noWrap/>
            <w:vAlign w:val="bottom"/>
            <w:hideMark/>
          </w:tcPr>
          <w:p w14:paraId="3D85CFA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Residential Exposure</w:t>
            </w:r>
          </w:p>
        </w:tc>
        <w:tc>
          <w:tcPr>
            <w:tcW w:w="544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85CFA9"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Non-Resident Child Exposure</w:t>
            </w:r>
          </w:p>
        </w:tc>
        <w:tc>
          <w:tcPr>
            <w:tcW w:w="4293" w:type="dxa"/>
            <w:gridSpan w:val="4"/>
            <w:tcBorders>
              <w:top w:val="single" w:sz="4" w:space="0" w:color="auto"/>
              <w:left w:val="nil"/>
              <w:bottom w:val="single" w:sz="4" w:space="0" w:color="auto"/>
              <w:right w:val="nil"/>
            </w:tcBorders>
            <w:shd w:val="clear" w:color="auto" w:fill="auto"/>
            <w:noWrap/>
            <w:vAlign w:val="bottom"/>
            <w:hideMark/>
          </w:tcPr>
          <w:p w14:paraId="3D85CFA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Non-Resident Worker Exposure</w:t>
            </w:r>
          </w:p>
        </w:tc>
        <w:tc>
          <w:tcPr>
            <w:tcW w:w="1051" w:type="dxa"/>
            <w:tcBorders>
              <w:top w:val="single" w:sz="4" w:space="0" w:color="auto"/>
              <w:left w:val="nil"/>
              <w:bottom w:val="single" w:sz="4" w:space="0" w:color="auto"/>
              <w:right w:val="nil"/>
            </w:tcBorders>
            <w:shd w:val="clear" w:color="auto" w:fill="auto"/>
            <w:noWrap/>
            <w:vAlign w:val="bottom"/>
            <w:hideMark/>
          </w:tcPr>
          <w:p w14:paraId="3D85CFA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320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85CFA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Acute Exposure</w:t>
            </w:r>
          </w:p>
        </w:tc>
      </w:tr>
      <w:tr w:rsidR="0010235F" w:rsidRPr="0010235F" w14:paraId="3D85CFC1" w14:textId="77777777" w:rsidTr="00607B7E">
        <w:trPr>
          <w:trHeight w:val="288"/>
        </w:trPr>
        <w:tc>
          <w:tcPr>
            <w:tcW w:w="1429" w:type="dxa"/>
            <w:tcBorders>
              <w:top w:val="nil"/>
              <w:left w:val="single" w:sz="4" w:space="0" w:color="auto"/>
              <w:bottom w:val="nil"/>
              <w:right w:val="nil"/>
            </w:tcBorders>
            <w:shd w:val="clear" w:color="auto" w:fill="auto"/>
            <w:noWrap/>
            <w:vAlign w:val="bottom"/>
            <w:hideMark/>
          </w:tcPr>
          <w:p w14:paraId="3D85CFAE"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1279" w:type="dxa"/>
            <w:tcBorders>
              <w:top w:val="nil"/>
              <w:left w:val="nil"/>
              <w:bottom w:val="nil"/>
              <w:right w:val="nil"/>
            </w:tcBorders>
            <w:shd w:val="clear" w:color="auto" w:fill="auto"/>
            <w:noWrap/>
            <w:vAlign w:val="bottom"/>
            <w:hideMark/>
          </w:tcPr>
          <w:p w14:paraId="3D85CFAF" w14:textId="77777777" w:rsidR="0010235F" w:rsidRPr="0010235F" w:rsidRDefault="0010235F" w:rsidP="009B117D">
            <w:pPr>
              <w:jc w:val="center"/>
              <w:rPr>
                <w:rFonts w:ascii="Arial" w:hAnsi="Arial" w:cs="Arial"/>
                <w:b/>
                <w:bCs/>
                <w:color w:val="000000"/>
                <w:sz w:val="20"/>
                <w:szCs w:val="20"/>
              </w:rPr>
            </w:pPr>
            <w:r w:rsidRPr="0010235F">
              <w:rPr>
                <w:rFonts w:ascii="Arial" w:hAnsi="Arial" w:cs="Arial"/>
                <w:b/>
                <w:bCs/>
                <w:color w:val="000000"/>
                <w:sz w:val="20"/>
                <w:szCs w:val="20"/>
              </w:rPr>
              <w:t>Annual Av</w:t>
            </w:r>
            <w:r w:rsidR="009B117D">
              <w:rPr>
                <w:rFonts w:ascii="Arial" w:hAnsi="Arial" w:cs="Arial"/>
                <w:b/>
                <w:bCs/>
                <w:color w:val="000000"/>
                <w:sz w:val="20"/>
                <w:szCs w:val="20"/>
              </w:rPr>
              <w:t>erage</w:t>
            </w:r>
          </w:p>
        </w:tc>
        <w:tc>
          <w:tcPr>
            <w:tcW w:w="967" w:type="dxa"/>
            <w:tcBorders>
              <w:top w:val="nil"/>
              <w:left w:val="nil"/>
              <w:bottom w:val="nil"/>
              <w:right w:val="nil"/>
            </w:tcBorders>
            <w:shd w:val="clear" w:color="auto" w:fill="auto"/>
            <w:noWrap/>
            <w:vAlign w:val="bottom"/>
            <w:hideMark/>
          </w:tcPr>
          <w:p w14:paraId="3D85CFB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906" w:type="dxa"/>
            <w:tcBorders>
              <w:top w:val="nil"/>
              <w:left w:val="nil"/>
              <w:bottom w:val="nil"/>
              <w:right w:val="nil"/>
            </w:tcBorders>
            <w:shd w:val="clear" w:color="auto" w:fill="auto"/>
            <w:noWrap/>
            <w:vAlign w:val="bottom"/>
            <w:hideMark/>
          </w:tcPr>
          <w:p w14:paraId="3D85CFB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Excess</w:t>
            </w:r>
          </w:p>
        </w:tc>
        <w:tc>
          <w:tcPr>
            <w:tcW w:w="1250" w:type="dxa"/>
            <w:tcBorders>
              <w:top w:val="nil"/>
              <w:left w:val="single" w:sz="4" w:space="0" w:color="auto"/>
              <w:bottom w:val="nil"/>
              <w:right w:val="nil"/>
            </w:tcBorders>
            <w:shd w:val="clear" w:color="auto" w:fill="auto"/>
            <w:noWrap/>
            <w:vAlign w:val="bottom"/>
            <w:hideMark/>
          </w:tcPr>
          <w:p w14:paraId="3D85CFB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1039" w:type="dxa"/>
            <w:tcBorders>
              <w:top w:val="nil"/>
              <w:left w:val="nil"/>
              <w:bottom w:val="nil"/>
              <w:right w:val="single" w:sz="4" w:space="0" w:color="auto"/>
            </w:tcBorders>
            <w:shd w:val="clear" w:color="auto" w:fill="auto"/>
            <w:noWrap/>
            <w:vAlign w:val="bottom"/>
            <w:hideMark/>
          </w:tcPr>
          <w:p w14:paraId="3D85CFB3"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74" w:type="dxa"/>
            <w:tcBorders>
              <w:top w:val="nil"/>
              <w:left w:val="nil"/>
              <w:bottom w:val="nil"/>
              <w:right w:val="nil"/>
            </w:tcBorders>
            <w:shd w:val="clear" w:color="auto" w:fill="auto"/>
            <w:noWrap/>
            <w:vAlign w:val="bottom"/>
            <w:hideMark/>
          </w:tcPr>
          <w:p w14:paraId="3D85CFB4" w14:textId="77777777" w:rsidR="0010235F" w:rsidRPr="0010235F" w:rsidRDefault="0010235F" w:rsidP="009B117D">
            <w:pPr>
              <w:jc w:val="center"/>
              <w:rPr>
                <w:rFonts w:ascii="Arial" w:hAnsi="Arial" w:cs="Arial"/>
                <w:b/>
                <w:bCs/>
                <w:color w:val="000000"/>
                <w:sz w:val="20"/>
                <w:szCs w:val="20"/>
              </w:rPr>
            </w:pPr>
            <w:r w:rsidRPr="0010235F">
              <w:rPr>
                <w:rFonts w:ascii="Arial" w:hAnsi="Arial" w:cs="Arial"/>
                <w:b/>
                <w:bCs/>
                <w:color w:val="000000"/>
                <w:sz w:val="20"/>
                <w:szCs w:val="20"/>
              </w:rPr>
              <w:t>Annual Av</w:t>
            </w:r>
            <w:r w:rsidR="009B117D">
              <w:rPr>
                <w:rFonts w:ascii="Arial" w:hAnsi="Arial" w:cs="Arial"/>
                <w:b/>
                <w:bCs/>
                <w:color w:val="000000"/>
                <w:sz w:val="20"/>
                <w:szCs w:val="20"/>
              </w:rPr>
              <w:t>erage</w:t>
            </w:r>
          </w:p>
        </w:tc>
        <w:tc>
          <w:tcPr>
            <w:tcW w:w="967" w:type="dxa"/>
            <w:tcBorders>
              <w:top w:val="nil"/>
              <w:left w:val="nil"/>
              <w:bottom w:val="nil"/>
              <w:right w:val="nil"/>
            </w:tcBorders>
            <w:shd w:val="clear" w:color="auto" w:fill="auto"/>
            <w:noWrap/>
            <w:vAlign w:val="bottom"/>
            <w:hideMark/>
          </w:tcPr>
          <w:p w14:paraId="3D85CFB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906" w:type="dxa"/>
            <w:tcBorders>
              <w:top w:val="nil"/>
              <w:left w:val="nil"/>
              <w:bottom w:val="nil"/>
              <w:right w:val="nil"/>
            </w:tcBorders>
            <w:shd w:val="clear" w:color="auto" w:fill="auto"/>
            <w:noWrap/>
            <w:vAlign w:val="bottom"/>
            <w:hideMark/>
          </w:tcPr>
          <w:p w14:paraId="3D85CFB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Excess</w:t>
            </w:r>
          </w:p>
        </w:tc>
        <w:tc>
          <w:tcPr>
            <w:tcW w:w="1250" w:type="dxa"/>
            <w:tcBorders>
              <w:top w:val="nil"/>
              <w:left w:val="nil"/>
              <w:bottom w:val="nil"/>
              <w:right w:val="nil"/>
            </w:tcBorders>
            <w:shd w:val="clear" w:color="auto" w:fill="auto"/>
            <w:noWrap/>
            <w:vAlign w:val="bottom"/>
            <w:hideMark/>
          </w:tcPr>
          <w:p w14:paraId="3D85CFB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1051" w:type="dxa"/>
            <w:tcBorders>
              <w:top w:val="nil"/>
              <w:left w:val="nil"/>
              <w:bottom w:val="nil"/>
              <w:right w:val="single" w:sz="4" w:space="0" w:color="auto"/>
            </w:tcBorders>
            <w:shd w:val="clear" w:color="auto" w:fill="auto"/>
            <w:noWrap/>
            <w:vAlign w:val="bottom"/>
            <w:hideMark/>
          </w:tcPr>
          <w:p w14:paraId="3D85CFB8"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170" w:type="dxa"/>
            <w:tcBorders>
              <w:top w:val="nil"/>
              <w:left w:val="nil"/>
              <w:bottom w:val="nil"/>
              <w:right w:val="nil"/>
            </w:tcBorders>
            <w:shd w:val="clear" w:color="auto" w:fill="auto"/>
            <w:noWrap/>
            <w:vAlign w:val="bottom"/>
            <w:hideMark/>
          </w:tcPr>
          <w:p w14:paraId="3D85CFB9" w14:textId="77777777" w:rsidR="0010235F" w:rsidRPr="0010235F" w:rsidRDefault="0010235F" w:rsidP="009B117D">
            <w:pPr>
              <w:jc w:val="center"/>
              <w:rPr>
                <w:rFonts w:ascii="Arial" w:hAnsi="Arial" w:cs="Arial"/>
                <w:b/>
                <w:bCs/>
                <w:color w:val="000000"/>
                <w:sz w:val="20"/>
                <w:szCs w:val="20"/>
              </w:rPr>
            </w:pPr>
            <w:r w:rsidRPr="0010235F">
              <w:rPr>
                <w:rFonts w:ascii="Arial" w:hAnsi="Arial" w:cs="Arial"/>
                <w:b/>
                <w:bCs/>
                <w:color w:val="000000"/>
                <w:sz w:val="20"/>
                <w:szCs w:val="20"/>
              </w:rPr>
              <w:t>Annual Av</w:t>
            </w:r>
            <w:r w:rsidR="009B117D">
              <w:rPr>
                <w:rFonts w:ascii="Arial" w:hAnsi="Arial" w:cs="Arial"/>
                <w:b/>
                <w:bCs/>
                <w:color w:val="000000"/>
                <w:sz w:val="20"/>
                <w:szCs w:val="20"/>
              </w:rPr>
              <w:t>erage</w:t>
            </w:r>
          </w:p>
        </w:tc>
        <w:tc>
          <w:tcPr>
            <w:tcW w:w="967" w:type="dxa"/>
            <w:tcBorders>
              <w:top w:val="nil"/>
              <w:left w:val="nil"/>
              <w:bottom w:val="nil"/>
              <w:right w:val="nil"/>
            </w:tcBorders>
            <w:shd w:val="clear" w:color="auto" w:fill="auto"/>
            <w:noWrap/>
            <w:vAlign w:val="bottom"/>
            <w:hideMark/>
          </w:tcPr>
          <w:p w14:paraId="3D85CFB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906" w:type="dxa"/>
            <w:tcBorders>
              <w:top w:val="nil"/>
              <w:left w:val="nil"/>
              <w:bottom w:val="nil"/>
            </w:tcBorders>
            <w:shd w:val="clear" w:color="auto" w:fill="auto"/>
            <w:noWrap/>
            <w:vAlign w:val="bottom"/>
            <w:hideMark/>
          </w:tcPr>
          <w:p w14:paraId="3D85CFB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Excess</w:t>
            </w:r>
          </w:p>
        </w:tc>
        <w:tc>
          <w:tcPr>
            <w:tcW w:w="1250" w:type="dxa"/>
            <w:tcBorders>
              <w:top w:val="nil"/>
              <w:bottom w:val="nil"/>
              <w:right w:val="nil"/>
            </w:tcBorders>
            <w:shd w:val="clear" w:color="auto" w:fill="auto"/>
            <w:noWrap/>
            <w:vAlign w:val="bottom"/>
            <w:hideMark/>
          </w:tcPr>
          <w:p w14:paraId="3D85CFB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1051" w:type="dxa"/>
            <w:tcBorders>
              <w:top w:val="nil"/>
              <w:left w:val="nil"/>
              <w:bottom w:val="nil"/>
              <w:right w:val="single" w:sz="4" w:space="0" w:color="auto"/>
            </w:tcBorders>
            <w:shd w:val="clear" w:color="auto" w:fill="auto"/>
            <w:noWrap/>
            <w:vAlign w:val="bottom"/>
            <w:hideMark/>
          </w:tcPr>
          <w:p w14:paraId="3D85CFBD"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197" w:type="dxa"/>
            <w:tcBorders>
              <w:top w:val="nil"/>
              <w:left w:val="nil"/>
              <w:bottom w:val="nil"/>
              <w:right w:val="nil"/>
            </w:tcBorders>
            <w:shd w:val="clear" w:color="auto" w:fill="auto"/>
            <w:noWrap/>
            <w:vAlign w:val="bottom"/>
            <w:hideMark/>
          </w:tcPr>
          <w:p w14:paraId="3D85CFBE" w14:textId="77777777" w:rsidR="0010235F" w:rsidRPr="0010235F" w:rsidRDefault="009B117D" w:rsidP="009B117D">
            <w:pPr>
              <w:jc w:val="center"/>
              <w:rPr>
                <w:rFonts w:ascii="Arial" w:hAnsi="Arial" w:cs="Arial"/>
                <w:b/>
                <w:bCs/>
                <w:color w:val="000000"/>
                <w:sz w:val="20"/>
                <w:szCs w:val="20"/>
              </w:rPr>
            </w:pPr>
            <w:r>
              <w:rPr>
                <w:rFonts w:ascii="Arial" w:hAnsi="Arial" w:cs="Arial"/>
                <w:b/>
                <w:bCs/>
                <w:color w:val="000000"/>
                <w:sz w:val="20"/>
                <w:szCs w:val="20"/>
              </w:rPr>
              <w:t>24-Hour</w:t>
            </w:r>
            <w:r w:rsidR="0010235F" w:rsidRPr="0010235F">
              <w:rPr>
                <w:rFonts w:ascii="Arial" w:hAnsi="Arial" w:cs="Arial"/>
                <w:b/>
                <w:bCs/>
                <w:color w:val="000000"/>
                <w:sz w:val="20"/>
                <w:szCs w:val="20"/>
              </w:rPr>
              <w:t xml:space="preserve"> Av</w:t>
            </w:r>
            <w:r>
              <w:rPr>
                <w:rFonts w:ascii="Arial" w:hAnsi="Arial" w:cs="Arial"/>
                <w:b/>
                <w:bCs/>
                <w:color w:val="000000"/>
                <w:sz w:val="20"/>
                <w:szCs w:val="20"/>
              </w:rPr>
              <w:t>erage</w:t>
            </w:r>
          </w:p>
        </w:tc>
        <w:tc>
          <w:tcPr>
            <w:tcW w:w="967" w:type="dxa"/>
            <w:tcBorders>
              <w:top w:val="nil"/>
              <w:left w:val="nil"/>
              <w:bottom w:val="nil"/>
              <w:right w:val="nil"/>
            </w:tcBorders>
            <w:shd w:val="clear" w:color="auto" w:fill="auto"/>
            <w:noWrap/>
            <w:vAlign w:val="bottom"/>
            <w:hideMark/>
          </w:tcPr>
          <w:p w14:paraId="3D85CFB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Acute</w:t>
            </w:r>
          </w:p>
        </w:tc>
        <w:tc>
          <w:tcPr>
            <w:tcW w:w="1039" w:type="dxa"/>
            <w:tcBorders>
              <w:top w:val="nil"/>
              <w:left w:val="nil"/>
              <w:bottom w:val="nil"/>
              <w:right w:val="single" w:sz="4" w:space="0" w:color="auto"/>
            </w:tcBorders>
            <w:shd w:val="clear" w:color="auto" w:fill="auto"/>
            <w:noWrap/>
            <w:vAlign w:val="bottom"/>
            <w:hideMark/>
          </w:tcPr>
          <w:p w14:paraId="3D85CFC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r>
      <w:tr w:rsidR="0010235F" w:rsidRPr="0010235F" w14:paraId="3D85CFD5" w14:textId="77777777" w:rsidTr="00607B7E">
        <w:trPr>
          <w:trHeight w:val="288"/>
        </w:trPr>
        <w:tc>
          <w:tcPr>
            <w:tcW w:w="1429" w:type="dxa"/>
            <w:tcBorders>
              <w:top w:val="nil"/>
              <w:left w:val="single" w:sz="4" w:space="0" w:color="auto"/>
              <w:bottom w:val="nil"/>
              <w:right w:val="nil"/>
            </w:tcBorders>
            <w:shd w:val="clear" w:color="auto" w:fill="auto"/>
            <w:noWrap/>
            <w:vAlign w:val="bottom"/>
            <w:hideMark/>
          </w:tcPr>
          <w:p w14:paraId="3D85CFC2"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 </w:t>
            </w:r>
          </w:p>
        </w:tc>
        <w:tc>
          <w:tcPr>
            <w:tcW w:w="1279" w:type="dxa"/>
            <w:tcBorders>
              <w:top w:val="nil"/>
              <w:left w:val="nil"/>
              <w:bottom w:val="nil"/>
              <w:right w:val="nil"/>
            </w:tcBorders>
            <w:shd w:val="clear" w:color="auto" w:fill="auto"/>
            <w:noWrap/>
            <w:vAlign w:val="bottom"/>
            <w:hideMark/>
          </w:tcPr>
          <w:p w14:paraId="3D85CFC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Conc.</w:t>
            </w:r>
          </w:p>
        </w:tc>
        <w:tc>
          <w:tcPr>
            <w:tcW w:w="967" w:type="dxa"/>
            <w:tcBorders>
              <w:top w:val="nil"/>
              <w:left w:val="nil"/>
              <w:bottom w:val="nil"/>
              <w:right w:val="nil"/>
            </w:tcBorders>
            <w:shd w:val="clear" w:color="auto" w:fill="auto"/>
            <w:noWrap/>
            <w:vAlign w:val="bottom"/>
            <w:hideMark/>
          </w:tcPr>
          <w:p w14:paraId="3D85CFC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906" w:type="dxa"/>
            <w:tcBorders>
              <w:top w:val="nil"/>
              <w:left w:val="nil"/>
              <w:bottom w:val="nil"/>
              <w:right w:val="nil"/>
            </w:tcBorders>
            <w:shd w:val="clear" w:color="auto" w:fill="auto"/>
            <w:noWrap/>
            <w:vAlign w:val="bottom"/>
            <w:hideMark/>
          </w:tcPr>
          <w:p w14:paraId="3D85CFC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1250" w:type="dxa"/>
            <w:tcBorders>
              <w:top w:val="nil"/>
              <w:left w:val="single" w:sz="4" w:space="0" w:color="auto"/>
              <w:bottom w:val="nil"/>
              <w:right w:val="nil"/>
            </w:tcBorders>
            <w:shd w:val="clear" w:color="auto" w:fill="auto"/>
            <w:noWrap/>
            <w:vAlign w:val="bottom"/>
            <w:hideMark/>
          </w:tcPr>
          <w:p w14:paraId="3D85CFC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Noncancer</w:t>
            </w:r>
          </w:p>
        </w:tc>
        <w:tc>
          <w:tcPr>
            <w:tcW w:w="1039" w:type="dxa"/>
            <w:tcBorders>
              <w:top w:val="nil"/>
              <w:left w:val="nil"/>
              <w:bottom w:val="nil"/>
              <w:right w:val="single" w:sz="4" w:space="0" w:color="auto"/>
            </w:tcBorders>
            <w:shd w:val="clear" w:color="auto" w:fill="auto"/>
            <w:noWrap/>
            <w:vAlign w:val="bottom"/>
            <w:hideMark/>
          </w:tcPr>
          <w:p w14:paraId="3D85CFC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Hazard</w:t>
            </w:r>
          </w:p>
        </w:tc>
        <w:tc>
          <w:tcPr>
            <w:tcW w:w="1274" w:type="dxa"/>
            <w:tcBorders>
              <w:top w:val="nil"/>
              <w:left w:val="nil"/>
              <w:bottom w:val="nil"/>
              <w:right w:val="nil"/>
            </w:tcBorders>
            <w:shd w:val="clear" w:color="auto" w:fill="auto"/>
            <w:noWrap/>
            <w:vAlign w:val="bottom"/>
            <w:hideMark/>
          </w:tcPr>
          <w:p w14:paraId="3D85CFC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Conc.</w:t>
            </w:r>
          </w:p>
        </w:tc>
        <w:tc>
          <w:tcPr>
            <w:tcW w:w="967" w:type="dxa"/>
            <w:tcBorders>
              <w:top w:val="nil"/>
              <w:left w:val="nil"/>
              <w:bottom w:val="nil"/>
              <w:right w:val="nil"/>
            </w:tcBorders>
            <w:shd w:val="clear" w:color="auto" w:fill="auto"/>
            <w:noWrap/>
            <w:vAlign w:val="bottom"/>
            <w:hideMark/>
          </w:tcPr>
          <w:p w14:paraId="3D85CFC9"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906" w:type="dxa"/>
            <w:tcBorders>
              <w:top w:val="nil"/>
              <w:left w:val="nil"/>
              <w:bottom w:val="nil"/>
              <w:right w:val="nil"/>
            </w:tcBorders>
            <w:shd w:val="clear" w:color="auto" w:fill="auto"/>
            <w:noWrap/>
            <w:vAlign w:val="bottom"/>
            <w:hideMark/>
          </w:tcPr>
          <w:p w14:paraId="3D85CFC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1250" w:type="dxa"/>
            <w:tcBorders>
              <w:top w:val="nil"/>
              <w:left w:val="nil"/>
              <w:bottom w:val="nil"/>
              <w:right w:val="nil"/>
            </w:tcBorders>
            <w:shd w:val="clear" w:color="auto" w:fill="auto"/>
            <w:noWrap/>
            <w:vAlign w:val="bottom"/>
            <w:hideMark/>
          </w:tcPr>
          <w:p w14:paraId="3D85CFC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Noncancer</w:t>
            </w:r>
          </w:p>
        </w:tc>
        <w:tc>
          <w:tcPr>
            <w:tcW w:w="1051" w:type="dxa"/>
            <w:tcBorders>
              <w:top w:val="nil"/>
              <w:left w:val="nil"/>
              <w:bottom w:val="nil"/>
              <w:right w:val="single" w:sz="4" w:space="0" w:color="auto"/>
            </w:tcBorders>
            <w:shd w:val="clear" w:color="auto" w:fill="auto"/>
            <w:noWrap/>
            <w:vAlign w:val="bottom"/>
            <w:hideMark/>
          </w:tcPr>
          <w:p w14:paraId="3D85CFC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Hazard</w:t>
            </w:r>
          </w:p>
        </w:tc>
        <w:tc>
          <w:tcPr>
            <w:tcW w:w="1170" w:type="dxa"/>
            <w:tcBorders>
              <w:top w:val="nil"/>
              <w:left w:val="nil"/>
              <w:bottom w:val="nil"/>
              <w:right w:val="nil"/>
            </w:tcBorders>
            <w:shd w:val="clear" w:color="auto" w:fill="auto"/>
            <w:noWrap/>
            <w:vAlign w:val="bottom"/>
            <w:hideMark/>
          </w:tcPr>
          <w:p w14:paraId="3D85CFC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Conc.</w:t>
            </w:r>
          </w:p>
        </w:tc>
        <w:tc>
          <w:tcPr>
            <w:tcW w:w="967" w:type="dxa"/>
            <w:tcBorders>
              <w:top w:val="nil"/>
              <w:left w:val="nil"/>
              <w:bottom w:val="nil"/>
              <w:right w:val="nil"/>
            </w:tcBorders>
            <w:shd w:val="clear" w:color="auto" w:fill="auto"/>
            <w:noWrap/>
            <w:vAlign w:val="bottom"/>
            <w:hideMark/>
          </w:tcPr>
          <w:p w14:paraId="3D85CFCE"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906" w:type="dxa"/>
            <w:tcBorders>
              <w:top w:val="nil"/>
              <w:left w:val="nil"/>
              <w:bottom w:val="nil"/>
            </w:tcBorders>
            <w:shd w:val="clear" w:color="auto" w:fill="auto"/>
            <w:noWrap/>
            <w:vAlign w:val="bottom"/>
            <w:hideMark/>
          </w:tcPr>
          <w:p w14:paraId="3D85CFC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1250" w:type="dxa"/>
            <w:tcBorders>
              <w:top w:val="nil"/>
              <w:bottom w:val="nil"/>
              <w:right w:val="nil"/>
            </w:tcBorders>
            <w:shd w:val="clear" w:color="auto" w:fill="auto"/>
            <w:noWrap/>
            <w:vAlign w:val="bottom"/>
            <w:hideMark/>
          </w:tcPr>
          <w:p w14:paraId="3D85CFD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Noncancer</w:t>
            </w:r>
          </w:p>
        </w:tc>
        <w:tc>
          <w:tcPr>
            <w:tcW w:w="1051" w:type="dxa"/>
            <w:tcBorders>
              <w:top w:val="nil"/>
              <w:left w:val="nil"/>
              <w:bottom w:val="nil"/>
              <w:right w:val="single" w:sz="4" w:space="0" w:color="auto"/>
            </w:tcBorders>
            <w:shd w:val="clear" w:color="auto" w:fill="auto"/>
            <w:noWrap/>
            <w:vAlign w:val="bottom"/>
            <w:hideMark/>
          </w:tcPr>
          <w:p w14:paraId="3D85CFD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Hazard</w:t>
            </w:r>
          </w:p>
        </w:tc>
        <w:tc>
          <w:tcPr>
            <w:tcW w:w="1197" w:type="dxa"/>
            <w:tcBorders>
              <w:top w:val="nil"/>
              <w:left w:val="nil"/>
              <w:bottom w:val="nil"/>
              <w:right w:val="nil"/>
            </w:tcBorders>
            <w:shd w:val="clear" w:color="auto" w:fill="auto"/>
            <w:noWrap/>
            <w:vAlign w:val="bottom"/>
            <w:hideMark/>
          </w:tcPr>
          <w:p w14:paraId="3D85CFD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Conc.</w:t>
            </w:r>
          </w:p>
        </w:tc>
        <w:tc>
          <w:tcPr>
            <w:tcW w:w="967" w:type="dxa"/>
            <w:tcBorders>
              <w:top w:val="nil"/>
              <w:left w:val="nil"/>
              <w:bottom w:val="nil"/>
              <w:right w:val="nil"/>
            </w:tcBorders>
            <w:shd w:val="clear" w:color="auto" w:fill="auto"/>
            <w:noWrap/>
            <w:vAlign w:val="bottom"/>
            <w:hideMark/>
          </w:tcPr>
          <w:p w14:paraId="3D85CFD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1039" w:type="dxa"/>
            <w:tcBorders>
              <w:top w:val="nil"/>
              <w:left w:val="nil"/>
              <w:bottom w:val="nil"/>
              <w:right w:val="single" w:sz="4" w:space="0" w:color="auto"/>
            </w:tcBorders>
            <w:shd w:val="clear" w:color="auto" w:fill="auto"/>
            <w:noWrap/>
            <w:vAlign w:val="bottom"/>
            <w:hideMark/>
          </w:tcPr>
          <w:p w14:paraId="3D85CFD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Hazard</w:t>
            </w:r>
          </w:p>
        </w:tc>
      </w:tr>
      <w:tr w:rsidR="0010235F" w:rsidRPr="0010235F" w14:paraId="3D85CFE9" w14:textId="77777777" w:rsidTr="00607B7E">
        <w:trPr>
          <w:trHeight w:val="288"/>
        </w:trPr>
        <w:tc>
          <w:tcPr>
            <w:tcW w:w="1429" w:type="dxa"/>
            <w:tcBorders>
              <w:top w:val="nil"/>
              <w:left w:val="single" w:sz="4" w:space="0" w:color="auto"/>
              <w:bottom w:val="single" w:sz="4" w:space="0" w:color="auto"/>
              <w:right w:val="nil"/>
            </w:tcBorders>
            <w:shd w:val="clear" w:color="auto" w:fill="auto"/>
            <w:noWrap/>
            <w:vAlign w:val="bottom"/>
            <w:hideMark/>
          </w:tcPr>
          <w:p w14:paraId="3D85CFD6" w14:textId="77777777" w:rsidR="0010235F" w:rsidRPr="0010235F" w:rsidRDefault="009B117D" w:rsidP="0010235F">
            <w:pPr>
              <w:rPr>
                <w:rFonts w:ascii="Arial" w:hAnsi="Arial" w:cs="Arial"/>
                <w:b/>
                <w:bCs/>
                <w:color w:val="000000"/>
                <w:sz w:val="20"/>
                <w:szCs w:val="20"/>
              </w:rPr>
            </w:pPr>
            <w:r>
              <w:rPr>
                <w:rFonts w:ascii="Arial" w:hAnsi="Arial" w:cs="Arial"/>
                <w:b/>
                <w:bCs/>
                <w:color w:val="000000"/>
                <w:sz w:val="20"/>
                <w:szCs w:val="20"/>
              </w:rPr>
              <w:t>Air Toxic</w:t>
            </w:r>
          </w:p>
        </w:tc>
        <w:tc>
          <w:tcPr>
            <w:tcW w:w="1279" w:type="dxa"/>
            <w:tcBorders>
              <w:top w:val="nil"/>
              <w:left w:val="nil"/>
              <w:bottom w:val="single" w:sz="4" w:space="0" w:color="auto"/>
              <w:right w:val="nil"/>
            </w:tcBorders>
            <w:shd w:val="clear" w:color="auto" w:fill="auto"/>
            <w:noWrap/>
            <w:vAlign w:val="bottom"/>
            <w:hideMark/>
          </w:tcPr>
          <w:p w14:paraId="3D85CFD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67" w:type="dxa"/>
            <w:tcBorders>
              <w:top w:val="nil"/>
              <w:left w:val="nil"/>
              <w:bottom w:val="single" w:sz="4" w:space="0" w:color="auto"/>
              <w:right w:val="nil"/>
            </w:tcBorders>
            <w:shd w:val="clear" w:color="auto" w:fill="auto"/>
            <w:noWrap/>
            <w:vAlign w:val="bottom"/>
            <w:hideMark/>
          </w:tcPr>
          <w:p w14:paraId="3D85CFD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06" w:type="dxa"/>
            <w:tcBorders>
              <w:top w:val="nil"/>
              <w:left w:val="nil"/>
              <w:bottom w:val="single" w:sz="4" w:space="0" w:color="auto"/>
              <w:right w:val="nil"/>
            </w:tcBorders>
            <w:shd w:val="clear" w:color="auto" w:fill="auto"/>
            <w:noWrap/>
            <w:vAlign w:val="bottom"/>
            <w:hideMark/>
          </w:tcPr>
          <w:p w14:paraId="3D85CFD9"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Risk</w:t>
            </w:r>
          </w:p>
        </w:tc>
        <w:tc>
          <w:tcPr>
            <w:tcW w:w="1250" w:type="dxa"/>
            <w:tcBorders>
              <w:top w:val="nil"/>
              <w:left w:val="single" w:sz="4" w:space="0" w:color="auto"/>
              <w:bottom w:val="single" w:sz="4" w:space="0" w:color="auto"/>
              <w:right w:val="nil"/>
            </w:tcBorders>
            <w:shd w:val="clear" w:color="auto" w:fill="auto"/>
            <w:noWrap/>
            <w:vAlign w:val="bottom"/>
            <w:hideMark/>
          </w:tcPr>
          <w:p w14:paraId="3D85CFD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1039" w:type="dxa"/>
            <w:tcBorders>
              <w:top w:val="nil"/>
              <w:left w:val="nil"/>
              <w:bottom w:val="single" w:sz="4" w:space="0" w:color="auto"/>
              <w:right w:val="single" w:sz="4" w:space="0" w:color="auto"/>
            </w:tcBorders>
            <w:shd w:val="clear" w:color="auto" w:fill="auto"/>
            <w:noWrap/>
            <w:vAlign w:val="bottom"/>
            <w:hideMark/>
          </w:tcPr>
          <w:p w14:paraId="3D85CFD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Quotient</w:t>
            </w:r>
          </w:p>
        </w:tc>
        <w:tc>
          <w:tcPr>
            <w:tcW w:w="1274" w:type="dxa"/>
            <w:tcBorders>
              <w:top w:val="nil"/>
              <w:left w:val="nil"/>
              <w:bottom w:val="single" w:sz="4" w:space="0" w:color="auto"/>
              <w:right w:val="nil"/>
            </w:tcBorders>
            <w:shd w:val="clear" w:color="auto" w:fill="auto"/>
            <w:noWrap/>
            <w:vAlign w:val="bottom"/>
            <w:hideMark/>
          </w:tcPr>
          <w:p w14:paraId="3D85CFD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67" w:type="dxa"/>
            <w:tcBorders>
              <w:top w:val="nil"/>
              <w:left w:val="nil"/>
              <w:bottom w:val="single" w:sz="4" w:space="0" w:color="auto"/>
              <w:right w:val="nil"/>
            </w:tcBorders>
            <w:shd w:val="clear" w:color="auto" w:fill="auto"/>
            <w:noWrap/>
            <w:vAlign w:val="bottom"/>
            <w:hideMark/>
          </w:tcPr>
          <w:p w14:paraId="3D85CFD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06" w:type="dxa"/>
            <w:tcBorders>
              <w:top w:val="nil"/>
              <w:left w:val="nil"/>
              <w:bottom w:val="single" w:sz="4" w:space="0" w:color="auto"/>
              <w:right w:val="nil"/>
            </w:tcBorders>
            <w:shd w:val="clear" w:color="auto" w:fill="auto"/>
            <w:noWrap/>
            <w:vAlign w:val="bottom"/>
            <w:hideMark/>
          </w:tcPr>
          <w:p w14:paraId="3D85CFDE"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Risk</w:t>
            </w:r>
          </w:p>
        </w:tc>
        <w:tc>
          <w:tcPr>
            <w:tcW w:w="1250" w:type="dxa"/>
            <w:tcBorders>
              <w:top w:val="nil"/>
              <w:left w:val="nil"/>
              <w:bottom w:val="single" w:sz="4" w:space="0" w:color="auto"/>
              <w:right w:val="nil"/>
            </w:tcBorders>
            <w:shd w:val="clear" w:color="auto" w:fill="auto"/>
            <w:noWrap/>
            <w:vAlign w:val="bottom"/>
            <w:hideMark/>
          </w:tcPr>
          <w:p w14:paraId="3D85CFD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1051" w:type="dxa"/>
            <w:tcBorders>
              <w:top w:val="nil"/>
              <w:left w:val="nil"/>
              <w:bottom w:val="single" w:sz="4" w:space="0" w:color="auto"/>
              <w:right w:val="single" w:sz="4" w:space="0" w:color="auto"/>
            </w:tcBorders>
            <w:shd w:val="clear" w:color="auto" w:fill="auto"/>
            <w:noWrap/>
            <w:vAlign w:val="bottom"/>
            <w:hideMark/>
          </w:tcPr>
          <w:p w14:paraId="3D85CFE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Quotient</w:t>
            </w:r>
          </w:p>
        </w:tc>
        <w:tc>
          <w:tcPr>
            <w:tcW w:w="1170" w:type="dxa"/>
            <w:tcBorders>
              <w:top w:val="nil"/>
              <w:left w:val="nil"/>
              <w:bottom w:val="single" w:sz="4" w:space="0" w:color="auto"/>
              <w:right w:val="nil"/>
            </w:tcBorders>
            <w:shd w:val="clear" w:color="auto" w:fill="auto"/>
            <w:noWrap/>
            <w:vAlign w:val="bottom"/>
            <w:hideMark/>
          </w:tcPr>
          <w:p w14:paraId="3D85CFE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67" w:type="dxa"/>
            <w:tcBorders>
              <w:top w:val="nil"/>
              <w:left w:val="nil"/>
              <w:bottom w:val="single" w:sz="4" w:space="0" w:color="auto"/>
              <w:right w:val="nil"/>
            </w:tcBorders>
            <w:shd w:val="clear" w:color="auto" w:fill="auto"/>
            <w:noWrap/>
            <w:vAlign w:val="bottom"/>
            <w:hideMark/>
          </w:tcPr>
          <w:p w14:paraId="3D85CFE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06" w:type="dxa"/>
            <w:tcBorders>
              <w:top w:val="nil"/>
              <w:left w:val="nil"/>
              <w:bottom w:val="single" w:sz="4" w:space="0" w:color="auto"/>
            </w:tcBorders>
            <w:shd w:val="clear" w:color="auto" w:fill="auto"/>
            <w:noWrap/>
            <w:vAlign w:val="bottom"/>
            <w:hideMark/>
          </w:tcPr>
          <w:p w14:paraId="3D85CFE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Risk</w:t>
            </w:r>
          </w:p>
        </w:tc>
        <w:tc>
          <w:tcPr>
            <w:tcW w:w="1250" w:type="dxa"/>
            <w:tcBorders>
              <w:top w:val="nil"/>
              <w:bottom w:val="single" w:sz="4" w:space="0" w:color="auto"/>
              <w:right w:val="nil"/>
            </w:tcBorders>
            <w:shd w:val="clear" w:color="auto" w:fill="auto"/>
            <w:noWrap/>
            <w:vAlign w:val="bottom"/>
            <w:hideMark/>
          </w:tcPr>
          <w:p w14:paraId="3D85CFE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1051" w:type="dxa"/>
            <w:tcBorders>
              <w:top w:val="nil"/>
              <w:left w:val="nil"/>
              <w:bottom w:val="single" w:sz="4" w:space="0" w:color="auto"/>
              <w:right w:val="single" w:sz="4" w:space="0" w:color="auto"/>
            </w:tcBorders>
            <w:shd w:val="clear" w:color="auto" w:fill="auto"/>
            <w:noWrap/>
            <w:vAlign w:val="bottom"/>
            <w:hideMark/>
          </w:tcPr>
          <w:p w14:paraId="3D85CFE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Quotient</w:t>
            </w:r>
          </w:p>
        </w:tc>
        <w:tc>
          <w:tcPr>
            <w:tcW w:w="1197" w:type="dxa"/>
            <w:tcBorders>
              <w:top w:val="nil"/>
              <w:left w:val="nil"/>
              <w:bottom w:val="single" w:sz="4" w:space="0" w:color="auto"/>
              <w:right w:val="nil"/>
            </w:tcBorders>
            <w:shd w:val="clear" w:color="auto" w:fill="auto"/>
            <w:noWrap/>
            <w:vAlign w:val="bottom"/>
            <w:hideMark/>
          </w:tcPr>
          <w:p w14:paraId="3D85CFE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67" w:type="dxa"/>
            <w:tcBorders>
              <w:top w:val="nil"/>
              <w:left w:val="nil"/>
              <w:bottom w:val="single" w:sz="4" w:space="0" w:color="auto"/>
              <w:right w:val="nil"/>
            </w:tcBorders>
            <w:shd w:val="clear" w:color="auto" w:fill="auto"/>
            <w:noWrap/>
            <w:vAlign w:val="bottom"/>
            <w:hideMark/>
          </w:tcPr>
          <w:p w14:paraId="3D85CFE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1039" w:type="dxa"/>
            <w:tcBorders>
              <w:top w:val="nil"/>
              <w:left w:val="nil"/>
              <w:bottom w:val="single" w:sz="4" w:space="0" w:color="auto"/>
              <w:right w:val="single" w:sz="4" w:space="0" w:color="auto"/>
            </w:tcBorders>
            <w:shd w:val="clear" w:color="auto" w:fill="auto"/>
            <w:noWrap/>
            <w:vAlign w:val="bottom"/>
            <w:hideMark/>
          </w:tcPr>
          <w:p w14:paraId="3D85CFE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Quotient</w:t>
            </w:r>
          </w:p>
        </w:tc>
      </w:tr>
      <w:tr w:rsidR="0010235F" w:rsidRPr="0010235F" w14:paraId="3D85CFFD" w14:textId="77777777" w:rsidTr="00607B7E">
        <w:trPr>
          <w:trHeight w:val="288"/>
        </w:trPr>
        <w:tc>
          <w:tcPr>
            <w:tcW w:w="1429" w:type="dxa"/>
            <w:tcBorders>
              <w:top w:val="nil"/>
              <w:left w:val="single" w:sz="4" w:space="0" w:color="auto"/>
              <w:bottom w:val="nil"/>
              <w:right w:val="nil"/>
            </w:tcBorders>
            <w:shd w:val="clear" w:color="auto" w:fill="auto"/>
            <w:noWrap/>
            <w:vAlign w:val="bottom"/>
            <w:hideMark/>
          </w:tcPr>
          <w:p w14:paraId="3D85CFEA"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 </w:t>
            </w:r>
          </w:p>
        </w:tc>
        <w:tc>
          <w:tcPr>
            <w:tcW w:w="1279" w:type="dxa"/>
            <w:tcBorders>
              <w:top w:val="nil"/>
              <w:left w:val="nil"/>
              <w:bottom w:val="nil"/>
              <w:right w:val="nil"/>
            </w:tcBorders>
            <w:shd w:val="clear" w:color="auto" w:fill="auto"/>
            <w:noWrap/>
            <w:vAlign w:val="bottom"/>
            <w:hideMark/>
          </w:tcPr>
          <w:p w14:paraId="3D85CFEB" w14:textId="77777777" w:rsidR="0010235F" w:rsidRPr="0010235F" w:rsidRDefault="0010235F" w:rsidP="0010235F">
            <w:pPr>
              <w:jc w:val="center"/>
              <w:rPr>
                <w:rFonts w:ascii="Arial" w:hAnsi="Arial" w:cs="Arial"/>
                <w:b/>
                <w:bCs/>
                <w:color w:val="000000"/>
                <w:sz w:val="20"/>
                <w:szCs w:val="20"/>
              </w:rPr>
            </w:pPr>
          </w:p>
        </w:tc>
        <w:tc>
          <w:tcPr>
            <w:tcW w:w="967" w:type="dxa"/>
            <w:tcBorders>
              <w:top w:val="nil"/>
              <w:left w:val="nil"/>
              <w:bottom w:val="nil"/>
              <w:right w:val="nil"/>
            </w:tcBorders>
            <w:shd w:val="clear" w:color="auto" w:fill="auto"/>
            <w:noWrap/>
            <w:vAlign w:val="bottom"/>
            <w:hideMark/>
          </w:tcPr>
          <w:p w14:paraId="3D85CFEC"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CFED"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single" w:sz="4" w:space="0" w:color="auto"/>
              <w:bottom w:val="nil"/>
              <w:right w:val="nil"/>
            </w:tcBorders>
            <w:shd w:val="clear" w:color="auto" w:fill="auto"/>
            <w:noWrap/>
            <w:vAlign w:val="bottom"/>
            <w:hideMark/>
          </w:tcPr>
          <w:p w14:paraId="3D85CFEE"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nil"/>
              <w:right w:val="nil"/>
            </w:tcBorders>
            <w:shd w:val="clear" w:color="auto" w:fill="auto"/>
            <w:noWrap/>
            <w:vAlign w:val="bottom"/>
            <w:hideMark/>
          </w:tcPr>
          <w:p w14:paraId="3D85CFEF" w14:textId="77777777" w:rsidR="0010235F" w:rsidRPr="0010235F" w:rsidRDefault="0010235F" w:rsidP="0010235F">
            <w:pPr>
              <w:jc w:val="center"/>
              <w:rPr>
                <w:rFonts w:ascii="Arial" w:hAnsi="Arial" w:cs="Arial"/>
                <w:b/>
                <w:bCs/>
                <w:color w:val="000000"/>
                <w:sz w:val="20"/>
                <w:szCs w:val="20"/>
              </w:rPr>
            </w:pPr>
          </w:p>
        </w:tc>
        <w:tc>
          <w:tcPr>
            <w:tcW w:w="1274" w:type="dxa"/>
            <w:tcBorders>
              <w:top w:val="nil"/>
              <w:left w:val="single" w:sz="4" w:space="0" w:color="auto"/>
              <w:bottom w:val="nil"/>
              <w:right w:val="nil"/>
            </w:tcBorders>
            <w:shd w:val="clear" w:color="auto" w:fill="auto"/>
            <w:noWrap/>
            <w:vAlign w:val="bottom"/>
            <w:hideMark/>
          </w:tcPr>
          <w:p w14:paraId="3D85CFF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CFF1"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CFF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left w:val="nil"/>
              <w:bottom w:val="nil"/>
              <w:right w:val="nil"/>
            </w:tcBorders>
            <w:shd w:val="clear" w:color="auto" w:fill="auto"/>
            <w:noWrap/>
            <w:vAlign w:val="bottom"/>
            <w:hideMark/>
          </w:tcPr>
          <w:p w14:paraId="3D85CFF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51" w:type="dxa"/>
            <w:tcBorders>
              <w:top w:val="nil"/>
              <w:left w:val="nil"/>
              <w:bottom w:val="nil"/>
              <w:right w:val="single" w:sz="4" w:space="0" w:color="auto"/>
            </w:tcBorders>
            <w:shd w:val="clear" w:color="auto" w:fill="auto"/>
            <w:noWrap/>
            <w:vAlign w:val="bottom"/>
            <w:hideMark/>
          </w:tcPr>
          <w:p w14:paraId="3D85CFF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70" w:type="dxa"/>
            <w:tcBorders>
              <w:top w:val="nil"/>
              <w:left w:val="nil"/>
              <w:bottom w:val="nil"/>
              <w:right w:val="nil"/>
            </w:tcBorders>
            <w:shd w:val="clear" w:color="auto" w:fill="auto"/>
            <w:noWrap/>
            <w:vAlign w:val="bottom"/>
            <w:hideMark/>
          </w:tcPr>
          <w:p w14:paraId="3D85CFF5" w14:textId="77777777" w:rsidR="0010235F" w:rsidRPr="0010235F" w:rsidRDefault="0010235F" w:rsidP="0010235F">
            <w:pPr>
              <w:jc w:val="center"/>
              <w:rPr>
                <w:rFonts w:ascii="Arial" w:hAnsi="Arial" w:cs="Arial"/>
                <w:b/>
                <w:bCs/>
                <w:color w:val="000000"/>
                <w:sz w:val="20"/>
                <w:szCs w:val="20"/>
              </w:rPr>
            </w:pPr>
          </w:p>
        </w:tc>
        <w:tc>
          <w:tcPr>
            <w:tcW w:w="967" w:type="dxa"/>
            <w:tcBorders>
              <w:top w:val="nil"/>
              <w:left w:val="nil"/>
              <w:bottom w:val="nil"/>
              <w:right w:val="nil"/>
            </w:tcBorders>
            <w:shd w:val="clear" w:color="auto" w:fill="auto"/>
            <w:noWrap/>
            <w:vAlign w:val="bottom"/>
            <w:hideMark/>
          </w:tcPr>
          <w:p w14:paraId="3D85CFF6"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tcBorders>
            <w:shd w:val="clear" w:color="auto" w:fill="auto"/>
            <w:noWrap/>
            <w:vAlign w:val="bottom"/>
            <w:hideMark/>
          </w:tcPr>
          <w:p w14:paraId="3D85CFF7" w14:textId="77777777" w:rsidR="0010235F" w:rsidRPr="0010235F" w:rsidRDefault="0010235F" w:rsidP="0010235F">
            <w:pPr>
              <w:jc w:val="center"/>
              <w:rPr>
                <w:rFonts w:ascii="Arial" w:hAnsi="Arial" w:cs="Arial"/>
                <w:b/>
                <w:bCs/>
                <w:color w:val="000000"/>
                <w:sz w:val="20"/>
                <w:szCs w:val="20"/>
              </w:rPr>
            </w:pPr>
          </w:p>
        </w:tc>
        <w:tc>
          <w:tcPr>
            <w:tcW w:w="1250" w:type="dxa"/>
            <w:tcBorders>
              <w:top w:val="nil"/>
              <w:bottom w:val="nil"/>
              <w:right w:val="nil"/>
            </w:tcBorders>
            <w:shd w:val="clear" w:color="auto" w:fill="auto"/>
            <w:noWrap/>
            <w:vAlign w:val="bottom"/>
            <w:hideMark/>
          </w:tcPr>
          <w:p w14:paraId="3D85CFF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51" w:type="dxa"/>
            <w:tcBorders>
              <w:top w:val="nil"/>
              <w:left w:val="nil"/>
              <w:bottom w:val="nil"/>
              <w:right w:val="nil"/>
            </w:tcBorders>
            <w:shd w:val="clear" w:color="auto" w:fill="auto"/>
            <w:noWrap/>
            <w:vAlign w:val="bottom"/>
            <w:hideMark/>
          </w:tcPr>
          <w:p w14:paraId="3D85CFF9" w14:textId="77777777" w:rsidR="0010235F" w:rsidRPr="0010235F" w:rsidRDefault="0010235F" w:rsidP="0010235F">
            <w:pPr>
              <w:jc w:val="center"/>
              <w:rPr>
                <w:rFonts w:ascii="Arial" w:hAnsi="Arial" w:cs="Arial"/>
                <w:b/>
                <w:bCs/>
                <w:color w:val="000000"/>
                <w:sz w:val="20"/>
                <w:szCs w:val="20"/>
              </w:rPr>
            </w:pPr>
          </w:p>
        </w:tc>
        <w:tc>
          <w:tcPr>
            <w:tcW w:w="1197" w:type="dxa"/>
            <w:tcBorders>
              <w:top w:val="nil"/>
              <w:left w:val="single" w:sz="4" w:space="0" w:color="auto"/>
              <w:bottom w:val="nil"/>
              <w:right w:val="nil"/>
            </w:tcBorders>
            <w:shd w:val="clear" w:color="auto" w:fill="auto"/>
            <w:noWrap/>
            <w:vAlign w:val="bottom"/>
            <w:hideMark/>
          </w:tcPr>
          <w:p w14:paraId="3D85CFF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CFFB"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1039" w:type="dxa"/>
            <w:tcBorders>
              <w:top w:val="nil"/>
              <w:left w:val="nil"/>
              <w:bottom w:val="nil"/>
              <w:right w:val="single" w:sz="4" w:space="0" w:color="auto"/>
            </w:tcBorders>
            <w:shd w:val="clear" w:color="auto" w:fill="auto"/>
            <w:noWrap/>
            <w:vAlign w:val="bottom"/>
            <w:hideMark/>
          </w:tcPr>
          <w:p w14:paraId="3D85CFFC"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D010" w14:textId="77777777" w:rsidTr="00607B7E">
        <w:trPr>
          <w:trHeight w:val="288"/>
        </w:trPr>
        <w:tc>
          <w:tcPr>
            <w:tcW w:w="2708" w:type="dxa"/>
            <w:gridSpan w:val="2"/>
            <w:tcBorders>
              <w:top w:val="nil"/>
              <w:left w:val="single" w:sz="4" w:space="0" w:color="auto"/>
              <w:bottom w:val="nil"/>
              <w:right w:val="nil"/>
            </w:tcBorders>
            <w:shd w:val="clear" w:color="auto" w:fill="auto"/>
            <w:noWrap/>
            <w:vAlign w:val="bottom"/>
            <w:hideMark/>
          </w:tcPr>
          <w:p w14:paraId="3D85CFFE"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Emission Unit 1</w:t>
            </w:r>
          </w:p>
        </w:tc>
        <w:tc>
          <w:tcPr>
            <w:tcW w:w="967" w:type="dxa"/>
            <w:tcBorders>
              <w:top w:val="nil"/>
              <w:left w:val="nil"/>
              <w:bottom w:val="nil"/>
              <w:right w:val="nil"/>
            </w:tcBorders>
            <w:shd w:val="clear" w:color="auto" w:fill="auto"/>
            <w:noWrap/>
            <w:vAlign w:val="bottom"/>
            <w:hideMark/>
          </w:tcPr>
          <w:p w14:paraId="3D85CFFF"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000"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single" w:sz="4" w:space="0" w:color="auto"/>
              <w:bottom w:val="nil"/>
              <w:right w:val="nil"/>
            </w:tcBorders>
            <w:shd w:val="clear" w:color="auto" w:fill="auto"/>
            <w:noWrap/>
            <w:vAlign w:val="bottom"/>
            <w:hideMark/>
          </w:tcPr>
          <w:p w14:paraId="3D85D00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nil"/>
              <w:right w:val="nil"/>
            </w:tcBorders>
            <w:shd w:val="clear" w:color="auto" w:fill="auto"/>
            <w:noWrap/>
            <w:vAlign w:val="bottom"/>
            <w:hideMark/>
          </w:tcPr>
          <w:p w14:paraId="3D85D002" w14:textId="77777777" w:rsidR="0010235F" w:rsidRPr="0010235F" w:rsidRDefault="0010235F" w:rsidP="0010235F">
            <w:pPr>
              <w:jc w:val="center"/>
              <w:rPr>
                <w:rFonts w:ascii="Arial" w:hAnsi="Arial" w:cs="Arial"/>
                <w:b/>
                <w:bCs/>
                <w:color w:val="000000"/>
                <w:sz w:val="20"/>
                <w:szCs w:val="20"/>
              </w:rPr>
            </w:pPr>
          </w:p>
        </w:tc>
        <w:tc>
          <w:tcPr>
            <w:tcW w:w="1274" w:type="dxa"/>
            <w:tcBorders>
              <w:top w:val="nil"/>
              <w:left w:val="single" w:sz="4" w:space="0" w:color="auto"/>
              <w:bottom w:val="nil"/>
              <w:right w:val="nil"/>
            </w:tcBorders>
            <w:shd w:val="clear" w:color="auto" w:fill="auto"/>
            <w:noWrap/>
            <w:vAlign w:val="bottom"/>
            <w:hideMark/>
          </w:tcPr>
          <w:p w14:paraId="3D85D00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004"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005"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nil"/>
              <w:bottom w:val="nil"/>
              <w:right w:val="nil"/>
            </w:tcBorders>
            <w:shd w:val="clear" w:color="auto" w:fill="auto"/>
            <w:noWrap/>
            <w:vAlign w:val="bottom"/>
            <w:hideMark/>
          </w:tcPr>
          <w:p w14:paraId="3D85D006" w14:textId="77777777" w:rsidR="0010235F" w:rsidRPr="0010235F" w:rsidRDefault="0010235F" w:rsidP="0010235F">
            <w:pPr>
              <w:jc w:val="center"/>
              <w:rPr>
                <w:rFonts w:ascii="Arial" w:hAnsi="Arial" w:cs="Arial"/>
                <w:b/>
                <w:bCs/>
                <w:color w:val="000000"/>
                <w:sz w:val="20"/>
                <w:szCs w:val="20"/>
              </w:rPr>
            </w:pPr>
          </w:p>
        </w:tc>
        <w:tc>
          <w:tcPr>
            <w:tcW w:w="1051" w:type="dxa"/>
            <w:tcBorders>
              <w:top w:val="nil"/>
              <w:left w:val="nil"/>
              <w:bottom w:val="nil"/>
              <w:right w:val="single" w:sz="4" w:space="0" w:color="auto"/>
            </w:tcBorders>
            <w:shd w:val="clear" w:color="auto" w:fill="auto"/>
            <w:noWrap/>
            <w:vAlign w:val="bottom"/>
            <w:hideMark/>
          </w:tcPr>
          <w:p w14:paraId="3D85D00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70" w:type="dxa"/>
            <w:tcBorders>
              <w:top w:val="nil"/>
              <w:left w:val="nil"/>
              <w:bottom w:val="nil"/>
              <w:right w:val="nil"/>
            </w:tcBorders>
            <w:shd w:val="clear" w:color="auto" w:fill="auto"/>
            <w:noWrap/>
            <w:vAlign w:val="bottom"/>
            <w:hideMark/>
          </w:tcPr>
          <w:p w14:paraId="3D85D008" w14:textId="77777777" w:rsidR="0010235F" w:rsidRPr="0010235F" w:rsidRDefault="0010235F" w:rsidP="0010235F">
            <w:pPr>
              <w:jc w:val="center"/>
              <w:rPr>
                <w:rFonts w:ascii="Arial" w:hAnsi="Arial" w:cs="Arial"/>
                <w:b/>
                <w:bCs/>
                <w:color w:val="000000"/>
                <w:sz w:val="20"/>
                <w:szCs w:val="20"/>
              </w:rPr>
            </w:pPr>
          </w:p>
        </w:tc>
        <w:tc>
          <w:tcPr>
            <w:tcW w:w="967" w:type="dxa"/>
            <w:tcBorders>
              <w:top w:val="nil"/>
              <w:left w:val="nil"/>
              <w:bottom w:val="nil"/>
              <w:right w:val="nil"/>
            </w:tcBorders>
            <w:shd w:val="clear" w:color="auto" w:fill="auto"/>
            <w:noWrap/>
            <w:vAlign w:val="bottom"/>
            <w:hideMark/>
          </w:tcPr>
          <w:p w14:paraId="3D85D009"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tcBorders>
            <w:shd w:val="clear" w:color="auto" w:fill="auto"/>
            <w:noWrap/>
            <w:vAlign w:val="bottom"/>
            <w:hideMark/>
          </w:tcPr>
          <w:p w14:paraId="3D85D00A" w14:textId="77777777" w:rsidR="0010235F" w:rsidRPr="0010235F" w:rsidRDefault="0010235F" w:rsidP="0010235F">
            <w:pPr>
              <w:jc w:val="center"/>
              <w:rPr>
                <w:rFonts w:ascii="Arial" w:hAnsi="Arial" w:cs="Arial"/>
                <w:b/>
                <w:bCs/>
                <w:color w:val="000000"/>
                <w:sz w:val="20"/>
                <w:szCs w:val="20"/>
              </w:rPr>
            </w:pPr>
          </w:p>
        </w:tc>
        <w:tc>
          <w:tcPr>
            <w:tcW w:w="1250" w:type="dxa"/>
            <w:tcBorders>
              <w:top w:val="nil"/>
              <w:bottom w:val="nil"/>
              <w:right w:val="nil"/>
            </w:tcBorders>
            <w:shd w:val="clear" w:color="auto" w:fill="auto"/>
            <w:noWrap/>
            <w:vAlign w:val="bottom"/>
            <w:hideMark/>
          </w:tcPr>
          <w:p w14:paraId="3D85D00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51" w:type="dxa"/>
            <w:tcBorders>
              <w:top w:val="nil"/>
              <w:left w:val="nil"/>
              <w:bottom w:val="nil"/>
              <w:right w:val="nil"/>
            </w:tcBorders>
            <w:shd w:val="clear" w:color="auto" w:fill="auto"/>
            <w:noWrap/>
            <w:vAlign w:val="bottom"/>
            <w:hideMark/>
          </w:tcPr>
          <w:p w14:paraId="3D85D00C" w14:textId="77777777" w:rsidR="0010235F" w:rsidRPr="0010235F" w:rsidRDefault="0010235F" w:rsidP="0010235F">
            <w:pPr>
              <w:jc w:val="center"/>
              <w:rPr>
                <w:rFonts w:ascii="Arial" w:hAnsi="Arial" w:cs="Arial"/>
                <w:b/>
                <w:bCs/>
                <w:color w:val="000000"/>
                <w:sz w:val="20"/>
                <w:szCs w:val="20"/>
              </w:rPr>
            </w:pPr>
          </w:p>
        </w:tc>
        <w:tc>
          <w:tcPr>
            <w:tcW w:w="1197" w:type="dxa"/>
            <w:tcBorders>
              <w:top w:val="nil"/>
              <w:left w:val="single" w:sz="4" w:space="0" w:color="auto"/>
              <w:bottom w:val="nil"/>
              <w:right w:val="nil"/>
            </w:tcBorders>
            <w:shd w:val="clear" w:color="auto" w:fill="auto"/>
            <w:noWrap/>
            <w:vAlign w:val="bottom"/>
            <w:hideMark/>
          </w:tcPr>
          <w:p w14:paraId="3D85D00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00E" w14:textId="77777777" w:rsidR="0010235F" w:rsidRPr="0010235F" w:rsidRDefault="0010235F" w:rsidP="0010235F">
            <w:pPr>
              <w:rPr>
                <w:rFonts w:ascii="Arial" w:hAnsi="Arial" w:cs="Arial"/>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D00F"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D024" w14:textId="77777777" w:rsidTr="00607B7E">
        <w:trPr>
          <w:trHeight w:val="288"/>
        </w:trPr>
        <w:tc>
          <w:tcPr>
            <w:tcW w:w="1429" w:type="dxa"/>
            <w:tcBorders>
              <w:top w:val="nil"/>
              <w:left w:val="single" w:sz="4" w:space="0" w:color="auto"/>
              <w:bottom w:val="nil"/>
              <w:right w:val="nil"/>
            </w:tcBorders>
            <w:shd w:val="clear" w:color="auto" w:fill="auto"/>
            <w:vAlign w:val="bottom"/>
            <w:hideMark/>
          </w:tcPr>
          <w:p w14:paraId="3D85D011"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Cobalt</w:t>
            </w:r>
          </w:p>
        </w:tc>
        <w:tc>
          <w:tcPr>
            <w:tcW w:w="1279" w:type="dxa"/>
            <w:tcBorders>
              <w:top w:val="nil"/>
              <w:left w:val="nil"/>
              <w:bottom w:val="nil"/>
              <w:right w:val="nil"/>
            </w:tcBorders>
            <w:shd w:val="clear" w:color="auto" w:fill="auto"/>
            <w:vAlign w:val="bottom"/>
            <w:hideMark/>
          </w:tcPr>
          <w:p w14:paraId="3D85D012"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0.01</w:t>
            </w:r>
            <w:r w:rsidR="00562904">
              <w:rPr>
                <w:rFonts w:ascii="Arial" w:hAnsi="Arial" w:cs="Arial"/>
                <w:color w:val="000000"/>
                <w:sz w:val="20"/>
                <w:szCs w:val="20"/>
              </w:rPr>
              <w:t>5</w:t>
            </w:r>
          </w:p>
        </w:tc>
        <w:tc>
          <w:tcPr>
            <w:tcW w:w="967" w:type="dxa"/>
            <w:tcBorders>
              <w:top w:val="nil"/>
              <w:left w:val="nil"/>
              <w:bottom w:val="nil"/>
              <w:right w:val="nil"/>
            </w:tcBorders>
            <w:shd w:val="clear" w:color="auto" w:fill="auto"/>
            <w:noWrap/>
            <w:vAlign w:val="bottom"/>
            <w:hideMark/>
          </w:tcPr>
          <w:p w14:paraId="3D85D013"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0.00011</w:t>
            </w:r>
          </w:p>
        </w:tc>
        <w:tc>
          <w:tcPr>
            <w:tcW w:w="906" w:type="dxa"/>
            <w:tcBorders>
              <w:top w:val="nil"/>
              <w:left w:val="nil"/>
              <w:bottom w:val="nil"/>
              <w:right w:val="nil"/>
            </w:tcBorders>
            <w:shd w:val="clear" w:color="auto" w:fill="auto"/>
            <w:noWrap/>
            <w:vAlign w:val="bottom"/>
            <w:hideMark/>
          </w:tcPr>
          <w:p w14:paraId="3D85D014" w14:textId="77777777" w:rsidR="0010235F" w:rsidRPr="0010235F" w:rsidRDefault="00562904" w:rsidP="0010235F">
            <w:pPr>
              <w:jc w:val="center"/>
              <w:rPr>
                <w:rFonts w:ascii="Arial" w:hAnsi="Arial" w:cs="Arial"/>
                <w:color w:val="000000"/>
                <w:sz w:val="20"/>
                <w:szCs w:val="20"/>
              </w:rPr>
            </w:pPr>
            <w:r>
              <w:rPr>
                <w:rFonts w:ascii="Arial" w:hAnsi="Arial" w:cs="Arial"/>
                <w:color w:val="000000"/>
                <w:sz w:val="20"/>
                <w:szCs w:val="20"/>
              </w:rPr>
              <w:t>136</w:t>
            </w:r>
          </w:p>
        </w:tc>
        <w:tc>
          <w:tcPr>
            <w:tcW w:w="1250" w:type="dxa"/>
            <w:tcBorders>
              <w:top w:val="nil"/>
              <w:left w:val="single" w:sz="4" w:space="0" w:color="auto"/>
              <w:bottom w:val="nil"/>
              <w:right w:val="nil"/>
            </w:tcBorders>
            <w:shd w:val="clear" w:color="auto" w:fill="auto"/>
            <w:noWrap/>
            <w:vAlign w:val="bottom"/>
            <w:hideMark/>
          </w:tcPr>
          <w:p w14:paraId="3D85D015"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0.10</w:t>
            </w:r>
          </w:p>
        </w:tc>
        <w:tc>
          <w:tcPr>
            <w:tcW w:w="1039" w:type="dxa"/>
            <w:tcBorders>
              <w:top w:val="nil"/>
              <w:left w:val="nil"/>
              <w:bottom w:val="nil"/>
              <w:right w:val="nil"/>
            </w:tcBorders>
            <w:shd w:val="clear" w:color="auto" w:fill="auto"/>
            <w:noWrap/>
            <w:vAlign w:val="bottom"/>
            <w:hideMark/>
          </w:tcPr>
          <w:p w14:paraId="3D85D016"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0.1</w:t>
            </w:r>
            <w:r w:rsidR="00562904">
              <w:rPr>
                <w:rFonts w:ascii="Arial" w:hAnsi="Arial" w:cs="Arial"/>
                <w:color w:val="000000"/>
                <w:sz w:val="20"/>
                <w:szCs w:val="20"/>
              </w:rPr>
              <w:t>5</w:t>
            </w:r>
          </w:p>
        </w:tc>
        <w:tc>
          <w:tcPr>
            <w:tcW w:w="1274" w:type="dxa"/>
            <w:tcBorders>
              <w:top w:val="nil"/>
              <w:left w:val="single" w:sz="4" w:space="0" w:color="auto"/>
              <w:bottom w:val="nil"/>
              <w:right w:val="nil"/>
            </w:tcBorders>
            <w:shd w:val="clear" w:color="auto" w:fill="auto"/>
            <w:vAlign w:val="bottom"/>
            <w:hideMark/>
          </w:tcPr>
          <w:p w14:paraId="3D85D017"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0.00</w:t>
            </w:r>
            <w:r w:rsidR="00562904">
              <w:rPr>
                <w:rFonts w:ascii="Arial" w:hAnsi="Arial" w:cs="Arial"/>
                <w:color w:val="000000"/>
                <w:sz w:val="20"/>
                <w:szCs w:val="20"/>
              </w:rPr>
              <w:t>66</w:t>
            </w:r>
          </w:p>
        </w:tc>
        <w:tc>
          <w:tcPr>
            <w:tcW w:w="967" w:type="dxa"/>
            <w:tcBorders>
              <w:top w:val="nil"/>
              <w:left w:val="nil"/>
              <w:bottom w:val="nil"/>
              <w:right w:val="nil"/>
            </w:tcBorders>
            <w:shd w:val="clear" w:color="auto" w:fill="auto"/>
            <w:noWrap/>
            <w:vAlign w:val="bottom"/>
            <w:hideMark/>
          </w:tcPr>
          <w:p w14:paraId="3D85D018"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0.0047</w:t>
            </w:r>
          </w:p>
        </w:tc>
        <w:tc>
          <w:tcPr>
            <w:tcW w:w="906" w:type="dxa"/>
            <w:tcBorders>
              <w:top w:val="nil"/>
              <w:left w:val="nil"/>
              <w:bottom w:val="nil"/>
              <w:right w:val="nil"/>
            </w:tcBorders>
            <w:shd w:val="clear" w:color="auto" w:fill="auto"/>
            <w:noWrap/>
            <w:vAlign w:val="bottom"/>
            <w:hideMark/>
          </w:tcPr>
          <w:p w14:paraId="3D85D019" w14:textId="77777777" w:rsidR="0010235F" w:rsidRPr="0010235F" w:rsidRDefault="00562904" w:rsidP="0010235F">
            <w:pPr>
              <w:jc w:val="center"/>
              <w:rPr>
                <w:rFonts w:ascii="Arial" w:hAnsi="Arial" w:cs="Arial"/>
                <w:color w:val="000000"/>
                <w:sz w:val="20"/>
                <w:szCs w:val="20"/>
              </w:rPr>
            </w:pPr>
            <w:r>
              <w:rPr>
                <w:rFonts w:ascii="Arial" w:hAnsi="Arial" w:cs="Arial"/>
                <w:color w:val="000000"/>
                <w:sz w:val="20"/>
                <w:szCs w:val="20"/>
              </w:rPr>
              <w:t>1</w:t>
            </w:r>
          </w:p>
        </w:tc>
        <w:tc>
          <w:tcPr>
            <w:tcW w:w="1250" w:type="dxa"/>
            <w:tcBorders>
              <w:top w:val="nil"/>
              <w:left w:val="nil"/>
              <w:bottom w:val="nil"/>
              <w:right w:val="nil"/>
            </w:tcBorders>
            <w:shd w:val="clear" w:color="auto" w:fill="auto"/>
            <w:noWrap/>
            <w:vAlign w:val="bottom"/>
            <w:hideMark/>
          </w:tcPr>
          <w:p w14:paraId="3D85D01A"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0.42</w:t>
            </w:r>
          </w:p>
        </w:tc>
        <w:tc>
          <w:tcPr>
            <w:tcW w:w="1051" w:type="dxa"/>
            <w:tcBorders>
              <w:top w:val="nil"/>
              <w:left w:val="nil"/>
              <w:bottom w:val="nil"/>
              <w:right w:val="single" w:sz="4" w:space="0" w:color="auto"/>
            </w:tcBorders>
            <w:shd w:val="clear" w:color="auto" w:fill="auto"/>
            <w:noWrap/>
            <w:vAlign w:val="bottom"/>
            <w:hideMark/>
          </w:tcPr>
          <w:p w14:paraId="3D85D01B"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0.01</w:t>
            </w:r>
            <w:r w:rsidR="00562904">
              <w:rPr>
                <w:rFonts w:ascii="Arial" w:hAnsi="Arial" w:cs="Arial"/>
                <w:color w:val="000000"/>
                <w:sz w:val="20"/>
                <w:szCs w:val="20"/>
              </w:rPr>
              <w:t>6</w:t>
            </w:r>
          </w:p>
        </w:tc>
        <w:tc>
          <w:tcPr>
            <w:tcW w:w="1170" w:type="dxa"/>
            <w:tcBorders>
              <w:top w:val="nil"/>
              <w:left w:val="nil"/>
              <w:bottom w:val="nil"/>
              <w:right w:val="nil"/>
            </w:tcBorders>
            <w:shd w:val="clear" w:color="auto" w:fill="auto"/>
            <w:vAlign w:val="bottom"/>
            <w:hideMark/>
          </w:tcPr>
          <w:p w14:paraId="3D85D01C"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0.00</w:t>
            </w:r>
            <w:r w:rsidR="00562904">
              <w:rPr>
                <w:rFonts w:ascii="Arial" w:hAnsi="Arial" w:cs="Arial"/>
                <w:color w:val="000000"/>
                <w:sz w:val="20"/>
                <w:szCs w:val="20"/>
              </w:rPr>
              <w:t>66</w:t>
            </w:r>
          </w:p>
        </w:tc>
        <w:tc>
          <w:tcPr>
            <w:tcW w:w="967" w:type="dxa"/>
            <w:tcBorders>
              <w:top w:val="nil"/>
              <w:left w:val="nil"/>
              <w:bottom w:val="nil"/>
              <w:right w:val="nil"/>
            </w:tcBorders>
            <w:shd w:val="clear" w:color="auto" w:fill="auto"/>
            <w:noWrap/>
            <w:vAlign w:val="bottom"/>
            <w:hideMark/>
          </w:tcPr>
          <w:p w14:paraId="3D85D01D" w14:textId="77777777" w:rsidR="0010235F" w:rsidRPr="0010235F" w:rsidRDefault="007C4001" w:rsidP="0010235F">
            <w:pPr>
              <w:jc w:val="center"/>
              <w:rPr>
                <w:rFonts w:ascii="Arial" w:hAnsi="Arial" w:cs="Arial"/>
                <w:color w:val="000000"/>
                <w:sz w:val="20"/>
                <w:szCs w:val="20"/>
              </w:rPr>
            </w:pPr>
            <w:r>
              <w:rPr>
                <w:rFonts w:ascii="Arial" w:hAnsi="Arial" w:cs="Arial"/>
                <w:color w:val="000000"/>
                <w:sz w:val="20"/>
                <w:szCs w:val="20"/>
              </w:rPr>
              <w:t>0.0013</w:t>
            </w:r>
          </w:p>
        </w:tc>
        <w:tc>
          <w:tcPr>
            <w:tcW w:w="906" w:type="dxa"/>
            <w:tcBorders>
              <w:top w:val="nil"/>
              <w:left w:val="nil"/>
              <w:bottom w:val="nil"/>
            </w:tcBorders>
            <w:shd w:val="clear" w:color="auto" w:fill="auto"/>
            <w:noWrap/>
            <w:vAlign w:val="bottom"/>
            <w:hideMark/>
          </w:tcPr>
          <w:p w14:paraId="3D85D01E" w14:textId="77777777" w:rsidR="0010235F" w:rsidRPr="0010235F" w:rsidRDefault="007C4001" w:rsidP="0010235F">
            <w:pPr>
              <w:jc w:val="center"/>
              <w:rPr>
                <w:rFonts w:ascii="Arial" w:hAnsi="Arial" w:cs="Arial"/>
                <w:color w:val="000000"/>
                <w:sz w:val="20"/>
                <w:szCs w:val="20"/>
              </w:rPr>
            </w:pPr>
            <w:r>
              <w:rPr>
                <w:rFonts w:ascii="Arial" w:hAnsi="Arial" w:cs="Arial"/>
                <w:color w:val="000000"/>
                <w:sz w:val="20"/>
                <w:szCs w:val="20"/>
              </w:rPr>
              <w:t>5.1</w:t>
            </w:r>
          </w:p>
        </w:tc>
        <w:tc>
          <w:tcPr>
            <w:tcW w:w="1250" w:type="dxa"/>
            <w:tcBorders>
              <w:top w:val="nil"/>
              <w:bottom w:val="nil"/>
              <w:right w:val="nil"/>
            </w:tcBorders>
            <w:shd w:val="clear" w:color="auto" w:fill="auto"/>
            <w:noWrap/>
            <w:vAlign w:val="bottom"/>
            <w:hideMark/>
          </w:tcPr>
          <w:p w14:paraId="3D85D01F"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0.42</w:t>
            </w:r>
          </w:p>
        </w:tc>
        <w:tc>
          <w:tcPr>
            <w:tcW w:w="1051" w:type="dxa"/>
            <w:tcBorders>
              <w:top w:val="nil"/>
              <w:left w:val="nil"/>
              <w:bottom w:val="nil"/>
              <w:right w:val="nil"/>
            </w:tcBorders>
            <w:shd w:val="clear" w:color="auto" w:fill="auto"/>
            <w:noWrap/>
            <w:vAlign w:val="bottom"/>
            <w:hideMark/>
          </w:tcPr>
          <w:p w14:paraId="3D85D020"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0.01</w:t>
            </w:r>
            <w:r w:rsidR="007C4001">
              <w:rPr>
                <w:rFonts w:ascii="Arial" w:hAnsi="Arial" w:cs="Arial"/>
                <w:color w:val="000000"/>
                <w:sz w:val="20"/>
                <w:szCs w:val="20"/>
              </w:rPr>
              <w:t>6</w:t>
            </w:r>
          </w:p>
        </w:tc>
        <w:tc>
          <w:tcPr>
            <w:tcW w:w="1197" w:type="dxa"/>
            <w:tcBorders>
              <w:top w:val="nil"/>
              <w:left w:val="single" w:sz="4" w:space="0" w:color="auto"/>
              <w:bottom w:val="nil"/>
              <w:right w:val="nil"/>
            </w:tcBorders>
            <w:shd w:val="clear" w:color="auto" w:fill="auto"/>
            <w:vAlign w:val="bottom"/>
            <w:hideMark/>
          </w:tcPr>
          <w:p w14:paraId="3D85D021"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w:t>
            </w:r>
            <w:r w:rsidR="007C4001">
              <w:rPr>
                <w:rFonts w:ascii="Arial" w:hAnsi="Arial" w:cs="Arial"/>
                <w:color w:val="000000"/>
                <w:sz w:val="20"/>
                <w:szCs w:val="20"/>
              </w:rPr>
              <w:t>20</w:t>
            </w:r>
          </w:p>
        </w:tc>
        <w:tc>
          <w:tcPr>
            <w:tcW w:w="967" w:type="dxa"/>
            <w:tcBorders>
              <w:top w:val="nil"/>
              <w:left w:val="nil"/>
              <w:bottom w:val="nil"/>
              <w:right w:val="nil"/>
            </w:tcBorders>
            <w:shd w:val="clear" w:color="auto" w:fill="auto"/>
            <w:noWrap/>
            <w:vAlign w:val="bottom"/>
            <w:hideMark/>
          </w:tcPr>
          <w:p w14:paraId="3D85D022" w14:textId="77777777" w:rsidR="0010235F" w:rsidRPr="0010235F" w:rsidRDefault="0010235F" w:rsidP="0010235F">
            <w:pPr>
              <w:jc w:val="center"/>
              <w:rPr>
                <w:rFonts w:ascii="Arial" w:hAnsi="Arial" w:cs="Arial"/>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D023"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D038" w14:textId="77777777" w:rsidTr="00607B7E">
        <w:trPr>
          <w:trHeight w:val="300"/>
        </w:trPr>
        <w:tc>
          <w:tcPr>
            <w:tcW w:w="1429" w:type="dxa"/>
            <w:tcBorders>
              <w:top w:val="nil"/>
              <w:left w:val="single" w:sz="4" w:space="0" w:color="auto"/>
              <w:bottom w:val="nil"/>
              <w:right w:val="nil"/>
            </w:tcBorders>
            <w:shd w:val="clear" w:color="auto" w:fill="auto"/>
            <w:vAlign w:val="center"/>
            <w:hideMark/>
          </w:tcPr>
          <w:p w14:paraId="3D85D025"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Manganese</w:t>
            </w:r>
          </w:p>
        </w:tc>
        <w:tc>
          <w:tcPr>
            <w:tcW w:w="1279" w:type="dxa"/>
            <w:tcBorders>
              <w:top w:val="nil"/>
              <w:left w:val="nil"/>
              <w:bottom w:val="nil"/>
              <w:right w:val="nil"/>
            </w:tcBorders>
            <w:shd w:val="clear" w:color="auto" w:fill="auto"/>
            <w:vAlign w:val="bottom"/>
            <w:hideMark/>
          </w:tcPr>
          <w:p w14:paraId="3D85D026"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w:t>
            </w:r>
            <w:r w:rsidR="00562904">
              <w:rPr>
                <w:rFonts w:ascii="Arial" w:hAnsi="Arial" w:cs="Arial"/>
                <w:color w:val="000000"/>
                <w:sz w:val="20"/>
                <w:szCs w:val="20"/>
              </w:rPr>
              <w:t>26</w:t>
            </w:r>
          </w:p>
        </w:tc>
        <w:tc>
          <w:tcPr>
            <w:tcW w:w="967" w:type="dxa"/>
            <w:tcBorders>
              <w:top w:val="nil"/>
              <w:left w:val="nil"/>
              <w:bottom w:val="nil"/>
              <w:right w:val="nil"/>
            </w:tcBorders>
            <w:shd w:val="clear" w:color="auto" w:fill="auto"/>
            <w:noWrap/>
            <w:vAlign w:val="bottom"/>
            <w:hideMark/>
          </w:tcPr>
          <w:p w14:paraId="3D85D027"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028" w14:textId="77777777" w:rsidR="0010235F" w:rsidRPr="0010235F" w:rsidRDefault="0010235F" w:rsidP="0010235F">
            <w:pPr>
              <w:jc w:val="center"/>
              <w:rPr>
                <w:rFonts w:ascii="Arial" w:hAnsi="Arial" w:cs="Arial"/>
                <w:color w:val="000000"/>
                <w:sz w:val="20"/>
                <w:szCs w:val="20"/>
              </w:rPr>
            </w:pPr>
          </w:p>
        </w:tc>
        <w:tc>
          <w:tcPr>
            <w:tcW w:w="1250" w:type="dxa"/>
            <w:tcBorders>
              <w:top w:val="nil"/>
              <w:left w:val="single" w:sz="4" w:space="0" w:color="auto"/>
              <w:bottom w:val="nil"/>
              <w:right w:val="nil"/>
            </w:tcBorders>
            <w:shd w:val="clear" w:color="auto" w:fill="auto"/>
            <w:noWrap/>
            <w:vAlign w:val="bottom"/>
            <w:hideMark/>
          </w:tcPr>
          <w:p w14:paraId="3D85D029"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0.09</w:t>
            </w:r>
          </w:p>
        </w:tc>
        <w:tc>
          <w:tcPr>
            <w:tcW w:w="1039" w:type="dxa"/>
            <w:tcBorders>
              <w:top w:val="nil"/>
              <w:left w:val="nil"/>
              <w:bottom w:val="nil"/>
              <w:right w:val="nil"/>
            </w:tcBorders>
            <w:shd w:val="clear" w:color="auto" w:fill="auto"/>
            <w:noWrap/>
            <w:vAlign w:val="bottom"/>
            <w:hideMark/>
          </w:tcPr>
          <w:p w14:paraId="3D85D02A"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w:t>
            </w:r>
            <w:r w:rsidR="00562904">
              <w:rPr>
                <w:rFonts w:ascii="Arial" w:hAnsi="Arial" w:cs="Arial"/>
                <w:color w:val="000000"/>
                <w:sz w:val="20"/>
                <w:szCs w:val="20"/>
              </w:rPr>
              <w:t>29</w:t>
            </w:r>
          </w:p>
        </w:tc>
        <w:tc>
          <w:tcPr>
            <w:tcW w:w="1274" w:type="dxa"/>
            <w:tcBorders>
              <w:top w:val="nil"/>
              <w:left w:val="single" w:sz="4" w:space="0" w:color="auto"/>
              <w:bottom w:val="nil"/>
              <w:right w:val="nil"/>
            </w:tcBorders>
            <w:shd w:val="clear" w:color="auto" w:fill="auto"/>
            <w:vAlign w:val="bottom"/>
            <w:hideMark/>
          </w:tcPr>
          <w:p w14:paraId="3D85D02B" w14:textId="77777777" w:rsidR="0010235F" w:rsidRPr="0010235F" w:rsidRDefault="00562904" w:rsidP="0010235F">
            <w:pPr>
              <w:jc w:val="center"/>
              <w:rPr>
                <w:rFonts w:ascii="Arial" w:hAnsi="Arial" w:cs="Arial"/>
                <w:color w:val="000000"/>
                <w:sz w:val="20"/>
                <w:szCs w:val="20"/>
              </w:rPr>
            </w:pPr>
            <w:r>
              <w:rPr>
                <w:rFonts w:ascii="Arial" w:hAnsi="Arial" w:cs="Arial"/>
                <w:color w:val="000000"/>
                <w:sz w:val="20"/>
                <w:szCs w:val="20"/>
              </w:rPr>
              <w:t>0.012</w:t>
            </w:r>
          </w:p>
        </w:tc>
        <w:tc>
          <w:tcPr>
            <w:tcW w:w="967" w:type="dxa"/>
            <w:tcBorders>
              <w:top w:val="nil"/>
              <w:left w:val="nil"/>
              <w:bottom w:val="nil"/>
              <w:right w:val="nil"/>
            </w:tcBorders>
            <w:shd w:val="clear" w:color="auto" w:fill="auto"/>
            <w:noWrap/>
            <w:vAlign w:val="bottom"/>
            <w:hideMark/>
          </w:tcPr>
          <w:p w14:paraId="3D85D02C"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02D" w14:textId="77777777" w:rsidR="0010235F" w:rsidRPr="0010235F" w:rsidRDefault="0010235F"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D02E"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0.38</w:t>
            </w:r>
          </w:p>
        </w:tc>
        <w:tc>
          <w:tcPr>
            <w:tcW w:w="1051" w:type="dxa"/>
            <w:tcBorders>
              <w:top w:val="nil"/>
              <w:left w:val="nil"/>
              <w:bottom w:val="nil"/>
              <w:right w:val="single" w:sz="4" w:space="0" w:color="auto"/>
            </w:tcBorders>
            <w:shd w:val="clear" w:color="auto" w:fill="auto"/>
            <w:noWrap/>
            <w:vAlign w:val="bottom"/>
            <w:hideMark/>
          </w:tcPr>
          <w:p w14:paraId="3D85D02F"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0.03</w:t>
            </w:r>
            <w:r w:rsidR="00562904">
              <w:rPr>
                <w:rFonts w:ascii="Arial" w:hAnsi="Arial" w:cs="Arial"/>
                <w:color w:val="000000"/>
                <w:sz w:val="20"/>
                <w:szCs w:val="20"/>
              </w:rPr>
              <w:t>0</w:t>
            </w:r>
          </w:p>
        </w:tc>
        <w:tc>
          <w:tcPr>
            <w:tcW w:w="1170" w:type="dxa"/>
            <w:tcBorders>
              <w:top w:val="nil"/>
              <w:left w:val="nil"/>
              <w:bottom w:val="nil"/>
              <w:right w:val="nil"/>
            </w:tcBorders>
            <w:shd w:val="clear" w:color="auto" w:fill="auto"/>
            <w:vAlign w:val="bottom"/>
            <w:hideMark/>
          </w:tcPr>
          <w:p w14:paraId="3D85D030"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0.01</w:t>
            </w:r>
            <w:r w:rsidR="007C4001">
              <w:rPr>
                <w:rFonts w:ascii="Arial" w:hAnsi="Arial" w:cs="Arial"/>
                <w:color w:val="000000"/>
                <w:sz w:val="20"/>
                <w:szCs w:val="20"/>
              </w:rPr>
              <w:t>2</w:t>
            </w:r>
          </w:p>
        </w:tc>
        <w:tc>
          <w:tcPr>
            <w:tcW w:w="967" w:type="dxa"/>
            <w:tcBorders>
              <w:top w:val="nil"/>
              <w:left w:val="nil"/>
              <w:bottom w:val="nil"/>
              <w:right w:val="nil"/>
            </w:tcBorders>
            <w:shd w:val="clear" w:color="auto" w:fill="auto"/>
            <w:noWrap/>
            <w:vAlign w:val="bottom"/>
            <w:hideMark/>
          </w:tcPr>
          <w:p w14:paraId="3D85D031"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tcBorders>
            <w:shd w:val="clear" w:color="auto" w:fill="auto"/>
            <w:noWrap/>
            <w:vAlign w:val="bottom"/>
            <w:hideMark/>
          </w:tcPr>
          <w:p w14:paraId="3D85D032" w14:textId="77777777" w:rsidR="0010235F" w:rsidRPr="0010235F" w:rsidRDefault="0010235F" w:rsidP="0010235F">
            <w:pPr>
              <w:jc w:val="center"/>
              <w:rPr>
                <w:rFonts w:ascii="Arial" w:hAnsi="Arial" w:cs="Arial"/>
                <w:color w:val="000000"/>
                <w:sz w:val="20"/>
                <w:szCs w:val="20"/>
              </w:rPr>
            </w:pPr>
          </w:p>
        </w:tc>
        <w:tc>
          <w:tcPr>
            <w:tcW w:w="1250" w:type="dxa"/>
            <w:tcBorders>
              <w:top w:val="nil"/>
              <w:bottom w:val="nil"/>
              <w:right w:val="nil"/>
            </w:tcBorders>
            <w:shd w:val="clear" w:color="auto" w:fill="auto"/>
            <w:noWrap/>
            <w:vAlign w:val="bottom"/>
            <w:hideMark/>
          </w:tcPr>
          <w:p w14:paraId="3D85D033"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0.38</w:t>
            </w:r>
          </w:p>
        </w:tc>
        <w:tc>
          <w:tcPr>
            <w:tcW w:w="1051" w:type="dxa"/>
            <w:tcBorders>
              <w:top w:val="nil"/>
              <w:left w:val="nil"/>
              <w:bottom w:val="nil"/>
              <w:right w:val="nil"/>
            </w:tcBorders>
            <w:shd w:val="clear" w:color="auto" w:fill="auto"/>
            <w:noWrap/>
            <w:vAlign w:val="bottom"/>
            <w:hideMark/>
          </w:tcPr>
          <w:p w14:paraId="3D85D034"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0.03</w:t>
            </w:r>
            <w:r w:rsidR="007C4001">
              <w:rPr>
                <w:rFonts w:ascii="Arial" w:hAnsi="Arial" w:cs="Arial"/>
                <w:color w:val="000000"/>
                <w:sz w:val="20"/>
                <w:szCs w:val="20"/>
              </w:rPr>
              <w:t>0</w:t>
            </w:r>
          </w:p>
        </w:tc>
        <w:tc>
          <w:tcPr>
            <w:tcW w:w="1197" w:type="dxa"/>
            <w:tcBorders>
              <w:top w:val="nil"/>
              <w:left w:val="single" w:sz="4" w:space="0" w:color="auto"/>
              <w:bottom w:val="nil"/>
              <w:right w:val="nil"/>
            </w:tcBorders>
            <w:shd w:val="clear" w:color="auto" w:fill="auto"/>
            <w:vAlign w:val="bottom"/>
            <w:hideMark/>
          </w:tcPr>
          <w:p w14:paraId="3D85D035"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w:t>
            </w:r>
            <w:r w:rsidR="007C4001">
              <w:rPr>
                <w:rFonts w:ascii="Arial" w:hAnsi="Arial" w:cs="Arial"/>
                <w:color w:val="000000"/>
                <w:sz w:val="20"/>
                <w:szCs w:val="20"/>
              </w:rPr>
              <w:t>34</w:t>
            </w:r>
          </w:p>
        </w:tc>
        <w:tc>
          <w:tcPr>
            <w:tcW w:w="967" w:type="dxa"/>
            <w:tcBorders>
              <w:top w:val="nil"/>
              <w:left w:val="nil"/>
              <w:bottom w:val="nil"/>
              <w:right w:val="nil"/>
            </w:tcBorders>
            <w:shd w:val="clear" w:color="auto" w:fill="auto"/>
            <w:noWrap/>
            <w:vAlign w:val="bottom"/>
            <w:hideMark/>
          </w:tcPr>
          <w:p w14:paraId="3D85D036"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0.30</w:t>
            </w:r>
          </w:p>
        </w:tc>
        <w:tc>
          <w:tcPr>
            <w:tcW w:w="1039" w:type="dxa"/>
            <w:tcBorders>
              <w:top w:val="nil"/>
              <w:left w:val="nil"/>
              <w:bottom w:val="nil"/>
              <w:right w:val="single" w:sz="4" w:space="0" w:color="auto"/>
            </w:tcBorders>
            <w:shd w:val="clear" w:color="auto" w:fill="auto"/>
            <w:noWrap/>
            <w:vAlign w:val="bottom"/>
            <w:hideMark/>
          </w:tcPr>
          <w:p w14:paraId="3D85D037" w14:textId="77777777" w:rsidR="0010235F" w:rsidRPr="0010235F" w:rsidRDefault="007C4001" w:rsidP="007C4001">
            <w:pPr>
              <w:jc w:val="center"/>
              <w:rPr>
                <w:rFonts w:ascii="Arial" w:hAnsi="Arial" w:cs="Arial"/>
                <w:color w:val="000000"/>
                <w:sz w:val="20"/>
                <w:szCs w:val="20"/>
              </w:rPr>
            </w:pPr>
            <w:r>
              <w:rPr>
                <w:rFonts w:ascii="Arial" w:hAnsi="Arial" w:cs="Arial"/>
                <w:color w:val="000000"/>
                <w:sz w:val="20"/>
                <w:szCs w:val="20"/>
              </w:rPr>
              <w:t>1.1</w:t>
            </w:r>
          </w:p>
        </w:tc>
      </w:tr>
      <w:tr w:rsidR="0010235F" w:rsidRPr="0010235F" w14:paraId="3D85D04C" w14:textId="77777777" w:rsidTr="00607B7E">
        <w:trPr>
          <w:trHeight w:val="288"/>
        </w:trPr>
        <w:tc>
          <w:tcPr>
            <w:tcW w:w="1429" w:type="dxa"/>
            <w:tcBorders>
              <w:top w:val="nil"/>
              <w:left w:val="single" w:sz="4" w:space="0" w:color="auto"/>
              <w:bottom w:val="nil"/>
              <w:right w:val="nil"/>
            </w:tcBorders>
            <w:shd w:val="clear" w:color="auto" w:fill="auto"/>
            <w:vAlign w:val="bottom"/>
            <w:hideMark/>
          </w:tcPr>
          <w:p w14:paraId="3D85D039"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Nickel</w:t>
            </w:r>
          </w:p>
        </w:tc>
        <w:tc>
          <w:tcPr>
            <w:tcW w:w="1279" w:type="dxa"/>
            <w:tcBorders>
              <w:top w:val="nil"/>
              <w:left w:val="nil"/>
              <w:bottom w:val="nil"/>
              <w:right w:val="nil"/>
            </w:tcBorders>
            <w:shd w:val="clear" w:color="auto" w:fill="auto"/>
            <w:vAlign w:val="bottom"/>
            <w:hideMark/>
          </w:tcPr>
          <w:p w14:paraId="3D85D03A"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0.03</w:t>
            </w:r>
            <w:r w:rsidR="00562904">
              <w:rPr>
                <w:rFonts w:ascii="Arial" w:hAnsi="Arial" w:cs="Arial"/>
                <w:color w:val="000000"/>
                <w:sz w:val="20"/>
                <w:szCs w:val="20"/>
              </w:rPr>
              <w:t>0</w:t>
            </w:r>
          </w:p>
        </w:tc>
        <w:tc>
          <w:tcPr>
            <w:tcW w:w="967" w:type="dxa"/>
            <w:tcBorders>
              <w:top w:val="nil"/>
              <w:left w:val="nil"/>
              <w:bottom w:val="nil"/>
              <w:right w:val="nil"/>
            </w:tcBorders>
            <w:shd w:val="clear" w:color="auto" w:fill="auto"/>
            <w:noWrap/>
            <w:vAlign w:val="bottom"/>
            <w:hideMark/>
          </w:tcPr>
          <w:p w14:paraId="3D85D03B"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0.0040</w:t>
            </w:r>
          </w:p>
        </w:tc>
        <w:tc>
          <w:tcPr>
            <w:tcW w:w="906" w:type="dxa"/>
            <w:tcBorders>
              <w:top w:val="nil"/>
              <w:left w:val="nil"/>
              <w:bottom w:val="nil"/>
              <w:right w:val="nil"/>
            </w:tcBorders>
            <w:shd w:val="clear" w:color="auto" w:fill="auto"/>
            <w:noWrap/>
            <w:vAlign w:val="bottom"/>
            <w:hideMark/>
          </w:tcPr>
          <w:p w14:paraId="3D85D03C" w14:textId="77777777" w:rsidR="0010235F" w:rsidRPr="0010235F" w:rsidRDefault="00562904" w:rsidP="0010235F">
            <w:pPr>
              <w:jc w:val="center"/>
              <w:rPr>
                <w:rFonts w:ascii="Arial" w:hAnsi="Arial" w:cs="Arial"/>
                <w:color w:val="000000"/>
                <w:sz w:val="20"/>
                <w:szCs w:val="20"/>
              </w:rPr>
            </w:pPr>
            <w:r>
              <w:rPr>
                <w:rFonts w:ascii="Arial" w:hAnsi="Arial" w:cs="Arial"/>
                <w:color w:val="000000"/>
                <w:sz w:val="20"/>
                <w:szCs w:val="20"/>
              </w:rPr>
              <w:t>8</w:t>
            </w:r>
          </w:p>
        </w:tc>
        <w:tc>
          <w:tcPr>
            <w:tcW w:w="1250" w:type="dxa"/>
            <w:tcBorders>
              <w:top w:val="nil"/>
              <w:left w:val="single" w:sz="4" w:space="0" w:color="auto"/>
              <w:bottom w:val="nil"/>
              <w:right w:val="nil"/>
            </w:tcBorders>
            <w:shd w:val="clear" w:color="auto" w:fill="auto"/>
            <w:noWrap/>
            <w:vAlign w:val="bottom"/>
            <w:hideMark/>
          </w:tcPr>
          <w:p w14:paraId="3D85D03D"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0.014</w:t>
            </w:r>
          </w:p>
        </w:tc>
        <w:tc>
          <w:tcPr>
            <w:tcW w:w="1039" w:type="dxa"/>
            <w:tcBorders>
              <w:top w:val="nil"/>
              <w:left w:val="nil"/>
              <w:bottom w:val="nil"/>
              <w:right w:val="nil"/>
            </w:tcBorders>
            <w:shd w:val="clear" w:color="auto" w:fill="auto"/>
            <w:noWrap/>
            <w:vAlign w:val="bottom"/>
            <w:hideMark/>
          </w:tcPr>
          <w:p w14:paraId="3D85D03E"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2.</w:t>
            </w:r>
            <w:r w:rsidR="00562904">
              <w:rPr>
                <w:rFonts w:ascii="Arial" w:hAnsi="Arial" w:cs="Arial"/>
                <w:color w:val="000000"/>
                <w:sz w:val="20"/>
                <w:szCs w:val="20"/>
              </w:rPr>
              <w:t>1</w:t>
            </w:r>
          </w:p>
        </w:tc>
        <w:tc>
          <w:tcPr>
            <w:tcW w:w="1274" w:type="dxa"/>
            <w:tcBorders>
              <w:top w:val="nil"/>
              <w:left w:val="single" w:sz="4" w:space="0" w:color="auto"/>
              <w:bottom w:val="nil"/>
              <w:right w:val="nil"/>
            </w:tcBorders>
            <w:shd w:val="clear" w:color="auto" w:fill="auto"/>
            <w:vAlign w:val="bottom"/>
            <w:hideMark/>
          </w:tcPr>
          <w:p w14:paraId="3D85D03F" w14:textId="77777777" w:rsidR="0010235F" w:rsidRPr="0010235F" w:rsidRDefault="0010235F" w:rsidP="00562904">
            <w:pPr>
              <w:jc w:val="center"/>
              <w:rPr>
                <w:rFonts w:ascii="Arial" w:hAnsi="Arial" w:cs="Arial"/>
                <w:color w:val="000000"/>
                <w:sz w:val="20"/>
                <w:szCs w:val="20"/>
              </w:rPr>
            </w:pPr>
            <w:r w:rsidRPr="0010235F">
              <w:rPr>
                <w:rFonts w:ascii="Arial" w:hAnsi="Arial" w:cs="Arial"/>
                <w:color w:val="000000"/>
                <w:sz w:val="20"/>
                <w:szCs w:val="20"/>
              </w:rPr>
              <w:t>0.01</w:t>
            </w:r>
            <w:r w:rsidR="00562904">
              <w:rPr>
                <w:rFonts w:ascii="Arial" w:hAnsi="Arial" w:cs="Arial"/>
                <w:color w:val="000000"/>
                <w:sz w:val="20"/>
                <w:szCs w:val="20"/>
              </w:rPr>
              <w:t>3</w:t>
            </w:r>
          </w:p>
        </w:tc>
        <w:tc>
          <w:tcPr>
            <w:tcW w:w="967" w:type="dxa"/>
            <w:tcBorders>
              <w:top w:val="nil"/>
              <w:left w:val="nil"/>
              <w:bottom w:val="nil"/>
              <w:right w:val="nil"/>
            </w:tcBorders>
            <w:shd w:val="clear" w:color="auto" w:fill="auto"/>
            <w:noWrap/>
            <w:vAlign w:val="bottom"/>
            <w:hideMark/>
          </w:tcPr>
          <w:p w14:paraId="3D85D040"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0.16</w:t>
            </w:r>
          </w:p>
        </w:tc>
        <w:tc>
          <w:tcPr>
            <w:tcW w:w="906" w:type="dxa"/>
            <w:tcBorders>
              <w:top w:val="nil"/>
              <w:left w:val="nil"/>
              <w:bottom w:val="nil"/>
              <w:right w:val="nil"/>
            </w:tcBorders>
            <w:shd w:val="clear" w:color="auto" w:fill="auto"/>
            <w:noWrap/>
            <w:vAlign w:val="bottom"/>
            <w:hideMark/>
          </w:tcPr>
          <w:p w14:paraId="3D85D041"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0.1</w:t>
            </w:r>
          </w:p>
        </w:tc>
        <w:tc>
          <w:tcPr>
            <w:tcW w:w="1250" w:type="dxa"/>
            <w:tcBorders>
              <w:top w:val="nil"/>
              <w:left w:val="nil"/>
              <w:bottom w:val="nil"/>
              <w:right w:val="nil"/>
            </w:tcBorders>
            <w:shd w:val="clear" w:color="auto" w:fill="auto"/>
            <w:noWrap/>
            <w:vAlign w:val="bottom"/>
            <w:hideMark/>
          </w:tcPr>
          <w:p w14:paraId="3D85D042"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0.042</w:t>
            </w:r>
          </w:p>
        </w:tc>
        <w:tc>
          <w:tcPr>
            <w:tcW w:w="1051" w:type="dxa"/>
            <w:tcBorders>
              <w:top w:val="nil"/>
              <w:left w:val="nil"/>
              <w:bottom w:val="nil"/>
              <w:right w:val="single" w:sz="4" w:space="0" w:color="auto"/>
            </w:tcBorders>
            <w:shd w:val="clear" w:color="auto" w:fill="auto"/>
            <w:noWrap/>
            <w:vAlign w:val="bottom"/>
            <w:hideMark/>
          </w:tcPr>
          <w:p w14:paraId="3D85D043"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0.3</w:t>
            </w:r>
            <w:r w:rsidR="00562904">
              <w:rPr>
                <w:rFonts w:ascii="Arial" w:hAnsi="Arial" w:cs="Arial"/>
                <w:color w:val="000000"/>
                <w:sz w:val="20"/>
                <w:szCs w:val="20"/>
              </w:rPr>
              <w:t>1</w:t>
            </w:r>
          </w:p>
        </w:tc>
        <w:tc>
          <w:tcPr>
            <w:tcW w:w="1170" w:type="dxa"/>
            <w:tcBorders>
              <w:top w:val="nil"/>
              <w:left w:val="nil"/>
              <w:bottom w:val="nil"/>
              <w:right w:val="nil"/>
            </w:tcBorders>
            <w:shd w:val="clear" w:color="auto" w:fill="auto"/>
            <w:vAlign w:val="bottom"/>
            <w:hideMark/>
          </w:tcPr>
          <w:p w14:paraId="3D85D044" w14:textId="77777777" w:rsidR="0010235F" w:rsidRPr="0010235F" w:rsidRDefault="007C4001" w:rsidP="007C4001">
            <w:pPr>
              <w:jc w:val="center"/>
              <w:rPr>
                <w:rFonts w:ascii="Arial" w:hAnsi="Arial" w:cs="Arial"/>
                <w:color w:val="000000"/>
                <w:sz w:val="20"/>
                <w:szCs w:val="20"/>
              </w:rPr>
            </w:pPr>
            <w:r>
              <w:rPr>
                <w:rFonts w:ascii="Arial" w:hAnsi="Arial" w:cs="Arial"/>
                <w:color w:val="000000"/>
                <w:sz w:val="20"/>
                <w:szCs w:val="20"/>
              </w:rPr>
              <w:t>0.013</w:t>
            </w:r>
          </w:p>
        </w:tc>
        <w:tc>
          <w:tcPr>
            <w:tcW w:w="967" w:type="dxa"/>
            <w:tcBorders>
              <w:top w:val="nil"/>
              <w:left w:val="nil"/>
              <w:bottom w:val="nil"/>
              <w:right w:val="nil"/>
            </w:tcBorders>
            <w:shd w:val="clear" w:color="auto" w:fill="auto"/>
            <w:noWrap/>
            <w:vAlign w:val="bottom"/>
            <w:hideMark/>
          </w:tcPr>
          <w:p w14:paraId="3D85D045"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0.0460</w:t>
            </w:r>
          </w:p>
        </w:tc>
        <w:tc>
          <w:tcPr>
            <w:tcW w:w="906" w:type="dxa"/>
            <w:tcBorders>
              <w:top w:val="nil"/>
              <w:left w:val="nil"/>
              <w:bottom w:val="nil"/>
            </w:tcBorders>
            <w:shd w:val="clear" w:color="auto" w:fill="auto"/>
            <w:noWrap/>
            <w:vAlign w:val="bottom"/>
            <w:hideMark/>
          </w:tcPr>
          <w:p w14:paraId="3D85D046"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w:t>
            </w:r>
            <w:r w:rsidR="007C4001">
              <w:rPr>
                <w:rFonts w:ascii="Arial" w:hAnsi="Arial" w:cs="Arial"/>
                <w:color w:val="000000"/>
                <w:sz w:val="20"/>
                <w:szCs w:val="20"/>
              </w:rPr>
              <w:t>.29</w:t>
            </w:r>
          </w:p>
        </w:tc>
        <w:tc>
          <w:tcPr>
            <w:tcW w:w="1250" w:type="dxa"/>
            <w:tcBorders>
              <w:top w:val="nil"/>
              <w:bottom w:val="nil"/>
              <w:right w:val="nil"/>
            </w:tcBorders>
            <w:shd w:val="clear" w:color="auto" w:fill="auto"/>
            <w:noWrap/>
            <w:vAlign w:val="bottom"/>
            <w:hideMark/>
          </w:tcPr>
          <w:p w14:paraId="3D85D047"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0.042</w:t>
            </w:r>
          </w:p>
        </w:tc>
        <w:tc>
          <w:tcPr>
            <w:tcW w:w="1051" w:type="dxa"/>
            <w:tcBorders>
              <w:top w:val="nil"/>
              <w:left w:val="nil"/>
              <w:bottom w:val="nil"/>
              <w:right w:val="nil"/>
            </w:tcBorders>
            <w:shd w:val="clear" w:color="auto" w:fill="auto"/>
            <w:noWrap/>
            <w:vAlign w:val="bottom"/>
            <w:hideMark/>
          </w:tcPr>
          <w:p w14:paraId="3D85D048"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w:t>
            </w:r>
            <w:r w:rsidR="007C4001">
              <w:rPr>
                <w:rFonts w:ascii="Arial" w:hAnsi="Arial" w:cs="Arial"/>
                <w:color w:val="000000"/>
                <w:sz w:val="20"/>
                <w:szCs w:val="20"/>
              </w:rPr>
              <w:t>31</w:t>
            </w:r>
          </w:p>
        </w:tc>
        <w:tc>
          <w:tcPr>
            <w:tcW w:w="1197" w:type="dxa"/>
            <w:tcBorders>
              <w:top w:val="nil"/>
              <w:left w:val="single" w:sz="4" w:space="0" w:color="auto"/>
              <w:bottom w:val="nil"/>
              <w:right w:val="nil"/>
            </w:tcBorders>
            <w:shd w:val="clear" w:color="auto" w:fill="auto"/>
            <w:vAlign w:val="bottom"/>
            <w:hideMark/>
          </w:tcPr>
          <w:p w14:paraId="3D85D049"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w:t>
            </w:r>
            <w:r w:rsidR="007C4001">
              <w:rPr>
                <w:rFonts w:ascii="Arial" w:hAnsi="Arial" w:cs="Arial"/>
                <w:color w:val="000000"/>
                <w:sz w:val="20"/>
                <w:szCs w:val="20"/>
              </w:rPr>
              <w:t>41</w:t>
            </w:r>
          </w:p>
        </w:tc>
        <w:tc>
          <w:tcPr>
            <w:tcW w:w="967" w:type="dxa"/>
            <w:tcBorders>
              <w:top w:val="nil"/>
              <w:left w:val="nil"/>
              <w:bottom w:val="nil"/>
              <w:right w:val="nil"/>
            </w:tcBorders>
            <w:shd w:val="clear" w:color="auto" w:fill="auto"/>
            <w:noWrap/>
            <w:vAlign w:val="bottom"/>
            <w:hideMark/>
          </w:tcPr>
          <w:p w14:paraId="3D85D04A"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0.20</w:t>
            </w:r>
          </w:p>
        </w:tc>
        <w:tc>
          <w:tcPr>
            <w:tcW w:w="1039" w:type="dxa"/>
            <w:tcBorders>
              <w:top w:val="nil"/>
              <w:left w:val="nil"/>
              <w:bottom w:val="nil"/>
              <w:right w:val="single" w:sz="4" w:space="0" w:color="auto"/>
            </w:tcBorders>
            <w:shd w:val="clear" w:color="auto" w:fill="auto"/>
            <w:noWrap/>
            <w:vAlign w:val="bottom"/>
            <w:hideMark/>
          </w:tcPr>
          <w:p w14:paraId="3D85D04B" w14:textId="77777777" w:rsidR="0010235F" w:rsidRPr="0010235F" w:rsidRDefault="007C4001" w:rsidP="0010235F">
            <w:pPr>
              <w:jc w:val="center"/>
              <w:rPr>
                <w:rFonts w:ascii="Arial" w:hAnsi="Arial" w:cs="Arial"/>
                <w:color w:val="000000"/>
                <w:sz w:val="20"/>
                <w:szCs w:val="20"/>
              </w:rPr>
            </w:pPr>
            <w:r>
              <w:rPr>
                <w:rFonts w:ascii="Arial" w:hAnsi="Arial" w:cs="Arial"/>
                <w:color w:val="000000"/>
                <w:sz w:val="20"/>
                <w:szCs w:val="20"/>
              </w:rPr>
              <w:t>2.0</w:t>
            </w:r>
          </w:p>
        </w:tc>
      </w:tr>
      <w:tr w:rsidR="0010235F" w:rsidRPr="0010235F" w14:paraId="3D85D060" w14:textId="77777777" w:rsidTr="00607B7E">
        <w:trPr>
          <w:trHeight w:val="288"/>
        </w:trPr>
        <w:tc>
          <w:tcPr>
            <w:tcW w:w="1429" w:type="dxa"/>
            <w:tcBorders>
              <w:top w:val="nil"/>
              <w:left w:val="single" w:sz="4" w:space="0" w:color="auto"/>
              <w:bottom w:val="nil"/>
              <w:right w:val="nil"/>
            </w:tcBorders>
            <w:shd w:val="clear" w:color="auto" w:fill="auto"/>
            <w:noWrap/>
            <w:vAlign w:val="bottom"/>
            <w:hideMark/>
          </w:tcPr>
          <w:p w14:paraId="3D85D04D"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Total Unit 1</w:t>
            </w:r>
          </w:p>
        </w:tc>
        <w:tc>
          <w:tcPr>
            <w:tcW w:w="1279" w:type="dxa"/>
            <w:tcBorders>
              <w:top w:val="nil"/>
              <w:left w:val="nil"/>
              <w:bottom w:val="nil"/>
              <w:right w:val="nil"/>
            </w:tcBorders>
            <w:shd w:val="clear" w:color="auto" w:fill="auto"/>
            <w:noWrap/>
            <w:vAlign w:val="bottom"/>
            <w:hideMark/>
          </w:tcPr>
          <w:p w14:paraId="3D85D04E" w14:textId="77777777" w:rsidR="0010235F" w:rsidRPr="0010235F" w:rsidRDefault="0010235F" w:rsidP="0010235F">
            <w:pPr>
              <w:rPr>
                <w:rFonts w:ascii="Arial" w:hAnsi="Arial" w:cs="Arial"/>
                <w:color w:val="000000"/>
                <w:sz w:val="20"/>
                <w:szCs w:val="20"/>
              </w:rPr>
            </w:pPr>
          </w:p>
        </w:tc>
        <w:tc>
          <w:tcPr>
            <w:tcW w:w="967" w:type="dxa"/>
            <w:tcBorders>
              <w:top w:val="nil"/>
              <w:left w:val="nil"/>
              <w:bottom w:val="nil"/>
              <w:right w:val="nil"/>
            </w:tcBorders>
            <w:shd w:val="clear" w:color="auto" w:fill="auto"/>
            <w:noWrap/>
            <w:vAlign w:val="bottom"/>
            <w:hideMark/>
          </w:tcPr>
          <w:p w14:paraId="3D85D04F" w14:textId="77777777" w:rsidR="0010235F" w:rsidRPr="0010235F" w:rsidRDefault="0010235F" w:rsidP="0010235F">
            <w:pP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05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1</w:t>
            </w:r>
            <w:r w:rsidR="00562904">
              <w:rPr>
                <w:rFonts w:ascii="Arial" w:hAnsi="Arial" w:cs="Arial"/>
                <w:b/>
                <w:bCs/>
                <w:color w:val="000000"/>
                <w:sz w:val="20"/>
                <w:szCs w:val="20"/>
              </w:rPr>
              <w:t>44</w:t>
            </w:r>
          </w:p>
        </w:tc>
        <w:tc>
          <w:tcPr>
            <w:tcW w:w="1250" w:type="dxa"/>
            <w:tcBorders>
              <w:top w:val="nil"/>
              <w:left w:val="single" w:sz="4" w:space="0" w:color="auto"/>
              <w:bottom w:val="nil"/>
              <w:right w:val="nil"/>
            </w:tcBorders>
            <w:shd w:val="clear" w:color="auto" w:fill="auto"/>
            <w:noWrap/>
            <w:vAlign w:val="bottom"/>
            <w:hideMark/>
          </w:tcPr>
          <w:p w14:paraId="3D85D05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nil"/>
              <w:right w:val="nil"/>
            </w:tcBorders>
            <w:shd w:val="clear" w:color="auto" w:fill="auto"/>
            <w:noWrap/>
            <w:vAlign w:val="bottom"/>
            <w:hideMark/>
          </w:tcPr>
          <w:p w14:paraId="3D85D052" w14:textId="77777777" w:rsidR="0010235F" w:rsidRPr="0010235F" w:rsidRDefault="00562904" w:rsidP="0010235F">
            <w:pPr>
              <w:jc w:val="center"/>
              <w:rPr>
                <w:rFonts w:ascii="Arial" w:hAnsi="Arial" w:cs="Arial"/>
                <w:b/>
                <w:bCs/>
                <w:color w:val="000000"/>
                <w:sz w:val="20"/>
                <w:szCs w:val="20"/>
              </w:rPr>
            </w:pPr>
            <w:r>
              <w:rPr>
                <w:rFonts w:ascii="Arial" w:hAnsi="Arial" w:cs="Arial"/>
                <w:b/>
                <w:bCs/>
                <w:color w:val="000000"/>
                <w:sz w:val="20"/>
                <w:szCs w:val="20"/>
              </w:rPr>
              <w:t>2.6</w:t>
            </w:r>
          </w:p>
        </w:tc>
        <w:tc>
          <w:tcPr>
            <w:tcW w:w="1274" w:type="dxa"/>
            <w:tcBorders>
              <w:top w:val="nil"/>
              <w:left w:val="single" w:sz="4" w:space="0" w:color="auto"/>
              <w:bottom w:val="nil"/>
              <w:right w:val="nil"/>
            </w:tcBorders>
            <w:shd w:val="clear" w:color="auto" w:fill="auto"/>
            <w:noWrap/>
            <w:vAlign w:val="bottom"/>
            <w:hideMark/>
          </w:tcPr>
          <w:p w14:paraId="3D85D053"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nil"/>
              <w:right w:val="nil"/>
            </w:tcBorders>
            <w:shd w:val="clear" w:color="auto" w:fill="auto"/>
            <w:noWrap/>
            <w:vAlign w:val="bottom"/>
            <w:hideMark/>
          </w:tcPr>
          <w:p w14:paraId="3D85D054" w14:textId="77777777" w:rsidR="0010235F" w:rsidRPr="0010235F" w:rsidRDefault="0010235F" w:rsidP="0010235F">
            <w:pP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055" w14:textId="77777777" w:rsidR="0010235F" w:rsidRPr="0010235F" w:rsidRDefault="00562904" w:rsidP="0010235F">
            <w:pPr>
              <w:jc w:val="center"/>
              <w:rPr>
                <w:rFonts w:ascii="Arial" w:hAnsi="Arial" w:cs="Arial"/>
                <w:b/>
                <w:bCs/>
                <w:color w:val="000000"/>
                <w:sz w:val="20"/>
                <w:szCs w:val="20"/>
              </w:rPr>
            </w:pPr>
            <w:r>
              <w:rPr>
                <w:rFonts w:ascii="Arial" w:hAnsi="Arial" w:cs="Arial"/>
                <w:b/>
                <w:bCs/>
                <w:color w:val="000000"/>
                <w:sz w:val="20"/>
                <w:szCs w:val="20"/>
              </w:rPr>
              <w:t>1</w:t>
            </w:r>
          </w:p>
        </w:tc>
        <w:tc>
          <w:tcPr>
            <w:tcW w:w="1250" w:type="dxa"/>
            <w:tcBorders>
              <w:top w:val="nil"/>
              <w:left w:val="nil"/>
              <w:bottom w:val="nil"/>
              <w:right w:val="nil"/>
            </w:tcBorders>
            <w:shd w:val="clear" w:color="auto" w:fill="auto"/>
            <w:noWrap/>
            <w:vAlign w:val="bottom"/>
            <w:hideMark/>
          </w:tcPr>
          <w:p w14:paraId="3D85D056" w14:textId="77777777" w:rsidR="0010235F" w:rsidRPr="0010235F" w:rsidRDefault="0010235F" w:rsidP="0010235F">
            <w:pPr>
              <w:jc w:val="center"/>
              <w:rPr>
                <w:rFonts w:ascii="Arial" w:hAnsi="Arial" w:cs="Arial"/>
                <w:b/>
                <w:bCs/>
                <w:color w:val="000000"/>
                <w:sz w:val="20"/>
                <w:szCs w:val="20"/>
              </w:rPr>
            </w:pPr>
          </w:p>
        </w:tc>
        <w:tc>
          <w:tcPr>
            <w:tcW w:w="1051" w:type="dxa"/>
            <w:tcBorders>
              <w:top w:val="nil"/>
              <w:left w:val="nil"/>
              <w:bottom w:val="nil"/>
              <w:right w:val="single" w:sz="4" w:space="0" w:color="auto"/>
            </w:tcBorders>
            <w:shd w:val="clear" w:color="auto" w:fill="auto"/>
            <w:noWrap/>
            <w:vAlign w:val="bottom"/>
            <w:hideMark/>
          </w:tcPr>
          <w:p w14:paraId="3D85D05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0.</w:t>
            </w:r>
            <w:r w:rsidR="00562904">
              <w:rPr>
                <w:rFonts w:ascii="Arial" w:hAnsi="Arial" w:cs="Arial"/>
                <w:b/>
                <w:bCs/>
                <w:color w:val="000000"/>
                <w:sz w:val="20"/>
                <w:szCs w:val="20"/>
              </w:rPr>
              <w:t>36</w:t>
            </w:r>
          </w:p>
        </w:tc>
        <w:tc>
          <w:tcPr>
            <w:tcW w:w="1170" w:type="dxa"/>
            <w:tcBorders>
              <w:top w:val="nil"/>
              <w:left w:val="nil"/>
              <w:bottom w:val="nil"/>
              <w:right w:val="nil"/>
            </w:tcBorders>
            <w:shd w:val="clear" w:color="auto" w:fill="auto"/>
            <w:noWrap/>
            <w:vAlign w:val="bottom"/>
            <w:hideMark/>
          </w:tcPr>
          <w:p w14:paraId="3D85D058" w14:textId="77777777" w:rsidR="0010235F" w:rsidRPr="0010235F" w:rsidRDefault="0010235F" w:rsidP="0010235F">
            <w:pPr>
              <w:rPr>
                <w:rFonts w:ascii="Arial" w:hAnsi="Arial" w:cs="Arial"/>
                <w:color w:val="000000"/>
                <w:sz w:val="20"/>
                <w:szCs w:val="20"/>
              </w:rPr>
            </w:pPr>
          </w:p>
        </w:tc>
        <w:tc>
          <w:tcPr>
            <w:tcW w:w="967" w:type="dxa"/>
            <w:tcBorders>
              <w:top w:val="nil"/>
              <w:left w:val="nil"/>
              <w:bottom w:val="nil"/>
              <w:right w:val="nil"/>
            </w:tcBorders>
            <w:shd w:val="clear" w:color="auto" w:fill="auto"/>
            <w:noWrap/>
            <w:vAlign w:val="bottom"/>
            <w:hideMark/>
          </w:tcPr>
          <w:p w14:paraId="3D85D059" w14:textId="77777777" w:rsidR="0010235F" w:rsidRPr="0010235F" w:rsidRDefault="0010235F" w:rsidP="0010235F">
            <w:pPr>
              <w:rPr>
                <w:rFonts w:ascii="Arial" w:hAnsi="Arial" w:cs="Arial"/>
                <w:b/>
                <w:bCs/>
                <w:color w:val="000000"/>
                <w:sz w:val="20"/>
                <w:szCs w:val="20"/>
              </w:rPr>
            </w:pPr>
          </w:p>
        </w:tc>
        <w:tc>
          <w:tcPr>
            <w:tcW w:w="906" w:type="dxa"/>
            <w:tcBorders>
              <w:top w:val="nil"/>
              <w:left w:val="nil"/>
              <w:bottom w:val="nil"/>
            </w:tcBorders>
            <w:shd w:val="clear" w:color="auto" w:fill="auto"/>
            <w:noWrap/>
            <w:vAlign w:val="bottom"/>
            <w:hideMark/>
          </w:tcPr>
          <w:p w14:paraId="3D85D05A" w14:textId="77777777" w:rsidR="0010235F" w:rsidRPr="0010235F" w:rsidRDefault="007C4001" w:rsidP="0010235F">
            <w:pPr>
              <w:jc w:val="center"/>
              <w:rPr>
                <w:rFonts w:ascii="Arial" w:hAnsi="Arial" w:cs="Arial"/>
                <w:b/>
                <w:bCs/>
                <w:color w:val="000000"/>
                <w:sz w:val="20"/>
                <w:szCs w:val="20"/>
              </w:rPr>
            </w:pPr>
            <w:r>
              <w:rPr>
                <w:rFonts w:ascii="Arial" w:hAnsi="Arial" w:cs="Arial"/>
                <w:b/>
                <w:bCs/>
                <w:color w:val="000000"/>
                <w:sz w:val="20"/>
                <w:szCs w:val="20"/>
              </w:rPr>
              <w:t>5.4</w:t>
            </w:r>
          </w:p>
        </w:tc>
        <w:tc>
          <w:tcPr>
            <w:tcW w:w="1250" w:type="dxa"/>
            <w:tcBorders>
              <w:top w:val="nil"/>
              <w:bottom w:val="nil"/>
              <w:right w:val="nil"/>
            </w:tcBorders>
            <w:shd w:val="clear" w:color="auto" w:fill="auto"/>
            <w:noWrap/>
            <w:vAlign w:val="bottom"/>
            <w:hideMark/>
          </w:tcPr>
          <w:p w14:paraId="3D85D05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51" w:type="dxa"/>
            <w:tcBorders>
              <w:top w:val="nil"/>
              <w:left w:val="nil"/>
              <w:bottom w:val="nil"/>
              <w:right w:val="nil"/>
            </w:tcBorders>
            <w:shd w:val="clear" w:color="auto" w:fill="auto"/>
            <w:noWrap/>
            <w:vAlign w:val="bottom"/>
            <w:hideMark/>
          </w:tcPr>
          <w:p w14:paraId="3D85D05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0.</w:t>
            </w:r>
            <w:r w:rsidR="007C4001">
              <w:rPr>
                <w:rFonts w:ascii="Arial" w:hAnsi="Arial" w:cs="Arial"/>
                <w:b/>
                <w:bCs/>
                <w:color w:val="000000"/>
                <w:sz w:val="20"/>
                <w:szCs w:val="20"/>
              </w:rPr>
              <w:t>36</w:t>
            </w:r>
          </w:p>
        </w:tc>
        <w:tc>
          <w:tcPr>
            <w:tcW w:w="1197" w:type="dxa"/>
            <w:tcBorders>
              <w:top w:val="nil"/>
              <w:left w:val="single" w:sz="4" w:space="0" w:color="auto"/>
              <w:bottom w:val="nil"/>
              <w:right w:val="nil"/>
            </w:tcBorders>
            <w:shd w:val="clear" w:color="auto" w:fill="auto"/>
            <w:noWrap/>
            <w:vAlign w:val="bottom"/>
            <w:hideMark/>
          </w:tcPr>
          <w:p w14:paraId="3D85D05D"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nil"/>
              <w:right w:val="nil"/>
            </w:tcBorders>
            <w:shd w:val="clear" w:color="auto" w:fill="auto"/>
            <w:noWrap/>
            <w:vAlign w:val="bottom"/>
            <w:hideMark/>
          </w:tcPr>
          <w:p w14:paraId="3D85D05E"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D05F" w14:textId="77777777" w:rsidR="0010235F" w:rsidRPr="0010235F" w:rsidRDefault="007C4001" w:rsidP="0010235F">
            <w:pPr>
              <w:jc w:val="center"/>
              <w:rPr>
                <w:rFonts w:ascii="Arial" w:hAnsi="Arial" w:cs="Arial"/>
                <w:b/>
                <w:bCs/>
                <w:color w:val="000000"/>
                <w:sz w:val="20"/>
                <w:szCs w:val="20"/>
              </w:rPr>
            </w:pPr>
            <w:r>
              <w:rPr>
                <w:rFonts w:ascii="Arial" w:hAnsi="Arial" w:cs="Arial"/>
                <w:b/>
                <w:bCs/>
                <w:color w:val="000000"/>
                <w:sz w:val="20"/>
                <w:szCs w:val="20"/>
              </w:rPr>
              <w:t>3.2</w:t>
            </w:r>
          </w:p>
        </w:tc>
      </w:tr>
      <w:tr w:rsidR="0010235F" w:rsidRPr="0010235F" w14:paraId="3D85D074" w14:textId="77777777" w:rsidTr="00607B7E">
        <w:trPr>
          <w:trHeight w:val="288"/>
        </w:trPr>
        <w:tc>
          <w:tcPr>
            <w:tcW w:w="1429" w:type="dxa"/>
            <w:tcBorders>
              <w:top w:val="nil"/>
              <w:left w:val="single" w:sz="4" w:space="0" w:color="auto"/>
              <w:bottom w:val="nil"/>
              <w:right w:val="nil"/>
            </w:tcBorders>
            <w:shd w:val="clear" w:color="auto" w:fill="auto"/>
            <w:noWrap/>
            <w:vAlign w:val="bottom"/>
            <w:hideMark/>
          </w:tcPr>
          <w:p w14:paraId="3D85D061"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 </w:t>
            </w:r>
          </w:p>
        </w:tc>
        <w:tc>
          <w:tcPr>
            <w:tcW w:w="1279" w:type="dxa"/>
            <w:tcBorders>
              <w:top w:val="nil"/>
              <w:left w:val="nil"/>
              <w:bottom w:val="single" w:sz="4" w:space="0" w:color="auto"/>
              <w:right w:val="nil"/>
            </w:tcBorders>
            <w:shd w:val="clear" w:color="auto" w:fill="auto"/>
            <w:noWrap/>
            <w:vAlign w:val="bottom"/>
            <w:hideMark/>
          </w:tcPr>
          <w:p w14:paraId="3D85D062"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D063"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D064"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50" w:type="dxa"/>
            <w:tcBorders>
              <w:top w:val="nil"/>
              <w:left w:val="single" w:sz="4" w:space="0" w:color="auto"/>
              <w:bottom w:val="single" w:sz="4" w:space="0" w:color="auto"/>
              <w:right w:val="nil"/>
            </w:tcBorders>
            <w:shd w:val="clear" w:color="auto" w:fill="auto"/>
            <w:noWrap/>
            <w:vAlign w:val="bottom"/>
            <w:hideMark/>
          </w:tcPr>
          <w:p w14:paraId="3D85D065"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039" w:type="dxa"/>
            <w:tcBorders>
              <w:top w:val="nil"/>
              <w:left w:val="nil"/>
              <w:bottom w:val="single" w:sz="4" w:space="0" w:color="auto"/>
              <w:right w:val="nil"/>
            </w:tcBorders>
            <w:shd w:val="clear" w:color="auto" w:fill="auto"/>
            <w:noWrap/>
            <w:vAlign w:val="bottom"/>
            <w:hideMark/>
          </w:tcPr>
          <w:p w14:paraId="3D85D066"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74" w:type="dxa"/>
            <w:tcBorders>
              <w:top w:val="nil"/>
              <w:left w:val="single" w:sz="4" w:space="0" w:color="auto"/>
              <w:bottom w:val="single" w:sz="4" w:space="0" w:color="auto"/>
              <w:right w:val="nil"/>
            </w:tcBorders>
            <w:shd w:val="clear" w:color="auto" w:fill="auto"/>
            <w:noWrap/>
            <w:vAlign w:val="bottom"/>
            <w:hideMark/>
          </w:tcPr>
          <w:p w14:paraId="3D85D067"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D068"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D069"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50" w:type="dxa"/>
            <w:tcBorders>
              <w:top w:val="nil"/>
              <w:left w:val="nil"/>
              <w:bottom w:val="single" w:sz="4" w:space="0" w:color="auto"/>
              <w:right w:val="nil"/>
            </w:tcBorders>
            <w:shd w:val="clear" w:color="auto" w:fill="auto"/>
            <w:noWrap/>
            <w:vAlign w:val="bottom"/>
            <w:hideMark/>
          </w:tcPr>
          <w:p w14:paraId="3D85D06A"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3D85D06B"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170" w:type="dxa"/>
            <w:tcBorders>
              <w:top w:val="nil"/>
              <w:left w:val="nil"/>
              <w:bottom w:val="single" w:sz="4" w:space="0" w:color="auto"/>
              <w:right w:val="nil"/>
            </w:tcBorders>
            <w:shd w:val="clear" w:color="auto" w:fill="auto"/>
            <w:noWrap/>
            <w:vAlign w:val="bottom"/>
            <w:hideMark/>
          </w:tcPr>
          <w:p w14:paraId="3D85D06C"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D06D"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06" w:type="dxa"/>
            <w:tcBorders>
              <w:top w:val="nil"/>
              <w:left w:val="nil"/>
              <w:bottom w:val="single" w:sz="4" w:space="0" w:color="auto"/>
            </w:tcBorders>
            <w:shd w:val="clear" w:color="auto" w:fill="auto"/>
            <w:noWrap/>
            <w:vAlign w:val="bottom"/>
            <w:hideMark/>
          </w:tcPr>
          <w:p w14:paraId="3D85D06E"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50" w:type="dxa"/>
            <w:tcBorders>
              <w:top w:val="nil"/>
              <w:bottom w:val="single" w:sz="4" w:space="0" w:color="auto"/>
              <w:right w:val="nil"/>
            </w:tcBorders>
            <w:shd w:val="clear" w:color="auto" w:fill="auto"/>
            <w:noWrap/>
            <w:vAlign w:val="bottom"/>
            <w:hideMark/>
          </w:tcPr>
          <w:p w14:paraId="3D85D06F"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051" w:type="dxa"/>
            <w:tcBorders>
              <w:top w:val="nil"/>
              <w:left w:val="nil"/>
              <w:bottom w:val="single" w:sz="4" w:space="0" w:color="auto"/>
              <w:right w:val="nil"/>
            </w:tcBorders>
            <w:shd w:val="clear" w:color="auto" w:fill="auto"/>
            <w:noWrap/>
            <w:vAlign w:val="bottom"/>
            <w:hideMark/>
          </w:tcPr>
          <w:p w14:paraId="3D85D070"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197" w:type="dxa"/>
            <w:tcBorders>
              <w:top w:val="nil"/>
              <w:left w:val="single" w:sz="4" w:space="0" w:color="auto"/>
              <w:bottom w:val="single" w:sz="4" w:space="0" w:color="auto"/>
              <w:right w:val="nil"/>
            </w:tcBorders>
            <w:shd w:val="clear" w:color="auto" w:fill="auto"/>
            <w:noWrap/>
            <w:vAlign w:val="bottom"/>
            <w:hideMark/>
          </w:tcPr>
          <w:p w14:paraId="3D85D071"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D072"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14:paraId="3D85D073"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D088" w14:textId="77777777" w:rsidTr="00607B7E">
        <w:trPr>
          <w:trHeight w:val="288"/>
        </w:trPr>
        <w:tc>
          <w:tcPr>
            <w:tcW w:w="1429" w:type="dxa"/>
            <w:tcBorders>
              <w:top w:val="single" w:sz="4" w:space="0" w:color="auto"/>
              <w:left w:val="single" w:sz="4" w:space="0" w:color="auto"/>
              <w:bottom w:val="nil"/>
              <w:right w:val="nil"/>
            </w:tcBorders>
            <w:shd w:val="clear" w:color="auto" w:fill="auto"/>
            <w:noWrap/>
            <w:vAlign w:val="bottom"/>
            <w:hideMark/>
          </w:tcPr>
          <w:p w14:paraId="3D85D075"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 </w:t>
            </w:r>
          </w:p>
        </w:tc>
        <w:tc>
          <w:tcPr>
            <w:tcW w:w="1279" w:type="dxa"/>
            <w:tcBorders>
              <w:top w:val="nil"/>
              <w:left w:val="nil"/>
              <w:bottom w:val="nil"/>
              <w:right w:val="nil"/>
            </w:tcBorders>
            <w:shd w:val="clear" w:color="auto" w:fill="auto"/>
            <w:noWrap/>
            <w:vAlign w:val="bottom"/>
            <w:hideMark/>
          </w:tcPr>
          <w:p w14:paraId="3D85D07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07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nil"/>
              <w:right w:val="nil"/>
            </w:tcBorders>
            <w:shd w:val="clear" w:color="auto" w:fill="auto"/>
            <w:noWrap/>
            <w:vAlign w:val="bottom"/>
            <w:hideMark/>
          </w:tcPr>
          <w:p w14:paraId="3D85D07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left w:val="single" w:sz="4" w:space="0" w:color="auto"/>
              <w:bottom w:val="nil"/>
              <w:right w:val="nil"/>
            </w:tcBorders>
            <w:shd w:val="clear" w:color="auto" w:fill="auto"/>
            <w:noWrap/>
            <w:vAlign w:val="bottom"/>
            <w:hideMark/>
          </w:tcPr>
          <w:p w14:paraId="3D85D079"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nil"/>
              <w:right w:val="nil"/>
            </w:tcBorders>
            <w:shd w:val="clear" w:color="auto" w:fill="auto"/>
            <w:noWrap/>
            <w:vAlign w:val="bottom"/>
            <w:hideMark/>
          </w:tcPr>
          <w:p w14:paraId="3D85D07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74" w:type="dxa"/>
            <w:tcBorders>
              <w:top w:val="nil"/>
              <w:left w:val="single" w:sz="4" w:space="0" w:color="auto"/>
              <w:bottom w:val="nil"/>
              <w:right w:val="nil"/>
            </w:tcBorders>
            <w:shd w:val="clear" w:color="auto" w:fill="auto"/>
            <w:noWrap/>
            <w:vAlign w:val="bottom"/>
            <w:hideMark/>
          </w:tcPr>
          <w:p w14:paraId="3D85D07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07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nil"/>
              <w:right w:val="nil"/>
            </w:tcBorders>
            <w:shd w:val="clear" w:color="auto" w:fill="auto"/>
            <w:noWrap/>
            <w:vAlign w:val="bottom"/>
            <w:hideMark/>
          </w:tcPr>
          <w:p w14:paraId="3D85D07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left w:val="nil"/>
              <w:bottom w:val="nil"/>
              <w:right w:val="nil"/>
            </w:tcBorders>
            <w:shd w:val="clear" w:color="auto" w:fill="auto"/>
            <w:noWrap/>
            <w:vAlign w:val="bottom"/>
            <w:hideMark/>
          </w:tcPr>
          <w:p w14:paraId="3D85D07E"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51" w:type="dxa"/>
            <w:tcBorders>
              <w:top w:val="nil"/>
              <w:left w:val="nil"/>
              <w:bottom w:val="nil"/>
              <w:right w:val="single" w:sz="4" w:space="0" w:color="auto"/>
            </w:tcBorders>
            <w:shd w:val="clear" w:color="auto" w:fill="auto"/>
            <w:noWrap/>
            <w:vAlign w:val="bottom"/>
            <w:hideMark/>
          </w:tcPr>
          <w:p w14:paraId="3D85D07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70" w:type="dxa"/>
            <w:tcBorders>
              <w:top w:val="nil"/>
              <w:left w:val="nil"/>
              <w:bottom w:val="nil"/>
              <w:right w:val="nil"/>
            </w:tcBorders>
            <w:shd w:val="clear" w:color="auto" w:fill="auto"/>
            <w:noWrap/>
            <w:vAlign w:val="bottom"/>
            <w:hideMark/>
          </w:tcPr>
          <w:p w14:paraId="3D85D08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08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nil"/>
            </w:tcBorders>
            <w:shd w:val="clear" w:color="auto" w:fill="auto"/>
            <w:noWrap/>
            <w:vAlign w:val="bottom"/>
            <w:hideMark/>
          </w:tcPr>
          <w:p w14:paraId="3D85D08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bottom w:val="nil"/>
              <w:right w:val="nil"/>
            </w:tcBorders>
            <w:shd w:val="clear" w:color="auto" w:fill="auto"/>
            <w:noWrap/>
            <w:vAlign w:val="bottom"/>
            <w:hideMark/>
          </w:tcPr>
          <w:p w14:paraId="3D85D08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51" w:type="dxa"/>
            <w:tcBorders>
              <w:top w:val="nil"/>
              <w:left w:val="nil"/>
              <w:bottom w:val="nil"/>
              <w:right w:val="nil"/>
            </w:tcBorders>
            <w:shd w:val="clear" w:color="auto" w:fill="auto"/>
            <w:noWrap/>
            <w:vAlign w:val="bottom"/>
            <w:hideMark/>
          </w:tcPr>
          <w:p w14:paraId="3D85D08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97" w:type="dxa"/>
            <w:tcBorders>
              <w:top w:val="nil"/>
              <w:left w:val="single" w:sz="4" w:space="0" w:color="auto"/>
              <w:bottom w:val="nil"/>
              <w:right w:val="nil"/>
            </w:tcBorders>
            <w:shd w:val="clear" w:color="auto" w:fill="auto"/>
            <w:noWrap/>
            <w:vAlign w:val="bottom"/>
            <w:hideMark/>
          </w:tcPr>
          <w:p w14:paraId="3D85D08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08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nil"/>
              <w:right w:val="single" w:sz="4" w:space="0" w:color="auto"/>
            </w:tcBorders>
            <w:shd w:val="clear" w:color="auto" w:fill="auto"/>
            <w:noWrap/>
            <w:vAlign w:val="bottom"/>
            <w:hideMark/>
          </w:tcPr>
          <w:p w14:paraId="3D85D087"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D09B" w14:textId="77777777" w:rsidTr="00607B7E">
        <w:trPr>
          <w:trHeight w:val="288"/>
        </w:trPr>
        <w:tc>
          <w:tcPr>
            <w:tcW w:w="2708" w:type="dxa"/>
            <w:gridSpan w:val="2"/>
            <w:tcBorders>
              <w:top w:val="nil"/>
              <w:left w:val="single" w:sz="4" w:space="0" w:color="auto"/>
              <w:bottom w:val="nil"/>
              <w:right w:val="nil"/>
            </w:tcBorders>
            <w:shd w:val="clear" w:color="auto" w:fill="auto"/>
            <w:noWrap/>
            <w:vAlign w:val="bottom"/>
            <w:hideMark/>
          </w:tcPr>
          <w:p w14:paraId="3D85D089"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Emission Unit 2</w:t>
            </w:r>
          </w:p>
        </w:tc>
        <w:tc>
          <w:tcPr>
            <w:tcW w:w="967" w:type="dxa"/>
            <w:tcBorders>
              <w:top w:val="nil"/>
              <w:left w:val="nil"/>
              <w:bottom w:val="nil"/>
              <w:right w:val="nil"/>
            </w:tcBorders>
            <w:shd w:val="clear" w:color="auto" w:fill="auto"/>
            <w:noWrap/>
            <w:vAlign w:val="bottom"/>
            <w:hideMark/>
          </w:tcPr>
          <w:p w14:paraId="3D85D08A"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08B"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single" w:sz="4" w:space="0" w:color="auto"/>
              <w:bottom w:val="nil"/>
              <w:right w:val="nil"/>
            </w:tcBorders>
            <w:shd w:val="clear" w:color="auto" w:fill="auto"/>
            <w:noWrap/>
            <w:vAlign w:val="bottom"/>
            <w:hideMark/>
          </w:tcPr>
          <w:p w14:paraId="3D85D08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nil"/>
              <w:right w:val="nil"/>
            </w:tcBorders>
            <w:shd w:val="clear" w:color="auto" w:fill="auto"/>
            <w:noWrap/>
            <w:vAlign w:val="bottom"/>
            <w:hideMark/>
          </w:tcPr>
          <w:p w14:paraId="3D85D08D" w14:textId="77777777" w:rsidR="0010235F" w:rsidRPr="0010235F" w:rsidRDefault="0010235F" w:rsidP="0010235F">
            <w:pPr>
              <w:jc w:val="center"/>
              <w:rPr>
                <w:rFonts w:ascii="Arial" w:hAnsi="Arial" w:cs="Arial"/>
                <w:b/>
                <w:bCs/>
                <w:color w:val="000000"/>
                <w:sz w:val="20"/>
                <w:szCs w:val="20"/>
              </w:rPr>
            </w:pPr>
          </w:p>
        </w:tc>
        <w:tc>
          <w:tcPr>
            <w:tcW w:w="1274" w:type="dxa"/>
            <w:tcBorders>
              <w:top w:val="nil"/>
              <w:left w:val="single" w:sz="4" w:space="0" w:color="auto"/>
              <w:bottom w:val="nil"/>
              <w:right w:val="nil"/>
            </w:tcBorders>
            <w:shd w:val="clear" w:color="auto" w:fill="auto"/>
            <w:noWrap/>
            <w:vAlign w:val="bottom"/>
            <w:hideMark/>
          </w:tcPr>
          <w:p w14:paraId="3D85D08E"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08F"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090"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nil"/>
              <w:bottom w:val="nil"/>
              <w:right w:val="nil"/>
            </w:tcBorders>
            <w:shd w:val="clear" w:color="auto" w:fill="auto"/>
            <w:noWrap/>
            <w:vAlign w:val="bottom"/>
            <w:hideMark/>
          </w:tcPr>
          <w:p w14:paraId="3D85D091" w14:textId="77777777" w:rsidR="0010235F" w:rsidRPr="0010235F" w:rsidRDefault="0010235F" w:rsidP="0010235F">
            <w:pPr>
              <w:jc w:val="center"/>
              <w:rPr>
                <w:rFonts w:ascii="Arial" w:hAnsi="Arial" w:cs="Arial"/>
                <w:b/>
                <w:bCs/>
                <w:color w:val="000000"/>
                <w:sz w:val="20"/>
                <w:szCs w:val="20"/>
              </w:rPr>
            </w:pPr>
          </w:p>
        </w:tc>
        <w:tc>
          <w:tcPr>
            <w:tcW w:w="1051" w:type="dxa"/>
            <w:tcBorders>
              <w:top w:val="nil"/>
              <w:left w:val="nil"/>
              <w:bottom w:val="nil"/>
              <w:right w:val="single" w:sz="4" w:space="0" w:color="auto"/>
            </w:tcBorders>
            <w:shd w:val="clear" w:color="auto" w:fill="auto"/>
            <w:noWrap/>
            <w:vAlign w:val="bottom"/>
            <w:hideMark/>
          </w:tcPr>
          <w:p w14:paraId="3D85D09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70" w:type="dxa"/>
            <w:tcBorders>
              <w:top w:val="nil"/>
              <w:left w:val="nil"/>
              <w:bottom w:val="nil"/>
              <w:right w:val="nil"/>
            </w:tcBorders>
            <w:shd w:val="clear" w:color="auto" w:fill="auto"/>
            <w:noWrap/>
            <w:vAlign w:val="bottom"/>
            <w:hideMark/>
          </w:tcPr>
          <w:p w14:paraId="3D85D093" w14:textId="77777777" w:rsidR="0010235F" w:rsidRPr="0010235F" w:rsidRDefault="0010235F" w:rsidP="0010235F">
            <w:pPr>
              <w:jc w:val="center"/>
              <w:rPr>
                <w:rFonts w:ascii="Arial" w:hAnsi="Arial" w:cs="Arial"/>
                <w:b/>
                <w:bCs/>
                <w:color w:val="000000"/>
                <w:sz w:val="20"/>
                <w:szCs w:val="20"/>
              </w:rPr>
            </w:pPr>
          </w:p>
        </w:tc>
        <w:tc>
          <w:tcPr>
            <w:tcW w:w="967" w:type="dxa"/>
            <w:tcBorders>
              <w:top w:val="nil"/>
              <w:left w:val="nil"/>
              <w:bottom w:val="nil"/>
              <w:right w:val="nil"/>
            </w:tcBorders>
            <w:shd w:val="clear" w:color="auto" w:fill="auto"/>
            <w:noWrap/>
            <w:vAlign w:val="bottom"/>
            <w:hideMark/>
          </w:tcPr>
          <w:p w14:paraId="3D85D094"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tcBorders>
            <w:shd w:val="clear" w:color="auto" w:fill="auto"/>
            <w:noWrap/>
            <w:vAlign w:val="bottom"/>
            <w:hideMark/>
          </w:tcPr>
          <w:p w14:paraId="3D85D095" w14:textId="77777777" w:rsidR="0010235F" w:rsidRPr="0010235F" w:rsidRDefault="0010235F" w:rsidP="0010235F">
            <w:pPr>
              <w:jc w:val="center"/>
              <w:rPr>
                <w:rFonts w:ascii="Arial" w:hAnsi="Arial" w:cs="Arial"/>
                <w:b/>
                <w:bCs/>
                <w:color w:val="000000"/>
                <w:sz w:val="20"/>
                <w:szCs w:val="20"/>
              </w:rPr>
            </w:pPr>
          </w:p>
        </w:tc>
        <w:tc>
          <w:tcPr>
            <w:tcW w:w="1250" w:type="dxa"/>
            <w:tcBorders>
              <w:top w:val="nil"/>
              <w:bottom w:val="nil"/>
              <w:right w:val="nil"/>
            </w:tcBorders>
            <w:shd w:val="clear" w:color="auto" w:fill="auto"/>
            <w:noWrap/>
            <w:vAlign w:val="bottom"/>
            <w:hideMark/>
          </w:tcPr>
          <w:p w14:paraId="3D85D09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51" w:type="dxa"/>
            <w:tcBorders>
              <w:top w:val="nil"/>
              <w:left w:val="nil"/>
              <w:bottom w:val="nil"/>
              <w:right w:val="nil"/>
            </w:tcBorders>
            <w:shd w:val="clear" w:color="auto" w:fill="auto"/>
            <w:noWrap/>
            <w:vAlign w:val="bottom"/>
            <w:hideMark/>
          </w:tcPr>
          <w:p w14:paraId="3D85D097" w14:textId="77777777" w:rsidR="0010235F" w:rsidRPr="0010235F" w:rsidRDefault="0010235F" w:rsidP="0010235F">
            <w:pPr>
              <w:jc w:val="center"/>
              <w:rPr>
                <w:rFonts w:ascii="Arial" w:hAnsi="Arial" w:cs="Arial"/>
                <w:b/>
                <w:bCs/>
                <w:color w:val="000000"/>
                <w:sz w:val="20"/>
                <w:szCs w:val="20"/>
              </w:rPr>
            </w:pPr>
          </w:p>
        </w:tc>
        <w:tc>
          <w:tcPr>
            <w:tcW w:w="1197" w:type="dxa"/>
            <w:tcBorders>
              <w:top w:val="nil"/>
              <w:left w:val="single" w:sz="4" w:space="0" w:color="auto"/>
              <w:bottom w:val="nil"/>
              <w:right w:val="nil"/>
            </w:tcBorders>
            <w:shd w:val="clear" w:color="auto" w:fill="auto"/>
            <w:noWrap/>
            <w:vAlign w:val="bottom"/>
            <w:hideMark/>
          </w:tcPr>
          <w:p w14:paraId="3D85D09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099"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D09A"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923502" w:rsidRPr="0010235F" w14:paraId="3D85D0AF" w14:textId="77777777" w:rsidTr="00607B7E">
        <w:trPr>
          <w:trHeight w:val="288"/>
        </w:trPr>
        <w:tc>
          <w:tcPr>
            <w:tcW w:w="1429" w:type="dxa"/>
            <w:tcBorders>
              <w:top w:val="nil"/>
              <w:left w:val="single" w:sz="4" w:space="0" w:color="auto"/>
              <w:bottom w:val="nil"/>
              <w:right w:val="nil"/>
            </w:tcBorders>
            <w:shd w:val="clear" w:color="auto" w:fill="auto"/>
            <w:noWrap/>
            <w:vAlign w:val="bottom"/>
            <w:hideMark/>
          </w:tcPr>
          <w:p w14:paraId="3D85D09C" w14:textId="77777777" w:rsidR="00923502" w:rsidRPr="00923502" w:rsidRDefault="00923502" w:rsidP="007525E6">
            <w:pPr>
              <w:rPr>
                <w:rFonts w:ascii="Arial" w:hAnsi="Arial" w:cs="Arial"/>
                <w:color w:val="000000"/>
                <w:sz w:val="20"/>
                <w:szCs w:val="20"/>
              </w:rPr>
            </w:pPr>
            <w:r w:rsidRPr="00923502">
              <w:rPr>
                <w:rFonts w:ascii="Arial" w:hAnsi="Arial" w:cs="Arial"/>
                <w:color w:val="000000"/>
                <w:sz w:val="20"/>
                <w:szCs w:val="20"/>
              </w:rPr>
              <w:t>Acetaldehyde</w:t>
            </w:r>
          </w:p>
        </w:tc>
        <w:tc>
          <w:tcPr>
            <w:tcW w:w="1279" w:type="dxa"/>
            <w:tcBorders>
              <w:top w:val="nil"/>
              <w:left w:val="nil"/>
              <w:bottom w:val="nil"/>
              <w:right w:val="nil"/>
            </w:tcBorders>
            <w:shd w:val="clear" w:color="auto" w:fill="auto"/>
            <w:vAlign w:val="bottom"/>
            <w:hideMark/>
          </w:tcPr>
          <w:p w14:paraId="3D85D09D"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9</w:t>
            </w:r>
          </w:p>
        </w:tc>
        <w:tc>
          <w:tcPr>
            <w:tcW w:w="967" w:type="dxa"/>
            <w:tcBorders>
              <w:top w:val="nil"/>
              <w:left w:val="nil"/>
              <w:bottom w:val="nil"/>
              <w:right w:val="nil"/>
            </w:tcBorders>
            <w:shd w:val="clear" w:color="auto" w:fill="auto"/>
            <w:noWrap/>
            <w:vAlign w:val="bottom"/>
            <w:hideMark/>
          </w:tcPr>
          <w:p w14:paraId="3D85D09E"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0.45</w:t>
            </w:r>
          </w:p>
        </w:tc>
        <w:tc>
          <w:tcPr>
            <w:tcW w:w="906" w:type="dxa"/>
            <w:tcBorders>
              <w:top w:val="nil"/>
              <w:left w:val="nil"/>
              <w:bottom w:val="nil"/>
              <w:right w:val="nil"/>
            </w:tcBorders>
            <w:shd w:val="clear" w:color="auto" w:fill="auto"/>
            <w:noWrap/>
            <w:vAlign w:val="bottom"/>
            <w:hideMark/>
          </w:tcPr>
          <w:p w14:paraId="3D85D09F"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19</w:t>
            </w:r>
          </w:p>
        </w:tc>
        <w:tc>
          <w:tcPr>
            <w:tcW w:w="1250" w:type="dxa"/>
            <w:tcBorders>
              <w:top w:val="nil"/>
              <w:left w:val="single" w:sz="4" w:space="0" w:color="auto"/>
              <w:bottom w:val="nil"/>
              <w:right w:val="nil"/>
            </w:tcBorders>
            <w:shd w:val="clear" w:color="auto" w:fill="auto"/>
            <w:noWrap/>
            <w:vAlign w:val="bottom"/>
            <w:hideMark/>
          </w:tcPr>
          <w:p w14:paraId="3D85D0A0"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9</w:t>
            </w:r>
          </w:p>
        </w:tc>
        <w:tc>
          <w:tcPr>
            <w:tcW w:w="1039" w:type="dxa"/>
            <w:tcBorders>
              <w:top w:val="nil"/>
              <w:left w:val="nil"/>
              <w:bottom w:val="nil"/>
              <w:right w:val="nil"/>
            </w:tcBorders>
            <w:shd w:val="clear" w:color="auto" w:fill="auto"/>
            <w:noWrap/>
            <w:vAlign w:val="bottom"/>
            <w:hideMark/>
          </w:tcPr>
          <w:p w14:paraId="3D85D0A1" w14:textId="77777777" w:rsidR="00923502" w:rsidRPr="0010235F" w:rsidRDefault="00923502" w:rsidP="00923502">
            <w:pPr>
              <w:jc w:val="center"/>
              <w:rPr>
                <w:rFonts w:ascii="Arial" w:hAnsi="Arial" w:cs="Arial"/>
                <w:color w:val="000000"/>
                <w:sz w:val="20"/>
                <w:szCs w:val="20"/>
              </w:rPr>
            </w:pPr>
            <w:r w:rsidRPr="0010235F">
              <w:rPr>
                <w:rFonts w:ascii="Arial" w:hAnsi="Arial" w:cs="Arial"/>
                <w:color w:val="000000"/>
                <w:sz w:val="20"/>
                <w:szCs w:val="20"/>
              </w:rPr>
              <w:t>0.</w:t>
            </w:r>
            <w:r>
              <w:rPr>
                <w:rFonts w:ascii="Arial" w:hAnsi="Arial" w:cs="Arial"/>
                <w:color w:val="000000"/>
                <w:sz w:val="20"/>
                <w:szCs w:val="20"/>
              </w:rPr>
              <w:t>94</w:t>
            </w:r>
          </w:p>
        </w:tc>
        <w:tc>
          <w:tcPr>
            <w:tcW w:w="1274" w:type="dxa"/>
            <w:tcBorders>
              <w:top w:val="nil"/>
              <w:left w:val="single" w:sz="4" w:space="0" w:color="auto"/>
              <w:bottom w:val="nil"/>
              <w:right w:val="nil"/>
            </w:tcBorders>
            <w:shd w:val="clear" w:color="auto" w:fill="auto"/>
            <w:vAlign w:val="bottom"/>
            <w:hideMark/>
          </w:tcPr>
          <w:p w14:paraId="3D85D0A2"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5</w:t>
            </w:r>
          </w:p>
        </w:tc>
        <w:tc>
          <w:tcPr>
            <w:tcW w:w="967" w:type="dxa"/>
            <w:tcBorders>
              <w:top w:val="nil"/>
              <w:left w:val="nil"/>
              <w:bottom w:val="nil"/>
              <w:right w:val="nil"/>
            </w:tcBorders>
            <w:shd w:val="clear" w:color="auto" w:fill="auto"/>
            <w:noWrap/>
            <w:vAlign w:val="bottom"/>
            <w:hideMark/>
          </w:tcPr>
          <w:p w14:paraId="3D85D0A3"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11</w:t>
            </w:r>
          </w:p>
        </w:tc>
        <w:tc>
          <w:tcPr>
            <w:tcW w:w="906" w:type="dxa"/>
            <w:tcBorders>
              <w:top w:val="nil"/>
              <w:left w:val="nil"/>
              <w:bottom w:val="nil"/>
              <w:right w:val="nil"/>
            </w:tcBorders>
            <w:shd w:val="clear" w:color="auto" w:fill="auto"/>
            <w:noWrap/>
            <w:vAlign w:val="bottom"/>
            <w:hideMark/>
          </w:tcPr>
          <w:p w14:paraId="3D85D0A4"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0.45</w:t>
            </w:r>
          </w:p>
        </w:tc>
        <w:tc>
          <w:tcPr>
            <w:tcW w:w="1250" w:type="dxa"/>
            <w:tcBorders>
              <w:top w:val="nil"/>
              <w:left w:val="nil"/>
              <w:bottom w:val="nil"/>
              <w:right w:val="nil"/>
            </w:tcBorders>
            <w:shd w:val="clear" w:color="auto" w:fill="auto"/>
            <w:noWrap/>
            <w:vAlign w:val="bottom"/>
            <w:hideMark/>
          </w:tcPr>
          <w:p w14:paraId="3D85D0A5"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38</w:t>
            </w:r>
          </w:p>
        </w:tc>
        <w:tc>
          <w:tcPr>
            <w:tcW w:w="1051" w:type="dxa"/>
            <w:tcBorders>
              <w:top w:val="nil"/>
              <w:left w:val="nil"/>
              <w:bottom w:val="nil"/>
              <w:right w:val="single" w:sz="4" w:space="0" w:color="auto"/>
            </w:tcBorders>
            <w:shd w:val="clear" w:color="auto" w:fill="auto"/>
            <w:noWrap/>
            <w:vAlign w:val="bottom"/>
            <w:hideMark/>
          </w:tcPr>
          <w:p w14:paraId="3D85D0A6" w14:textId="77777777" w:rsidR="00923502" w:rsidRPr="0010235F" w:rsidRDefault="00923502" w:rsidP="00923502">
            <w:pPr>
              <w:jc w:val="center"/>
              <w:rPr>
                <w:rFonts w:ascii="Arial" w:hAnsi="Arial" w:cs="Arial"/>
                <w:color w:val="000000"/>
                <w:sz w:val="20"/>
                <w:szCs w:val="20"/>
              </w:rPr>
            </w:pPr>
            <w:r w:rsidRPr="0010235F">
              <w:rPr>
                <w:rFonts w:ascii="Arial" w:hAnsi="Arial" w:cs="Arial"/>
                <w:color w:val="000000"/>
                <w:sz w:val="20"/>
                <w:szCs w:val="20"/>
              </w:rPr>
              <w:t>0.</w:t>
            </w:r>
            <w:r>
              <w:rPr>
                <w:rFonts w:ascii="Arial" w:hAnsi="Arial" w:cs="Arial"/>
                <w:color w:val="000000"/>
                <w:sz w:val="20"/>
                <w:szCs w:val="20"/>
              </w:rPr>
              <w:t>13</w:t>
            </w:r>
          </w:p>
        </w:tc>
        <w:tc>
          <w:tcPr>
            <w:tcW w:w="1170" w:type="dxa"/>
            <w:tcBorders>
              <w:top w:val="nil"/>
              <w:left w:val="nil"/>
              <w:bottom w:val="nil"/>
              <w:right w:val="nil"/>
            </w:tcBorders>
            <w:shd w:val="clear" w:color="auto" w:fill="auto"/>
            <w:vAlign w:val="bottom"/>
            <w:hideMark/>
          </w:tcPr>
          <w:p w14:paraId="3D85D0A7"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5</w:t>
            </w:r>
          </w:p>
        </w:tc>
        <w:tc>
          <w:tcPr>
            <w:tcW w:w="967" w:type="dxa"/>
            <w:tcBorders>
              <w:top w:val="nil"/>
              <w:left w:val="nil"/>
              <w:bottom w:val="nil"/>
              <w:right w:val="nil"/>
            </w:tcBorders>
            <w:shd w:val="clear" w:color="auto" w:fill="auto"/>
            <w:noWrap/>
            <w:vAlign w:val="bottom"/>
            <w:hideMark/>
          </w:tcPr>
          <w:p w14:paraId="3D85D0A8"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5.4</w:t>
            </w:r>
          </w:p>
        </w:tc>
        <w:tc>
          <w:tcPr>
            <w:tcW w:w="906" w:type="dxa"/>
            <w:tcBorders>
              <w:top w:val="nil"/>
              <w:left w:val="nil"/>
              <w:bottom w:val="nil"/>
            </w:tcBorders>
            <w:shd w:val="clear" w:color="auto" w:fill="auto"/>
            <w:noWrap/>
            <w:vAlign w:val="bottom"/>
            <w:hideMark/>
          </w:tcPr>
          <w:p w14:paraId="3D85D0A9"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0.9</w:t>
            </w:r>
          </w:p>
        </w:tc>
        <w:tc>
          <w:tcPr>
            <w:tcW w:w="1250" w:type="dxa"/>
            <w:tcBorders>
              <w:top w:val="nil"/>
              <w:bottom w:val="nil"/>
              <w:right w:val="nil"/>
            </w:tcBorders>
            <w:shd w:val="clear" w:color="auto" w:fill="auto"/>
            <w:noWrap/>
            <w:vAlign w:val="bottom"/>
            <w:hideMark/>
          </w:tcPr>
          <w:p w14:paraId="3D85D0AA"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38</w:t>
            </w:r>
          </w:p>
        </w:tc>
        <w:tc>
          <w:tcPr>
            <w:tcW w:w="1051" w:type="dxa"/>
            <w:tcBorders>
              <w:top w:val="nil"/>
              <w:left w:val="nil"/>
              <w:bottom w:val="nil"/>
              <w:right w:val="nil"/>
            </w:tcBorders>
            <w:shd w:val="clear" w:color="auto" w:fill="auto"/>
            <w:noWrap/>
            <w:vAlign w:val="bottom"/>
            <w:hideMark/>
          </w:tcPr>
          <w:p w14:paraId="3D85D0AB" w14:textId="77777777" w:rsidR="00923502" w:rsidRPr="0010235F" w:rsidRDefault="00923502" w:rsidP="007525E6">
            <w:pPr>
              <w:jc w:val="center"/>
              <w:rPr>
                <w:rFonts w:ascii="Arial" w:hAnsi="Arial" w:cs="Arial"/>
                <w:color w:val="000000"/>
                <w:sz w:val="20"/>
                <w:szCs w:val="20"/>
              </w:rPr>
            </w:pPr>
            <w:r w:rsidRPr="0010235F">
              <w:rPr>
                <w:rFonts w:ascii="Arial" w:hAnsi="Arial" w:cs="Arial"/>
                <w:color w:val="000000"/>
                <w:sz w:val="20"/>
                <w:szCs w:val="20"/>
              </w:rPr>
              <w:t>0.</w:t>
            </w:r>
            <w:r>
              <w:rPr>
                <w:rFonts w:ascii="Arial" w:hAnsi="Arial" w:cs="Arial"/>
                <w:color w:val="000000"/>
                <w:sz w:val="20"/>
                <w:szCs w:val="20"/>
              </w:rPr>
              <w:t>13</w:t>
            </w:r>
          </w:p>
        </w:tc>
        <w:tc>
          <w:tcPr>
            <w:tcW w:w="1197" w:type="dxa"/>
            <w:tcBorders>
              <w:top w:val="nil"/>
              <w:left w:val="single" w:sz="4" w:space="0" w:color="auto"/>
              <w:bottom w:val="nil"/>
              <w:right w:val="nil"/>
            </w:tcBorders>
            <w:shd w:val="clear" w:color="auto" w:fill="auto"/>
            <w:vAlign w:val="bottom"/>
            <w:hideMark/>
          </w:tcPr>
          <w:p w14:paraId="3D85D0AC"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95</w:t>
            </w:r>
          </w:p>
        </w:tc>
        <w:tc>
          <w:tcPr>
            <w:tcW w:w="967" w:type="dxa"/>
            <w:tcBorders>
              <w:top w:val="nil"/>
              <w:left w:val="nil"/>
              <w:bottom w:val="nil"/>
              <w:right w:val="nil"/>
            </w:tcBorders>
            <w:shd w:val="clear" w:color="auto" w:fill="auto"/>
            <w:noWrap/>
            <w:vAlign w:val="bottom"/>
            <w:hideMark/>
          </w:tcPr>
          <w:p w14:paraId="3D85D0AD"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470</w:t>
            </w:r>
          </w:p>
        </w:tc>
        <w:tc>
          <w:tcPr>
            <w:tcW w:w="1039" w:type="dxa"/>
            <w:tcBorders>
              <w:top w:val="nil"/>
              <w:left w:val="nil"/>
              <w:bottom w:val="nil"/>
              <w:right w:val="single" w:sz="4" w:space="0" w:color="auto"/>
            </w:tcBorders>
            <w:shd w:val="clear" w:color="auto" w:fill="auto"/>
            <w:noWrap/>
            <w:vAlign w:val="bottom"/>
            <w:hideMark/>
          </w:tcPr>
          <w:p w14:paraId="3D85D0AE"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0.2</w:t>
            </w:r>
          </w:p>
        </w:tc>
      </w:tr>
      <w:tr w:rsidR="00923502" w:rsidRPr="0010235F" w14:paraId="3D85D0C3" w14:textId="77777777" w:rsidTr="00607B7E">
        <w:trPr>
          <w:trHeight w:val="288"/>
        </w:trPr>
        <w:tc>
          <w:tcPr>
            <w:tcW w:w="1429" w:type="dxa"/>
            <w:tcBorders>
              <w:top w:val="nil"/>
              <w:left w:val="single" w:sz="4" w:space="0" w:color="auto"/>
              <w:bottom w:val="nil"/>
              <w:right w:val="nil"/>
            </w:tcBorders>
            <w:shd w:val="clear" w:color="auto" w:fill="auto"/>
            <w:noWrap/>
            <w:vAlign w:val="bottom"/>
            <w:hideMark/>
          </w:tcPr>
          <w:p w14:paraId="3D85D0B0" w14:textId="77777777" w:rsidR="00923502" w:rsidRPr="00923502" w:rsidRDefault="00923502" w:rsidP="007525E6">
            <w:pPr>
              <w:rPr>
                <w:rFonts w:ascii="Arial" w:hAnsi="Arial" w:cs="Arial"/>
                <w:color w:val="000000"/>
                <w:sz w:val="20"/>
                <w:szCs w:val="20"/>
              </w:rPr>
            </w:pPr>
            <w:r w:rsidRPr="00923502">
              <w:rPr>
                <w:rFonts w:ascii="Arial" w:hAnsi="Arial" w:cs="Arial"/>
                <w:color w:val="000000"/>
                <w:sz w:val="20"/>
                <w:szCs w:val="20"/>
              </w:rPr>
              <w:t>Acetone</w:t>
            </w:r>
          </w:p>
        </w:tc>
        <w:tc>
          <w:tcPr>
            <w:tcW w:w="1279" w:type="dxa"/>
            <w:tcBorders>
              <w:top w:val="nil"/>
              <w:left w:val="nil"/>
              <w:bottom w:val="nil"/>
              <w:right w:val="nil"/>
            </w:tcBorders>
            <w:shd w:val="clear" w:color="auto" w:fill="auto"/>
            <w:vAlign w:val="bottom"/>
            <w:hideMark/>
          </w:tcPr>
          <w:p w14:paraId="3D85D0B1" w14:textId="77777777" w:rsidR="00923502" w:rsidRPr="0010235F" w:rsidRDefault="00923502" w:rsidP="00562904">
            <w:pPr>
              <w:jc w:val="center"/>
              <w:rPr>
                <w:rFonts w:ascii="Arial" w:hAnsi="Arial" w:cs="Arial"/>
                <w:color w:val="000000"/>
                <w:sz w:val="20"/>
                <w:szCs w:val="20"/>
              </w:rPr>
            </w:pPr>
            <w:r>
              <w:rPr>
                <w:rFonts w:ascii="Arial" w:hAnsi="Arial" w:cs="Arial"/>
                <w:color w:val="000000"/>
                <w:sz w:val="20"/>
                <w:szCs w:val="20"/>
              </w:rPr>
              <w:t>7</w:t>
            </w:r>
          </w:p>
        </w:tc>
        <w:tc>
          <w:tcPr>
            <w:tcW w:w="967" w:type="dxa"/>
            <w:tcBorders>
              <w:top w:val="nil"/>
              <w:left w:val="nil"/>
              <w:bottom w:val="nil"/>
              <w:right w:val="nil"/>
            </w:tcBorders>
            <w:shd w:val="clear" w:color="auto" w:fill="auto"/>
            <w:noWrap/>
            <w:vAlign w:val="bottom"/>
            <w:hideMark/>
          </w:tcPr>
          <w:p w14:paraId="3D85D0B2" w14:textId="77777777" w:rsidR="00923502" w:rsidRPr="0010235F" w:rsidRDefault="00923502"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0B3" w14:textId="77777777" w:rsidR="00923502" w:rsidRPr="0010235F" w:rsidRDefault="00923502" w:rsidP="0010235F">
            <w:pPr>
              <w:jc w:val="center"/>
              <w:rPr>
                <w:rFonts w:ascii="Arial" w:hAnsi="Arial" w:cs="Arial"/>
                <w:color w:val="000000"/>
                <w:sz w:val="20"/>
                <w:szCs w:val="20"/>
              </w:rPr>
            </w:pPr>
          </w:p>
        </w:tc>
        <w:tc>
          <w:tcPr>
            <w:tcW w:w="1250" w:type="dxa"/>
            <w:tcBorders>
              <w:top w:val="nil"/>
              <w:left w:val="single" w:sz="4" w:space="0" w:color="auto"/>
              <w:bottom w:val="nil"/>
              <w:right w:val="nil"/>
            </w:tcBorders>
            <w:shd w:val="clear" w:color="auto" w:fill="auto"/>
            <w:noWrap/>
            <w:vAlign w:val="bottom"/>
            <w:hideMark/>
          </w:tcPr>
          <w:p w14:paraId="3D85D0B4"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3</w:t>
            </w:r>
            <w:r w:rsidRPr="0010235F">
              <w:rPr>
                <w:rFonts w:ascii="Arial" w:hAnsi="Arial" w:cs="Arial"/>
                <w:color w:val="000000"/>
                <w:sz w:val="20"/>
                <w:szCs w:val="20"/>
              </w:rPr>
              <w:t>1,000</w:t>
            </w:r>
          </w:p>
        </w:tc>
        <w:tc>
          <w:tcPr>
            <w:tcW w:w="1039" w:type="dxa"/>
            <w:tcBorders>
              <w:top w:val="nil"/>
              <w:left w:val="nil"/>
              <w:bottom w:val="nil"/>
              <w:right w:val="nil"/>
            </w:tcBorders>
            <w:shd w:val="clear" w:color="auto" w:fill="auto"/>
            <w:noWrap/>
            <w:vAlign w:val="bottom"/>
            <w:hideMark/>
          </w:tcPr>
          <w:p w14:paraId="3D85D0B5" w14:textId="77777777" w:rsidR="00923502" w:rsidRPr="0010235F" w:rsidRDefault="00923502" w:rsidP="00923502">
            <w:pPr>
              <w:jc w:val="center"/>
              <w:rPr>
                <w:rFonts w:ascii="Arial" w:hAnsi="Arial" w:cs="Arial"/>
                <w:color w:val="000000"/>
                <w:sz w:val="20"/>
                <w:szCs w:val="20"/>
              </w:rPr>
            </w:pPr>
            <w:r w:rsidRPr="0010235F">
              <w:rPr>
                <w:rFonts w:ascii="Arial" w:hAnsi="Arial" w:cs="Arial"/>
                <w:color w:val="000000"/>
                <w:sz w:val="20"/>
                <w:szCs w:val="20"/>
              </w:rPr>
              <w:t>0.</w:t>
            </w:r>
            <w:r>
              <w:rPr>
                <w:rFonts w:ascii="Arial" w:hAnsi="Arial" w:cs="Arial"/>
                <w:color w:val="000000"/>
                <w:sz w:val="20"/>
                <w:szCs w:val="20"/>
              </w:rPr>
              <w:t>00022</w:t>
            </w:r>
          </w:p>
        </w:tc>
        <w:tc>
          <w:tcPr>
            <w:tcW w:w="1274" w:type="dxa"/>
            <w:tcBorders>
              <w:top w:val="nil"/>
              <w:left w:val="single" w:sz="4" w:space="0" w:color="auto"/>
              <w:bottom w:val="nil"/>
              <w:right w:val="nil"/>
            </w:tcBorders>
            <w:shd w:val="clear" w:color="auto" w:fill="auto"/>
            <w:vAlign w:val="bottom"/>
            <w:hideMark/>
          </w:tcPr>
          <w:p w14:paraId="3D85D0B6"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4</w:t>
            </w:r>
          </w:p>
        </w:tc>
        <w:tc>
          <w:tcPr>
            <w:tcW w:w="967" w:type="dxa"/>
            <w:tcBorders>
              <w:top w:val="nil"/>
              <w:left w:val="nil"/>
              <w:bottom w:val="nil"/>
              <w:right w:val="nil"/>
            </w:tcBorders>
            <w:shd w:val="clear" w:color="auto" w:fill="auto"/>
            <w:noWrap/>
            <w:vAlign w:val="bottom"/>
            <w:hideMark/>
          </w:tcPr>
          <w:p w14:paraId="3D85D0B7" w14:textId="77777777" w:rsidR="00923502" w:rsidRPr="0010235F" w:rsidRDefault="00923502"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0B8" w14:textId="77777777" w:rsidR="00923502" w:rsidRPr="0010235F" w:rsidRDefault="00923502" w:rsidP="00562904">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D0B9" w14:textId="77777777" w:rsidR="00923502" w:rsidRPr="0010235F" w:rsidRDefault="00923502" w:rsidP="00923502">
            <w:pPr>
              <w:jc w:val="center"/>
              <w:rPr>
                <w:rFonts w:ascii="Arial" w:hAnsi="Arial" w:cs="Arial"/>
                <w:color w:val="000000"/>
                <w:sz w:val="20"/>
                <w:szCs w:val="20"/>
              </w:rPr>
            </w:pPr>
            <w:r>
              <w:rPr>
                <w:rFonts w:ascii="Arial" w:hAnsi="Arial" w:cs="Arial"/>
                <w:color w:val="000000"/>
                <w:sz w:val="20"/>
                <w:szCs w:val="20"/>
              </w:rPr>
              <w:t>130</w:t>
            </w:r>
            <w:r w:rsidRPr="0010235F">
              <w:rPr>
                <w:rFonts w:ascii="Arial" w:hAnsi="Arial" w:cs="Arial"/>
                <w:color w:val="000000"/>
                <w:sz w:val="20"/>
                <w:szCs w:val="20"/>
              </w:rPr>
              <w:t>,</w:t>
            </w:r>
            <w:r>
              <w:rPr>
                <w:rFonts w:ascii="Arial" w:hAnsi="Arial" w:cs="Arial"/>
                <w:color w:val="000000"/>
                <w:sz w:val="20"/>
                <w:szCs w:val="20"/>
              </w:rPr>
              <w:t>0</w:t>
            </w:r>
            <w:r w:rsidRPr="0010235F">
              <w:rPr>
                <w:rFonts w:ascii="Arial" w:hAnsi="Arial" w:cs="Arial"/>
                <w:color w:val="000000"/>
                <w:sz w:val="20"/>
                <w:szCs w:val="20"/>
              </w:rPr>
              <w:t>00</w:t>
            </w:r>
          </w:p>
        </w:tc>
        <w:tc>
          <w:tcPr>
            <w:tcW w:w="1051" w:type="dxa"/>
            <w:tcBorders>
              <w:top w:val="nil"/>
              <w:left w:val="nil"/>
              <w:bottom w:val="nil"/>
              <w:right w:val="single" w:sz="4" w:space="0" w:color="auto"/>
            </w:tcBorders>
            <w:shd w:val="clear" w:color="auto" w:fill="auto"/>
            <w:noWrap/>
            <w:vAlign w:val="bottom"/>
            <w:hideMark/>
          </w:tcPr>
          <w:p w14:paraId="3D85D0BA" w14:textId="77777777" w:rsidR="00923502" w:rsidRPr="0010235F" w:rsidRDefault="00923502" w:rsidP="00923502">
            <w:pPr>
              <w:jc w:val="center"/>
              <w:rPr>
                <w:rFonts w:ascii="Arial" w:hAnsi="Arial" w:cs="Arial"/>
                <w:color w:val="000000"/>
                <w:sz w:val="20"/>
                <w:szCs w:val="20"/>
              </w:rPr>
            </w:pPr>
            <w:r w:rsidRPr="0010235F">
              <w:rPr>
                <w:rFonts w:ascii="Arial" w:hAnsi="Arial" w:cs="Arial"/>
                <w:color w:val="000000"/>
                <w:sz w:val="20"/>
                <w:szCs w:val="20"/>
              </w:rPr>
              <w:t>0.00</w:t>
            </w:r>
            <w:r>
              <w:rPr>
                <w:rFonts w:ascii="Arial" w:hAnsi="Arial" w:cs="Arial"/>
                <w:color w:val="000000"/>
                <w:sz w:val="20"/>
                <w:szCs w:val="20"/>
              </w:rPr>
              <w:t>0031</w:t>
            </w:r>
          </w:p>
        </w:tc>
        <w:tc>
          <w:tcPr>
            <w:tcW w:w="1170" w:type="dxa"/>
            <w:tcBorders>
              <w:top w:val="nil"/>
              <w:left w:val="nil"/>
              <w:bottom w:val="nil"/>
              <w:right w:val="nil"/>
            </w:tcBorders>
            <w:shd w:val="clear" w:color="auto" w:fill="auto"/>
            <w:vAlign w:val="bottom"/>
            <w:hideMark/>
          </w:tcPr>
          <w:p w14:paraId="3D85D0BB"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4</w:t>
            </w:r>
          </w:p>
        </w:tc>
        <w:tc>
          <w:tcPr>
            <w:tcW w:w="967" w:type="dxa"/>
            <w:tcBorders>
              <w:top w:val="nil"/>
              <w:left w:val="nil"/>
              <w:bottom w:val="nil"/>
              <w:right w:val="nil"/>
            </w:tcBorders>
            <w:shd w:val="clear" w:color="auto" w:fill="auto"/>
            <w:noWrap/>
            <w:vAlign w:val="bottom"/>
            <w:hideMark/>
          </w:tcPr>
          <w:p w14:paraId="3D85D0BC" w14:textId="77777777" w:rsidR="00923502" w:rsidRPr="0010235F" w:rsidRDefault="00923502" w:rsidP="0010235F">
            <w:pPr>
              <w:jc w:val="center"/>
              <w:rPr>
                <w:rFonts w:ascii="Arial" w:hAnsi="Arial" w:cs="Arial"/>
                <w:color w:val="000000"/>
                <w:sz w:val="20"/>
                <w:szCs w:val="20"/>
              </w:rPr>
            </w:pPr>
          </w:p>
        </w:tc>
        <w:tc>
          <w:tcPr>
            <w:tcW w:w="906" w:type="dxa"/>
            <w:tcBorders>
              <w:top w:val="nil"/>
              <w:left w:val="nil"/>
              <w:bottom w:val="nil"/>
            </w:tcBorders>
            <w:shd w:val="clear" w:color="auto" w:fill="auto"/>
            <w:noWrap/>
            <w:vAlign w:val="bottom"/>
            <w:hideMark/>
          </w:tcPr>
          <w:p w14:paraId="3D85D0BD" w14:textId="77777777" w:rsidR="00923502" w:rsidRPr="0010235F" w:rsidRDefault="00923502" w:rsidP="0010235F">
            <w:pPr>
              <w:jc w:val="center"/>
              <w:rPr>
                <w:rFonts w:ascii="Arial" w:hAnsi="Arial" w:cs="Arial"/>
                <w:color w:val="000000"/>
                <w:sz w:val="20"/>
                <w:szCs w:val="20"/>
              </w:rPr>
            </w:pPr>
          </w:p>
        </w:tc>
        <w:tc>
          <w:tcPr>
            <w:tcW w:w="1250" w:type="dxa"/>
            <w:tcBorders>
              <w:top w:val="nil"/>
              <w:bottom w:val="nil"/>
              <w:right w:val="nil"/>
            </w:tcBorders>
            <w:shd w:val="clear" w:color="auto" w:fill="auto"/>
            <w:noWrap/>
            <w:vAlign w:val="bottom"/>
            <w:hideMark/>
          </w:tcPr>
          <w:p w14:paraId="3D85D0BE"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130,000</w:t>
            </w:r>
          </w:p>
        </w:tc>
        <w:tc>
          <w:tcPr>
            <w:tcW w:w="1051" w:type="dxa"/>
            <w:tcBorders>
              <w:top w:val="nil"/>
              <w:left w:val="nil"/>
              <w:bottom w:val="nil"/>
              <w:right w:val="nil"/>
            </w:tcBorders>
            <w:shd w:val="clear" w:color="auto" w:fill="auto"/>
            <w:noWrap/>
            <w:vAlign w:val="bottom"/>
            <w:hideMark/>
          </w:tcPr>
          <w:p w14:paraId="3D85D0BF" w14:textId="77777777" w:rsidR="00923502" w:rsidRPr="0010235F" w:rsidRDefault="00923502" w:rsidP="007525E6">
            <w:pPr>
              <w:jc w:val="center"/>
              <w:rPr>
                <w:rFonts w:ascii="Arial" w:hAnsi="Arial" w:cs="Arial"/>
                <w:color w:val="000000"/>
                <w:sz w:val="20"/>
                <w:szCs w:val="20"/>
              </w:rPr>
            </w:pPr>
            <w:r w:rsidRPr="0010235F">
              <w:rPr>
                <w:rFonts w:ascii="Arial" w:hAnsi="Arial" w:cs="Arial"/>
                <w:color w:val="000000"/>
                <w:sz w:val="20"/>
                <w:szCs w:val="20"/>
              </w:rPr>
              <w:t>0.00</w:t>
            </w:r>
            <w:r>
              <w:rPr>
                <w:rFonts w:ascii="Arial" w:hAnsi="Arial" w:cs="Arial"/>
                <w:color w:val="000000"/>
                <w:sz w:val="20"/>
                <w:szCs w:val="20"/>
              </w:rPr>
              <w:t>0031</w:t>
            </w:r>
          </w:p>
        </w:tc>
        <w:tc>
          <w:tcPr>
            <w:tcW w:w="1197" w:type="dxa"/>
            <w:tcBorders>
              <w:top w:val="nil"/>
              <w:left w:val="single" w:sz="4" w:space="0" w:color="auto"/>
              <w:bottom w:val="nil"/>
              <w:right w:val="nil"/>
            </w:tcBorders>
            <w:shd w:val="clear" w:color="auto" w:fill="auto"/>
            <w:vAlign w:val="bottom"/>
            <w:hideMark/>
          </w:tcPr>
          <w:p w14:paraId="3D85D0C0"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79</w:t>
            </w:r>
          </w:p>
        </w:tc>
        <w:tc>
          <w:tcPr>
            <w:tcW w:w="967" w:type="dxa"/>
            <w:tcBorders>
              <w:top w:val="nil"/>
              <w:left w:val="nil"/>
              <w:bottom w:val="nil"/>
              <w:right w:val="nil"/>
            </w:tcBorders>
            <w:shd w:val="clear" w:color="auto" w:fill="auto"/>
            <w:noWrap/>
            <w:vAlign w:val="bottom"/>
            <w:hideMark/>
          </w:tcPr>
          <w:p w14:paraId="3D85D0C1" w14:textId="77777777" w:rsidR="00923502" w:rsidRPr="0010235F" w:rsidRDefault="00923502" w:rsidP="00923502">
            <w:pPr>
              <w:jc w:val="center"/>
              <w:rPr>
                <w:rFonts w:ascii="Arial" w:hAnsi="Arial" w:cs="Arial"/>
                <w:color w:val="000000"/>
                <w:sz w:val="20"/>
                <w:szCs w:val="20"/>
              </w:rPr>
            </w:pPr>
            <w:r>
              <w:rPr>
                <w:rFonts w:ascii="Arial" w:hAnsi="Arial" w:cs="Arial"/>
                <w:color w:val="000000"/>
                <w:sz w:val="20"/>
                <w:szCs w:val="20"/>
              </w:rPr>
              <w:t>6</w:t>
            </w:r>
            <w:r w:rsidRPr="0010235F">
              <w:rPr>
                <w:rFonts w:ascii="Arial" w:hAnsi="Arial" w:cs="Arial"/>
                <w:color w:val="000000"/>
                <w:sz w:val="20"/>
                <w:szCs w:val="20"/>
              </w:rPr>
              <w:t>2,000</w:t>
            </w:r>
          </w:p>
        </w:tc>
        <w:tc>
          <w:tcPr>
            <w:tcW w:w="1039" w:type="dxa"/>
            <w:tcBorders>
              <w:top w:val="nil"/>
              <w:left w:val="nil"/>
              <w:bottom w:val="nil"/>
              <w:right w:val="single" w:sz="4" w:space="0" w:color="auto"/>
            </w:tcBorders>
            <w:shd w:val="clear" w:color="auto" w:fill="auto"/>
            <w:noWrap/>
            <w:vAlign w:val="bottom"/>
            <w:hideMark/>
          </w:tcPr>
          <w:p w14:paraId="3D85D0C2" w14:textId="77777777" w:rsidR="00923502" w:rsidRPr="0010235F" w:rsidRDefault="00923502" w:rsidP="00923502">
            <w:pPr>
              <w:jc w:val="center"/>
              <w:rPr>
                <w:rFonts w:ascii="Arial" w:hAnsi="Arial" w:cs="Arial"/>
                <w:color w:val="000000"/>
                <w:sz w:val="20"/>
                <w:szCs w:val="20"/>
              </w:rPr>
            </w:pPr>
            <w:r w:rsidRPr="0010235F">
              <w:rPr>
                <w:rFonts w:ascii="Arial" w:hAnsi="Arial" w:cs="Arial"/>
                <w:color w:val="000000"/>
                <w:sz w:val="20"/>
                <w:szCs w:val="20"/>
              </w:rPr>
              <w:t>0.00</w:t>
            </w:r>
            <w:r>
              <w:rPr>
                <w:rFonts w:ascii="Arial" w:hAnsi="Arial" w:cs="Arial"/>
                <w:color w:val="000000"/>
                <w:sz w:val="20"/>
                <w:szCs w:val="20"/>
              </w:rPr>
              <w:t>13</w:t>
            </w:r>
          </w:p>
        </w:tc>
      </w:tr>
      <w:tr w:rsidR="00923502" w:rsidRPr="0010235F" w14:paraId="3D85D0D7" w14:textId="77777777" w:rsidTr="00607B7E">
        <w:trPr>
          <w:trHeight w:val="288"/>
        </w:trPr>
        <w:tc>
          <w:tcPr>
            <w:tcW w:w="1429" w:type="dxa"/>
            <w:tcBorders>
              <w:top w:val="nil"/>
              <w:left w:val="single" w:sz="4" w:space="0" w:color="auto"/>
              <w:bottom w:val="nil"/>
              <w:right w:val="nil"/>
            </w:tcBorders>
            <w:shd w:val="clear" w:color="auto" w:fill="auto"/>
            <w:noWrap/>
            <w:vAlign w:val="bottom"/>
            <w:hideMark/>
          </w:tcPr>
          <w:p w14:paraId="3D85D0C4" w14:textId="77777777" w:rsidR="00923502" w:rsidRPr="00923502" w:rsidRDefault="00923502" w:rsidP="007525E6">
            <w:pPr>
              <w:rPr>
                <w:rFonts w:ascii="Arial" w:hAnsi="Arial" w:cs="Arial"/>
                <w:color w:val="000000"/>
                <w:sz w:val="20"/>
                <w:szCs w:val="20"/>
              </w:rPr>
            </w:pPr>
            <w:r w:rsidRPr="00923502">
              <w:rPr>
                <w:rFonts w:ascii="Arial" w:hAnsi="Arial" w:cs="Arial"/>
                <w:color w:val="000000"/>
                <w:sz w:val="20"/>
                <w:szCs w:val="20"/>
              </w:rPr>
              <w:t>Acrolein</w:t>
            </w:r>
          </w:p>
        </w:tc>
        <w:tc>
          <w:tcPr>
            <w:tcW w:w="1279" w:type="dxa"/>
            <w:tcBorders>
              <w:top w:val="nil"/>
              <w:left w:val="nil"/>
              <w:bottom w:val="nil"/>
              <w:right w:val="nil"/>
            </w:tcBorders>
            <w:shd w:val="clear" w:color="auto" w:fill="auto"/>
            <w:vAlign w:val="bottom"/>
            <w:hideMark/>
          </w:tcPr>
          <w:p w14:paraId="3D85D0C5"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2</w:t>
            </w:r>
          </w:p>
        </w:tc>
        <w:tc>
          <w:tcPr>
            <w:tcW w:w="967" w:type="dxa"/>
            <w:tcBorders>
              <w:top w:val="nil"/>
              <w:left w:val="nil"/>
              <w:bottom w:val="nil"/>
              <w:right w:val="nil"/>
            </w:tcBorders>
            <w:shd w:val="clear" w:color="auto" w:fill="auto"/>
            <w:noWrap/>
            <w:vAlign w:val="bottom"/>
            <w:hideMark/>
          </w:tcPr>
          <w:p w14:paraId="3D85D0C6" w14:textId="77777777" w:rsidR="00923502" w:rsidRPr="0010235F" w:rsidRDefault="00923502"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0C7" w14:textId="77777777" w:rsidR="00923502" w:rsidRPr="0010235F" w:rsidRDefault="00923502" w:rsidP="0010235F">
            <w:pPr>
              <w:jc w:val="center"/>
              <w:rPr>
                <w:rFonts w:ascii="Arial" w:hAnsi="Arial" w:cs="Arial"/>
                <w:color w:val="000000"/>
                <w:sz w:val="20"/>
                <w:szCs w:val="20"/>
              </w:rPr>
            </w:pPr>
          </w:p>
        </w:tc>
        <w:tc>
          <w:tcPr>
            <w:tcW w:w="1250" w:type="dxa"/>
            <w:tcBorders>
              <w:top w:val="nil"/>
              <w:left w:val="single" w:sz="4" w:space="0" w:color="auto"/>
              <w:bottom w:val="nil"/>
              <w:right w:val="nil"/>
            </w:tcBorders>
            <w:shd w:val="clear" w:color="auto" w:fill="auto"/>
            <w:noWrap/>
            <w:vAlign w:val="bottom"/>
            <w:hideMark/>
          </w:tcPr>
          <w:p w14:paraId="3D85D0C8"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0.35</w:t>
            </w:r>
          </w:p>
        </w:tc>
        <w:tc>
          <w:tcPr>
            <w:tcW w:w="1039" w:type="dxa"/>
            <w:tcBorders>
              <w:top w:val="nil"/>
              <w:left w:val="nil"/>
              <w:bottom w:val="nil"/>
              <w:right w:val="nil"/>
            </w:tcBorders>
            <w:shd w:val="clear" w:color="auto" w:fill="auto"/>
            <w:noWrap/>
            <w:vAlign w:val="bottom"/>
            <w:hideMark/>
          </w:tcPr>
          <w:p w14:paraId="3D85D0C9"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6</w:t>
            </w:r>
          </w:p>
        </w:tc>
        <w:tc>
          <w:tcPr>
            <w:tcW w:w="1274" w:type="dxa"/>
            <w:tcBorders>
              <w:top w:val="nil"/>
              <w:left w:val="single" w:sz="4" w:space="0" w:color="auto"/>
              <w:bottom w:val="nil"/>
              <w:right w:val="nil"/>
            </w:tcBorders>
            <w:shd w:val="clear" w:color="auto" w:fill="auto"/>
            <w:vAlign w:val="bottom"/>
            <w:hideMark/>
          </w:tcPr>
          <w:p w14:paraId="3D85D0CA" w14:textId="77777777" w:rsidR="00923502" w:rsidRPr="0010235F" w:rsidRDefault="00923502" w:rsidP="00923502">
            <w:pPr>
              <w:jc w:val="center"/>
              <w:rPr>
                <w:rFonts w:ascii="Arial" w:hAnsi="Arial" w:cs="Arial"/>
                <w:color w:val="000000"/>
                <w:sz w:val="20"/>
                <w:szCs w:val="20"/>
              </w:rPr>
            </w:pPr>
            <w:r w:rsidRPr="0010235F">
              <w:rPr>
                <w:rFonts w:ascii="Arial" w:hAnsi="Arial" w:cs="Arial"/>
                <w:color w:val="000000"/>
                <w:sz w:val="20"/>
                <w:szCs w:val="20"/>
              </w:rPr>
              <w:t>1</w:t>
            </w:r>
          </w:p>
        </w:tc>
        <w:tc>
          <w:tcPr>
            <w:tcW w:w="967" w:type="dxa"/>
            <w:tcBorders>
              <w:top w:val="nil"/>
              <w:left w:val="nil"/>
              <w:bottom w:val="nil"/>
              <w:right w:val="nil"/>
            </w:tcBorders>
            <w:shd w:val="clear" w:color="auto" w:fill="auto"/>
            <w:noWrap/>
            <w:vAlign w:val="bottom"/>
            <w:hideMark/>
          </w:tcPr>
          <w:p w14:paraId="3D85D0CB" w14:textId="77777777" w:rsidR="00923502" w:rsidRPr="0010235F" w:rsidRDefault="00923502"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0CC" w14:textId="77777777" w:rsidR="00923502" w:rsidRPr="0010235F" w:rsidRDefault="00923502"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D0CD"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1.5</w:t>
            </w:r>
          </w:p>
        </w:tc>
        <w:tc>
          <w:tcPr>
            <w:tcW w:w="1051" w:type="dxa"/>
            <w:tcBorders>
              <w:top w:val="nil"/>
              <w:left w:val="nil"/>
              <w:bottom w:val="nil"/>
              <w:right w:val="single" w:sz="4" w:space="0" w:color="auto"/>
            </w:tcBorders>
            <w:shd w:val="clear" w:color="auto" w:fill="auto"/>
            <w:noWrap/>
            <w:vAlign w:val="bottom"/>
            <w:hideMark/>
          </w:tcPr>
          <w:p w14:paraId="3D85D0CE" w14:textId="77777777" w:rsidR="00923502" w:rsidRPr="0010235F" w:rsidRDefault="00923502" w:rsidP="0010235F">
            <w:pPr>
              <w:jc w:val="center"/>
              <w:rPr>
                <w:rFonts w:ascii="Arial" w:hAnsi="Arial" w:cs="Arial"/>
                <w:color w:val="000000"/>
                <w:sz w:val="20"/>
                <w:szCs w:val="20"/>
              </w:rPr>
            </w:pPr>
            <w:r w:rsidRPr="0010235F">
              <w:rPr>
                <w:rFonts w:ascii="Arial" w:hAnsi="Arial" w:cs="Arial"/>
                <w:color w:val="000000"/>
                <w:sz w:val="20"/>
                <w:szCs w:val="20"/>
              </w:rPr>
              <w:t>0.</w:t>
            </w:r>
            <w:r>
              <w:rPr>
                <w:rFonts w:ascii="Arial" w:hAnsi="Arial" w:cs="Arial"/>
                <w:color w:val="000000"/>
                <w:sz w:val="20"/>
                <w:szCs w:val="20"/>
              </w:rPr>
              <w:t>83</w:t>
            </w:r>
          </w:p>
        </w:tc>
        <w:tc>
          <w:tcPr>
            <w:tcW w:w="1170" w:type="dxa"/>
            <w:tcBorders>
              <w:top w:val="nil"/>
              <w:left w:val="nil"/>
              <w:bottom w:val="nil"/>
              <w:right w:val="nil"/>
            </w:tcBorders>
            <w:shd w:val="clear" w:color="auto" w:fill="auto"/>
            <w:vAlign w:val="bottom"/>
            <w:hideMark/>
          </w:tcPr>
          <w:p w14:paraId="3D85D0CF" w14:textId="77777777" w:rsidR="00923502" w:rsidRPr="0010235F" w:rsidRDefault="00923502" w:rsidP="0010235F">
            <w:pPr>
              <w:jc w:val="center"/>
              <w:rPr>
                <w:rFonts w:ascii="Arial" w:hAnsi="Arial" w:cs="Arial"/>
                <w:color w:val="000000"/>
                <w:sz w:val="20"/>
                <w:szCs w:val="20"/>
              </w:rPr>
            </w:pPr>
            <w:r w:rsidRPr="0010235F">
              <w:rPr>
                <w:rFonts w:ascii="Arial" w:hAnsi="Arial" w:cs="Arial"/>
                <w:color w:val="000000"/>
                <w:sz w:val="20"/>
                <w:szCs w:val="20"/>
              </w:rPr>
              <w:t>1</w:t>
            </w:r>
          </w:p>
        </w:tc>
        <w:tc>
          <w:tcPr>
            <w:tcW w:w="967" w:type="dxa"/>
            <w:tcBorders>
              <w:top w:val="nil"/>
              <w:left w:val="nil"/>
              <w:bottom w:val="nil"/>
              <w:right w:val="nil"/>
            </w:tcBorders>
            <w:shd w:val="clear" w:color="auto" w:fill="auto"/>
            <w:noWrap/>
            <w:vAlign w:val="bottom"/>
            <w:hideMark/>
          </w:tcPr>
          <w:p w14:paraId="3D85D0D0" w14:textId="77777777" w:rsidR="00923502" w:rsidRPr="0010235F" w:rsidRDefault="00923502" w:rsidP="0010235F">
            <w:pPr>
              <w:jc w:val="center"/>
              <w:rPr>
                <w:rFonts w:ascii="Arial" w:hAnsi="Arial" w:cs="Arial"/>
                <w:color w:val="000000"/>
                <w:sz w:val="20"/>
                <w:szCs w:val="20"/>
              </w:rPr>
            </w:pPr>
          </w:p>
        </w:tc>
        <w:tc>
          <w:tcPr>
            <w:tcW w:w="906" w:type="dxa"/>
            <w:tcBorders>
              <w:top w:val="nil"/>
              <w:left w:val="nil"/>
              <w:bottom w:val="nil"/>
            </w:tcBorders>
            <w:shd w:val="clear" w:color="auto" w:fill="auto"/>
            <w:noWrap/>
            <w:vAlign w:val="bottom"/>
            <w:hideMark/>
          </w:tcPr>
          <w:p w14:paraId="3D85D0D1" w14:textId="77777777" w:rsidR="00923502" w:rsidRPr="0010235F" w:rsidRDefault="00923502" w:rsidP="0010235F">
            <w:pPr>
              <w:jc w:val="center"/>
              <w:rPr>
                <w:rFonts w:ascii="Arial" w:hAnsi="Arial" w:cs="Arial"/>
                <w:color w:val="000000"/>
                <w:sz w:val="20"/>
                <w:szCs w:val="20"/>
              </w:rPr>
            </w:pPr>
          </w:p>
        </w:tc>
        <w:tc>
          <w:tcPr>
            <w:tcW w:w="1250" w:type="dxa"/>
            <w:tcBorders>
              <w:top w:val="nil"/>
              <w:bottom w:val="nil"/>
              <w:right w:val="nil"/>
            </w:tcBorders>
            <w:shd w:val="clear" w:color="auto" w:fill="auto"/>
            <w:noWrap/>
            <w:vAlign w:val="bottom"/>
            <w:hideMark/>
          </w:tcPr>
          <w:p w14:paraId="3D85D0D2"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1.5</w:t>
            </w:r>
          </w:p>
        </w:tc>
        <w:tc>
          <w:tcPr>
            <w:tcW w:w="1051" w:type="dxa"/>
            <w:tcBorders>
              <w:top w:val="nil"/>
              <w:left w:val="nil"/>
              <w:bottom w:val="nil"/>
              <w:right w:val="nil"/>
            </w:tcBorders>
            <w:shd w:val="clear" w:color="auto" w:fill="auto"/>
            <w:noWrap/>
            <w:vAlign w:val="bottom"/>
            <w:hideMark/>
          </w:tcPr>
          <w:p w14:paraId="3D85D0D3" w14:textId="77777777" w:rsidR="00923502" w:rsidRPr="0010235F" w:rsidRDefault="00923502" w:rsidP="007525E6">
            <w:pPr>
              <w:jc w:val="center"/>
              <w:rPr>
                <w:rFonts w:ascii="Arial" w:hAnsi="Arial" w:cs="Arial"/>
                <w:color w:val="000000"/>
                <w:sz w:val="20"/>
                <w:szCs w:val="20"/>
              </w:rPr>
            </w:pPr>
            <w:r w:rsidRPr="0010235F">
              <w:rPr>
                <w:rFonts w:ascii="Arial" w:hAnsi="Arial" w:cs="Arial"/>
                <w:color w:val="000000"/>
                <w:sz w:val="20"/>
                <w:szCs w:val="20"/>
              </w:rPr>
              <w:t>0.</w:t>
            </w:r>
            <w:r>
              <w:rPr>
                <w:rFonts w:ascii="Arial" w:hAnsi="Arial" w:cs="Arial"/>
                <w:color w:val="000000"/>
                <w:sz w:val="20"/>
                <w:szCs w:val="20"/>
              </w:rPr>
              <w:t>83</w:t>
            </w:r>
          </w:p>
        </w:tc>
        <w:tc>
          <w:tcPr>
            <w:tcW w:w="1197" w:type="dxa"/>
            <w:tcBorders>
              <w:top w:val="nil"/>
              <w:left w:val="single" w:sz="4" w:space="0" w:color="auto"/>
              <w:bottom w:val="nil"/>
              <w:right w:val="nil"/>
            </w:tcBorders>
            <w:shd w:val="clear" w:color="auto" w:fill="auto"/>
            <w:vAlign w:val="bottom"/>
            <w:hideMark/>
          </w:tcPr>
          <w:p w14:paraId="3D85D0D4" w14:textId="77777777" w:rsidR="00923502" w:rsidRPr="0010235F" w:rsidRDefault="004B6AD3" w:rsidP="007C4001">
            <w:pPr>
              <w:jc w:val="center"/>
              <w:rPr>
                <w:rFonts w:ascii="Arial" w:hAnsi="Arial" w:cs="Arial"/>
                <w:color w:val="000000"/>
                <w:sz w:val="20"/>
                <w:szCs w:val="20"/>
              </w:rPr>
            </w:pPr>
            <w:r>
              <w:rPr>
                <w:rFonts w:ascii="Arial" w:hAnsi="Arial" w:cs="Arial"/>
                <w:color w:val="000000"/>
                <w:sz w:val="20"/>
                <w:szCs w:val="20"/>
              </w:rPr>
              <w:t>24</w:t>
            </w:r>
          </w:p>
        </w:tc>
        <w:tc>
          <w:tcPr>
            <w:tcW w:w="967" w:type="dxa"/>
            <w:tcBorders>
              <w:top w:val="nil"/>
              <w:left w:val="nil"/>
              <w:bottom w:val="nil"/>
              <w:right w:val="nil"/>
            </w:tcBorders>
            <w:shd w:val="clear" w:color="auto" w:fill="auto"/>
            <w:noWrap/>
            <w:vAlign w:val="bottom"/>
            <w:hideMark/>
          </w:tcPr>
          <w:p w14:paraId="3D85D0D5"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6.9</w:t>
            </w:r>
          </w:p>
        </w:tc>
        <w:tc>
          <w:tcPr>
            <w:tcW w:w="1039" w:type="dxa"/>
            <w:tcBorders>
              <w:top w:val="nil"/>
              <w:left w:val="nil"/>
              <w:bottom w:val="nil"/>
              <w:right w:val="single" w:sz="4" w:space="0" w:color="auto"/>
            </w:tcBorders>
            <w:shd w:val="clear" w:color="auto" w:fill="auto"/>
            <w:noWrap/>
            <w:vAlign w:val="bottom"/>
            <w:hideMark/>
          </w:tcPr>
          <w:p w14:paraId="3D85D0D6" w14:textId="77777777" w:rsidR="00923502" w:rsidRPr="0010235F" w:rsidRDefault="00923502" w:rsidP="0010235F">
            <w:pPr>
              <w:jc w:val="center"/>
              <w:rPr>
                <w:rFonts w:ascii="Arial" w:hAnsi="Arial" w:cs="Arial"/>
                <w:color w:val="000000"/>
                <w:sz w:val="20"/>
                <w:szCs w:val="20"/>
              </w:rPr>
            </w:pPr>
            <w:r>
              <w:rPr>
                <w:rFonts w:ascii="Arial" w:hAnsi="Arial" w:cs="Arial"/>
                <w:color w:val="000000"/>
                <w:sz w:val="20"/>
                <w:szCs w:val="20"/>
              </w:rPr>
              <w:t>3.5</w:t>
            </w:r>
          </w:p>
        </w:tc>
      </w:tr>
      <w:tr w:rsidR="00923502" w:rsidRPr="0010235F" w14:paraId="3D85D0EB" w14:textId="77777777" w:rsidTr="00607B7E">
        <w:trPr>
          <w:trHeight w:val="288"/>
        </w:trPr>
        <w:tc>
          <w:tcPr>
            <w:tcW w:w="1429" w:type="dxa"/>
            <w:tcBorders>
              <w:top w:val="nil"/>
              <w:left w:val="single" w:sz="4" w:space="0" w:color="auto"/>
              <w:bottom w:val="single" w:sz="4" w:space="0" w:color="auto"/>
              <w:right w:val="nil"/>
            </w:tcBorders>
            <w:shd w:val="clear" w:color="auto" w:fill="auto"/>
            <w:noWrap/>
            <w:vAlign w:val="bottom"/>
            <w:hideMark/>
          </w:tcPr>
          <w:p w14:paraId="3D85D0D8" w14:textId="77777777" w:rsidR="00923502" w:rsidRPr="00923502" w:rsidRDefault="00923502" w:rsidP="0010235F">
            <w:pPr>
              <w:rPr>
                <w:rFonts w:ascii="Arial" w:hAnsi="Arial" w:cs="Arial"/>
                <w:b/>
                <w:bCs/>
                <w:color w:val="000000"/>
                <w:sz w:val="20"/>
                <w:szCs w:val="20"/>
              </w:rPr>
            </w:pPr>
            <w:r w:rsidRPr="00923502">
              <w:rPr>
                <w:rFonts w:ascii="Arial" w:hAnsi="Arial" w:cs="Arial"/>
                <w:b/>
                <w:bCs/>
                <w:color w:val="000000"/>
                <w:sz w:val="20"/>
                <w:szCs w:val="20"/>
              </w:rPr>
              <w:t>Total Unit 2</w:t>
            </w:r>
          </w:p>
        </w:tc>
        <w:tc>
          <w:tcPr>
            <w:tcW w:w="1279" w:type="dxa"/>
            <w:tcBorders>
              <w:top w:val="nil"/>
              <w:left w:val="nil"/>
              <w:bottom w:val="single" w:sz="4" w:space="0" w:color="auto"/>
              <w:right w:val="nil"/>
            </w:tcBorders>
            <w:shd w:val="clear" w:color="auto" w:fill="auto"/>
            <w:noWrap/>
            <w:vAlign w:val="bottom"/>
            <w:hideMark/>
          </w:tcPr>
          <w:p w14:paraId="3D85D0D9" w14:textId="77777777" w:rsidR="00923502" w:rsidRPr="0010235F" w:rsidRDefault="00923502"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D0DA" w14:textId="77777777" w:rsidR="00923502" w:rsidRPr="0010235F" w:rsidRDefault="00923502"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D0DB" w14:textId="77777777" w:rsidR="00923502" w:rsidRPr="0010235F" w:rsidRDefault="00923502" w:rsidP="0010235F">
            <w:pPr>
              <w:jc w:val="center"/>
              <w:rPr>
                <w:rFonts w:ascii="Arial" w:hAnsi="Arial" w:cs="Arial"/>
                <w:b/>
                <w:bCs/>
                <w:color w:val="000000"/>
                <w:sz w:val="20"/>
                <w:szCs w:val="20"/>
              </w:rPr>
            </w:pPr>
            <w:r>
              <w:rPr>
                <w:rFonts w:ascii="Arial" w:hAnsi="Arial" w:cs="Arial"/>
                <w:b/>
                <w:bCs/>
                <w:color w:val="000000"/>
                <w:sz w:val="20"/>
                <w:szCs w:val="20"/>
              </w:rPr>
              <w:t>19</w:t>
            </w:r>
          </w:p>
        </w:tc>
        <w:tc>
          <w:tcPr>
            <w:tcW w:w="1250" w:type="dxa"/>
            <w:tcBorders>
              <w:top w:val="nil"/>
              <w:left w:val="single" w:sz="4" w:space="0" w:color="auto"/>
              <w:bottom w:val="single" w:sz="4" w:space="0" w:color="auto"/>
              <w:right w:val="nil"/>
            </w:tcBorders>
            <w:shd w:val="clear" w:color="auto" w:fill="auto"/>
            <w:noWrap/>
            <w:vAlign w:val="bottom"/>
            <w:hideMark/>
          </w:tcPr>
          <w:p w14:paraId="3D85D0DC" w14:textId="77777777" w:rsidR="00923502" w:rsidRPr="0010235F" w:rsidRDefault="00923502"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single" w:sz="4" w:space="0" w:color="auto"/>
              <w:right w:val="nil"/>
            </w:tcBorders>
            <w:shd w:val="clear" w:color="auto" w:fill="auto"/>
            <w:noWrap/>
            <w:vAlign w:val="bottom"/>
            <w:hideMark/>
          </w:tcPr>
          <w:p w14:paraId="3D85D0DD" w14:textId="77777777" w:rsidR="00923502" w:rsidRPr="0010235F" w:rsidRDefault="00923502" w:rsidP="0010235F">
            <w:pPr>
              <w:jc w:val="center"/>
              <w:rPr>
                <w:rFonts w:ascii="Arial" w:hAnsi="Arial" w:cs="Arial"/>
                <w:b/>
                <w:bCs/>
                <w:color w:val="000000"/>
                <w:sz w:val="20"/>
                <w:szCs w:val="20"/>
              </w:rPr>
            </w:pPr>
            <w:r>
              <w:rPr>
                <w:rFonts w:ascii="Arial" w:hAnsi="Arial" w:cs="Arial"/>
                <w:b/>
                <w:bCs/>
                <w:color w:val="000000"/>
                <w:sz w:val="20"/>
                <w:szCs w:val="20"/>
              </w:rPr>
              <w:t>7</w:t>
            </w:r>
          </w:p>
        </w:tc>
        <w:tc>
          <w:tcPr>
            <w:tcW w:w="1274" w:type="dxa"/>
            <w:tcBorders>
              <w:top w:val="nil"/>
              <w:left w:val="single" w:sz="4" w:space="0" w:color="auto"/>
              <w:bottom w:val="single" w:sz="4" w:space="0" w:color="auto"/>
              <w:right w:val="nil"/>
            </w:tcBorders>
            <w:shd w:val="clear" w:color="auto" w:fill="auto"/>
            <w:noWrap/>
            <w:vAlign w:val="bottom"/>
            <w:hideMark/>
          </w:tcPr>
          <w:p w14:paraId="3D85D0DE" w14:textId="77777777" w:rsidR="00923502" w:rsidRPr="0010235F" w:rsidRDefault="00923502"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single" w:sz="4" w:space="0" w:color="auto"/>
              <w:right w:val="nil"/>
            </w:tcBorders>
            <w:shd w:val="clear" w:color="auto" w:fill="auto"/>
            <w:vAlign w:val="bottom"/>
            <w:hideMark/>
          </w:tcPr>
          <w:p w14:paraId="3D85D0DF" w14:textId="77777777" w:rsidR="00923502" w:rsidRPr="0010235F" w:rsidRDefault="00923502"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D0E0" w14:textId="77777777" w:rsidR="00923502" w:rsidRPr="0010235F" w:rsidRDefault="004B6AD3" w:rsidP="0010235F">
            <w:pPr>
              <w:jc w:val="center"/>
              <w:rPr>
                <w:rFonts w:ascii="Arial" w:hAnsi="Arial" w:cs="Arial"/>
                <w:b/>
                <w:bCs/>
                <w:color w:val="000000"/>
                <w:sz w:val="20"/>
                <w:szCs w:val="20"/>
              </w:rPr>
            </w:pPr>
            <w:r>
              <w:rPr>
                <w:rFonts w:ascii="Arial" w:hAnsi="Arial" w:cs="Arial"/>
                <w:b/>
                <w:bCs/>
                <w:color w:val="000000"/>
                <w:sz w:val="20"/>
                <w:szCs w:val="20"/>
              </w:rPr>
              <w:t>0.5</w:t>
            </w:r>
          </w:p>
        </w:tc>
        <w:tc>
          <w:tcPr>
            <w:tcW w:w="1250" w:type="dxa"/>
            <w:tcBorders>
              <w:top w:val="nil"/>
              <w:left w:val="nil"/>
              <w:bottom w:val="single" w:sz="4" w:space="0" w:color="auto"/>
              <w:right w:val="nil"/>
            </w:tcBorders>
            <w:shd w:val="clear" w:color="auto" w:fill="auto"/>
            <w:noWrap/>
            <w:vAlign w:val="bottom"/>
            <w:hideMark/>
          </w:tcPr>
          <w:p w14:paraId="3D85D0E1" w14:textId="77777777" w:rsidR="00923502" w:rsidRPr="0010235F" w:rsidRDefault="00923502"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3D85D0E2" w14:textId="77777777" w:rsidR="00923502" w:rsidRPr="0010235F" w:rsidRDefault="00923502" w:rsidP="0010235F">
            <w:pPr>
              <w:jc w:val="center"/>
              <w:rPr>
                <w:rFonts w:ascii="Arial" w:hAnsi="Arial" w:cs="Arial"/>
                <w:b/>
                <w:bCs/>
                <w:color w:val="000000"/>
                <w:sz w:val="20"/>
                <w:szCs w:val="20"/>
              </w:rPr>
            </w:pPr>
            <w:r w:rsidRPr="0010235F">
              <w:rPr>
                <w:rFonts w:ascii="Arial" w:hAnsi="Arial" w:cs="Arial"/>
                <w:b/>
                <w:bCs/>
                <w:color w:val="000000"/>
                <w:sz w:val="20"/>
                <w:szCs w:val="20"/>
              </w:rPr>
              <w:t>0.</w:t>
            </w:r>
            <w:r>
              <w:rPr>
                <w:rFonts w:ascii="Arial" w:hAnsi="Arial" w:cs="Arial"/>
                <w:b/>
                <w:bCs/>
                <w:color w:val="000000"/>
                <w:sz w:val="20"/>
                <w:szCs w:val="20"/>
              </w:rPr>
              <w:t>97</w:t>
            </w:r>
          </w:p>
        </w:tc>
        <w:tc>
          <w:tcPr>
            <w:tcW w:w="1170" w:type="dxa"/>
            <w:tcBorders>
              <w:top w:val="nil"/>
              <w:left w:val="nil"/>
              <w:bottom w:val="single" w:sz="4" w:space="0" w:color="auto"/>
              <w:right w:val="nil"/>
            </w:tcBorders>
            <w:shd w:val="clear" w:color="auto" w:fill="auto"/>
            <w:noWrap/>
            <w:vAlign w:val="bottom"/>
            <w:hideMark/>
          </w:tcPr>
          <w:p w14:paraId="3D85D0E3" w14:textId="77777777" w:rsidR="00923502" w:rsidRPr="0010235F" w:rsidRDefault="00923502"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single" w:sz="4" w:space="0" w:color="auto"/>
              <w:right w:val="nil"/>
            </w:tcBorders>
            <w:shd w:val="clear" w:color="auto" w:fill="auto"/>
            <w:vAlign w:val="bottom"/>
            <w:hideMark/>
          </w:tcPr>
          <w:p w14:paraId="3D85D0E4" w14:textId="77777777" w:rsidR="00923502" w:rsidRPr="0010235F" w:rsidRDefault="00923502"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single" w:sz="4" w:space="0" w:color="auto"/>
            </w:tcBorders>
            <w:shd w:val="clear" w:color="auto" w:fill="auto"/>
            <w:noWrap/>
            <w:vAlign w:val="bottom"/>
            <w:hideMark/>
          </w:tcPr>
          <w:p w14:paraId="3D85D0E5" w14:textId="77777777" w:rsidR="00923502" w:rsidRPr="0010235F" w:rsidRDefault="00923502" w:rsidP="0010235F">
            <w:pPr>
              <w:jc w:val="center"/>
              <w:rPr>
                <w:rFonts w:ascii="Arial" w:hAnsi="Arial" w:cs="Arial"/>
                <w:b/>
                <w:bCs/>
                <w:color w:val="000000"/>
                <w:sz w:val="20"/>
                <w:szCs w:val="20"/>
              </w:rPr>
            </w:pPr>
            <w:r>
              <w:rPr>
                <w:rFonts w:ascii="Arial" w:hAnsi="Arial" w:cs="Arial"/>
                <w:b/>
                <w:bCs/>
                <w:color w:val="000000"/>
                <w:sz w:val="20"/>
                <w:szCs w:val="20"/>
              </w:rPr>
              <w:t>0.9</w:t>
            </w:r>
          </w:p>
        </w:tc>
        <w:tc>
          <w:tcPr>
            <w:tcW w:w="1250" w:type="dxa"/>
            <w:tcBorders>
              <w:top w:val="nil"/>
              <w:bottom w:val="single" w:sz="4" w:space="0" w:color="auto"/>
              <w:right w:val="nil"/>
            </w:tcBorders>
            <w:shd w:val="clear" w:color="auto" w:fill="auto"/>
            <w:noWrap/>
            <w:vAlign w:val="bottom"/>
            <w:hideMark/>
          </w:tcPr>
          <w:p w14:paraId="3D85D0E6" w14:textId="77777777" w:rsidR="00923502" w:rsidRPr="0010235F" w:rsidRDefault="00923502"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51" w:type="dxa"/>
            <w:tcBorders>
              <w:top w:val="nil"/>
              <w:left w:val="nil"/>
              <w:bottom w:val="single" w:sz="4" w:space="0" w:color="auto"/>
              <w:right w:val="nil"/>
            </w:tcBorders>
            <w:shd w:val="clear" w:color="auto" w:fill="auto"/>
            <w:noWrap/>
            <w:vAlign w:val="bottom"/>
            <w:hideMark/>
          </w:tcPr>
          <w:p w14:paraId="3D85D0E7" w14:textId="77777777" w:rsidR="00923502" w:rsidRPr="0010235F" w:rsidRDefault="00923502" w:rsidP="007525E6">
            <w:pPr>
              <w:jc w:val="center"/>
              <w:rPr>
                <w:rFonts w:ascii="Arial" w:hAnsi="Arial" w:cs="Arial"/>
                <w:b/>
                <w:bCs/>
                <w:color w:val="000000"/>
                <w:sz w:val="20"/>
                <w:szCs w:val="20"/>
              </w:rPr>
            </w:pPr>
            <w:r w:rsidRPr="0010235F">
              <w:rPr>
                <w:rFonts w:ascii="Arial" w:hAnsi="Arial" w:cs="Arial"/>
                <w:b/>
                <w:bCs/>
                <w:color w:val="000000"/>
                <w:sz w:val="20"/>
                <w:szCs w:val="20"/>
              </w:rPr>
              <w:t>0.</w:t>
            </w:r>
            <w:r>
              <w:rPr>
                <w:rFonts w:ascii="Arial" w:hAnsi="Arial" w:cs="Arial"/>
                <w:b/>
                <w:bCs/>
                <w:color w:val="000000"/>
                <w:sz w:val="20"/>
                <w:szCs w:val="20"/>
              </w:rPr>
              <w:t>97</w:t>
            </w:r>
          </w:p>
        </w:tc>
        <w:tc>
          <w:tcPr>
            <w:tcW w:w="1197" w:type="dxa"/>
            <w:tcBorders>
              <w:top w:val="nil"/>
              <w:left w:val="single" w:sz="4" w:space="0" w:color="auto"/>
              <w:bottom w:val="single" w:sz="4" w:space="0" w:color="auto"/>
              <w:right w:val="nil"/>
            </w:tcBorders>
            <w:shd w:val="clear" w:color="auto" w:fill="auto"/>
            <w:noWrap/>
            <w:vAlign w:val="bottom"/>
            <w:hideMark/>
          </w:tcPr>
          <w:p w14:paraId="3D85D0E8" w14:textId="77777777" w:rsidR="00923502" w:rsidRPr="0010235F" w:rsidRDefault="00923502"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D0E9" w14:textId="77777777" w:rsidR="00923502" w:rsidRPr="0010235F" w:rsidRDefault="00923502"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14:paraId="3D85D0EA" w14:textId="77777777" w:rsidR="00923502" w:rsidRPr="0010235F" w:rsidRDefault="00923502" w:rsidP="0010235F">
            <w:pPr>
              <w:jc w:val="center"/>
              <w:rPr>
                <w:rFonts w:ascii="Arial" w:hAnsi="Arial" w:cs="Arial"/>
                <w:b/>
                <w:bCs/>
                <w:color w:val="000000"/>
                <w:sz w:val="20"/>
                <w:szCs w:val="20"/>
              </w:rPr>
            </w:pPr>
            <w:r>
              <w:rPr>
                <w:rFonts w:ascii="Arial" w:hAnsi="Arial" w:cs="Arial"/>
                <w:b/>
                <w:bCs/>
                <w:color w:val="000000"/>
                <w:sz w:val="20"/>
                <w:szCs w:val="20"/>
              </w:rPr>
              <w:t>3.7</w:t>
            </w:r>
          </w:p>
        </w:tc>
      </w:tr>
      <w:tr w:rsidR="0010235F" w:rsidRPr="0010235F" w14:paraId="3D85D0FF" w14:textId="77777777" w:rsidTr="00607B7E">
        <w:trPr>
          <w:trHeight w:val="288"/>
        </w:trPr>
        <w:tc>
          <w:tcPr>
            <w:tcW w:w="1429" w:type="dxa"/>
            <w:tcBorders>
              <w:top w:val="nil"/>
              <w:left w:val="single" w:sz="4" w:space="0" w:color="auto"/>
              <w:bottom w:val="nil"/>
              <w:right w:val="nil"/>
            </w:tcBorders>
            <w:shd w:val="clear" w:color="auto" w:fill="auto"/>
            <w:noWrap/>
            <w:vAlign w:val="bottom"/>
            <w:hideMark/>
          </w:tcPr>
          <w:p w14:paraId="3D85D0EC"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1279" w:type="dxa"/>
            <w:tcBorders>
              <w:top w:val="nil"/>
              <w:left w:val="nil"/>
              <w:bottom w:val="nil"/>
              <w:right w:val="nil"/>
            </w:tcBorders>
            <w:shd w:val="clear" w:color="auto" w:fill="auto"/>
            <w:noWrap/>
            <w:vAlign w:val="bottom"/>
            <w:hideMark/>
          </w:tcPr>
          <w:p w14:paraId="3D85D0ED" w14:textId="77777777" w:rsidR="0010235F" w:rsidRPr="0010235F" w:rsidRDefault="0010235F" w:rsidP="0010235F">
            <w:pPr>
              <w:jc w:val="center"/>
              <w:rPr>
                <w:rFonts w:ascii="Arial" w:hAnsi="Arial" w:cs="Arial"/>
                <w:color w:val="000000"/>
                <w:sz w:val="20"/>
                <w:szCs w:val="20"/>
              </w:rPr>
            </w:pPr>
          </w:p>
        </w:tc>
        <w:tc>
          <w:tcPr>
            <w:tcW w:w="967" w:type="dxa"/>
            <w:tcBorders>
              <w:top w:val="nil"/>
              <w:left w:val="nil"/>
              <w:bottom w:val="nil"/>
              <w:right w:val="nil"/>
            </w:tcBorders>
            <w:shd w:val="clear" w:color="auto" w:fill="auto"/>
            <w:noWrap/>
            <w:vAlign w:val="bottom"/>
            <w:hideMark/>
          </w:tcPr>
          <w:p w14:paraId="3D85D0EE"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0EF" w14:textId="77777777" w:rsidR="0010235F" w:rsidRPr="0010235F" w:rsidRDefault="0010235F" w:rsidP="0010235F">
            <w:pPr>
              <w:jc w:val="center"/>
              <w:rPr>
                <w:rFonts w:ascii="Arial" w:hAnsi="Arial" w:cs="Arial"/>
                <w:sz w:val="20"/>
                <w:szCs w:val="20"/>
              </w:rPr>
            </w:pPr>
          </w:p>
        </w:tc>
        <w:tc>
          <w:tcPr>
            <w:tcW w:w="1250" w:type="dxa"/>
            <w:tcBorders>
              <w:top w:val="nil"/>
              <w:left w:val="single" w:sz="4" w:space="0" w:color="auto"/>
              <w:bottom w:val="nil"/>
              <w:right w:val="nil"/>
            </w:tcBorders>
            <w:shd w:val="clear" w:color="auto" w:fill="auto"/>
            <w:noWrap/>
            <w:vAlign w:val="bottom"/>
            <w:hideMark/>
          </w:tcPr>
          <w:p w14:paraId="3D85D0F0"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039" w:type="dxa"/>
            <w:tcBorders>
              <w:top w:val="nil"/>
              <w:left w:val="nil"/>
              <w:bottom w:val="nil"/>
              <w:right w:val="nil"/>
            </w:tcBorders>
            <w:shd w:val="clear" w:color="auto" w:fill="auto"/>
            <w:noWrap/>
            <w:vAlign w:val="bottom"/>
            <w:hideMark/>
          </w:tcPr>
          <w:p w14:paraId="3D85D0F1" w14:textId="77777777" w:rsidR="0010235F" w:rsidRPr="0010235F" w:rsidRDefault="0010235F" w:rsidP="0010235F">
            <w:pPr>
              <w:jc w:val="center"/>
              <w:rPr>
                <w:rFonts w:ascii="Arial" w:hAnsi="Arial" w:cs="Arial"/>
                <w:color w:val="000000"/>
                <w:sz w:val="20"/>
                <w:szCs w:val="20"/>
              </w:rPr>
            </w:pPr>
          </w:p>
        </w:tc>
        <w:tc>
          <w:tcPr>
            <w:tcW w:w="1274" w:type="dxa"/>
            <w:tcBorders>
              <w:top w:val="nil"/>
              <w:left w:val="single" w:sz="4" w:space="0" w:color="auto"/>
              <w:bottom w:val="nil"/>
              <w:right w:val="nil"/>
            </w:tcBorders>
            <w:shd w:val="clear" w:color="auto" w:fill="auto"/>
            <w:noWrap/>
            <w:vAlign w:val="bottom"/>
            <w:hideMark/>
          </w:tcPr>
          <w:p w14:paraId="3D85D0F2"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nil"/>
              <w:right w:val="nil"/>
            </w:tcBorders>
            <w:shd w:val="clear" w:color="auto" w:fill="auto"/>
            <w:noWrap/>
            <w:vAlign w:val="bottom"/>
            <w:hideMark/>
          </w:tcPr>
          <w:p w14:paraId="3D85D0F3"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0F4" w14:textId="77777777" w:rsidR="0010235F" w:rsidRPr="0010235F" w:rsidRDefault="0010235F" w:rsidP="0010235F">
            <w:pPr>
              <w:jc w:val="center"/>
              <w:rPr>
                <w:rFonts w:ascii="Arial" w:hAnsi="Arial" w:cs="Arial"/>
                <w:sz w:val="20"/>
                <w:szCs w:val="20"/>
              </w:rPr>
            </w:pPr>
          </w:p>
        </w:tc>
        <w:tc>
          <w:tcPr>
            <w:tcW w:w="1250" w:type="dxa"/>
            <w:tcBorders>
              <w:top w:val="nil"/>
              <w:left w:val="nil"/>
              <w:bottom w:val="nil"/>
              <w:right w:val="nil"/>
            </w:tcBorders>
            <w:shd w:val="clear" w:color="auto" w:fill="auto"/>
            <w:noWrap/>
            <w:vAlign w:val="bottom"/>
            <w:hideMark/>
          </w:tcPr>
          <w:p w14:paraId="3D85D0F5" w14:textId="77777777" w:rsidR="0010235F" w:rsidRPr="0010235F" w:rsidRDefault="0010235F" w:rsidP="0010235F">
            <w:pPr>
              <w:jc w:val="center"/>
              <w:rPr>
                <w:rFonts w:ascii="Arial" w:hAnsi="Arial" w:cs="Arial"/>
                <w:sz w:val="20"/>
                <w:szCs w:val="20"/>
              </w:rPr>
            </w:pPr>
          </w:p>
        </w:tc>
        <w:tc>
          <w:tcPr>
            <w:tcW w:w="1051" w:type="dxa"/>
            <w:tcBorders>
              <w:top w:val="nil"/>
              <w:left w:val="nil"/>
              <w:bottom w:val="nil"/>
              <w:right w:val="single" w:sz="4" w:space="0" w:color="auto"/>
            </w:tcBorders>
            <w:shd w:val="clear" w:color="auto" w:fill="auto"/>
            <w:noWrap/>
            <w:vAlign w:val="bottom"/>
            <w:hideMark/>
          </w:tcPr>
          <w:p w14:paraId="3D85D0F6"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170" w:type="dxa"/>
            <w:tcBorders>
              <w:top w:val="nil"/>
              <w:left w:val="nil"/>
              <w:bottom w:val="nil"/>
              <w:right w:val="nil"/>
            </w:tcBorders>
            <w:shd w:val="clear" w:color="auto" w:fill="auto"/>
            <w:noWrap/>
            <w:vAlign w:val="bottom"/>
            <w:hideMark/>
          </w:tcPr>
          <w:p w14:paraId="3D85D0F7" w14:textId="77777777" w:rsidR="0010235F" w:rsidRPr="0010235F" w:rsidRDefault="0010235F" w:rsidP="0010235F">
            <w:pPr>
              <w:jc w:val="center"/>
              <w:rPr>
                <w:rFonts w:ascii="Arial" w:hAnsi="Arial" w:cs="Arial"/>
                <w:color w:val="000000"/>
                <w:sz w:val="20"/>
                <w:szCs w:val="20"/>
              </w:rPr>
            </w:pPr>
          </w:p>
        </w:tc>
        <w:tc>
          <w:tcPr>
            <w:tcW w:w="967" w:type="dxa"/>
            <w:tcBorders>
              <w:top w:val="nil"/>
              <w:left w:val="nil"/>
              <w:bottom w:val="nil"/>
              <w:right w:val="nil"/>
            </w:tcBorders>
            <w:shd w:val="clear" w:color="auto" w:fill="auto"/>
            <w:noWrap/>
            <w:vAlign w:val="bottom"/>
            <w:hideMark/>
          </w:tcPr>
          <w:p w14:paraId="3D85D0F8"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tcBorders>
            <w:shd w:val="clear" w:color="auto" w:fill="auto"/>
            <w:noWrap/>
            <w:vAlign w:val="bottom"/>
            <w:hideMark/>
          </w:tcPr>
          <w:p w14:paraId="3D85D0F9" w14:textId="77777777" w:rsidR="0010235F" w:rsidRPr="0010235F" w:rsidRDefault="0010235F" w:rsidP="0010235F">
            <w:pPr>
              <w:jc w:val="center"/>
              <w:rPr>
                <w:rFonts w:ascii="Arial" w:hAnsi="Arial" w:cs="Arial"/>
                <w:sz w:val="20"/>
                <w:szCs w:val="20"/>
              </w:rPr>
            </w:pPr>
          </w:p>
        </w:tc>
        <w:tc>
          <w:tcPr>
            <w:tcW w:w="1250" w:type="dxa"/>
            <w:tcBorders>
              <w:top w:val="nil"/>
              <w:bottom w:val="nil"/>
              <w:right w:val="nil"/>
            </w:tcBorders>
            <w:shd w:val="clear" w:color="auto" w:fill="auto"/>
            <w:noWrap/>
            <w:vAlign w:val="bottom"/>
            <w:hideMark/>
          </w:tcPr>
          <w:p w14:paraId="3D85D0FA" w14:textId="77777777" w:rsidR="0010235F" w:rsidRPr="0010235F" w:rsidRDefault="0010235F" w:rsidP="0010235F">
            <w:pPr>
              <w:jc w:val="center"/>
              <w:rPr>
                <w:rFonts w:ascii="Arial" w:hAnsi="Arial" w:cs="Arial"/>
                <w:sz w:val="20"/>
                <w:szCs w:val="20"/>
              </w:rPr>
            </w:pPr>
            <w:r w:rsidRPr="0010235F">
              <w:rPr>
                <w:rFonts w:ascii="Arial" w:hAnsi="Arial" w:cs="Arial"/>
                <w:sz w:val="20"/>
                <w:szCs w:val="20"/>
              </w:rPr>
              <w:t> </w:t>
            </w:r>
          </w:p>
        </w:tc>
        <w:tc>
          <w:tcPr>
            <w:tcW w:w="1051" w:type="dxa"/>
            <w:tcBorders>
              <w:top w:val="nil"/>
              <w:left w:val="nil"/>
              <w:bottom w:val="nil"/>
              <w:right w:val="nil"/>
            </w:tcBorders>
            <w:shd w:val="clear" w:color="auto" w:fill="auto"/>
            <w:noWrap/>
            <w:vAlign w:val="bottom"/>
            <w:hideMark/>
          </w:tcPr>
          <w:p w14:paraId="3D85D0FB" w14:textId="77777777" w:rsidR="0010235F" w:rsidRPr="0010235F" w:rsidRDefault="0010235F" w:rsidP="0010235F">
            <w:pPr>
              <w:jc w:val="center"/>
              <w:rPr>
                <w:rFonts w:ascii="Arial" w:hAnsi="Arial" w:cs="Arial"/>
                <w:color w:val="000000"/>
                <w:sz w:val="20"/>
                <w:szCs w:val="20"/>
              </w:rPr>
            </w:pPr>
          </w:p>
        </w:tc>
        <w:tc>
          <w:tcPr>
            <w:tcW w:w="1197" w:type="dxa"/>
            <w:tcBorders>
              <w:top w:val="nil"/>
              <w:left w:val="single" w:sz="4" w:space="0" w:color="auto"/>
              <w:bottom w:val="nil"/>
              <w:right w:val="nil"/>
            </w:tcBorders>
            <w:shd w:val="clear" w:color="auto" w:fill="auto"/>
            <w:noWrap/>
            <w:vAlign w:val="bottom"/>
            <w:hideMark/>
          </w:tcPr>
          <w:p w14:paraId="3D85D0FC"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nil"/>
              <w:right w:val="nil"/>
            </w:tcBorders>
            <w:shd w:val="clear" w:color="auto" w:fill="auto"/>
            <w:noWrap/>
            <w:vAlign w:val="bottom"/>
            <w:hideMark/>
          </w:tcPr>
          <w:p w14:paraId="3D85D0FD" w14:textId="77777777" w:rsidR="0010235F" w:rsidRPr="0010235F" w:rsidRDefault="0010235F" w:rsidP="0010235F">
            <w:pPr>
              <w:rPr>
                <w:rFonts w:ascii="Arial" w:hAnsi="Arial" w:cs="Arial"/>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D0FE"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D111" w14:textId="77777777" w:rsidTr="00607B7E">
        <w:trPr>
          <w:trHeight w:val="288"/>
        </w:trPr>
        <w:tc>
          <w:tcPr>
            <w:tcW w:w="3675" w:type="dxa"/>
            <w:gridSpan w:val="3"/>
            <w:tcBorders>
              <w:top w:val="nil"/>
              <w:left w:val="single" w:sz="4" w:space="0" w:color="auto"/>
              <w:bottom w:val="nil"/>
              <w:right w:val="nil"/>
            </w:tcBorders>
            <w:shd w:val="clear" w:color="auto" w:fill="auto"/>
            <w:noWrap/>
            <w:vAlign w:val="bottom"/>
            <w:hideMark/>
          </w:tcPr>
          <w:p w14:paraId="3D85D100"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Total Source (Unit 1 and Unit 2)</w:t>
            </w:r>
          </w:p>
        </w:tc>
        <w:tc>
          <w:tcPr>
            <w:tcW w:w="906" w:type="dxa"/>
            <w:tcBorders>
              <w:top w:val="nil"/>
              <w:left w:val="nil"/>
              <w:bottom w:val="nil"/>
              <w:right w:val="nil"/>
            </w:tcBorders>
            <w:shd w:val="clear" w:color="auto" w:fill="auto"/>
            <w:noWrap/>
            <w:vAlign w:val="bottom"/>
            <w:hideMark/>
          </w:tcPr>
          <w:p w14:paraId="3D85D101" w14:textId="77777777" w:rsidR="0010235F" w:rsidRPr="0010235F" w:rsidRDefault="00923502" w:rsidP="0010235F">
            <w:pPr>
              <w:jc w:val="center"/>
              <w:rPr>
                <w:rFonts w:ascii="Arial" w:hAnsi="Arial" w:cs="Arial"/>
                <w:b/>
                <w:bCs/>
                <w:sz w:val="20"/>
                <w:szCs w:val="20"/>
              </w:rPr>
            </w:pPr>
            <w:r>
              <w:rPr>
                <w:rFonts w:ascii="Arial" w:hAnsi="Arial" w:cs="Arial"/>
                <w:b/>
                <w:bCs/>
                <w:sz w:val="20"/>
                <w:szCs w:val="20"/>
              </w:rPr>
              <w:t>163</w:t>
            </w:r>
          </w:p>
        </w:tc>
        <w:tc>
          <w:tcPr>
            <w:tcW w:w="1250" w:type="dxa"/>
            <w:tcBorders>
              <w:top w:val="nil"/>
              <w:left w:val="single" w:sz="4" w:space="0" w:color="auto"/>
              <w:bottom w:val="nil"/>
              <w:right w:val="nil"/>
            </w:tcBorders>
            <w:shd w:val="clear" w:color="auto" w:fill="auto"/>
            <w:noWrap/>
            <w:vAlign w:val="bottom"/>
            <w:hideMark/>
          </w:tcPr>
          <w:p w14:paraId="3D85D102" w14:textId="77777777" w:rsidR="0010235F" w:rsidRPr="0010235F" w:rsidRDefault="0010235F" w:rsidP="0010235F">
            <w:pPr>
              <w:rPr>
                <w:rFonts w:ascii="Arial" w:hAnsi="Arial" w:cs="Arial"/>
                <w:b/>
                <w:bCs/>
                <w:sz w:val="20"/>
                <w:szCs w:val="20"/>
              </w:rPr>
            </w:pPr>
            <w:r w:rsidRPr="0010235F">
              <w:rPr>
                <w:rFonts w:ascii="Arial" w:hAnsi="Arial" w:cs="Arial"/>
                <w:b/>
                <w:bCs/>
                <w:sz w:val="20"/>
                <w:szCs w:val="20"/>
              </w:rPr>
              <w:t> </w:t>
            </w:r>
          </w:p>
        </w:tc>
        <w:tc>
          <w:tcPr>
            <w:tcW w:w="1039" w:type="dxa"/>
            <w:tcBorders>
              <w:top w:val="nil"/>
              <w:left w:val="nil"/>
              <w:bottom w:val="nil"/>
              <w:right w:val="nil"/>
            </w:tcBorders>
            <w:shd w:val="clear" w:color="auto" w:fill="auto"/>
            <w:noWrap/>
            <w:vAlign w:val="bottom"/>
            <w:hideMark/>
          </w:tcPr>
          <w:p w14:paraId="3D85D103" w14:textId="77777777" w:rsidR="0010235F" w:rsidRPr="0010235F" w:rsidRDefault="00923502" w:rsidP="0010235F">
            <w:pPr>
              <w:jc w:val="center"/>
              <w:rPr>
                <w:rFonts w:ascii="Arial" w:hAnsi="Arial" w:cs="Arial"/>
                <w:b/>
                <w:bCs/>
                <w:sz w:val="20"/>
                <w:szCs w:val="20"/>
              </w:rPr>
            </w:pPr>
            <w:r>
              <w:rPr>
                <w:rFonts w:ascii="Arial" w:hAnsi="Arial" w:cs="Arial"/>
                <w:b/>
                <w:bCs/>
                <w:sz w:val="20"/>
                <w:szCs w:val="20"/>
              </w:rPr>
              <w:t>10</w:t>
            </w:r>
          </w:p>
        </w:tc>
        <w:tc>
          <w:tcPr>
            <w:tcW w:w="1274" w:type="dxa"/>
            <w:tcBorders>
              <w:top w:val="nil"/>
              <w:left w:val="single" w:sz="4" w:space="0" w:color="auto"/>
              <w:bottom w:val="nil"/>
              <w:right w:val="nil"/>
            </w:tcBorders>
            <w:shd w:val="clear" w:color="auto" w:fill="auto"/>
            <w:noWrap/>
            <w:vAlign w:val="bottom"/>
            <w:hideMark/>
          </w:tcPr>
          <w:p w14:paraId="3D85D104"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105" w14:textId="77777777" w:rsidR="0010235F" w:rsidRPr="0010235F" w:rsidRDefault="0010235F" w:rsidP="0010235F">
            <w:pP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106" w14:textId="77777777" w:rsidR="0010235F" w:rsidRPr="0010235F" w:rsidRDefault="004B6AD3" w:rsidP="0010235F">
            <w:pPr>
              <w:jc w:val="center"/>
              <w:rPr>
                <w:rFonts w:ascii="Arial" w:hAnsi="Arial" w:cs="Arial"/>
                <w:b/>
                <w:bCs/>
                <w:color w:val="000000"/>
                <w:sz w:val="20"/>
                <w:szCs w:val="20"/>
              </w:rPr>
            </w:pPr>
            <w:r>
              <w:rPr>
                <w:rFonts w:ascii="Arial" w:hAnsi="Arial" w:cs="Arial"/>
                <w:b/>
                <w:bCs/>
                <w:color w:val="000000"/>
                <w:sz w:val="20"/>
                <w:szCs w:val="20"/>
              </w:rPr>
              <w:t>2</w:t>
            </w:r>
          </w:p>
        </w:tc>
        <w:tc>
          <w:tcPr>
            <w:tcW w:w="1250" w:type="dxa"/>
            <w:tcBorders>
              <w:top w:val="nil"/>
              <w:left w:val="nil"/>
              <w:bottom w:val="nil"/>
              <w:right w:val="nil"/>
            </w:tcBorders>
            <w:shd w:val="clear" w:color="auto" w:fill="auto"/>
            <w:noWrap/>
            <w:vAlign w:val="bottom"/>
            <w:hideMark/>
          </w:tcPr>
          <w:p w14:paraId="3D85D107" w14:textId="77777777" w:rsidR="0010235F" w:rsidRPr="0010235F" w:rsidRDefault="0010235F" w:rsidP="0010235F">
            <w:pPr>
              <w:jc w:val="center"/>
              <w:rPr>
                <w:rFonts w:ascii="Arial" w:hAnsi="Arial" w:cs="Arial"/>
                <w:b/>
                <w:bCs/>
                <w:color w:val="000000"/>
                <w:sz w:val="20"/>
                <w:szCs w:val="20"/>
              </w:rPr>
            </w:pPr>
          </w:p>
        </w:tc>
        <w:tc>
          <w:tcPr>
            <w:tcW w:w="1051" w:type="dxa"/>
            <w:tcBorders>
              <w:top w:val="nil"/>
              <w:left w:val="nil"/>
              <w:bottom w:val="nil"/>
              <w:right w:val="single" w:sz="4" w:space="0" w:color="auto"/>
            </w:tcBorders>
            <w:shd w:val="clear" w:color="auto" w:fill="auto"/>
            <w:noWrap/>
            <w:vAlign w:val="bottom"/>
            <w:hideMark/>
          </w:tcPr>
          <w:p w14:paraId="3D85D108" w14:textId="77777777" w:rsidR="0010235F" w:rsidRPr="0010235F" w:rsidRDefault="00923502" w:rsidP="0010235F">
            <w:pPr>
              <w:jc w:val="center"/>
              <w:rPr>
                <w:rFonts w:ascii="Arial" w:hAnsi="Arial" w:cs="Arial"/>
                <w:b/>
                <w:bCs/>
                <w:color w:val="000000"/>
                <w:sz w:val="20"/>
                <w:szCs w:val="20"/>
              </w:rPr>
            </w:pPr>
            <w:r>
              <w:rPr>
                <w:rFonts w:ascii="Arial" w:hAnsi="Arial" w:cs="Arial"/>
                <w:b/>
                <w:bCs/>
                <w:color w:val="000000"/>
                <w:sz w:val="20"/>
                <w:szCs w:val="20"/>
              </w:rPr>
              <w:t>1</w:t>
            </w:r>
          </w:p>
        </w:tc>
        <w:tc>
          <w:tcPr>
            <w:tcW w:w="1170" w:type="dxa"/>
            <w:tcBorders>
              <w:top w:val="nil"/>
              <w:left w:val="nil"/>
              <w:bottom w:val="nil"/>
              <w:right w:val="nil"/>
            </w:tcBorders>
            <w:shd w:val="clear" w:color="auto" w:fill="auto"/>
            <w:noWrap/>
            <w:vAlign w:val="bottom"/>
            <w:hideMark/>
          </w:tcPr>
          <w:p w14:paraId="3D85D109" w14:textId="77777777" w:rsidR="0010235F" w:rsidRPr="0010235F" w:rsidRDefault="0010235F" w:rsidP="0010235F">
            <w:pPr>
              <w:rPr>
                <w:rFonts w:ascii="Arial" w:hAnsi="Arial" w:cs="Arial"/>
                <w:b/>
                <w:bCs/>
                <w:color w:val="000000"/>
                <w:sz w:val="20"/>
                <w:szCs w:val="20"/>
              </w:rPr>
            </w:pPr>
          </w:p>
        </w:tc>
        <w:tc>
          <w:tcPr>
            <w:tcW w:w="967" w:type="dxa"/>
            <w:tcBorders>
              <w:top w:val="nil"/>
              <w:left w:val="nil"/>
              <w:bottom w:val="nil"/>
              <w:right w:val="nil"/>
            </w:tcBorders>
            <w:shd w:val="clear" w:color="auto" w:fill="auto"/>
            <w:noWrap/>
            <w:vAlign w:val="bottom"/>
            <w:hideMark/>
          </w:tcPr>
          <w:p w14:paraId="3D85D10A" w14:textId="77777777" w:rsidR="0010235F" w:rsidRPr="0010235F" w:rsidRDefault="0010235F" w:rsidP="0010235F">
            <w:pPr>
              <w:rPr>
                <w:rFonts w:ascii="Arial" w:hAnsi="Arial" w:cs="Arial"/>
                <w:b/>
                <w:bCs/>
                <w:color w:val="000000"/>
                <w:sz w:val="20"/>
                <w:szCs w:val="20"/>
              </w:rPr>
            </w:pPr>
          </w:p>
        </w:tc>
        <w:tc>
          <w:tcPr>
            <w:tcW w:w="906" w:type="dxa"/>
            <w:tcBorders>
              <w:top w:val="nil"/>
              <w:left w:val="nil"/>
              <w:bottom w:val="nil"/>
            </w:tcBorders>
            <w:shd w:val="clear" w:color="auto" w:fill="auto"/>
            <w:noWrap/>
            <w:vAlign w:val="bottom"/>
            <w:hideMark/>
          </w:tcPr>
          <w:p w14:paraId="3D85D10B" w14:textId="77777777" w:rsidR="0010235F" w:rsidRPr="0010235F" w:rsidRDefault="00923502" w:rsidP="0010235F">
            <w:pPr>
              <w:jc w:val="center"/>
              <w:rPr>
                <w:rFonts w:ascii="Arial" w:hAnsi="Arial" w:cs="Arial"/>
                <w:b/>
                <w:bCs/>
                <w:color w:val="000000"/>
                <w:sz w:val="20"/>
                <w:szCs w:val="20"/>
              </w:rPr>
            </w:pPr>
            <w:r>
              <w:rPr>
                <w:rFonts w:ascii="Arial" w:hAnsi="Arial" w:cs="Arial"/>
                <w:b/>
                <w:bCs/>
                <w:color w:val="000000"/>
                <w:sz w:val="20"/>
                <w:szCs w:val="20"/>
              </w:rPr>
              <w:t>6</w:t>
            </w:r>
          </w:p>
        </w:tc>
        <w:tc>
          <w:tcPr>
            <w:tcW w:w="1250" w:type="dxa"/>
            <w:tcBorders>
              <w:top w:val="nil"/>
              <w:bottom w:val="nil"/>
              <w:right w:val="nil"/>
            </w:tcBorders>
            <w:shd w:val="clear" w:color="auto" w:fill="auto"/>
            <w:noWrap/>
            <w:vAlign w:val="bottom"/>
            <w:hideMark/>
          </w:tcPr>
          <w:p w14:paraId="3D85D10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51" w:type="dxa"/>
            <w:tcBorders>
              <w:top w:val="nil"/>
              <w:left w:val="nil"/>
              <w:bottom w:val="nil"/>
              <w:right w:val="nil"/>
            </w:tcBorders>
            <w:shd w:val="clear" w:color="auto" w:fill="auto"/>
            <w:noWrap/>
            <w:vAlign w:val="bottom"/>
            <w:hideMark/>
          </w:tcPr>
          <w:p w14:paraId="3D85D10D" w14:textId="77777777" w:rsidR="0010235F" w:rsidRPr="0010235F" w:rsidRDefault="00923502" w:rsidP="0010235F">
            <w:pPr>
              <w:jc w:val="center"/>
              <w:rPr>
                <w:rFonts w:ascii="Arial" w:hAnsi="Arial" w:cs="Arial"/>
                <w:b/>
                <w:bCs/>
                <w:color w:val="000000"/>
                <w:sz w:val="20"/>
                <w:szCs w:val="20"/>
              </w:rPr>
            </w:pPr>
            <w:r>
              <w:rPr>
                <w:rFonts w:ascii="Arial" w:hAnsi="Arial" w:cs="Arial"/>
                <w:b/>
                <w:bCs/>
                <w:color w:val="000000"/>
                <w:sz w:val="20"/>
                <w:szCs w:val="20"/>
              </w:rPr>
              <w:t>1</w:t>
            </w:r>
          </w:p>
        </w:tc>
        <w:tc>
          <w:tcPr>
            <w:tcW w:w="1197" w:type="dxa"/>
            <w:tcBorders>
              <w:top w:val="nil"/>
              <w:left w:val="single" w:sz="4" w:space="0" w:color="auto"/>
              <w:bottom w:val="nil"/>
              <w:right w:val="nil"/>
            </w:tcBorders>
            <w:shd w:val="clear" w:color="auto" w:fill="auto"/>
            <w:noWrap/>
            <w:vAlign w:val="bottom"/>
            <w:hideMark/>
          </w:tcPr>
          <w:p w14:paraId="3D85D10E"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10F" w14:textId="77777777" w:rsidR="0010235F" w:rsidRPr="0010235F" w:rsidRDefault="0010235F" w:rsidP="0010235F">
            <w:pPr>
              <w:rPr>
                <w:rFonts w:ascii="Arial" w:hAnsi="Arial" w:cs="Arial"/>
                <w:b/>
                <w:bCs/>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D110" w14:textId="77777777" w:rsidR="0010235F" w:rsidRPr="0010235F" w:rsidRDefault="00923502" w:rsidP="0010235F">
            <w:pPr>
              <w:jc w:val="center"/>
              <w:rPr>
                <w:rFonts w:ascii="Arial" w:hAnsi="Arial" w:cs="Arial"/>
                <w:b/>
                <w:bCs/>
                <w:sz w:val="20"/>
                <w:szCs w:val="20"/>
              </w:rPr>
            </w:pPr>
            <w:r>
              <w:rPr>
                <w:rFonts w:ascii="Arial" w:hAnsi="Arial" w:cs="Arial"/>
                <w:b/>
                <w:bCs/>
                <w:sz w:val="20"/>
                <w:szCs w:val="20"/>
              </w:rPr>
              <w:t>7</w:t>
            </w:r>
          </w:p>
        </w:tc>
      </w:tr>
      <w:tr w:rsidR="00DF15A7" w:rsidRPr="0010235F" w14:paraId="3D85D125" w14:textId="77777777" w:rsidTr="00607B7E">
        <w:trPr>
          <w:trHeight w:val="288"/>
        </w:trPr>
        <w:tc>
          <w:tcPr>
            <w:tcW w:w="1429" w:type="dxa"/>
            <w:tcBorders>
              <w:top w:val="nil"/>
              <w:left w:val="single" w:sz="4" w:space="0" w:color="auto"/>
              <w:bottom w:val="single" w:sz="4" w:space="0" w:color="auto"/>
              <w:right w:val="nil"/>
            </w:tcBorders>
            <w:shd w:val="clear" w:color="auto" w:fill="auto"/>
            <w:noWrap/>
            <w:vAlign w:val="bottom"/>
            <w:hideMark/>
          </w:tcPr>
          <w:p w14:paraId="3D85D112" w14:textId="77777777" w:rsidR="00DF15A7" w:rsidRPr="0010235F" w:rsidRDefault="00DF15A7" w:rsidP="0010235F">
            <w:pPr>
              <w:rPr>
                <w:rFonts w:ascii="Arial" w:hAnsi="Arial" w:cs="Arial"/>
                <w:color w:val="000000"/>
                <w:sz w:val="20"/>
                <w:szCs w:val="20"/>
              </w:rPr>
            </w:pPr>
          </w:p>
        </w:tc>
        <w:tc>
          <w:tcPr>
            <w:tcW w:w="1279" w:type="dxa"/>
            <w:tcBorders>
              <w:top w:val="nil"/>
              <w:left w:val="nil"/>
              <w:bottom w:val="single" w:sz="4" w:space="0" w:color="auto"/>
              <w:right w:val="nil"/>
            </w:tcBorders>
            <w:shd w:val="clear" w:color="auto" w:fill="auto"/>
            <w:noWrap/>
            <w:vAlign w:val="bottom"/>
            <w:hideMark/>
          </w:tcPr>
          <w:p w14:paraId="3D85D113" w14:textId="77777777" w:rsidR="00DF15A7" w:rsidRPr="0010235F" w:rsidRDefault="00DF15A7" w:rsidP="0010235F">
            <w:pPr>
              <w:rPr>
                <w:rFonts w:ascii="Arial" w:hAnsi="Arial" w:cs="Arial"/>
                <w:color w:val="000000"/>
                <w:sz w:val="20"/>
                <w:szCs w:val="20"/>
              </w:rPr>
            </w:pPr>
          </w:p>
        </w:tc>
        <w:tc>
          <w:tcPr>
            <w:tcW w:w="967" w:type="dxa"/>
            <w:tcBorders>
              <w:top w:val="nil"/>
              <w:left w:val="nil"/>
              <w:bottom w:val="single" w:sz="4" w:space="0" w:color="auto"/>
              <w:right w:val="nil"/>
            </w:tcBorders>
            <w:shd w:val="clear" w:color="auto" w:fill="auto"/>
            <w:noWrap/>
            <w:vAlign w:val="bottom"/>
            <w:hideMark/>
          </w:tcPr>
          <w:p w14:paraId="3D85D114" w14:textId="77777777" w:rsidR="00DF15A7" w:rsidRPr="0010235F" w:rsidRDefault="00DF15A7" w:rsidP="0010235F">
            <w:pPr>
              <w:rPr>
                <w:rFonts w:ascii="Arial" w:hAnsi="Arial" w:cs="Arial"/>
                <w:color w:val="000000"/>
                <w:sz w:val="20"/>
                <w:szCs w:val="20"/>
              </w:rPr>
            </w:pPr>
          </w:p>
        </w:tc>
        <w:tc>
          <w:tcPr>
            <w:tcW w:w="906" w:type="dxa"/>
            <w:tcBorders>
              <w:top w:val="nil"/>
              <w:left w:val="nil"/>
              <w:bottom w:val="single" w:sz="4" w:space="0" w:color="auto"/>
              <w:right w:val="nil"/>
            </w:tcBorders>
            <w:shd w:val="clear" w:color="auto" w:fill="auto"/>
            <w:noWrap/>
            <w:vAlign w:val="bottom"/>
            <w:hideMark/>
          </w:tcPr>
          <w:p w14:paraId="3D85D115" w14:textId="77777777" w:rsidR="00DF15A7" w:rsidRPr="0010235F" w:rsidRDefault="00DF15A7" w:rsidP="0010235F">
            <w:pPr>
              <w:jc w:val="center"/>
              <w:rPr>
                <w:rFonts w:ascii="Arial" w:hAnsi="Arial" w:cs="Arial"/>
                <w:color w:val="000000"/>
                <w:sz w:val="20"/>
                <w:szCs w:val="20"/>
              </w:rPr>
            </w:pPr>
          </w:p>
        </w:tc>
        <w:tc>
          <w:tcPr>
            <w:tcW w:w="1250" w:type="dxa"/>
            <w:tcBorders>
              <w:top w:val="nil"/>
              <w:left w:val="single" w:sz="4" w:space="0" w:color="auto"/>
              <w:bottom w:val="single" w:sz="4" w:space="0" w:color="auto"/>
              <w:right w:val="nil"/>
            </w:tcBorders>
            <w:shd w:val="clear" w:color="auto" w:fill="auto"/>
            <w:noWrap/>
            <w:vAlign w:val="bottom"/>
            <w:hideMark/>
          </w:tcPr>
          <w:p w14:paraId="3D85D116" w14:textId="77777777" w:rsidR="00DF15A7" w:rsidRPr="0010235F" w:rsidRDefault="00DF15A7" w:rsidP="0010235F">
            <w:pPr>
              <w:rPr>
                <w:rFonts w:ascii="Arial" w:hAnsi="Arial" w:cs="Arial"/>
                <w:color w:val="000000"/>
                <w:sz w:val="20"/>
                <w:szCs w:val="20"/>
              </w:rPr>
            </w:pPr>
          </w:p>
        </w:tc>
        <w:tc>
          <w:tcPr>
            <w:tcW w:w="1039" w:type="dxa"/>
            <w:tcBorders>
              <w:top w:val="nil"/>
              <w:left w:val="nil"/>
              <w:bottom w:val="single" w:sz="4" w:space="0" w:color="auto"/>
              <w:right w:val="nil"/>
            </w:tcBorders>
            <w:shd w:val="clear" w:color="auto" w:fill="auto"/>
            <w:noWrap/>
            <w:vAlign w:val="bottom"/>
            <w:hideMark/>
          </w:tcPr>
          <w:p w14:paraId="3D85D117" w14:textId="77777777" w:rsidR="00DF15A7" w:rsidRPr="0010235F" w:rsidRDefault="00DF15A7" w:rsidP="0010235F">
            <w:pPr>
              <w:jc w:val="center"/>
              <w:rPr>
                <w:rFonts w:ascii="Arial" w:hAnsi="Arial" w:cs="Arial"/>
                <w:color w:val="000000"/>
                <w:sz w:val="20"/>
                <w:szCs w:val="20"/>
              </w:rPr>
            </w:pPr>
          </w:p>
        </w:tc>
        <w:tc>
          <w:tcPr>
            <w:tcW w:w="1274" w:type="dxa"/>
            <w:tcBorders>
              <w:top w:val="nil"/>
              <w:left w:val="single" w:sz="4" w:space="0" w:color="auto"/>
              <w:bottom w:val="single" w:sz="4" w:space="0" w:color="auto"/>
              <w:right w:val="nil"/>
            </w:tcBorders>
            <w:shd w:val="clear" w:color="auto" w:fill="auto"/>
            <w:noWrap/>
            <w:vAlign w:val="bottom"/>
            <w:hideMark/>
          </w:tcPr>
          <w:p w14:paraId="3D85D118" w14:textId="77777777" w:rsidR="00DF15A7" w:rsidRPr="0010235F" w:rsidRDefault="00DF15A7" w:rsidP="0010235F">
            <w:pPr>
              <w:rPr>
                <w:rFonts w:ascii="Arial" w:hAnsi="Arial" w:cs="Arial"/>
                <w:color w:val="000000"/>
                <w:sz w:val="20"/>
                <w:szCs w:val="20"/>
              </w:rPr>
            </w:pPr>
          </w:p>
        </w:tc>
        <w:tc>
          <w:tcPr>
            <w:tcW w:w="967" w:type="dxa"/>
            <w:tcBorders>
              <w:top w:val="nil"/>
              <w:left w:val="nil"/>
              <w:bottom w:val="single" w:sz="4" w:space="0" w:color="auto"/>
              <w:right w:val="nil"/>
            </w:tcBorders>
            <w:shd w:val="clear" w:color="auto" w:fill="auto"/>
            <w:noWrap/>
            <w:vAlign w:val="bottom"/>
            <w:hideMark/>
          </w:tcPr>
          <w:p w14:paraId="3D85D119" w14:textId="77777777" w:rsidR="00DF15A7" w:rsidRPr="0010235F" w:rsidRDefault="00DF15A7" w:rsidP="0010235F">
            <w:pPr>
              <w:rPr>
                <w:rFonts w:ascii="Arial" w:hAnsi="Arial" w:cs="Arial"/>
                <w:color w:val="000000"/>
                <w:sz w:val="20"/>
                <w:szCs w:val="20"/>
              </w:rPr>
            </w:pPr>
          </w:p>
        </w:tc>
        <w:tc>
          <w:tcPr>
            <w:tcW w:w="906" w:type="dxa"/>
            <w:tcBorders>
              <w:top w:val="nil"/>
              <w:left w:val="nil"/>
              <w:bottom w:val="single" w:sz="4" w:space="0" w:color="auto"/>
              <w:right w:val="nil"/>
            </w:tcBorders>
            <w:shd w:val="clear" w:color="auto" w:fill="auto"/>
            <w:noWrap/>
            <w:vAlign w:val="bottom"/>
            <w:hideMark/>
          </w:tcPr>
          <w:p w14:paraId="3D85D11A" w14:textId="77777777" w:rsidR="00DF15A7" w:rsidRPr="0010235F" w:rsidRDefault="00DF15A7" w:rsidP="0010235F">
            <w:pPr>
              <w:jc w:val="center"/>
              <w:rPr>
                <w:rFonts w:ascii="Arial" w:hAnsi="Arial" w:cs="Arial"/>
                <w:color w:val="000000"/>
                <w:sz w:val="20"/>
                <w:szCs w:val="20"/>
              </w:rPr>
            </w:pPr>
          </w:p>
        </w:tc>
        <w:tc>
          <w:tcPr>
            <w:tcW w:w="1250" w:type="dxa"/>
            <w:tcBorders>
              <w:top w:val="nil"/>
              <w:left w:val="nil"/>
              <w:bottom w:val="single" w:sz="4" w:space="0" w:color="auto"/>
              <w:right w:val="nil"/>
            </w:tcBorders>
            <w:shd w:val="clear" w:color="auto" w:fill="auto"/>
            <w:noWrap/>
            <w:vAlign w:val="bottom"/>
            <w:hideMark/>
          </w:tcPr>
          <w:p w14:paraId="3D85D11B" w14:textId="77777777" w:rsidR="00DF15A7" w:rsidRPr="0010235F" w:rsidRDefault="00DF15A7" w:rsidP="0010235F">
            <w:pPr>
              <w:jc w:val="center"/>
              <w:rPr>
                <w:rFonts w:ascii="Arial" w:hAnsi="Arial" w:cs="Arial"/>
                <w:color w:val="000000"/>
                <w:sz w:val="20"/>
                <w:szCs w:val="20"/>
              </w:rPr>
            </w:pPr>
          </w:p>
        </w:tc>
        <w:tc>
          <w:tcPr>
            <w:tcW w:w="1051" w:type="dxa"/>
            <w:tcBorders>
              <w:top w:val="nil"/>
              <w:left w:val="nil"/>
              <w:bottom w:val="single" w:sz="4" w:space="0" w:color="auto"/>
              <w:right w:val="single" w:sz="4" w:space="0" w:color="auto"/>
            </w:tcBorders>
            <w:shd w:val="clear" w:color="auto" w:fill="auto"/>
            <w:noWrap/>
            <w:vAlign w:val="bottom"/>
            <w:hideMark/>
          </w:tcPr>
          <w:p w14:paraId="3D85D11C" w14:textId="77777777" w:rsidR="00DF15A7" w:rsidRPr="0010235F" w:rsidRDefault="00DF15A7" w:rsidP="0010235F">
            <w:pPr>
              <w:jc w:val="center"/>
              <w:rPr>
                <w:rFonts w:ascii="Arial" w:hAnsi="Arial" w:cs="Arial"/>
                <w:color w:val="000000"/>
                <w:sz w:val="20"/>
                <w:szCs w:val="20"/>
              </w:rPr>
            </w:pPr>
          </w:p>
        </w:tc>
        <w:tc>
          <w:tcPr>
            <w:tcW w:w="1170" w:type="dxa"/>
            <w:tcBorders>
              <w:top w:val="nil"/>
              <w:left w:val="nil"/>
              <w:bottom w:val="single" w:sz="4" w:space="0" w:color="auto"/>
              <w:right w:val="nil"/>
            </w:tcBorders>
            <w:shd w:val="clear" w:color="auto" w:fill="auto"/>
            <w:noWrap/>
            <w:vAlign w:val="bottom"/>
            <w:hideMark/>
          </w:tcPr>
          <w:p w14:paraId="3D85D11D" w14:textId="77777777" w:rsidR="00DF15A7" w:rsidRPr="0010235F" w:rsidRDefault="00DF15A7" w:rsidP="0010235F">
            <w:pPr>
              <w:rPr>
                <w:rFonts w:ascii="Arial" w:hAnsi="Arial" w:cs="Arial"/>
                <w:color w:val="000000"/>
                <w:sz w:val="20"/>
                <w:szCs w:val="20"/>
              </w:rPr>
            </w:pPr>
          </w:p>
        </w:tc>
        <w:tc>
          <w:tcPr>
            <w:tcW w:w="967" w:type="dxa"/>
            <w:tcBorders>
              <w:top w:val="nil"/>
              <w:left w:val="nil"/>
              <w:bottom w:val="single" w:sz="4" w:space="0" w:color="auto"/>
              <w:right w:val="nil"/>
            </w:tcBorders>
            <w:shd w:val="clear" w:color="auto" w:fill="auto"/>
            <w:noWrap/>
            <w:vAlign w:val="bottom"/>
            <w:hideMark/>
          </w:tcPr>
          <w:p w14:paraId="3D85D11E" w14:textId="77777777" w:rsidR="00DF15A7" w:rsidRPr="0010235F" w:rsidRDefault="00DF15A7" w:rsidP="0010235F">
            <w:pPr>
              <w:rPr>
                <w:rFonts w:ascii="Arial" w:hAnsi="Arial" w:cs="Arial"/>
                <w:color w:val="000000"/>
                <w:sz w:val="20"/>
                <w:szCs w:val="20"/>
              </w:rPr>
            </w:pPr>
          </w:p>
        </w:tc>
        <w:tc>
          <w:tcPr>
            <w:tcW w:w="906" w:type="dxa"/>
            <w:tcBorders>
              <w:top w:val="nil"/>
              <w:left w:val="nil"/>
              <w:bottom w:val="single" w:sz="4" w:space="0" w:color="auto"/>
            </w:tcBorders>
            <w:shd w:val="clear" w:color="auto" w:fill="auto"/>
            <w:noWrap/>
            <w:vAlign w:val="bottom"/>
            <w:hideMark/>
          </w:tcPr>
          <w:p w14:paraId="3D85D11F" w14:textId="77777777" w:rsidR="00DF15A7" w:rsidRPr="0010235F" w:rsidRDefault="00DF15A7" w:rsidP="0010235F">
            <w:pPr>
              <w:jc w:val="center"/>
              <w:rPr>
                <w:rFonts w:ascii="Arial" w:hAnsi="Arial" w:cs="Arial"/>
                <w:color w:val="000000"/>
                <w:sz w:val="20"/>
                <w:szCs w:val="20"/>
              </w:rPr>
            </w:pPr>
          </w:p>
        </w:tc>
        <w:tc>
          <w:tcPr>
            <w:tcW w:w="1250" w:type="dxa"/>
            <w:tcBorders>
              <w:top w:val="nil"/>
              <w:bottom w:val="single" w:sz="4" w:space="0" w:color="auto"/>
              <w:right w:val="nil"/>
            </w:tcBorders>
            <w:shd w:val="clear" w:color="auto" w:fill="auto"/>
            <w:noWrap/>
            <w:vAlign w:val="bottom"/>
            <w:hideMark/>
          </w:tcPr>
          <w:p w14:paraId="3D85D120" w14:textId="77777777" w:rsidR="00DF15A7" w:rsidRPr="0010235F" w:rsidRDefault="00DF15A7" w:rsidP="0010235F">
            <w:pPr>
              <w:jc w:val="center"/>
              <w:rPr>
                <w:rFonts w:ascii="Arial" w:hAnsi="Arial" w:cs="Arial"/>
                <w:color w:val="000000"/>
                <w:sz w:val="20"/>
                <w:szCs w:val="20"/>
              </w:rPr>
            </w:pPr>
          </w:p>
        </w:tc>
        <w:tc>
          <w:tcPr>
            <w:tcW w:w="1051" w:type="dxa"/>
            <w:tcBorders>
              <w:top w:val="nil"/>
              <w:left w:val="nil"/>
              <w:bottom w:val="single" w:sz="4" w:space="0" w:color="auto"/>
              <w:right w:val="nil"/>
            </w:tcBorders>
            <w:shd w:val="clear" w:color="auto" w:fill="auto"/>
            <w:noWrap/>
            <w:vAlign w:val="bottom"/>
            <w:hideMark/>
          </w:tcPr>
          <w:p w14:paraId="3D85D121" w14:textId="77777777" w:rsidR="00DF15A7" w:rsidRPr="0010235F" w:rsidRDefault="00DF15A7" w:rsidP="0010235F">
            <w:pPr>
              <w:jc w:val="center"/>
              <w:rPr>
                <w:rFonts w:ascii="Arial" w:hAnsi="Arial" w:cs="Arial"/>
                <w:color w:val="000000"/>
                <w:sz w:val="20"/>
                <w:szCs w:val="20"/>
              </w:rPr>
            </w:pPr>
          </w:p>
        </w:tc>
        <w:tc>
          <w:tcPr>
            <w:tcW w:w="1197" w:type="dxa"/>
            <w:tcBorders>
              <w:top w:val="nil"/>
              <w:left w:val="single" w:sz="4" w:space="0" w:color="auto"/>
              <w:bottom w:val="single" w:sz="4" w:space="0" w:color="auto"/>
              <w:right w:val="nil"/>
            </w:tcBorders>
            <w:shd w:val="clear" w:color="auto" w:fill="auto"/>
            <w:noWrap/>
            <w:vAlign w:val="bottom"/>
            <w:hideMark/>
          </w:tcPr>
          <w:p w14:paraId="3D85D122" w14:textId="77777777" w:rsidR="00DF15A7" w:rsidRPr="0010235F" w:rsidRDefault="00DF15A7" w:rsidP="0010235F">
            <w:pPr>
              <w:jc w:val="center"/>
              <w:rPr>
                <w:rFonts w:ascii="Arial" w:hAnsi="Arial" w:cs="Arial"/>
                <w:color w:val="000000"/>
                <w:sz w:val="20"/>
                <w:szCs w:val="20"/>
              </w:rPr>
            </w:pPr>
          </w:p>
        </w:tc>
        <w:tc>
          <w:tcPr>
            <w:tcW w:w="967" w:type="dxa"/>
            <w:tcBorders>
              <w:top w:val="nil"/>
              <w:left w:val="nil"/>
              <w:bottom w:val="single" w:sz="4" w:space="0" w:color="auto"/>
              <w:right w:val="nil"/>
            </w:tcBorders>
            <w:shd w:val="clear" w:color="auto" w:fill="auto"/>
            <w:noWrap/>
            <w:vAlign w:val="bottom"/>
            <w:hideMark/>
          </w:tcPr>
          <w:p w14:paraId="3D85D123" w14:textId="77777777" w:rsidR="00DF15A7" w:rsidRPr="0010235F" w:rsidRDefault="00DF15A7" w:rsidP="0010235F">
            <w:pPr>
              <w:rPr>
                <w:rFonts w:ascii="Arial" w:hAnsi="Arial" w:cs="Arial"/>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bottom"/>
            <w:hideMark/>
          </w:tcPr>
          <w:p w14:paraId="3D85D124" w14:textId="77777777" w:rsidR="00DF15A7" w:rsidRPr="0010235F" w:rsidRDefault="00DF15A7" w:rsidP="0010235F">
            <w:pPr>
              <w:jc w:val="center"/>
              <w:rPr>
                <w:rFonts w:ascii="Arial" w:hAnsi="Arial" w:cs="Arial"/>
                <w:color w:val="000000"/>
                <w:sz w:val="20"/>
                <w:szCs w:val="20"/>
              </w:rPr>
            </w:pPr>
          </w:p>
        </w:tc>
      </w:tr>
      <w:tr w:rsidR="00DF15A7" w:rsidRPr="0010235F" w14:paraId="3D85D138" w14:textId="77777777" w:rsidTr="00607B7E">
        <w:trPr>
          <w:trHeight w:val="224"/>
        </w:trPr>
        <w:tc>
          <w:tcPr>
            <w:tcW w:w="3675" w:type="dxa"/>
            <w:gridSpan w:val="3"/>
            <w:tcBorders>
              <w:top w:val="nil"/>
              <w:left w:val="single" w:sz="4" w:space="0" w:color="auto"/>
              <w:bottom w:val="single" w:sz="4" w:space="0" w:color="auto"/>
              <w:right w:val="nil"/>
            </w:tcBorders>
            <w:shd w:val="clear" w:color="auto" w:fill="auto"/>
            <w:noWrap/>
            <w:vAlign w:val="bottom"/>
            <w:hideMark/>
          </w:tcPr>
          <w:p w14:paraId="3D85D126" w14:textId="77777777" w:rsidR="00DF15A7" w:rsidRPr="00DF15A7" w:rsidRDefault="00DF15A7" w:rsidP="00981065">
            <w:pPr>
              <w:rPr>
                <w:rFonts w:ascii="Arial" w:hAnsi="Arial" w:cs="Arial"/>
                <w:i/>
                <w:color w:val="000000"/>
                <w:sz w:val="20"/>
                <w:szCs w:val="20"/>
              </w:rPr>
            </w:pPr>
            <w:r w:rsidRPr="00DF15A7">
              <w:rPr>
                <w:rFonts w:ascii="Arial" w:hAnsi="Arial" w:cs="Arial"/>
                <w:i/>
                <w:color w:val="000000"/>
                <w:sz w:val="20"/>
                <w:szCs w:val="20"/>
              </w:rPr>
              <w:t> </w:t>
            </w:r>
          </w:p>
          <w:p w14:paraId="3D85D127" w14:textId="77777777" w:rsidR="00DF15A7" w:rsidRPr="00DF15A7" w:rsidRDefault="00DF15A7" w:rsidP="00DF15A7">
            <w:pPr>
              <w:rPr>
                <w:rFonts w:ascii="Arial" w:hAnsi="Arial" w:cs="Arial"/>
                <w:i/>
                <w:color w:val="000000"/>
                <w:sz w:val="20"/>
                <w:szCs w:val="20"/>
              </w:rPr>
            </w:pPr>
            <w:r w:rsidRPr="00DF15A7">
              <w:rPr>
                <w:rFonts w:ascii="Arial" w:hAnsi="Arial" w:cs="Arial"/>
                <w:i/>
                <w:color w:val="000000"/>
                <w:sz w:val="20"/>
                <w:szCs w:val="20"/>
              </w:rPr>
              <w:t> Existing Facility R</w:t>
            </w:r>
            <w:r>
              <w:rPr>
                <w:rFonts w:ascii="Arial" w:hAnsi="Arial" w:cs="Arial"/>
                <w:i/>
                <w:color w:val="000000"/>
                <w:sz w:val="20"/>
                <w:szCs w:val="20"/>
              </w:rPr>
              <w:t>isk Action Level</w:t>
            </w:r>
          </w:p>
        </w:tc>
        <w:tc>
          <w:tcPr>
            <w:tcW w:w="906" w:type="dxa"/>
            <w:tcBorders>
              <w:top w:val="nil"/>
              <w:left w:val="nil"/>
              <w:bottom w:val="single" w:sz="4" w:space="0" w:color="auto"/>
              <w:right w:val="nil"/>
            </w:tcBorders>
            <w:shd w:val="clear" w:color="auto" w:fill="auto"/>
            <w:noWrap/>
            <w:vAlign w:val="bottom"/>
            <w:hideMark/>
          </w:tcPr>
          <w:p w14:paraId="3D85D128" w14:textId="77777777" w:rsidR="00DF15A7" w:rsidRPr="00DF15A7" w:rsidRDefault="00DF15A7" w:rsidP="00981065">
            <w:pPr>
              <w:jc w:val="center"/>
              <w:rPr>
                <w:rFonts w:ascii="Arial" w:hAnsi="Arial" w:cs="Arial"/>
                <w:i/>
                <w:color w:val="000000"/>
                <w:sz w:val="20"/>
                <w:szCs w:val="20"/>
              </w:rPr>
            </w:pPr>
            <w:r w:rsidRPr="00DF15A7">
              <w:rPr>
                <w:rFonts w:ascii="Arial" w:hAnsi="Arial" w:cs="Arial"/>
                <w:i/>
                <w:color w:val="000000"/>
                <w:sz w:val="20"/>
                <w:szCs w:val="20"/>
              </w:rPr>
              <w:t>25 </w:t>
            </w:r>
          </w:p>
        </w:tc>
        <w:tc>
          <w:tcPr>
            <w:tcW w:w="1250" w:type="dxa"/>
            <w:tcBorders>
              <w:top w:val="nil"/>
              <w:left w:val="single" w:sz="4" w:space="0" w:color="auto"/>
              <w:bottom w:val="single" w:sz="4" w:space="0" w:color="auto"/>
              <w:right w:val="nil"/>
            </w:tcBorders>
            <w:shd w:val="clear" w:color="auto" w:fill="auto"/>
            <w:noWrap/>
            <w:vAlign w:val="bottom"/>
            <w:hideMark/>
          </w:tcPr>
          <w:p w14:paraId="3D85D129" w14:textId="77777777" w:rsidR="00DF15A7" w:rsidRPr="00DF15A7" w:rsidRDefault="00DF15A7" w:rsidP="00981065">
            <w:pPr>
              <w:rPr>
                <w:rFonts w:ascii="Arial" w:hAnsi="Arial" w:cs="Arial"/>
                <w:i/>
                <w:color w:val="000000"/>
                <w:sz w:val="20"/>
                <w:szCs w:val="20"/>
              </w:rPr>
            </w:pPr>
            <w:r w:rsidRPr="00DF15A7">
              <w:rPr>
                <w:rFonts w:ascii="Arial" w:hAnsi="Arial" w:cs="Arial"/>
                <w:i/>
                <w:color w:val="000000"/>
                <w:sz w:val="20"/>
                <w:szCs w:val="20"/>
              </w:rPr>
              <w:t> </w:t>
            </w:r>
          </w:p>
        </w:tc>
        <w:tc>
          <w:tcPr>
            <w:tcW w:w="1039" w:type="dxa"/>
            <w:tcBorders>
              <w:top w:val="nil"/>
              <w:left w:val="nil"/>
              <w:bottom w:val="single" w:sz="4" w:space="0" w:color="auto"/>
              <w:right w:val="nil"/>
            </w:tcBorders>
            <w:shd w:val="clear" w:color="auto" w:fill="auto"/>
            <w:noWrap/>
            <w:vAlign w:val="bottom"/>
            <w:hideMark/>
          </w:tcPr>
          <w:p w14:paraId="3D85D12A" w14:textId="77777777" w:rsidR="00DF15A7" w:rsidRPr="00DF15A7" w:rsidRDefault="00DF15A7" w:rsidP="00981065">
            <w:pPr>
              <w:jc w:val="center"/>
              <w:rPr>
                <w:rFonts w:ascii="Arial" w:hAnsi="Arial" w:cs="Arial"/>
                <w:i/>
                <w:color w:val="000000"/>
                <w:sz w:val="20"/>
                <w:szCs w:val="20"/>
              </w:rPr>
            </w:pPr>
            <w:r w:rsidRPr="00DF15A7">
              <w:rPr>
                <w:rFonts w:ascii="Arial" w:hAnsi="Arial" w:cs="Arial"/>
                <w:i/>
                <w:color w:val="000000"/>
                <w:sz w:val="20"/>
                <w:szCs w:val="20"/>
              </w:rPr>
              <w:t>1 </w:t>
            </w:r>
          </w:p>
        </w:tc>
        <w:tc>
          <w:tcPr>
            <w:tcW w:w="1274" w:type="dxa"/>
            <w:tcBorders>
              <w:top w:val="nil"/>
              <w:left w:val="single" w:sz="4" w:space="0" w:color="auto"/>
              <w:bottom w:val="single" w:sz="4" w:space="0" w:color="auto"/>
              <w:right w:val="nil"/>
            </w:tcBorders>
            <w:shd w:val="clear" w:color="auto" w:fill="auto"/>
            <w:noWrap/>
            <w:vAlign w:val="bottom"/>
            <w:hideMark/>
          </w:tcPr>
          <w:p w14:paraId="3D85D12B" w14:textId="77777777" w:rsidR="00DF15A7" w:rsidRPr="00DF15A7" w:rsidRDefault="00DF15A7" w:rsidP="00981065">
            <w:pPr>
              <w:rPr>
                <w:rFonts w:ascii="Arial" w:hAnsi="Arial" w:cs="Arial"/>
                <w:i/>
                <w:color w:val="000000"/>
                <w:sz w:val="20"/>
                <w:szCs w:val="20"/>
              </w:rPr>
            </w:pPr>
            <w:r w:rsidRPr="00DF15A7">
              <w:rPr>
                <w:rFonts w:ascii="Arial" w:hAnsi="Arial" w:cs="Arial"/>
                <w:i/>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D12C" w14:textId="77777777" w:rsidR="00DF15A7" w:rsidRPr="00DF15A7" w:rsidRDefault="00DF15A7" w:rsidP="00981065">
            <w:pPr>
              <w:rPr>
                <w:rFonts w:ascii="Arial" w:hAnsi="Arial" w:cs="Arial"/>
                <w:i/>
                <w:color w:val="000000"/>
                <w:sz w:val="20"/>
                <w:szCs w:val="20"/>
              </w:rPr>
            </w:pPr>
            <w:r w:rsidRPr="00DF15A7">
              <w:rPr>
                <w:rFonts w:ascii="Arial" w:hAnsi="Arial" w:cs="Arial"/>
                <w:i/>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D12D" w14:textId="77777777" w:rsidR="00DF15A7" w:rsidRPr="00DF15A7" w:rsidRDefault="00DF15A7" w:rsidP="00981065">
            <w:pPr>
              <w:jc w:val="center"/>
              <w:rPr>
                <w:rFonts w:ascii="Arial" w:hAnsi="Arial" w:cs="Arial"/>
                <w:i/>
                <w:color w:val="000000"/>
                <w:sz w:val="20"/>
                <w:szCs w:val="20"/>
              </w:rPr>
            </w:pPr>
            <w:r w:rsidRPr="00DF15A7">
              <w:rPr>
                <w:rFonts w:ascii="Arial" w:hAnsi="Arial" w:cs="Arial"/>
                <w:i/>
                <w:color w:val="000000"/>
                <w:sz w:val="20"/>
                <w:szCs w:val="20"/>
              </w:rPr>
              <w:t>25 </w:t>
            </w:r>
          </w:p>
        </w:tc>
        <w:tc>
          <w:tcPr>
            <w:tcW w:w="1250" w:type="dxa"/>
            <w:tcBorders>
              <w:top w:val="nil"/>
              <w:left w:val="nil"/>
              <w:bottom w:val="single" w:sz="4" w:space="0" w:color="auto"/>
              <w:right w:val="nil"/>
            </w:tcBorders>
            <w:shd w:val="clear" w:color="auto" w:fill="auto"/>
            <w:noWrap/>
            <w:vAlign w:val="bottom"/>
            <w:hideMark/>
          </w:tcPr>
          <w:p w14:paraId="3D85D12E" w14:textId="77777777" w:rsidR="00DF15A7" w:rsidRPr="00DF15A7" w:rsidRDefault="00DF15A7" w:rsidP="00981065">
            <w:pPr>
              <w:jc w:val="center"/>
              <w:rPr>
                <w:rFonts w:ascii="Arial" w:hAnsi="Arial" w:cs="Arial"/>
                <w:i/>
                <w:color w:val="000000"/>
                <w:sz w:val="20"/>
                <w:szCs w:val="20"/>
              </w:rPr>
            </w:pPr>
            <w:r w:rsidRPr="00DF15A7">
              <w:rPr>
                <w:rFonts w:ascii="Arial" w:hAnsi="Arial" w:cs="Arial"/>
                <w: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3D85D12F" w14:textId="77777777" w:rsidR="00DF15A7" w:rsidRPr="00DF15A7" w:rsidRDefault="00DF15A7" w:rsidP="00981065">
            <w:pPr>
              <w:jc w:val="center"/>
              <w:rPr>
                <w:rFonts w:ascii="Arial" w:hAnsi="Arial" w:cs="Arial"/>
                <w:i/>
                <w:color w:val="000000"/>
                <w:sz w:val="20"/>
                <w:szCs w:val="20"/>
              </w:rPr>
            </w:pPr>
            <w:r w:rsidRPr="00DF15A7">
              <w:rPr>
                <w:rFonts w:ascii="Arial" w:hAnsi="Arial" w:cs="Arial"/>
                <w:i/>
                <w:color w:val="000000"/>
                <w:sz w:val="20"/>
                <w:szCs w:val="20"/>
              </w:rPr>
              <w:t> 1</w:t>
            </w:r>
          </w:p>
        </w:tc>
        <w:tc>
          <w:tcPr>
            <w:tcW w:w="1170" w:type="dxa"/>
            <w:tcBorders>
              <w:top w:val="nil"/>
              <w:left w:val="nil"/>
              <w:bottom w:val="single" w:sz="4" w:space="0" w:color="auto"/>
              <w:right w:val="nil"/>
            </w:tcBorders>
            <w:shd w:val="clear" w:color="auto" w:fill="auto"/>
            <w:noWrap/>
            <w:vAlign w:val="bottom"/>
            <w:hideMark/>
          </w:tcPr>
          <w:p w14:paraId="3D85D130" w14:textId="77777777" w:rsidR="00DF15A7" w:rsidRPr="00DF15A7" w:rsidRDefault="00DF15A7" w:rsidP="00981065">
            <w:pPr>
              <w:rPr>
                <w:rFonts w:ascii="Arial" w:hAnsi="Arial" w:cs="Arial"/>
                <w:i/>
                <w:color w:val="000000"/>
                <w:sz w:val="20"/>
                <w:szCs w:val="20"/>
              </w:rPr>
            </w:pPr>
            <w:r w:rsidRPr="00DF15A7">
              <w:rPr>
                <w:rFonts w:ascii="Arial" w:hAnsi="Arial" w:cs="Arial"/>
                <w:i/>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D131" w14:textId="77777777" w:rsidR="00DF15A7" w:rsidRPr="00DF15A7" w:rsidRDefault="00DF15A7" w:rsidP="00981065">
            <w:pPr>
              <w:rPr>
                <w:rFonts w:ascii="Arial" w:hAnsi="Arial" w:cs="Arial"/>
                <w:i/>
                <w:color w:val="000000"/>
                <w:sz w:val="20"/>
                <w:szCs w:val="20"/>
              </w:rPr>
            </w:pPr>
            <w:r w:rsidRPr="00DF15A7">
              <w:rPr>
                <w:rFonts w:ascii="Arial" w:hAnsi="Arial" w:cs="Arial"/>
                <w:i/>
                <w:color w:val="000000"/>
                <w:sz w:val="20"/>
                <w:szCs w:val="20"/>
              </w:rPr>
              <w:t> </w:t>
            </w:r>
          </w:p>
        </w:tc>
        <w:tc>
          <w:tcPr>
            <w:tcW w:w="906" w:type="dxa"/>
            <w:tcBorders>
              <w:top w:val="nil"/>
              <w:left w:val="nil"/>
              <w:bottom w:val="single" w:sz="4" w:space="0" w:color="auto"/>
            </w:tcBorders>
            <w:shd w:val="clear" w:color="auto" w:fill="auto"/>
            <w:noWrap/>
            <w:vAlign w:val="bottom"/>
            <w:hideMark/>
          </w:tcPr>
          <w:p w14:paraId="3D85D132" w14:textId="77777777" w:rsidR="00DF15A7" w:rsidRPr="00DF15A7" w:rsidRDefault="00DF15A7" w:rsidP="00981065">
            <w:pPr>
              <w:jc w:val="center"/>
              <w:rPr>
                <w:rFonts w:ascii="Arial" w:hAnsi="Arial" w:cs="Arial"/>
                <w:i/>
                <w:color w:val="000000"/>
                <w:sz w:val="20"/>
                <w:szCs w:val="20"/>
              </w:rPr>
            </w:pPr>
            <w:r w:rsidRPr="00DF15A7">
              <w:rPr>
                <w:rFonts w:ascii="Arial" w:hAnsi="Arial" w:cs="Arial"/>
                <w:i/>
                <w:color w:val="000000"/>
                <w:sz w:val="20"/>
                <w:szCs w:val="20"/>
              </w:rPr>
              <w:t> 25</w:t>
            </w:r>
          </w:p>
        </w:tc>
        <w:tc>
          <w:tcPr>
            <w:tcW w:w="1250" w:type="dxa"/>
            <w:tcBorders>
              <w:top w:val="nil"/>
              <w:bottom w:val="single" w:sz="4" w:space="0" w:color="auto"/>
              <w:right w:val="nil"/>
            </w:tcBorders>
            <w:shd w:val="clear" w:color="auto" w:fill="auto"/>
            <w:noWrap/>
            <w:vAlign w:val="bottom"/>
            <w:hideMark/>
          </w:tcPr>
          <w:p w14:paraId="3D85D133" w14:textId="77777777" w:rsidR="00DF15A7" w:rsidRPr="00DF15A7" w:rsidRDefault="00DF15A7" w:rsidP="00981065">
            <w:pPr>
              <w:jc w:val="center"/>
              <w:rPr>
                <w:rFonts w:ascii="Arial" w:hAnsi="Arial" w:cs="Arial"/>
                <w:i/>
                <w:color w:val="000000"/>
                <w:sz w:val="20"/>
                <w:szCs w:val="20"/>
              </w:rPr>
            </w:pPr>
            <w:r w:rsidRPr="00DF15A7">
              <w:rPr>
                <w:rFonts w:ascii="Arial" w:hAnsi="Arial" w:cs="Arial"/>
                <w:i/>
                <w:color w:val="000000"/>
                <w:sz w:val="20"/>
                <w:szCs w:val="20"/>
              </w:rPr>
              <w:t> </w:t>
            </w:r>
          </w:p>
        </w:tc>
        <w:tc>
          <w:tcPr>
            <w:tcW w:w="1051" w:type="dxa"/>
            <w:tcBorders>
              <w:top w:val="nil"/>
              <w:left w:val="nil"/>
              <w:bottom w:val="single" w:sz="4" w:space="0" w:color="auto"/>
              <w:right w:val="nil"/>
            </w:tcBorders>
            <w:shd w:val="clear" w:color="auto" w:fill="auto"/>
            <w:noWrap/>
            <w:vAlign w:val="bottom"/>
            <w:hideMark/>
          </w:tcPr>
          <w:p w14:paraId="3D85D134" w14:textId="77777777" w:rsidR="00DF15A7" w:rsidRPr="00DF15A7" w:rsidRDefault="00DF15A7" w:rsidP="00981065">
            <w:pPr>
              <w:jc w:val="center"/>
              <w:rPr>
                <w:rFonts w:ascii="Arial" w:hAnsi="Arial" w:cs="Arial"/>
                <w:i/>
                <w:color w:val="000000"/>
                <w:sz w:val="20"/>
                <w:szCs w:val="20"/>
              </w:rPr>
            </w:pPr>
            <w:r w:rsidRPr="00DF15A7">
              <w:rPr>
                <w:rFonts w:ascii="Arial" w:hAnsi="Arial" w:cs="Arial"/>
                <w:i/>
                <w:color w:val="000000"/>
                <w:sz w:val="20"/>
                <w:szCs w:val="20"/>
              </w:rPr>
              <w:t>1 </w:t>
            </w:r>
          </w:p>
        </w:tc>
        <w:tc>
          <w:tcPr>
            <w:tcW w:w="1197" w:type="dxa"/>
            <w:tcBorders>
              <w:top w:val="nil"/>
              <w:left w:val="single" w:sz="4" w:space="0" w:color="auto"/>
              <w:bottom w:val="single" w:sz="4" w:space="0" w:color="auto"/>
              <w:right w:val="nil"/>
            </w:tcBorders>
            <w:shd w:val="clear" w:color="auto" w:fill="auto"/>
            <w:noWrap/>
            <w:vAlign w:val="bottom"/>
            <w:hideMark/>
          </w:tcPr>
          <w:p w14:paraId="3D85D135" w14:textId="77777777" w:rsidR="00DF15A7" w:rsidRPr="00DF15A7" w:rsidRDefault="00DF15A7" w:rsidP="00981065">
            <w:pPr>
              <w:jc w:val="center"/>
              <w:rPr>
                <w:rFonts w:ascii="Arial" w:hAnsi="Arial" w:cs="Arial"/>
                <w:i/>
                <w:color w:val="000000"/>
                <w:sz w:val="20"/>
                <w:szCs w:val="20"/>
              </w:rPr>
            </w:pPr>
            <w:r w:rsidRPr="00DF15A7">
              <w:rPr>
                <w:rFonts w:ascii="Arial" w:hAnsi="Arial" w:cs="Arial"/>
                <w:i/>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D136" w14:textId="77777777" w:rsidR="00DF15A7" w:rsidRPr="00DF15A7" w:rsidRDefault="00DF15A7" w:rsidP="00981065">
            <w:pPr>
              <w:rPr>
                <w:rFonts w:ascii="Arial" w:hAnsi="Arial" w:cs="Arial"/>
                <w:i/>
                <w:color w:val="000000"/>
                <w:sz w:val="20"/>
                <w:szCs w:val="20"/>
              </w:rPr>
            </w:pPr>
            <w:r w:rsidRPr="00DF15A7">
              <w:rPr>
                <w:rFonts w:ascii="Arial" w:hAnsi="Arial" w:cs="Arial"/>
                <w:i/>
                <w:color w:val="000000"/>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14:paraId="3D85D137" w14:textId="77777777" w:rsidR="00DF15A7" w:rsidRPr="00DF15A7" w:rsidRDefault="00DF15A7" w:rsidP="00981065">
            <w:pPr>
              <w:jc w:val="center"/>
              <w:rPr>
                <w:rFonts w:ascii="Arial" w:hAnsi="Arial" w:cs="Arial"/>
                <w:i/>
                <w:color w:val="000000"/>
                <w:sz w:val="20"/>
                <w:szCs w:val="20"/>
              </w:rPr>
            </w:pPr>
            <w:r w:rsidRPr="00DF15A7">
              <w:rPr>
                <w:rFonts w:ascii="Arial" w:hAnsi="Arial" w:cs="Arial"/>
                <w:i/>
                <w:color w:val="000000"/>
                <w:sz w:val="20"/>
                <w:szCs w:val="20"/>
              </w:rPr>
              <w:t> 1</w:t>
            </w:r>
          </w:p>
        </w:tc>
      </w:tr>
    </w:tbl>
    <w:p w14:paraId="3D85D139" w14:textId="77777777" w:rsidR="0010235F" w:rsidRPr="0010235F" w:rsidRDefault="0010235F" w:rsidP="0010235F">
      <w:pPr>
        <w:pStyle w:val="NoSpacing"/>
        <w:rPr>
          <w:rFonts w:ascii="Arial" w:hAnsi="Arial" w:cs="Arial"/>
        </w:rPr>
      </w:pPr>
    </w:p>
    <w:p w14:paraId="3D85D13A" w14:textId="77777777" w:rsidR="0010235F" w:rsidRPr="0010235F" w:rsidRDefault="0010235F" w:rsidP="0010235F">
      <w:pPr>
        <w:pStyle w:val="NoSpacing"/>
        <w:rPr>
          <w:rFonts w:ascii="Arial" w:hAnsi="Arial" w:cs="Arial"/>
        </w:rPr>
      </w:pPr>
    </w:p>
    <w:tbl>
      <w:tblPr>
        <w:tblW w:w="9378" w:type="dxa"/>
        <w:tblInd w:w="99" w:type="dxa"/>
        <w:tblLook w:val="04A0" w:firstRow="1" w:lastRow="0" w:firstColumn="1" w:lastColumn="0" w:noHBand="0" w:noVBand="1"/>
      </w:tblPr>
      <w:tblGrid>
        <w:gridCol w:w="9378"/>
      </w:tblGrid>
      <w:tr w:rsidR="0010235F" w:rsidRPr="0010235F" w14:paraId="3D85D13C" w14:textId="77777777" w:rsidTr="0010235F">
        <w:trPr>
          <w:trHeight w:val="288"/>
        </w:trPr>
        <w:tc>
          <w:tcPr>
            <w:tcW w:w="9378" w:type="dxa"/>
            <w:tcBorders>
              <w:top w:val="nil"/>
              <w:left w:val="nil"/>
              <w:bottom w:val="nil"/>
              <w:right w:val="nil"/>
            </w:tcBorders>
            <w:shd w:val="clear" w:color="auto" w:fill="auto"/>
            <w:noWrap/>
            <w:vAlign w:val="bottom"/>
            <w:hideMark/>
          </w:tcPr>
          <w:p w14:paraId="3D85D13B" w14:textId="77777777" w:rsidR="0010235F" w:rsidRPr="0010235F" w:rsidRDefault="0010235F" w:rsidP="0010235F">
            <w:pPr>
              <w:rPr>
                <w:rFonts w:ascii="Arial" w:hAnsi="Arial" w:cs="Arial"/>
                <w:b/>
                <w:bCs/>
                <w:color w:val="000000"/>
              </w:rPr>
            </w:pPr>
            <w:r w:rsidRPr="0010235F">
              <w:rPr>
                <w:rFonts w:ascii="Arial" w:hAnsi="Arial" w:cs="Arial"/>
                <w:b/>
                <w:bCs/>
                <w:color w:val="000000"/>
              </w:rPr>
              <w:t>Notes:</w:t>
            </w:r>
          </w:p>
        </w:tc>
      </w:tr>
      <w:tr w:rsidR="0010235F" w:rsidRPr="0010235F" w14:paraId="3D85D13F" w14:textId="77777777" w:rsidTr="0010235F">
        <w:trPr>
          <w:trHeight w:val="288"/>
        </w:trPr>
        <w:tc>
          <w:tcPr>
            <w:tcW w:w="9378" w:type="dxa"/>
            <w:tcBorders>
              <w:top w:val="nil"/>
              <w:left w:val="nil"/>
              <w:bottom w:val="nil"/>
              <w:right w:val="nil"/>
            </w:tcBorders>
            <w:shd w:val="clear" w:color="auto" w:fill="auto"/>
            <w:noWrap/>
            <w:vAlign w:val="bottom"/>
            <w:hideMark/>
          </w:tcPr>
          <w:p w14:paraId="3D85D13D" w14:textId="77777777" w:rsidR="0010235F" w:rsidRPr="0010235F" w:rsidRDefault="0010235F" w:rsidP="0010235F">
            <w:pPr>
              <w:rPr>
                <w:rFonts w:ascii="Arial" w:hAnsi="Arial" w:cs="Arial"/>
                <w:color w:val="000000"/>
              </w:rPr>
            </w:pPr>
            <w:r w:rsidRPr="0010235F">
              <w:rPr>
                <w:rFonts w:ascii="Arial" w:hAnsi="Arial" w:cs="Arial"/>
                <w:color w:val="000000"/>
              </w:rPr>
              <w:t xml:space="preserve">Excess Cancer Risk = Annual conc.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 Cancer RBC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w:t>
            </w:r>
          </w:p>
          <w:p w14:paraId="3D85D13E" w14:textId="77777777" w:rsidR="0010235F" w:rsidRPr="0010235F" w:rsidRDefault="0010235F" w:rsidP="0010235F">
            <w:pPr>
              <w:rPr>
                <w:rFonts w:ascii="Arial" w:hAnsi="Arial" w:cs="Arial"/>
                <w:color w:val="000000"/>
              </w:rPr>
            </w:pPr>
            <w:r w:rsidRPr="0010235F">
              <w:rPr>
                <w:rFonts w:ascii="Arial" w:hAnsi="Arial" w:cs="Arial"/>
                <w:color w:val="000000"/>
              </w:rPr>
              <w:t>Expressed as risk per million</w:t>
            </w:r>
          </w:p>
        </w:tc>
      </w:tr>
      <w:tr w:rsidR="0010235F" w:rsidRPr="0010235F" w14:paraId="3D85D141" w14:textId="77777777" w:rsidTr="0010235F">
        <w:trPr>
          <w:trHeight w:val="288"/>
        </w:trPr>
        <w:tc>
          <w:tcPr>
            <w:tcW w:w="9378" w:type="dxa"/>
            <w:tcBorders>
              <w:top w:val="nil"/>
              <w:left w:val="nil"/>
              <w:bottom w:val="nil"/>
              <w:right w:val="nil"/>
            </w:tcBorders>
            <w:shd w:val="clear" w:color="auto" w:fill="auto"/>
            <w:noWrap/>
            <w:vAlign w:val="bottom"/>
            <w:hideMark/>
          </w:tcPr>
          <w:p w14:paraId="3D85D140" w14:textId="77777777" w:rsidR="0010235F" w:rsidRPr="0010235F" w:rsidRDefault="0010235F" w:rsidP="0010235F">
            <w:pPr>
              <w:rPr>
                <w:rFonts w:ascii="Arial" w:hAnsi="Arial" w:cs="Arial"/>
                <w:color w:val="000000"/>
              </w:rPr>
            </w:pPr>
            <w:r w:rsidRPr="0010235F">
              <w:rPr>
                <w:rFonts w:ascii="Arial" w:hAnsi="Arial" w:cs="Arial"/>
                <w:color w:val="000000"/>
              </w:rPr>
              <w:t xml:space="preserve">Chronic Hazard Quotient = Annual conc.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 Noncancer RBC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x 1</w:t>
            </w:r>
          </w:p>
        </w:tc>
      </w:tr>
      <w:tr w:rsidR="0010235F" w:rsidRPr="0010235F" w14:paraId="3D85D143" w14:textId="77777777" w:rsidTr="0010235F">
        <w:trPr>
          <w:trHeight w:val="276"/>
        </w:trPr>
        <w:tc>
          <w:tcPr>
            <w:tcW w:w="9378" w:type="dxa"/>
            <w:tcBorders>
              <w:top w:val="nil"/>
              <w:left w:val="nil"/>
              <w:bottom w:val="nil"/>
              <w:right w:val="nil"/>
            </w:tcBorders>
            <w:shd w:val="clear" w:color="auto" w:fill="auto"/>
            <w:noWrap/>
            <w:vAlign w:val="bottom"/>
            <w:hideMark/>
          </w:tcPr>
          <w:p w14:paraId="3D85D142" w14:textId="77777777" w:rsidR="0010235F" w:rsidRPr="0010235F" w:rsidRDefault="0010235F" w:rsidP="0010235F">
            <w:pPr>
              <w:rPr>
                <w:rFonts w:ascii="Arial" w:hAnsi="Arial" w:cs="Arial"/>
                <w:color w:val="000000"/>
              </w:rPr>
            </w:pPr>
            <w:r w:rsidRPr="0010235F">
              <w:rPr>
                <w:rFonts w:ascii="Arial" w:hAnsi="Arial" w:cs="Arial"/>
                <w:color w:val="000000"/>
              </w:rPr>
              <w:t xml:space="preserve">Acute Hazard Quotient = 24-hr conc.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 Acute RBC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x 1</w:t>
            </w:r>
          </w:p>
        </w:tc>
      </w:tr>
      <w:tr w:rsidR="0010235F" w:rsidRPr="0010235F" w14:paraId="3D85D145" w14:textId="77777777" w:rsidTr="0010235F">
        <w:trPr>
          <w:trHeight w:val="276"/>
        </w:trPr>
        <w:tc>
          <w:tcPr>
            <w:tcW w:w="9378" w:type="dxa"/>
            <w:tcBorders>
              <w:top w:val="nil"/>
              <w:left w:val="nil"/>
              <w:bottom w:val="nil"/>
              <w:right w:val="nil"/>
            </w:tcBorders>
            <w:shd w:val="clear" w:color="auto" w:fill="auto"/>
            <w:noWrap/>
            <w:vAlign w:val="bottom"/>
            <w:hideMark/>
          </w:tcPr>
          <w:p w14:paraId="3D85D144" w14:textId="77777777" w:rsidR="0010235F" w:rsidRPr="0010235F" w:rsidRDefault="0010235F" w:rsidP="0010235F">
            <w:pPr>
              <w:rPr>
                <w:rFonts w:ascii="Arial" w:hAnsi="Arial" w:cs="Arial"/>
                <w:color w:val="000000"/>
              </w:rPr>
            </w:pPr>
            <w:r w:rsidRPr="0010235F">
              <w:rPr>
                <w:rFonts w:ascii="Arial" w:hAnsi="Arial" w:cs="Arial"/>
                <w:color w:val="000000"/>
              </w:rPr>
              <w:t>Air concentrations modeled using AERSCREEN.</w:t>
            </w:r>
          </w:p>
        </w:tc>
      </w:tr>
    </w:tbl>
    <w:p w14:paraId="3D85D146" w14:textId="77777777" w:rsidR="0010235F" w:rsidRPr="0010235F" w:rsidRDefault="0010235F" w:rsidP="0010235F">
      <w:pPr>
        <w:pStyle w:val="NoSpacing"/>
        <w:rPr>
          <w:rFonts w:ascii="Arial" w:hAnsi="Arial" w:cs="Arial"/>
        </w:rPr>
      </w:pPr>
    </w:p>
    <w:p w14:paraId="3D85D147" w14:textId="77777777" w:rsidR="0010235F" w:rsidRPr="0010235F" w:rsidRDefault="0010235F" w:rsidP="0010235F">
      <w:pPr>
        <w:rPr>
          <w:rFonts w:ascii="Arial" w:hAnsi="Arial" w:cs="Arial"/>
        </w:rPr>
      </w:pPr>
      <w:r w:rsidRPr="0010235F">
        <w:rPr>
          <w:rFonts w:ascii="Arial" w:hAnsi="Arial" w:cs="Arial"/>
        </w:rPr>
        <w:br w:type="page"/>
      </w:r>
    </w:p>
    <w:p w14:paraId="3D85D148" w14:textId="77777777" w:rsidR="0010235F" w:rsidRPr="0010235F" w:rsidRDefault="0010235F" w:rsidP="0010235F">
      <w:pPr>
        <w:pStyle w:val="NoSpacing"/>
        <w:jc w:val="center"/>
        <w:rPr>
          <w:rFonts w:ascii="Arial" w:hAnsi="Arial" w:cs="Arial"/>
          <w:b/>
        </w:rPr>
      </w:pPr>
      <w:r w:rsidRPr="0010235F">
        <w:rPr>
          <w:rFonts w:ascii="Arial" w:hAnsi="Arial" w:cs="Arial"/>
          <w:b/>
        </w:rPr>
        <w:t>Ex</w:t>
      </w:r>
      <w:r>
        <w:rPr>
          <w:rFonts w:ascii="Arial" w:hAnsi="Arial" w:cs="Arial"/>
          <w:b/>
        </w:rPr>
        <w:t>ample</w:t>
      </w:r>
      <w:r w:rsidRPr="0010235F">
        <w:rPr>
          <w:rFonts w:ascii="Arial" w:hAnsi="Arial" w:cs="Arial"/>
          <w:b/>
        </w:rPr>
        <w:t xml:space="preserve"> 3 –Summary Risk Table for Level 3 Risk Assessment</w:t>
      </w:r>
    </w:p>
    <w:p w14:paraId="3D85D149" w14:textId="77777777" w:rsidR="0010235F" w:rsidRPr="0010235F" w:rsidRDefault="0010235F" w:rsidP="0010235F">
      <w:pPr>
        <w:pStyle w:val="NoSpacing"/>
        <w:rPr>
          <w:rFonts w:ascii="Arial" w:hAnsi="Arial" w:cs="Arial"/>
        </w:rPr>
      </w:pPr>
    </w:p>
    <w:tbl>
      <w:tblPr>
        <w:tblW w:w="21308" w:type="dxa"/>
        <w:tblInd w:w="99" w:type="dxa"/>
        <w:tblLook w:val="04A0" w:firstRow="1" w:lastRow="0" w:firstColumn="1" w:lastColumn="0" w:noHBand="0" w:noVBand="1"/>
      </w:tblPr>
      <w:tblGrid>
        <w:gridCol w:w="1429"/>
        <w:gridCol w:w="1289"/>
        <w:gridCol w:w="967"/>
        <w:gridCol w:w="906"/>
        <w:gridCol w:w="1250"/>
        <w:gridCol w:w="1051"/>
        <w:gridCol w:w="1204"/>
        <w:gridCol w:w="992"/>
        <w:gridCol w:w="906"/>
        <w:gridCol w:w="1250"/>
        <w:gridCol w:w="1162"/>
        <w:gridCol w:w="1347"/>
        <w:gridCol w:w="985"/>
        <w:gridCol w:w="906"/>
        <w:gridCol w:w="1250"/>
        <w:gridCol w:w="1162"/>
        <w:gridCol w:w="1246"/>
        <w:gridCol w:w="967"/>
        <w:gridCol w:w="1039"/>
      </w:tblGrid>
      <w:tr w:rsidR="0010235F" w:rsidRPr="0010235F" w14:paraId="3D85D150" w14:textId="77777777" w:rsidTr="004D46A4">
        <w:trPr>
          <w:trHeight w:val="288"/>
        </w:trPr>
        <w:tc>
          <w:tcPr>
            <w:tcW w:w="1429" w:type="dxa"/>
            <w:tcBorders>
              <w:top w:val="single" w:sz="4" w:space="0" w:color="auto"/>
              <w:left w:val="single" w:sz="4" w:space="0" w:color="auto"/>
              <w:bottom w:val="single" w:sz="4" w:space="0" w:color="auto"/>
              <w:right w:val="nil"/>
            </w:tcBorders>
            <w:shd w:val="clear" w:color="auto" w:fill="auto"/>
            <w:noWrap/>
            <w:vAlign w:val="bottom"/>
            <w:hideMark/>
          </w:tcPr>
          <w:p w14:paraId="3D85D14A"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5463" w:type="dxa"/>
            <w:gridSpan w:val="5"/>
            <w:tcBorders>
              <w:top w:val="single" w:sz="4" w:space="0" w:color="auto"/>
              <w:left w:val="nil"/>
              <w:bottom w:val="single" w:sz="4" w:space="0" w:color="auto"/>
              <w:right w:val="nil"/>
            </w:tcBorders>
            <w:shd w:val="clear" w:color="auto" w:fill="auto"/>
            <w:noWrap/>
            <w:vAlign w:val="bottom"/>
            <w:hideMark/>
          </w:tcPr>
          <w:p w14:paraId="3D85D14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Residential Exposure</w:t>
            </w:r>
          </w:p>
        </w:tc>
        <w:tc>
          <w:tcPr>
            <w:tcW w:w="551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85D14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Non-Resident Child Exposure</w:t>
            </w:r>
          </w:p>
        </w:tc>
        <w:tc>
          <w:tcPr>
            <w:tcW w:w="4488" w:type="dxa"/>
            <w:gridSpan w:val="4"/>
            <w:tcBorders>
              <w:top w:val="single" w:sz="4" w:space="0" w:color="auto"/>
              <w:left w:val="nil"/>
              <w:bottom w:val="single" w:sz="4" w:space="0" w:color="auto"/>
              <w:right w:val="nil"/>
            </w:tcBorders>
            <w:shd w:val="clear" w:color="auto" w:fill="auto"/>
            <w:noWrap/>
            <w:vAlign w:val="bottom"/>
            <w:hideMark/>
          </w:tcPr>
          <w:p w14:paraId="3D85D14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Non-Resident Worker Exposure</w:t>
            </w:r>
          </w:p>
        </w:tc>
        <w:tc>
          <w:tcPr>
            <w:tcW w:w="1162" w:type="dxa"/>
            <w:tcBorders>
              <w:top w:val="single" w:sz="4" w:space="0" w:color="auto"/>
              <w:left w:val="nil"/>
              <w:bottom w:val="single" w:sz="4" w:space="0" w:color="auto"/>
              <w:right w:val="nil"/>
            </w:tcBorders>
            <w:shd w:val="clear" w:color="auto" w:fill="auto"/>
            <w:noWrap/>
            <w:vAlign w:val="bottom"/>
            <w:hideMark/>
          </w:tcPr>
          <w:p w14:paraId="3D85D14E"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325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85D14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Acute Exposure</w:t>
            </w:r>
          </w:p>
        </w:tc>
      </w:tr>
      <w:tr w:rsidR="0010235F" w:rsidRPr="0010235F" w14:paraId="3D85D164" w14:textId="77777777" w:rsidTr="004D46A4">
        <w:trPr>
          <w:trHeight w:val="288"/>
        </w:trPr>
        <w:tc>
          <w:tcPr>
            <w:tcW w:w="1429" w:type="dxa"/>
            <w:tcBorders>
              <w:top w:val="nil"/>
              <w:left w:val="single" w:sz="4" w:space="0" w:color="auto"/>
              <w:bottom w:val="nil"/>
              <w:right w:val="nil"/>
            </w:tcBorders>
            <w:shd w:val="clear" w:color="auto" w:fill="auto"/>
            <w:noWrap/>
            <w:vAlign w:val="bottom"/>
            <w:hideMark/>
          </w:tcPr>
          <w:p w14:paraId="3D85D151"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1289" w:type="dxa"/>
            <w:tcBorders>
              <w:top w:val="nil"/>
              <w:left w:val="nil"/>
              <w:bottom w:val="nil"/>
              <w:right w:val="nil"/>
            </w:tcBorders>
            <w:shd w:val="clear" w:color="auto" w:fill="auto"/>
            <w:noWrap/>
            <w:vAlign w:val="bottom"/>
            <w:hideMark/>
          </w:tcPr>
          <w:p w14:paraId="3D85D15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Annual Av</w:t>
            </w:r>
            <w:r w:rsidR="009B117D">
              <w:rPr>
                <w:rFonts w:ascii="Arial" w:hAnsi="Arial" w:cs="Arial"/>
                <w:b/>
                <w:bCs/>
                <w:color w:val="000000"/>
                <w:sz w:val="20"/>
                <w:szCs w:val="20"/>
              </w:rPr>
              <w:t>era</w:t>
            </w:r>
            <w:r w:rsidRPr="0010235F">
              <w:rPr>
                <w:rFonts w:ascii="Arial" w:hAnsi="Arial" w:cs="Arial"/>
                <w:b/>
                <w:bCs/>
                <w:color w:val="000000"/>
                <w:sz w:val="20"/>
                <w:szCs w:val="20"/>
              </w:rPr>
              <w:t>g</w:t>
            </w:r>
            <w:r w:rsidR="009B117D">
              <w:rPr>
                <w:rFonts w:ascii="Arial" w:hAnsi="Arial" w:cs="Arial"/>
                <w:b/>
                <w:bCs/>
                <w:color w:val="000000"/>
                <w:sz w:val="20"/>
                <w:szCs w:val="20"/>
              </w:rPr>
              <w:t>e</w:t>
            </w:r>
          </w:p>
        </w:tc>
        <w:tc>
          <w:tcPr>
            <w:tcW w:w="967" w:type="dxa"/>
            <w:tcBorders>
              <w:top w:val="nil"/>
              <w:left w:val="nil"/>
              <w:bottom w:val="nil"/>
              <w:right w:val="nil"/>
            </w:tcBorders>
            <w:shd w:val="clear" w:color="auto" w:fill="auto"/>
            <w:noWrap/>
            <w:vAlign w:val="bottom"/>
            <w:hideMark/>
          </w:tcPr>
          <w:p w14:paraId="3D85D15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906" w:type="dxa"/>
            <w:tcBorders>
              <w:top w:val="nil"/>
              <w:left w:val="nil"/>
              <w:bottom w:val="nil"/>
              <w:right w:val="nil"/>
            </w:tcBorders>
            <w:shd w:val="clear" w:color="auto" w:fill="auto"/>
            <w:noWrap/>
            <w:vAlign w:val="bottom"/>
            <w:hideMark/>
          </w:tcPr>
          <w:p w14:paraId="3D85D15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Excess</w:t>
            </w:r>
          </w:p>
        </w:tc>
        <w:tc>
          <w:tcPr>
            <w:tcW w:w="1250" w:type="dxa"/>
            <w:tcBorders>
              <w:top w:val="nil"/>
              <w:left w:val="nil"/>
              <w:bottom w:val="nil"/>
              <w:right w:val="nil"/>
            </w:tcBorders>
            <w:shd w:val="clear" w:color="auto" w:fill="auto"/>
            <w:noWrap/>
            <w:vAlign w:val="bottom"/>
            <w:hideMark/>
          </w:tcPr>
          <w:p w14:paraId="3D85D15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1051" w:type="dxa"/>
            <w:tcBorders>
              <w:top w:val="nil"/>
              <w:left w:val="nil"/>
              <w:bottom w:val="nil"/>
              <w:right w:val="single" w:sz="4" w:space="0" w:color="auto"/>
            </w:tcBorders>
            <w:shd w:val="clear" w:color="auto" w:fill="auto"/>
            <w:noWrap/>
            <w:vAlign w:val="bottom"/>
            <w:hideMark/>
          </w:tcPr>
          <w:p w14:paraId="3D85D156"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04" w:type="dxa"/>
            <w:tcBorders>
              <w:top w:val="nil"/>
              <w:left w:val="nil"/>
              <w:bottom w:val="nil"/>
              <w:right w:val="nil"/>
            </w:tcBorders>
            <w:shd w:val="clear" w:color="auto" w:fill="auto"/>
            <w:noWrap/>
            <w:vAlign w:val="bottom"/>
            <w:hideMark/>
          </w:tcPr>
          <w:p w14:paraId="3D85D15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Annual Av</w:t>
            </w:r>
            <w:r w:rsidR="009B117D">
              <w:rPr>
                <w:rFonts w:ascii="Arial" w:hAnsi="Arial" w:cs="Arial"/>
                <w:b/>
                <w:bCs/>
                <w:color w:val="000000"/>
                <w:sz w:val="20"/>
                <w:szCs w:val="20"/>
              </w:rPr>
              <w:t>era</w:t>
            </w:r>
            <w:r w:rsidRPr="0010235F">
              <w:rPr>
                <w:rFonts w:ascii="Arial" w:hAnsi="Arial" w:cs="Arial"/>
                <w:b/>
                <w:bCs/>
                <w:color w:val="000000"/>
                <w:sz w:val="20"/>
                <w:szCs w:val="20"/>
              </w:rPr>
              <w:t>g</w:t>
            </w:r>
            <w:r w:rsidR="009B117D">
              <w:rPr>
                <w:rFonts w:ascii="Arial" w:hAnsi="Arial" w:cs="Arial"/>
                <w:b/>
                <w:bCs/>
                <w:color w:val="000000"/>
                <w:sz w:val="20"/>
                <w:szCs w:val="20"/>
              </w:rPr>
              <w:t>e</w:t>
            </w:r>
          </w:p>
        </w:tc>
        <w:tc>
          <w:tcPr>
            <w:tcW w:w="992" w:type="dxa"/>
            <w:tcBorders>
              <w:top w:val="nil"/>
              <w:left w:val="nil"/>
              <w:bottom w:val="nil"/>
              <w:right w:val="nil"/>
            </w:tcBorders>
            <w:shd w:val="clear" w:color="auto" w:fill="auto"/>
            <w:noWrap/>
            <w:vAlign w:val="bottom"/>
            <w:hideMark/>
          </w:tcPr>
          <w:p w14:paraId="3D85D15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906" w:type="dxa"/>
            <w:tcBorders>
              <w:top w:val="nil"/>
              <w:left w:val="nil"/>
              <w:bottom w:val="nil"/>
              <w:right w:val="nil"/>
            </w:tcBorders>
            <w:shd w:val="clear" w:color="auto" w:fill="auto"/>
            <w:noWrap/>
            <w:vAlign w:val="bottom"/>
            <w:hideMark/>
          </w:tcPr>
          <w:p w14:paraId="3D85D159"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Excess</w:t>
            </w:r>
          </w:p>
        </w:tc>
        <w:tc>
          <w:tcPr>
            <w:tcW w:w="1250" w:type="dxa"/>
            <w:tcBorders>
              <w:top w:val="nil"/>
              <w:left w:val="nil"/>
              <w:bottom w:val="nil"/>
              <w:right w:val="nil"/>
            </w:tcBorders>
            <w:shd w:val="clear" w:color="auto" w:fill="auto"/>
            <w:noWrap/>
            <w:vAlign w:val="bottom"/>
            <w:hideMark/>
          </w:tcPr>
          <w:p w14:paraId="3D85D15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1162" w:type="dxa"/>
            <w:tcBorders>
              <w:top w:val="nil"/>
              <w:left w:val="nil"/>
              <w:bottom w:val="nil"/>
              <w:right w:val="single" w:sz="4" w:space="0" w:color="auto"/>
            </w:tcBorders>
            <w:shd w:val="clear" w:color="auto" w:fill="auto"/>
            <w:noWrap/>
            <w:vAlign w:val="bottom"/>
            <w:hideMark/>
          </w:tcPr>
          <w:p w14:paraId="3D85D15B"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347" w:type="dxa"/>
            <w:tcBorders>
              <w:top w:val="nil"/>
              <w:left w:val="nil"/>
              <w:bottom w:val="nil"/>
              <w:right w:val="nil"/>
            </w:tcBorders>
            <w:shd w:val="clear" w:color="auto" w:fill="auto"/>
            <w:noWrap/>
            <w:vAlign w:val="bottom"/>
            <w:hideMark/>
          </w:tcPr>
          <w:p w14:paraId="3D85D15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Annual Av</w:t>
            </w:r>
            <w:r w:rsidR="009B117D">
              <w:rPr>
                <w:rFonts w:ascii="Arial" w:hAnsi="Arial" w:cs="Arial"/>
                <w:b/>
                <w:bCs/>
                <w:color w:val="000000"/>
                <w:sz w:val="20"/>
                <w:szCs w:val="20"/>
              </w:rPr>
              <w:t>era</w:t>
            </w:r>
            <w:r w:rsidRPr="0010235F">
              <w:rPr>
                <w:rFonts w:ascii="Arial" w:hAnsi="Arial" w:cs="Arial"/>
                <w:b/>
                <w:bCs/>
                <w:color w:val="000000"/>
                <w:sz w:val="20"/>
                <w:szCs w:val="20"/>
              </w:rPr>
              <w:t>g</w:t>
            </w:r>
            <w:r w:rsidR="009B117D">
              <w:rPr>
                <w:rFonts w:ascii="Arial" w:hAnsi="Arial" w:cs="Arial"/>
                <w:b/>
                <w:bCs/>
                <w:color w:val="000000"/>
                <w:sz w:val="20"/>
                <w:szCs w:val="20"/>
              </w:rPr>
              <w:t>e</w:t>
            </w:r>
          </w:p>
        </w:tc>
        <w:tc>
          <w:tcPr>
            <w:tcW w:w="985" w:type="dxa"/>
            <w:tcBorders>
              <w:top w:val="nil"/>
              <w:left w:val="nil"/>
              <w:bottom w:val="nil"/>
              <w:right w:val="nil"/>
            </w:tcBorders>
            <w:shd w:val="clear" w:color="auto" w:fill="auto"/>
            <w:noWrap/>
            <w:vAlign w:val="bottom"/>
            <w:hideMark/>
          </w:tcPr>
          <w:p w14:paraId="3D85D15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906" w:type="dxa"/>
            <w:tcBorders>
              <w:top w:val="nil"/>
              <w:left w:val="nil"/>
              <w:bottom w:val="nil"/>
              <w:right w:val="nil"/>
            </w:tcBorders>
            <w:shd w:val="clear" w:color="auto" w:fill="auto"/>
            <w:noWrap/>
            <w:vAlign w:val="bottom"/>
            <w:hideMark/>
          </w:tcPr>
          <w:p w14:paraId="3D85D15E"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Excess</w:t>
            </w:r>
          </w:p>
        </w:tc>
        <w:tc>
          <w:tcPr>
            <w:tcW w:w="1250" w:type="dxa"/>
            <w:tcBorders>
              <w:top w:val="nil"/>
              <w:left w:val="nil"/>
              <w:bottom w:val="nil"/>
              <w:right w:val="nil"/>
            </w:tcBorders>
            <w:shd w:val="clear" w:color="auto" w:fill="auto"/>
            <w:noWrap/>
            <w:vAlign w:val="bottom"/>
            <w:hideMark/>
          </w:tcPr>
          <w:p w14:paraId="3D85D15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1162" w:type="dxa"/>
            <w:tcBorders>
              <w:top w:val="nil"/>
              <w:left w:val="nil"/>
              <w:bottom w:val="nil"/>
              <w:right w:val="single" w:sz="4" w:space="0" w:color="auto"/>
            </w:tcBorders>
            <w:shd w:val="clear" w:color="auto" w:fill="auto"/>
            <w:noWrap/>
            <w:vAlign w:val="bottom"/>
            <w:hideMark/>
          </w:tcPr>
          <w:p w14:paraId="3D85D160"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46" w:type="dxa"/>
            <w:tcBorders>
              <w:top w:val="nil"/>
              <w:left w:val="nil"/>
              <w:bottom w:val="nil"/>
              <w:right w:val="nil"/>
            </w:tcBorders>
            <w:shd w:val="clear" w:color="auto" w:fill="auto"/>
            <w:noWrap/>
            <w:vAlign w:val="bottom"/>
            <w:hideMark/>
          </w:tcPr>
          <w:p w14:paraId="3D85D161" w14:textId="77777777" w:rsidR="0010235F" w:rsidRPr="0010235F" w:rsidRDefault="009B117D" w:rsidP="0010235F">
            <w:pPr>
              <w:jc w:val="center"/>
              <w:rPr>
                <w:rFonts w:ascii="Arial" w:hAnsi="Arial" w:cs="Arial"/>
                <w:b/>
                <w:bCs/>
                <w:color w:val="000000"/>
                <w:sz w:val="20"/>
                <w:szCs w:val="20"/>
              </w:rPr>
            </w:pPr>
            <w:r>
              <w:rPr>
                <w:rFonts w:ascii="Arial" w:hAnsi="Arial" w:cs="Arial"/>
                <w:b/>
                <w:bCs/>
                <w:color w:val="000000"/>
                <w:sz w:val="20"/>
                <w:szCs w:val="20"/>
              </w:rPr>
              <w:t>24-Hour Average</w:t>
            </w:r>
          </w:p>
        </w:tc>
        <w:tc>
          <w:tcPr>
            <w:tcW w:w="967" w:type="dxa"/>
            <w:tcBorders>
              <w:top w:val="nil"/>
              <w:left w:val="nil"/>
              <w:bottom w:val="nil"/>
              <w:right w:val="nil"/>
            </w:tcBorders>
            <w:shd w:val="clear" w:color="auto" w:fill="auto"/>
            <w:noWrap/>
            <w:vAlign w:val="bottom"/>
            <w:hideMark/>
          </w:tcPr>
          <w:p w14:paraId="3D85D16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Acute</w:t>
            </w:r>
          </w:p>
        </w:tc>
        <w:tc>
          <w:tcPr>
            <w:tcW w:w="1039" w:type="dxa"/>
            <w:tcBorders>
              <w:top w:val="nil"/>
              <w:left w:val="nil"/>
              <w:bottom w:val="nil"/>
              <w:right w:val="single" w:sz="4" w:space="0" w:color="auto"/>
            </w:tcBorders>
            <w:shd w:val="clear" w:color="auto" w:fill="auto"/>
            <w:noWrap/>
            <w:vAlign w:val="bottom"/>
            <w:hideMark/>
          </w:tcPr>
          <w:p w14:paraId="3D85D16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r>
      <w:tr w:rsidR="0010235F" w:rsidRPr="0010235F" w14:paraId="3D85D178" w14:textId="77777777" w:rsidTr="004D46A4">
        <w:trPr>
          <w:trHeight w:val="288"/>
        </w:trPr>
        <w:tc>
          <w:tcPr>
            <w:tcW w:w="1429" w:type="dxa"/>
            <w:tcBorders>
              <w:top w:val="nil"/>
              <w:left w:val="single" w:sz="4" w:space="0" w:color="auto"/>
              <w:bottom w:val="nil"/>
              <w:right w:val="nil"/>
            </w:tcBorders>
            <w:shd w:val="clear" w:color="auto" w:fill="auto"/>
            <w:noWrap/>
            <w:vAlign w:val="bottom"/>
            <w:hideMark/>
          </w:tcPr>
          <w:p w14:paraId="3D85D165"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 </w:t>
            </w:r>
          </w:p>
        </w:tc>
        <w:tc>
          <w:tcPr>
            <w:tcW w:w="1289" w:type="dxa"/>
            <w:tcBorders>
              <w:top w:val="nil"/>
              <w:left w:val="nil"/>
              <w:bottom w:val="nil"/>
              <w:right w:val="nil"/>
            </w:tcBorders>
            <w:shd w:val="clear" w:color="auto" w:fill="auto"/>
            <w:noWrap/>
            <w:vAlign w:val="bottom"/>
            <w:hideMark/>
          </w:tcPr>
          <w:p w14:paraId="3D85D16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Conc.</w:t>
            </w:r>
          </w:p>
        </w:tc>
        <w:tc>
          <w:tcPr>
            <w:tcW w:w="967" w:type="dxa"/>
            <w:tcBorders>
              <w:top w:val="nil"/>
              <w:left w:val="nil"/>
              <w:bottom w:val="nil"/>
              <w:right w:val="nil"/>
            </w:tcBorders>
            <w:shd w:val="clear" w:color="auto" w:fill="auto"/>
            <w:noWrap/>
            <w:vAlign w:val="bottom"/>
            <w:hideMark/>
          </w:tcPr>
          <w:p w14:paraId="3D85D16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906" w:type="dxa"/>
            <w:tcBorders>
              <w:top w:val="nil"/>
              <w:left w:val="nil"/>
              <w:bottom w:val="nil"/>
              <w:right w:val="nil"/>
            </w:tcBorders>
            <w:shd w:val="clear" w:color="auto" w:fill="auto"/>
            <w:noWrap/>
            <w:vAlign w:val="bottom"/>
            <w:hideMark/>
          </w:tcPr>
          <w:p w14:paraId="3D85D16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1250" w:type="dxa"/>
            <w:tcBorders>
              <w:top w:val="nil"/>
              <w:left w:val="nil"/>
              <w:bottom w:val="nil"/>
              <w:right w:val="nil"/>
            </w:tcBorders>
            <w:shd w:val="clear" w:color="auto" w:fill="auto"/>
            <w:noWrap/>
            <w:vAlign w:val="bottom"/>
            <w:hideMark/>
          </w:tcPr>
          <w:p w14:paraId="3D85D169"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Noncancer</w:t>
            </w:r>
          </w:p>
        </w:tc>
        <w:tc>
          <w:tcPr>
            <w:tcW w:w="1051" w:type="dxa"/>
            <w:tcBorders>
              <w:top w:val="nil"/>
              <w:left w:val="nil"/>
              <w:bottom w:val="nil"/>
              <w:right w:val="single" w:sz="4" w:space="0" w:color="auto"/>
            </w:tcBorders>
            <w:shd w:val="clear" w:color="auto" w:fill="auto"/>
            <w:noWrap/>
            <w:vAlign w:val="bottom"/>
            <w:hideMark/>
          </w:tcPr>
          <w:p w14:paraId="3D85D16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Hazard</w:t>
            </w:r>
          </w:p>
        </w:tc>
        <w:tc>
          <w:tcPr>
            <w:tcW w:w="1204" w:type="dxa"/>
            <w:tcBorders>
              <w:top w:val="nil"/>
              <w:left w:val="nil"/>
              <w:bottom w:val="nil"/>
              <w:right w:val="nil"/>
            </w:tcBorders>
            <w:shd w:val="clear" w:color="auto" w:fill="auto"/>
            <w:noWrap/>
            <w:vAlign w:val="bottom"/>
            <w:hideMark/>
          </w:tcPr>
          <w:p w14:paraId="3D85D16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Conc.</w:t>
            </w:r>
          </w:p>
        </w:tc>
        <w:tc>
          <w:tcPr>
            <w:tcW w:w="992" w:type="dxa"/>
            <w:tcBorders>
              <w:top w:val="nil"/>
              <w:left w:val="nil"/>
              <w:bottom w:val="nil"/>
              <w:right w:val="nil"/>
            </w:tcBorders>
            <w:shd w:val="clear" w:color="auto" w:fill="auto"/>
            <w:noWrap/>
            <w:vAlign w:val="bottom"/>
            <w:hideMark/>
          </w:tcPr>
          <w:p w14:paraId="3D85D16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906" w:type="dxa"/>
            <w:tcBorders>
              <w:top w:val="nil"/>
              <w:left w:val="nil"/>
              <w:bottom w:val="nil"/>
              <w:right w:val="nil"/>
            </w:tcBorders>
            <w:shd w:val="clear" w:color="auto" w:fill="auto"/>
            <w:noWrap/>
            <w:vAlign w:val="bottom"/>
            <w:hideMark/>
          </w:tcPr>
          <w:p w14:paraId="3D85D16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1250" w:type="dxa"/>
            <w:tcBorders>
              <w:top w:val="nil"/>
              <w:left w:val="nil"/>
              <w:bottom w:val="nil"/>
              <w:right w:val="nil"/>
            </w:tcBorders>
            <w:shd w:val="clear" w:color="auto" w:fill="auto"/>
            <w:noWrap/>
            <w:vAlign w:val="bottom"/>
            <w:hideMark/>
          </w:tcPr>
          <w:p w14:paraId="3D85D16E"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Noncancer</w:t>
            </w:r>
          </w:p>
        </w:tc>
        <w:tc>
          <w:tcPr>
            <w:tcW w:w="1162" w:type="dxa"/>
            <w:tcBorders>
              <w:top w:val="nil"/>
              <w:left w:val="nil"/>
              <w:bottom w:val="nil"/>
              <w:right w:val="single" w:sz="4" w:space="0" w:color="auto"/>
            </w:tcBorders>
            <w:shd w:val="clear" w:color="auto" w:fill="auto"/>
            <w:noWrap/>
            <w:vAlign w:val="bottom"/>
            <w:hideMark/>
          </w:tcPr>
          <w:p w14:paraId="3D85D16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Hazard</w:t>
            </w:r>
          </w:p>
        </w:tc>
        <w:tc>
          <w:tcPr>
            <w:tcW w:w="1347" w:type="dxa"/>
            <w:tcBorders>
              <w:top w:val="nil"/>
              <w:left w:val="nil"/>
              <w:bottom w:val="nil"/>
              <w:right w:val="nil"/>
            </w:tcBorders>
            <w:shd w:val="clear" w:color="auto" w:fill="auto"/>
            <w:noWrap/>
            <w:vAlign w:val="bottom"/>
            <w:hideMark/>
          </w:tcPr>
          <w:p w14:paraId="3D85D17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Conc.</w:t>
            </w:r>
          </w:p>
        </w:tc>
        <w:tc>
          <w:tcPr>
            <w:tcW w:w="985" w:type="dxa"/>
            <w:tcBorders>
              <w:top w:val="nil"/>
              <w:left w:val="nil"/>
              <w:bottom w:val="nil"/>
              <w:right w:val="nil"/>
            </w:tcBorders>
            <w:shd w:val="clear" w:color="auto" w:fill="auto"/>
            <w:noWrap/>
            <w:vAlign w:val="bottom"/>
            <w:hideMark/>
          </w:tcPr>
          <w:p w14:paraId="3D85D17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906" w:type="dxa"/>
            <w:tcBorders>
              <w:top w:val="nil"/>
              <w:left w:val="nil"/>
              <w:bottom w:val="nil"/>
              <w:right w:val="nil"/>
            </w:tcBorders>
            <w:shd w:val="clear" w:color="auto" w:fill="auto"/>
            <w:noWrap/>
            <w:vAlign w:val="bottom"/>
            <w:hideMark/>
          </w:tcPr>
          <w:p w14:paraId="3D85D17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Cancer</w:t>
            </w:r>
          </w:p>
        </w:tc>
        <w:tc>
          <w:tcPr>
            <w:tcW w:w="1250" w:type="dxa"/>
            <w:tcBorders>
              <w:top w:val="nil"/>
              <w:left w:val="nil"/>
              <w:bottom w:val="nil"/>
              <w:right w:val="nil"/>
            </w:tcBorders>
            <w:shd w:val="clear" w:color="auto" w:fill="auto"/>
            <w:noWrap/>
            <w:vAlign w:val="bottom"/>
            <w:hideMark/>
          </w:tcPr>
          <w:p w14:paraId="3D85D17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Noncancer</w:t>
            </w:r>
          </w:p>
        </w:tc>
        <w:tc>
          <w:tcPr>
            <w:tcW w:w="1162" w:type="dxa"/>
            <w:tcBorders>
              <w:top w:val="nil"/>
              <w:left w:val="nil"/>
              <w:bottom w:val="nil"/>
              <w:right w:val="single" w:sz="4" w:space="0" w:color="auto"/>
            </w:tcBorders>
            <w:shd w:val="clear" w:color="auto" w:fill="auto"/>
            <w:noWrap/>
            <w:vAlign w:val="bottom"/>
            <w:hideMark/>
          </w:tcPr>
          <w:p w14:paraId="3D85D17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Hazard</w:t>
            </w:r>
          </w:p>
        </w:tc>
        <w:tc>
          <w:tcPr>
            <w:tcW w:w="1246" w:type="dxa"/>
            <w:tcBorders>
              <w:top w:val="nil"/>
              <w:left w:val="nil"/>
              <w:bottom w:val="nil"/>
              <w:right w:val="nil"/>
            </w:tcBorders>
            <w:shd w:val="clear" w:color="auto" w:fill="auto"/>
            <w:noWrap/>
            <w:vAlign w:val="bottom"/>
            <w:hideMark/>
          </w:tcPr>
          <w:p w14:paraId="3D85D17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Conc.</w:t>
            </w:r>
          </w:p>
        </w:tc>
        <w:tc>
          <w:tcPr>
            <w:tcW w:w="967" w:type="dxa"/>
            <w:tcBorders>
              <w:top w:val="nil"/>
              <w:left w:val="nil"/>
              <w:bottom w:val="nil"/>
              <w:right w:val="nil"/>
            </w:tcBorders>
            <w:shd w:val="clear" w:color="auto" w:fill="auto"/>
            <w:noWrap/>
            <w:vAlign w:val="bottom"/>
            <w:hideMark/>
          </w:tcPr>
          <w:p w14:paraId="3D85D17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RBC</w:t>
            </w:r>
          </w:p>
        </w:tc>
        <w:tc>
          <w:tcPr>
            <w:tcW w:w="1039" w:type="dxa"/>
            <w:tcBorders>
              <w:top w:val="nil"/>
              <w:left w:val="nil"/>
              <w:bottom w:val="nil"/>
              <w:right w:val="single" w:sz="4" w:space="0" w:color="auto"/>
            </w:tcBorders>
            <w:shd w:val="clear" w:color="auto" w:fill="auto"/>
            <w:noWrap/>
            <w:vAlign w:val="bottom"/>
            <w:hideMark/>
          </w:tcPr>
          <w:p w14:paraId="3D85D17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Hazard</w:t>
            </w:r>
          </w:p>
        </w:tc>
      </w:tr>
      <w:tr w:rsidR="0010235F" w:rsidRPr="0010235F" w14:paraId="3D85D18C" w14:textId="77777777" w:rsidTr="004D46A4">
        <w:trPr>
          <w:trHeight w:val="288"/>
        </w:trPr>
        <w:tc>
          <w:tcPr>
            <w:tcW w:w="1429" w:type="dxa"/>
            <w:tcBorders>
              <w:top w:val="nil"/>
              <w:left w:val="single" w:sz="4" w:space="0" w:color="auto"/>
              <w:bottom w:val="single" w:sz="4" w:space="0" w:color="auto"/>
              <w:right w:val="nil"/>
            </w:tcBorders>
            <w:shd w:val="clear" w:color="auto" w:fill="auto"/>
            <w:noWrap/>
            <w:vAlign w:val="bottom"/>
            <w:hideMark/>
          </w:tcPr>
          <w:p w14:paraId="3D85D179" w14:textId="77777777" w:rsidR="0010235F" w:rsidRPr="0010235F" w:rsidRDefault="009B117D" w:rsidP="0010235F">
            <w:pPr>
              <w:rPr>
                <w:rFonts w:ascii="Arial" w:hAnsi="Arial" w:cs="Arial"/>
                <w:b/>
                <w:bCs/>
                <w:color w:val="000000"/>
                <w:sz w:val="20"/>
                <w:szCs w:val="20"/>
              </w:rPr>
            </w:pPr>
            <w:r>
              <w:rPr>
                <w:rFonts w:ascii="Arial" w:hAnsi="Arial" w:cs="Arial"/>
                <w:b/>
                <w:bCs/>
                <w:color w:val="000000"/>
                <w:sz w:val="20"/>
                <w:szCs w:val="20"/>
              </w:rPr>
              <w:t>Air Toxic</w:t>
            </w:r>
          </w:p>
        </w:tc>
        <w:tc>
          <w:tcPr>
            <w:tcW w:w="1289" w:type="dxa"/>
            <w:tcBorders>
              <w:top w:val="nil"/>
              <w:left w:val="nil"/>
              <w:bottom w:val="single" w:sz="4" w:space="0" w:color="auto"/>
              <w:right w:val="nil"/>
            </w:tcBorders>
            <w:shd w:val="clear" w:color="auto" w:fill="auto"/>
            <w:noWrap/>
            <w:vAlign w:val="bottom"/>
            <w:hideMark/>
          </w:tcPr>
          <w:p w14:paraId="3D85D17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67" w:type="dxa"/>
            <w:tcBorders>
              <w:top w:val="nil"/>
              <w:left w:val="nil"/>
              <w:bottom w:val="single" w:sz="4" w:space="0" w:color="auto"/>
              <w:right w:val="nil"/>
            </w:tcBorders>
            <w:shd w:val="clear" w:color="auto" w:fill="auto"/>
            <w:noWrap/>
            <w:vAlign w:val="bottom"/>
            <w:hideMark/>
          </w:tcPr>
          <w:p w14:paraId="3D85D17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06" w:type="dxa"/>
            <w:tcBorders>
              <w:top w:val="nil"/>
              <w:left w:val="nil"/>
              <w:bottom w:val="single" w:sz="4" w:space="0" w:color="auto"/>
              <w:right w:val="nil"/>
            </w:tcBorders>
            <w:shd w:val="clear" w:color="auto" w:fill="auto"/>
            <w:noWrap/>
            <w:vAlign w:val="bottom"/>
            <w:hideMark/>
          </w:tcPr>
          <w:p w14:paraId="3D85D17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Risk</w:t>
            </w:r>
          </w:p>
        </w:tc>
        <w:tc>
          <w:tcPr>
            <w:tcW w:w="1250" w:type="dxa"/>
            <w:tcBorders>
              <w:top w:val="nil"/>
              <w:left w:val="nil"/>
              <w:bottom w:val="single" w:sz="4" w:space="0" w:color="auto"/>
              <w:right w:val="nil"/>
            </w:tcBorders>
            <w:shd w:val="clear" w:color="auto" w:fill="auto"/>
            <w:noWrap/>
            <w:vAlign w:val="bottom"/>
            <w:hideMark/>
          </w:tcPr>
          <w:p w14:paraId="3D85D17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1051" w:type="dxa"/>
            <w:tcBorders>
              <w:top w:val="nil"/>
              <w:left w:val="nil"/>
              <w:bottom w:val="single" w:sz="4" w:space="0" w:color="auto"/>
              <w:right w:val="single" w:sz="4" w:space="0" w:color="auto"/>
            </w:tcBorders>
            <w:shd w:val="clear" w:color="auto" w:fill="auto"/>
            <w:noWrap/>
            <w:vAlign w:val="bottom"/>
            <w:hideMark/>
          </w:tcPr>
          <w:p w14:paraId="3D85D17E"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Quotient</w:t>
            </w:r>
          </w:p>
        </w:tc>
        <w:tc>
          <w:tcPr>
            <w:tcW w:w="1204" w:type="dxa"/>
            <w:tcBorders>
              <w:top w:val="nil"/>
              <w:left w:val="nil"/>
              <w:bottom w:val="single" w:sz="4" w:space="0" w:color="auto"/>
              <w:right w:val="nil"/>
            </w:tcBorders>
            <w:shd w:val="clear" w:color="auto" w:fill="auto"/>
            <w:noWrap/>
            <w:vAlign w:val="bottom"/>
            <w:hideMark/>
          </w:tcPr>
          <w:p w14:paraId="3D85D17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92" w:type="dxa"/>
            <w:tcBorders>
              <w:top w:val="nil"/>
              <w:left w:val="nil"/>
              <w:bottom w:val="single" w:sz="4" w:space="0" w:color="auto"/>
              <w:right w:val="nil"/>
            </w:tcBorders>
            <w:shd w:val="clear" w:color="auto" w:fill="auto"/>
            <w:noWrap/>
            <w:vAlign w:val="bottom"/>
            <w:hideMark/>
          </w:tcPr>
          <w:p w14:paraId="3D85D18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06" w:type="dxa"/>
            <w:tcBorders>
              <w:top w:val="nil"/>
              <w:left w:val="nil"/>
              <w:bottom w:val="single" w:sz="4" w:space="0" w:color="auto"/>
              <w:right w:val="nil"/>
            </w:tcBorders>
            <w:shd w:val="clear" w:color="auto" w:fill="auto"/>
            <w:noWrap/>
            <w:vAlign w:val="bottom"/>
            <w:hideMark/>
          </w:tcPr>
          <w:p w14:paraId="3D85D18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Risk</w:t>
            </w:r>
          </w:p>
        </w:tc>
        <w:tc>
          <w:tcPr>
            <w:tcW w:w="1250" w:type="dxa"/>
            <w:tcBorders>
              <w:top w:val="nil"/>
              <w:left w:val="nil"/>
              <w:bottom w:val="single" w:sz="4" w:space="0" w:color="auto"/>
              <w:right w:val="nil"/>
            </w:tcBorders>
            <w:shd w:val="clear" w:color="auto" w:fill="auto"/>
            <w:noWrap/>
            <w:vAlign w:val="bottom"/>
            <w:hideMark/>
          </w:tcPr>
          <w:p w14:paraId="3D85D18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1162" w:type="dxa"/>
            <w:tcBorders>
              <w:top w:val="nil"/>
              <w:left w:val="nil"/>
              <w:bottom w:val="single" w:sz="4" w:space="0" w:color="auto"/>
              <w:right w:val="single" w:sz="4" w:space="0" w:color="auto"/>
            </w:tcBorders>
            <w:shd w:val="clear" w:color="auto" w:fill="auto"/>
            <w:noWrap/>
            <w:vAlign w:val="bottom"/>
            <w:hideMark/>
          </w:tcPr>
          <w:p w14:paraId="3D85D18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Quotient</w:t>
            </w:r>
          </w:p>
        </w:tc>
        <w:tc>
          <w:tcPr>
            <w:tcW w:w="1347" w:type="dxa"/>
            <w:tcBorders>
              <w:top w:val="nil"/>
              <w:left w:val="nil"/>
              <w:bottom w:val="single" w:sz="4" w:space="0" w:color="auto"/>
              <w:right w:val="nil"/>
            </w:tcBorders>
            <w:shd w:val="clear" w:color="auto" w:fill="auto"/>
            <w:noWrap/>
            <w:vAlign w:val="bottom"/>
            <w:hideMark/>
          </w:tcPr>
          <w:p w14:paraId="3D85D18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85" w:type="dxa"/>
            <w:tcBorders>
              <w:top w:val="nil"/>
              <w:left w:val="nil"/>
              <w:bottom w:val="single" w:sz="4" w:space="0" w:color="auto"/>
              <w:right w:val="nil"/>
            </w:tcBorders>
            <w:shd w:val="clear" w:color="auto" w:fill="auto"/>
            <w:noWrap/>
            <w:vAlign w:val="bottom"/>
            <w:hideMark/>
          </w:tcPr>
          <w:p w14:paraId="3D85D18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06" w:type="dxa"/>
            <w:tcBorders>
              <w:top w:val="nil"/>
              <w:left w:val="nil"/>
              <w:bottom w:val="single" w:sz="4" w:space="0" w:color="auto"/>
              <w:right w:val="nil"/>
            </w:tcBorders>
            <w:shd w:val="clear" w:color="auto" w:fill="auto"/>
            <w:noWrap/>
            <w:vAlign w:val="bottom"/>
            <w:hideMark/>
          </w:tcPr>
          <w:p w14:paraId="3D85D18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Risk</w:t>
            </w:r>
          </w:p>
        </w:tc>
        <w:tc>
          <w:tcPr>
            <w:tcW w:w="1250" w:type="dxa"/>
            <w:tcBorders>
              <w:top w:val="nil"/>
              <w:left w:val="nil"/>
              <w:bottom w:val="single" w:sz="4" w:space="0" w:color="auto"/>
              <w:right w:val="nil"/>
            </w:tcBorders>
            <w:shd w:val="clear" w:color="auto" w:fill="auto"/>
            <w:noWrap/>
            <w:vAlign w:val="bottom"/>
            <w:hideMark/>
          </w:tcPr>
          <w:p w14:paraId="3D85D18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1162" w:type="dxa"/>
            <w:tcBorders>
              <w:top w:val="nil"/>
              <w:left w:val="nil"/>
              <w:bottom w:val="single" w:sz="4" w:space="0" w:color="auto"/>
              <w:right w:val="single" w:sz="4" w:space="0" w:color="auto"/>
            </w:tcBorders>
            <w:shd w:val="clear" w:color="auto" w:fill="auto"/>
            <w:noWrap/>
            <w:vAlign w:val="bottom"/>
            <w:hideMark/>
          </w:tcPr>
          <w:p w14:paraId="3D85D18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Quotient</w:t>
            </w:r>
          </w:p>
        </w:tc>
        <w:tc>
          <w:tcPr>
            <w:tcW w:w="1246" w:type="dxa"/>
            <w:tcBorders>
              <w:top w:val="nil"/>
              <w:left w:val="nil"/>
              <w:bottom w:val="single" w:sz="4" w:space="0" w:color="auto"/>
              <w:right w:val="nil"/>
            </w:tcBorders>
            <w:shd w:val="clear" w:color="auto" w:fill="auto"/>
            <w:noWrap/>
            <w:vAlign w:val="bottom"/>
            <w:hideMark/>
          </w:tcPr>
          <w:p w14:paraId="3D85D189"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967" w:type="dxa"/>
            <w:tcBorders>
              <w:top w:val="nil"/>
              <w:left w:val="nil"/>
              <w:bottom w:val="single" w:sz="4" w:space="0" w:color="auto"/>
              <w:right w:val="nil"/>
            </w:tcBorders>
            <w:shd w:val="clear" w:color="auto" w:fill="auto"/>
            <w:noWrap/>
            <w:vAlign w:val="bottom"/>
            <w:hideMark/>
          </w:tcPr>
          <w:p w14:paraId="3D85D18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rPr>
              <w:t>(</w:t>
            </w:r>
            <w:r w:rsidRPr="0010235F">
              <w:rPr>
                <w:rFonts w:ascii="Arial" w:hAnsi="Arial" w:cs="Arial"/>
                <w:b/>
                <w:color w:val="000000"/>
              </w:rPr>
              <w:t>μ</w:t>
            </w:r>
            <w:r w:rsidRPr="0010235F">
              <w:rPr>
                <w:rFonts w:ascii="Arial" w:hAnsi="Arial" w:cs="Arial"/>
                <w:b/>
                <w:bCs/>
                <w:color w:val="000000"/>
              </w:rPr>
              <w:t>g/m</w:t>
            </w:r>
            <w:r w:rsidRPr="0010235F">
              <w:rPr>
                <w:rFonts w:ascii="Arial" w:hAnsi="Arial" w:cs="Arial"/>
                <w:b/>
                <w:bCs/>
                <w:color w:val="000000"/>
                <w:vertAlign w:val="superscript"/>
              </w:rPr>
              <w:t>3</w:t>
            </w:r>
            <w:r w:rsidRPr="0010235F">
              <w:rPr>
                <w:rFonts w:ascii="Arial" w:hAnsi="Arial" w:cs="Arial"/>
                <w:b/>
                <w:bCs/>
                <w:color w:val="000000"/>
              </w:rPr>
              <w:t>)</w:t>
            </w:r>
          </w:p>
        </w:tc>
        <w:tc>
          <w:tcPr>
            <w:tcW w:w="1039" w:type="dxa"/>
            <w:tcBorders>
              <w:top w:val="nil"/>
              <w:left w:val="nil"/>
              <w:bottom w:val="single" w:sz="4" w:space="0" w:color="auto"/>
              <w:right w:val="single" w:sz="4" w:space="0" w:color="auto"/>
            </w:tcBorders>
            <w:shd w:val="clear" w:color="auto" w:fill="auto"/>
            <w:noWrap/>
            <w:vAlign w:val="bottom"/>
            <w:hideMark/>
          </w:tcPr>
          <w:p w14:paraId="3D85D18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Quotient</w:t>
            </w:r>
          </w:p>
        </w:tc>
      </w:tr>
      <w:tr w:rsidR="0010235F" w:rsidRPr="0010235F" w14:paraId="3D85D1A0" w14:textId="77777777" w:rsidTr="004D46A4">
        <w:trPr>
          <w:trHeight w:val="288"/>
        </w:trPr>
        <w:tc>
          <w:tcPr>
            <w:tcW w:w="1429" w:type="dxa"/>
            <w:tcBorders>
              <w:top w:val="nil"/>
              <w:left w:val="single" w:sz="4" w:space="0" w:color="auto"/>
              <w:bottom w:val="nil"/>
              <w:right w:val="nil"/>
            </w:tcBorders>
            <w:shd w:val="clear" w:color="auto" w:fill="auto"/>
            <w:noWrap/>
            <w:vAlign w:val="bottom"/>
            <w:hideMark/>
          </w:tcPr>
          <w:p w14:paraId="3D85D18D"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 </w:t>
            </w:r>
          </w:p>
        </w:tc>
        <w:tc>
          <w:tcPr>
            <w:tcW w:w="1289" w:type="dxa"/>
            <w:tcBorders>
              <w:top w:val="nil"/>
              <w:left w:val="nil"/>
              <w:bottom w:val="nil"/>
              <w:right w:val="nil"/>
            </w:tcBorders>
            <w:shd w:val="clear" w:color="auto" w:fill="auto"/>
            <w:noWrap/>
            <w:vAlign w:val="bottom"/>
            <w:hideMark/>
          </w:tcPr>
          <w:p w14:paraId="3D85D18E" w14:textId="77777777" w:rsidR="0010235F" w:rsidRPr="0010235F" w:rsidRDefault="0010235F" w:rsidP="0010235F">
            <w:pPr>
              <w:jc w:val="center"/>
              <w:rPr>
                <w:rFonts w:ascii="Arial" w:hAnsi="Arial" w:cs="Arial"/>
                <w:b/>
                <w:bCs/>
                <w:color w:val="000000"/>
                <w:sz w:val="20"/>
                <w:szCs w:val="20"/>
              </w:rPr>
            </w:pPr>
          </w:p>
        </w:tc>
        <w:tc>
          <w:tcPr>
            <w:tcW w:w="967" w:type="dxa"/>
            <w:tcBorders>
              <w:top w:val="nil"/>
              <w:left w:val="nil"/>
              <w:bottom w:val="nil"/>
              <w:right w:val="nil"/>
            </w:tcBorders>
            <w:shd w:val="clear" w:color="auto" w:fill="auto"/>
            <w:noWrap/>
            <w:vAlign w:val="bottom"/>
            <w:hideMark/>
          </w:tcPr>
          <w:p w14:paraId="3D85D18F"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19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left w:val="nil"/>
              <w:bottom w:val="nil"/>
              <w:right w:val="nil"/>
            </w:tcBorders>
            <w:shd w:val="clear" w:color="auto" w:fill="auto"/>
            <w:noWrap/>
            <w:vAlign w:val="bottom"/>
            <w:hideMark/>
          </w:tcPr>
          <w:p w14:paraId="3D85D19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51" w:type="dxa"/>
            <w:tcBorders>
              <w:top w:val="nil"/>
              <w:left w:val="nil"/>
              <w:bottom w:val="nil"/>
              <w:right w:val="single" w:sz="4" w:space="0" w:color="auto"/>
            </w:tcBorders>
            <w:shd w:val="clear" w:color="auto" w:fill="auto"/>
            <w:noWrap/>
            <w:vAlign w:val="bottom"/>
            <w:hideMark/>
          </w:tcPr>
          <w:p w14:paraId="3D85D19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04" w:type="dxa"/>
            <w:tcBorders>
              <w:top w:val="nil"/>
              <w:left w:val="nil"/>
              <w:bottom w:val="nil"/>
              <w:right w:val="nil"/>
            </w:tcBorders>
            <w:shd w:val="clear" w:color="auto" w:fill="auto"/>
            <w:noWrap/>
            <w:vAlign w:val="bottom"/>
            <w:hideMark/>
          </w:tcPr>
          <w:p w14:paraId="3D85D193" w14:textId="77777777" w:rsidR="0010235F" w:rsidRPr="0010235F" w:rsidRDefault="0010235F" w:rsidP="0010235F">
            <w:pPr>
              <w:jc w:val="center"/>
              <w:rPr>
                <w:rFonts w:ascii="Arial" w:hAnsi="Arial" w:cs="Arial"/>
                <w:b/>
                <w:bCs/>
                <w:color w:val="000000"/>
                <w:sz w:val="20"/>
                <w:szCs w:val="20"/>
              </w:rPr>
            </w:pPr>
          </w:p>
        </w:tc>
        <w:tc>
          <w:tcPr>
            <w:tcW w:w="992" w:type="dxa"/>
            <w:tcBorders>
              <w:top w:val="nil"/>
              <w:left w:val="nil"/>
              <w:bottom w:val="nil"/>
              <w:right w:val="nil"/>
            </w:tcBorders>
            <w:shd w:val="clear" w:color="auto" w:fill="auto"/>
            <w:noWrap/>
            <w:vAlign w:val="bottom"/>
            <w:hideMark/>
          </w:tcPr>
          <w:p w14:paraId="3D85D194"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19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left w:val="nil"/>
              <w:bottom w:val="nil"/>
              <w:right w:val="nil"/>
            </w:tcBorders>
            <w:shd w:val="clear" w:color="auto" w:fill="auto"/>
            <w:noWrap/>
            <w:vAlign w:val="bottom"/>
            <w:hideMark/>
          </w:tcPr>
          <w:p w14:paraId="3D85D19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62" w:type="dxa"/>
            <w:tcBorders>
              <w:top w:val="nil"/>
              <w:left w:val="nil"/>
              <w:bottom w:val="nil"/>
              <w:right w:val="single" w:sz="4" w:space="0" w:color="auto"/>
            </w:tcBorders>
            <w:shd w:val="clear" w:color="auto" w:fill="auto"/>
            <w:noWrap/>
            <w:vAlign w:val="bottom"/>
            <w:hideMark/>
          </w:tcPr>
          <w:p w14:paraId="3D85D19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347" w:type="dxa"/>
            <w:tcBorders>
              <w:top w:val="nil"/>
              <w:left w:val="nil"/>
              <w:bottom w:val="nil"/>
              <w:right w:val="nil"/>
            </w:tcBorders>
            <w:shd w:val="clear" w:color="auto" w:fill="auto"/>
            <w:noWrap/>
            <w:vAlign w:val="bottom"/>
            <w:hideMark/>
          </w:tcPr>
          <w:p w14:paraId="3D85D198" w14:textId="77777777" w:rsidR="0010235F" w:rsidRPr="0010235F" w:rsidRDefault="0010235F" w:rsidP="0010235F">
            <w:pPr>
              <w:jc w:val="center"/>
              <w:rPr>
                <w:rFonts w:ascii="Arial" w:hAnsi="Arial" w:cs="Arial"/>
                <w:b/>
                <w:bCs/>
                <w:color w:val="000000"/>
                <w:sz w:val="20"/>
                <w:szCs w:val="20"/>
              </w:rPr>
            </w:pPr>
          </w:p>
        </w:tc>
        <w:tc>
          <w:tcPr>
            <w:tcW w:w="985" w:type="dxa"/>
            <w:tcBorders>
              <w:top w:val="nil"/>
              <w:left w:val="nil"/>
              <w:bottom w:val="nil"/>
              <w:right w:val="nil"/>
            </w:tcBorders>
            <w:shd w:val="clear" w:color="auto" w:fill="auto"/>
            <w:noWrap/>
            <w:vAlign w:val="bottom"/>
            <w:hideMark/>
          </w:tcPr>
          <w:p w14:paraId="3D85D199"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19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left w:val="nil"/>
              <w:bottom w:val="nil"/>
              <w:right w:val="nil"/>
            </w:tcBorders>
            <w:shd w:val="clear" w:color="auto" w:fill="auto"/>
            <w:noWrap/>
            <w:vAlign w:val="bottom"/>
            <w:hideMark/>
          </w:tcPr>
          <w:p w14:paraId="3D85D19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62" w:type="dxa"/>
            <w:tcBorders>
              <w:top w:val="nil"/>
              <w:left w:val="nil"/>
              <w:bottom w:val="nil"/>
              <w:right w:val="single" w:sz="4" w:space="0" w:color="auto"/>
            </w:tcBorders>
            <w:shd w:val="clear" w:color="auto" w:fill="auto"/>
            <w:noWrap/>
            <w:vAlign w:val="bottom"/>
            <w:hideMark/>
          </w:tcPr>
          <w:p w14:paraId="3D85D19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46" w:type="dxa"/>
            <w:tcBorders>
              <w:top w:val="nil"/>
              <w:left w:val="nil"/>
              <w:bottom w:val="nil"/>
              <w:right w:val="nil"/>
            </w:tcBorders>
            <w:shd w:val="clear" w:color="auto" w:fill="auto"/>
            <w:noWrap/>
            <w:vAlign w:val="bottom"/>
            <w:hideMark/>
          </w:tcPr>
          <w:p w14:paraId="3D85D19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19E"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1039" w:type="dxa"/>
            <w:tcBorders>
              <w:top w:val="nil"/>
              <w:left w:val="nil"/>
              <w:bottom w:val="nil"/>
              <w:right w:val="single" w:sz="4" w:space="0" w:color="auto"/>
            </w:tcBorders>
            <w:shd w:val="clear" w:color="auto" w:fill="auto"/>
            <w:noWrap/>
            <w:vAlign w:val="bottom"/>
            <w:hideMark/>
          </w:tcPr>
          <w:p w14:paraId="3D85D19F"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D1B3" w14:textId="77777777" w:rsidTr="004D46A4">
        <w:trPr>
          <w:trHeight w:val="288"/>
        </w:trPr>
        <w:tc>
          <w:tcPr>
            <w:tcW w:w="2718" w:type="dxa"/>
            <w:gridSpan w:val="2"/>
            <w:tcBorders>
              <w:top w:val="nil"/>
              <w:left w:val="single" w:sz="4" w:space="0" w:color="auto"/>
              <w:bottom w:val="nil"/>
              <w:right w:val="nil"/>
            </w:tcBorders>
            <w:shd w:val="clear" w:color="auto" w:fill="auto"/>
            <w:noWrap/>
            <w:vAlign w:val="bottom"/>
            <w:hideMark/>
          </w:tcPr>
          <w:p w14:paraId="3D85D1A1"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Emission Unit 1</w:t>
            </w:r>
          </w:p>
        </w:tc>
        <w:tc>
          <w:tcPr>
            <w:tcW w:w="967" w:type="dxa"/>
            <w:tcBorders>
              <w:top w:val="nil"/>
              <w:left w:val="nil"/>
              <w:bottom w:val="nil"/>
              <w:right w:val="nil"/>
            </w:tcBorders>
            <w:shd w:val="clear" w:color="auto" w:fill="auto"/>
            <w:noWrap/>
            <w:vAlign w:val="bottom"/>
            <w:hideMark/>
          </w:tcPr>
          <w:p w14:paraId="3D85D1A2"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1A3"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nil"/>
              <w:bottom w:val="nil"/>
              <w:right w:val="nil"/>
            </w:tcBorders>
            <w:shd w:val="clear" w:color="auto" w:fill="auto"/>
            <w:noWrap/>
            <w:vAlign w:val="bottom"/>
            <w:hideMark/>
          </w:tcPr>
          <w:p w14:paraId="3D85D1A4" w14:textId="77777777" w:rsidR="0010235F" w:rsidRPr="0010235F" w:rsidRDefault="0010235F" w:rsidP="0010235F">
            <w:pPr>
              <w:jc w:val="center"/>
              <w:rPr>
                <w:rFonts w:ascii="Arial" w:hAnsi="Arial" w:cs="Arial"/>
                <w:b/>
                <w:bCs/>
                <w:color w:val="000000"/>
                <w:sz w:val="20"/>
                <w:szCs w:val="20"/>
              </w:rPr>
            </w:pPr>
          </w:p>
        </w:tc>
        <w:tc>
          <w:tcPr>
            <w:tcW w:w="1051" w:type="dxa"/>
            <w:tcBorders>
              <w:top w:val="nil"/>
              <w:left w:val="nil"/>
              <w:bottom w:val="nil"/>
              <w:right w:val="single" w:sz="4" w:space="0" w:color="auto"/>
            </w:tcBorders>
            <w:shd w:val="clear" w:color="auto" w:fill="auto"/>
            <w:noWrap/>
            <w:vAlign w:val="bottom"/>
            <w:hideMark/>
          </w:tcPr>
          <w:p w14:paraId="3D85D1A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04" w:type="dxa"/>
            <w:tcBorders>
              <w:top w:val="nil"/>
              <w:left w:val="nil"/>
              <w:bottom w:val="nil"/>
              <w:right w:val="nil"/>
            </w:tcBorders>
            <w:shd w:val="clear" w:color="auto" w:fill="auto"/>
            <w:noWrap/>
            <w:vAlign w:val="bottom"/>
            <w:hideMark/>
          </w:tcPr>
          <w:p w14:paraId="3D85D1A6" w14:textId="77777777" w:rsidR="0010235F" w:rsidRPr="0010235F" w:rsidRDefault="0010235F" w:rsidP="0010235F">
            <w:pPr>
              <w:jc w:val="center"/>
              <w:rPr>
                <w:rFonts w:ascii="Arial" w:hAnsi="Arial" w:cs="Arial"/>
                <w:b/>
                <w:bCs/>
                <w:color w:val="000000"/>
                <w:sz w:val="20"/>
                <w:szCs w:val="20"/>
              </w:rPr>
            </w:pPr>
          </w:p>
        </w:tc>
        <w:tc>
          <w:tcPr>
            <w:tcW w:w="992" w:type="dxa"/>
            <w:tcBorders>
              <w:top w:val="nil"/>
              <w:left w:val="nil"/>
              <w:bottom w:val="nil"/>
              <w:right w:val="nil"/>
            </w:tcBorders>
            <w:shd w:val="clear" w:color="auto" w:fill="auto"/>
            <w:noWrap/>
            <w:vAlign w:val="bottom"/>
            <w:hideMark/>
          </w:tcPr>
          <w:p w14:paraId="3D85D1A7"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1A8"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nil"/>
              <w:bottom w:val="nil"/>
              <w:right w:val="nil"/>
            </w:tcBorders>
            <w:shd w:val="clear" w:color="auto" w:fill="auto"/>
            <w:noWrap/>
            <w:vAlign w:val="bottom"/>
            <w:hideMark/>
          </w:tcPr>
          <w:p w14:paraId="3D85D1A9" w14:textId="77777777" w:rsidR="0010235F" w:rsidRPr="0010235F" w:rsidRDefault="0010235F" w:rsidP="0010235F">
            <w:pPr>
              <w:jc w:val="center"/>
              <w:rPr>
                <w:rFonts w:ascii="Arial" w:hAnsi="Arial" w:cs="Arial"/>
                <w:b/>
                <w:bCs/>
                <w:color w:val="000000"/>
                <w:sz w:val="20"/>
                <w:szCs w:val="20"/>
              </w:rPr>
            </w:pPr>
          </w:p>
        </w:tc>
        <w:tc>
          <w:tcPr>
            <w:tcW w:w="1162" w:type="dxa"/>
            <w:tcBorders>
              <w:top w:val="nil"/>
              <w:left w:val="nil"/>
              <w:bottom w:val="nil"/>
              <w:right w:val="single" w:sz="4" w:space="0" w:color="auto"/>
            </w:tcBorders>
            <w:shd w:val="clear" w:color="auto" w:fill="auto"/>
            <w:noWrap/>
            <w:vAlign w:val="bottom"/>
            <w:hideMark/>
          </w:tcPr>
          <w:p w14:paraId="3D85D1A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347" w:type="dxa"/>
            <w:tcBorders>
              <w:top w:val="nil"/>
              <w:left w:val="nil"/>
              <w:bottom w:val="nil"/>
              <w:right w:val="nil"/>
            </w:tcBorders>
            <w:shd w:val="clear" w:color="auto" w:fill="auto"/>
            <w:noWrap/>
            <w:vAlign w:val="bottom"/>
            <w:hideMark/>
          </w:tcPr>
          <w:p w14:paraId="3D85D1AB" w14:textId="77777777" w:rsidR="0010235F" w:rsidRPr="0010235F" w:rsidRDefault="0010235F" w:rsidP="0010235F">
            <w:pPr>
              <w:jc w:val="center"/>
              <w:rPr>
                <w:rFonts w:ascii="Arial" w:hAnsi="Arial" w:cs="Arial"/>
                <w:b/>
                <w:bCs/>
                <w:color w:val="000000"/>
                <w:sz w:val="20"/>
                <w:szCs w:val="20"/>
              </w:rPr>
            </w:pPr>
          </w:p>
        </w:tc>
        <w:tc>
          <w:tcPr>
            <w:tcW w:w="985" w:type="dxa"/>
            <w:tcBorders>
              <w:top w:val="nil"/>
              <w:left w:val="nil"/>
              <w:bottom w:val="nil"/>
              <w:right w:val="nil"/>
            </w:tcBorders>
            <w:shd w:val="clear" w:color="auto" w:fill="auto"/>
            <w:noWrap/>
            <w:vAlign w:val="bottom"/>
            <w:hideMark/>
          </w:tcPr>
          <w:p w14:paraId="3D85D1AC"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1AD"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nil"/>
              <w:bottom w:val="nil"/>
              <w:right w:val="nil"/>
            </w:tcBorders>
            <w:shd w:val="clear" w:color="auto" w:fill="auto"/>
            <w:noWrap/>
            <w:vAlign w:val="bottom"/>
            <w:hideMark/>
          </w:tcPr>
          <w:p w14:paraId="3D85D1AE" w14:textId="77777777" w:rsidR="0010235F" w:rsidRPr="0010235F" w:rsidRDefault="0010235F" w:rsidP="0010235F">
            <w:pPr>
              <w:jc w:val="center"/>
              <w:rPr>
                <w:rFonts w:ascii="Arial" w:hAnsi="Arial" w:cs="Arial"/>
                <w:b/>
                <w:bCs/>
                <w:color w:val="000000"/>
                <w:sz w:val="20"/>
                <w:szCs w:val="20"/>
              </w:rPr>
            </w:pPr>
          </w:p>
        </w:tc>
        <w:tc>
          <w:tcPr>
            <w:tcW w:w="1162" w:type="dxa"/>
            <w:tcBorders>
              <w:top w:val="nil"/>
              <w:left w:val="nil"/>
              <w:bottom w:val="nil"/>
              <w:right w:val="single" w:sz="4" w:space="0" w:color="auto"/>
            </w:tcBorders>
            <w:shd w:val="clear" w:color="auto" w:fill="auto"/>
            <w:noWrap/>
            <w:vAlign w:val="bottom"/>
            <w:hideMark/>
          </w:tcPr>
          <w:p w14:paraId="3D85D1A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46" w:type="dxa"/>
            <w:tcBorders>
              <w:top w:val="nil"/>
              <w:left w:val="nil"/>
              <w:bottom w:val="nil"/>
              <w:right w:val="nil"/>
            </w:tcBorders>
            <w:shd w:val="clear" w:color="auto" w:fill="auto"/>
            <w:noWrap/>
            <w:vAlign w:val="bottom"/>
            <w:hideMark/>
          </w:tcPr>
          <w:p w14:paraId="3D85D1B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1B1" w14:textId="77777777" w:rsidR="0010235F" w:rsidRPr="0010235F" w:rsidRDefault="0010235F" w:rsidP="0010235F">
            <w:pPr>
              <w:rPr>
                <w:rFonts w:ascii="Arial" w:hAnsi="Arial" w:cs="Arial"/>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D1B2"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D1C7" w14:textId="77777777" w:rsidTr="004D46A4">
        <w:trPr>
          <w:trHeight w:val="288"/>
        </w:trPr>
        <w:tc>
          <w:tcPr>
            <w:tcW w:w="1429" w:type="dxa"/>
            <w:tcBorders>
              <w:top w:val="nil"/>
              <w:left w:val="single" w:sz="4" w:space="0" w:color="auto"/>
              <w:bottom w:val="nil"/>
              <w:right w:val="nil"/>
            </w:tcBorders>
            <w:shd w:val="clear" w:color="auto" w:fill="auto"/>
            <w:vAlign w:val="bottom"/>
            <w:hideMark/>
          </w:tcPr>
          <w:p w14:paraId="3D85D1B4"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Cobalt</w:t>
            </w:r>
          </w:p>
        </w:tc>
        <w:tc>
          <w:tcPr>
            <w:tcW w:w="1289" w:type="dxa"/>
            <w:tcBorders>
              <w:top w:val="nil"/>
              <w:left w:val="nil"/>
              <w:bottom w:val="nil"/>
              <w:right w:val="nil"/>
            </w:tcBorders>
            <w:shd w:val="clear" w:color="auto" w:fill="auto"/>
            <w:vAlign w:val="bottom"/>
            <w:hideMark/>
          </w:tcPr>
          <w:p w14:paraId="3D85D1B5"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0.001</w:t>
            </w:r>
            <w:r w:rsidR="00C4680B">
              <w:rPr>
                <w:rFonts w:ascii="Arial" w:hAnsi="Arial" w:cs="Arial"/>
                <w:color w:val="000000"/>
                <w:sz w:val="20"/>
                <w:szCs w:val="20"/>
              </w:rPr>
              <w:t>5</w:t>
            </w:r>
          </w:p>
        </w:tc>
        <w:tc>
          <w:tcPr>
            <w:tcW w:w="967" w:type="dxa"/>
            <w:tcBorders>
              <w:top w:val="nil"/>
              <w:left w:val="nil"/>
              <w:bottom w:val="nil"/>
              <w:right w:val="nil"/>
            </w:tcBorders>
            <w:shd w:val="clear" w:color="auto" w:fill="auto"/>
            <w:noWrap/>
            <w:vAlign w:val="bottom"/>
            <w:hideMark/>
          </w:tcPr>
          <w:p w14:paraId="3D85D1B6"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0.00011</w:t>
            </w:r>
          </w:p>
        </w:tc>
        <w:tc>
          <w:tcPr>
            <w:tcW w:w="906" w:type="dxa"/>
            <w:tcBorders>
              <w:top w:val="nil"/>
              <w:left w:val="nil"/>
              <w:bottom w:val="nil"/>
              <w:right w:val="nil"/>
            </w:tcBorders>
            <w:shd w:val="clear" w:color="auto" w:fill="auto"/>
            <w:noWrap/>
            <w:vAlign w:val="bottom"/>
            <w:hideMark/>
          </w:tcPr>
          <w:p w14:paraId="3D85D1B7"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1</w:t>
            </w:r>
            <w:r w:rsidR="00C4680B">
              <w:rPr>
                <w:rFonts w:ascii="Arial" w:hAnsi="Arial" w:cs="Arial"/>
                <w:color w:val="000000"/>
                <w:sz w:val="20"/>
                <w:szCs w:val="20"/>
              </w:rPr>
              <w:t>4</w:t>
            </w:r>
          </w:p>
        </w:tc>
        <w:tc>
          <w:tcPr>
            <w:tcW w:w="1250" w:type="dxa"/>
            <w:tcBorders>
              <w:top w:val="nil"/>
              <w:left w:val="nil"/>
              <w:bottom w:val="nil"/>
              <w:right w:val="nil"/>
            </w:tcBorders>
            <w:shd w:val="clear" w:color="auto" w:fill="auto"/>
            <w:noWrap/>
            <w:vAlign w:val="bottom"/>
            <w:hideMark/>
          </w:tcPr>
          <w:p w14:paraId="3D85D1B8"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0.10</w:t>
            </w:r>
          </w:p>
        </w:tc>
        <w:tc>
          <w:tcPr>
            <w:tcW w:w="1051" w:type="dxa"/>
            <w:tcBorders>
              <w:top w:val="nil"/>
              <w:left w:val="nil"/>
              <w:bottom w:val="nil"/>
              <w:right w:val="single" w:sz="4" w:space="0" w:color="auto"/>
            </w:tcBorders>
            <w:shd w:val="clear" w:color="auto" w:fill="auto"/>
            <w:noWrap/>
            <w:vAlign w:val="bottom"/>
            <w:hideMark/>
          </w:tcPr>
          <w:p w14:paraId="3D85D1B9"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0.01</w:t>
            </w:r>
            <w:r w:rsidR="00C4680B">
              <w:rPr>
                <w:rFonts w:ascii="Arial" w:hAnsi="Arial" w:cs="Arial"/>
                <w:color w:val="000000"/>
                <w:sz w:val="20"/>
                <w:szCs w:val="20"/>
              </w:rPr>
              <w:t>5</w:t>
            </w:r>
          </w:p>
        </w:tc>
        <w:tc>
          <w:tcPr>
            <w:tcW w:w="1204" w:type="dxa"/>
            <w:tcBorders>
              <w:top w:val="nil"/>
              <w:left w:val="nil"/>
              <w:bottom w:val="nil"/>
              <w:right w:val="nil"/>
            </w:tcBorders>
            <w:shd w:val="clear" w:color="auto" w:fill="auto"/>
            <w:vAlign w:val="bottom"/>
            <w:hideMark/>
          </w:tcPr>
          <w:p w14:paraId="3D85D1BA"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0.00066</w:t>
            </w:r>
          </w:p>
        </w:tc>
        <w:tc>
          <w:tcPr>
            <w:tcW w:w="992" w:type="dxa"/>
            <w:tcBorders>
              <w:top w:val="nil"/>
              <w:left w:val="nil"/>
              <w:bottom w:val="nil"/>
              <w:right w:val="nil"/>
            </w:tcBorders>
            <w:shd w:val="clear" w:color="auto" w:fill="auto"/>
            <w:noWrap/>
            <w:vAlign w:val="bottom"/>
            <w:hideMark/>
          </w:tcPr>
          <w:p w14:paraId="3D85D1BB"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0.0028</w:t>
            </w:r>
          </w:p>
        </w:tc>
        <w:tc>
          <w:tcPr>
            <w:tcW w:w="906" w:type="dxa"/>
            <w:tcBorders>
              <w:top w:val="nil"/>
              <w:left w:val="nil"/>
              <w:bottom w:val="nil"/>
              <w:right w:val="nil"/>
            </w:tcBorders>
            <w:shd w:val="clear" w:color="auto" w:fill="auto"/>
            <w:noWrap/>
            <w:vAlign w:val="bottom"/>
            <w:hideMark/>
          </w:tcPr>
          <w:p w14:paraId="3D85D1BC"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0.2</w:t>
            </w:r>
            <w:r w:rsidR="00C4680B">
              <w:rPr>
                <w:rFonts w:ascii="Arial" w:hAnsi="Arial" w:cs="Arial"/>
                <w:color w:val="000000"/>
                <w:sz w:val="20"/>
                <w:szCs w:val="20"/>
              </w:rPr>
              <w:t>4</w:t>
            </w:r>
          </w:p>
        </w:tc>
        <w:tc>
          <w:tcPr>
            <w:tcW w:w="1250" w:type="dxa"/>
            <w:tcBorders>
              <w:top w:val="nil"/>
              <w:left w:val="nil"/>
              <w:bottom w:val="nil"/>
              <w:right w:val="nil"/>
            </w:tcBorders>
            <w:shd w:val="clear" w:color="auto" w:fill="auto"/>
            <w:noWrap/>
            <w:vAlign w:val="bottom"/>
            <w:hideMark/>
          </w:tcPr>
          <w:p w14:paraId="3D85D1BD"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0.42</w:t>
            </w:r>
          </w:p>
        </w:tc>
        <w:tc>
          <w:tcPr>
            <w:tcW w:w="1162" w:type="dxa"/>
            <w:tcBorders>
              <w:top w:val="nil"/>
              <w:left w:val="nil"/>
              <w:bottom w:val="nil"/>
              <w:right w:val="single" w:sz="4" w:space="0" w:color="auto"/>
            </w:tcBorders>
            <w:shd w:val="clear" w:color="auto" w:fill="auto"/>
            <w:noWrap/>
            <w:vAlign w:val="bottom"/>
            <w:hideMark/>
          </w:tcPr>
          <w:p w14:paraId="3D85D1BE" w14:textId="77777777" w:rsidR="0010235F" w:rsidRPr="0010235F" w:rsidRDefault="0010235F" w:rsidP="00C4680B">
            <w:pPr>
              <w:jc w:val="center"/>
              <w:rPr>
                <w:rFonts w:ascii="Arial" w:hAnsi="Arial" w:cs="Arial"/>
                <w:color w:val="000000"/>
                <w:sz w:val="20"/>
                <w:szCs w:val="20"/>
              </w:rPr>
            </w:pPr>
            <w:r w:rsidRPr="0010235F">
              <w:rPr>
                <w:rFonts w:ascii="Arial" w:hAnsi="Arial" w:cs="Arial"/>
                <w:color w:val="000000"/>
                <w:sz w:val="20"/>
                <w:szCs w:val="20"/>
              </w:rPr>
              <w:t>0.001</w:t>
            </w:r>
            <w:r w:rsidR="00C4680B">
              <w:rPr>
                <w:rFonts w:ascii="Arial" w:hAnsi="Arial" w:cs="Arial"/>
                <w:color w:val="000000"/>
                <w:sz w:val="20"/>
                <w:szCs w:val="20"/>
              </w:rPr>
              <w:t>6</w:t>
            </w:r>
          </w:p>
        </w:tc>
        <w:tc>
          <w:tcPr>
            <w:tcW w:w="1347" w:type="dxa"/>
            <w:tcBorders>
              <w:top w:val="nil"/>
              <w:left w:val="nil"/>
              <w:bottom w:val="nil"/>
              <w:right w:val="nil"/>
            </w:tcBorders>
            <w:shd w:val="clear" w:color="auto" w:fill="auto"/>
            <w:vAlign w:val="bottom"/>
            <w:hideMark/>
          </w:tcPr>
          <w:p w14:paraId="3D85D1BF"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0.0007</w:t>
            </w:r>
          </w:p>
        </w:tc>
        <w:tc>
          <w:tcPr>
            <w:tcW w:w="985" w:type="dxa"/>
            <w:tcBorders>
              <w:top w:val="nil"/>
              <w:left w:val="nil"/>
              <w:bottom w:val="nil"/>
              <w:right w:val="nil"/>
            </w:tcBorders>
            <w:shd w:val="clear" w:color="auto" w:fill="auto"/>
            <w:noWrap/>
            <w:vAlign w:val="bottom"/>
            <w:hideMark/>
          </w:tcPr>
          <w:p w14:paraId="3D85D1C0"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0.0013</w:t>
            </w:r>
          </w:p>
        </w:tc>
        <w:tc>
          <w:tcPr>
            <w:tcW w:w="906" w:type="dxa"/>
            <w:tcBorders>
              <w:top w:val="nil"/>
              <w:left w:val="nil"/>
              <w:bottom w:val="nil"/>
              <w:right w:val="nil"/>
            </w:tcBorders>
            <w:shd w:val="clear" w:color="auto" w:fill="auto"/>
            <w:noWrap/>
            <w:vAlign w:val="bottom"/>
            <w:hideMark/>
          </w:tcPr>
          <w:p w14:paraId="3D85D1C1"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0.51</w:t>
            </w:r>
          </w:p>
        </w:tc>
        <w:tc>
          <w:tcPr>
            <w:tcW w:w="1250" w:type="dxa"/>
            <w:tcBorders>
              <w:top w:val="nil"/>
              <w:left w:val="nil"/>
              <w:bottom w:val="nil"/>
              <w:right w:val="nil"/>
            </w:tcBorders>
            <w:shd w:val="clear" w:color="auto" w:fill="auto"/>
            <w:noWrap/>
            <w:vAlign w:val="bottom"/>
            <w:hideMark/>
          </w:tcPr>
          <w:p w14:paraId="3D85D1C2"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0.42</w:t>
            </w:r>
          </w:p>
        </w:tc>
        <w:tc>
          <w:tcPr>
            <w:tcW w:w="1162" w:type="dxa"/>
            <w:tcBorders>
              <w:top w:val="nil"/>
              <w:left w:val="nil"/>
              <w:bottom w:val="nil"/>
              <w:right w:val="single" w:sz="4" w:space="0" w:color="auto"/>
            </w:tcBorders>
            <w:shd w:val="clear" w:color="auto" w:fill="auto"/>
            <w:noWrap/>
            <w:vAlign w:val="bottom"/>
            <w:hideMark/>
          </w:tcPr>
          <w:p w14:paraId="3D85D1C3"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0.0016</w:t>
            </w:r>
          </w:p>
        </w:tc>
        <w:tc>
          <w:tcPr>
            <w:tcW w:w="1246" w:type="dxa"/>
            <w:tcBorders>
              <w:top w:val="nil"/>
              <w:left w:val="nil"/>
              <w:bottom w:val="nil"/>
              <w:right w:val="nil"/>
            </w:tcBorders>
            <w:shd w:val="clear" w:color="auto" w:fill="auto"/>
            <w:vAlign w:val="bottom"/>
            <w:hideMark/>
          </w:tcPr>
          <w:p w14:paraId="3D85D1C4"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0.020</w:t>
            </w:r>
          </w:p>
        </w:tc>
        <w:tc>
          <w:tcPr>
            <w:tcW w:w="967" w:type="dxa"/>
            <w:tcBorders>
              <w:top w:val="nil"/>
              <w:left w:val="nil"/>
              <w:bottom w:val="nil"/>
              <w:right w:val="nil"/>
            </w:tcBorders>
            <w:shd w:val="clear" w:color="auto" w:fill="auto"/>
            <w:noWrap/>
            <w:vAlign w:val="bottom"/>
            <w:hideMark/>
          </w:tcPr>
          <w:p w14:paraId="3D85D1C5" w14:textId="77777777" w:rsidR="0010235F" w:rsidRPr="0010235F" w:rsidRDefault="0010235F" w:rsidP="0010235F">
            <w:pPr>
              <w:jc w:val="center"/>
              <w:rPr>
                <w:rFonts w:ascii="Arial" w:hAnsi="Arial" w:cs="Arial"/>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D1C6"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D1DB" w14:textId="77777777" w:rsidTr="004D46A4">
        <w:trPr>
          <w:trHeight w:val="300"/>
        </w:trPr>
        <w:tc>
          <w:tcPr>
            <w:tcW w:w="1429" w:type="dxa"/>
            <w:tcBorders>
              <w:top w:val="nil"/>
              <w:left w:val="single" w:sz="4" w:space="0" w:color="auto"/>
              <w:bottom w:val="nil"/>
              <w:right w:val="nil"/>
            </w:tcBorders>
            <w:shd w:val="clear" w:color="auto" w:fill="auto"/>
            <w:vAlign w:val="center"/>
            <w:hideMark/>
          </w:tcPr>
          <w:p w14:paraId="3D85D1C8"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Manganese</w:t>
            </w:r>
          </w:p>
        </w:tc>
        <w:tc>
          <w:tcPr>
            <w:tcW w:w="1289" w:type="dxa"/>
            <w:tcBorders>
              <w:top w:val="nil"/>
              <w:left w:val="nil"/>
              <w:bottom w:val="nil"/>
              <w:right w:val="nil"/>
            </w:tcBorders>
            <w:shd w:val="clear" w:color="auto" w:fill="auto"/>
            <w:vAlign w:val="bottom"/>
            <w:hideMark/>
          </w:tcPr>
          <w:p w14:paraId="3D85D1C9"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0.002</w:t>
            </w:r>
            <w:r w:rsidR="00C4680B">
              <w:rPr>
                <w:rFonts w:ascii="Arial" w:hAnsi="Arial" w:cs="Arial"/>
                <w:color w:val="000000"/>
                <w:sz w:val="20"/>
                <w:szCs w:val="20"/>
              </w:rPr>
              <w:t>6</w:t>
            </w:r>
          </w:p>
        </w:tc>
        <w:tc>
          <w:tcPr>
            <w:tcW w:w="967" w:type="dxa"/>
            <w:tcBorders>
              <w:top w:val="nil"/>
              <w:left w:val="nil"/>
              <w:bottom w:val="nil"/>
              <w:right w:val="nil"/>
            </w:tcBorders>
            <w:shd w:val="clear" w:color="auto" w:fill="auto"/>
            <w:noWrap/>
            <w:vAlign w:val="bottom"/>
            <w:hideMark/>
          </w:tcPr>
          <w:p w14:paraId="3D85D1CA"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1CB" w14:textId="77777777" w:rsidR="0010235F" w:rsidRPr="0010235F" w:rsidRDefault="0010235F"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D1CC"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0.090</w:t>
            </w:r>
          </w:p>
        </w:tc>
        <w:tc>
          <w:tcPr>
            <w:tcW w:w="1051" w:type="dxa"/>
            <w:tcBorders>
              <w:top w:val="nil"/>
              <w:left w:val="nil"/>
              <w:bottom w:val="nil"/>
              <w:right w:val="single" w:sz="4" w:space="0" w:color="auto"/>
            </w:tcBorders>
            <w:shd w:val="clear" w:color="auto" w:fill="auto"/>
            <w:noWrap/>
            <w:vAlign w:val="bottom"/>
            <w:hideMark/>
          </w:tcPr>
          <w:p w14:paraId="3D85D1CD"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w:t>
            </w:r>
            <w:r w:rsidR="00C4680B">
              <w:rPr>
                <w:rFonts w:ascii="Arial" w:hAnsi="Arial" w:cs="Arial"/>
                <w:color w:val="000000"/>
                <w:sz w:val="20"/>
                <w:szCs w:val="20"/>
              </w:rPr>
              <w:t>29</w:t>
            </w:r>
          </w:p>
        </w:tc>
        <w:tc>
          <w:tcPr>
            <w:tcW w:w="1204" w:type="dxa"/>
            <w:tcBorders>
              <w:top w:val="nil"/>
              <w:left w:val="nil"/>
              <w:bottom w:val="nil"/>
              <w:right w:val="nil"/>
            </w:tcBorders>
            <w:shd w:val="clear" w:color="auto" w:fill="auto"/>
            <w:vAlign w:val="bottom"/>
            <w:hideMark/>
          </w:tcPr>
          <w:p w14:paraId="3D85D1CE"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0.0012</w:t>
            </w:r>
          </w:p>
        </w:tc>
        <w:tc>
          <w:tcPr>
            <w:tcW w:w="992" w:type="dxa"/>
            <w:tcBorders>
              <w:top w:val="nil"/>
              <w:left w:val="nil"/>
              <w:bottom w:val="nil"/>
              <w:right w:val="nil"/>
            </w:tcBorders>
            <w:shd w:val="clear" w:color="auto" w:fill="auto"/>
            <w:noWrap/>
            <w:vAlign w:val="bottom"/>
            <w:hideMark/>
          </w:tcPr>
          <w:p w14:paraId="3D85D1CF"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1D0" w14:textId="77777777" w:rsidR="0010235F" w:rsidRPr="0010235F" w:rsidRDefault="0010235F"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D1D1"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0.38</w:t>
            </w:r>
          </w:p>
        </w:tc>
        <w:tc>
          <w:tcPr>
            <w:tcW w:w="1162" w:type="dxa"/>
            <w:tcBorders>
              <w:top w:val="nil"/>
              <w:left w:val="nil"/>
              <w:bottom w:val="nil"/>
              <w:right w:val="single" w:sz="4" w:space="0" w:color="auto"/>
            </w:tcBorders>
            <w:shd w:val="clear" w:color="auto" w:fill="auto"/>
            <w:noWrap/>
            <w:vAlign w:val="bottom"/>
            <w:hideMark/>
          </w:tcPr>
          <w:p w14:paraId="3D85D1D2"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0.00</w:t>
            </w:r>
            <w:r w:rsidR="00C4680B">
              <w:rPr>
                <w:rFonts w:ascii="Arial" w:hAnsi="Arial" w:cs="Arial"/>
                <w:color w:val="000000"/>
                <w:sz w:val="20"/>
                <w:szCs w:val="20"/>
              </w:rPr>
              <w:t>30</w:t>
            </w:r>
          </w:p>
        </w:tc>
        <w:tc>
          <w:tcPr>
            <w:tcW w:w="1347" w:type="dxa"/>
            <w:tcBorders>
              <w:top w:val="nil"/>
              <w:left w:val="nil"/>
              <w:bottom w:val="nil"/>
              <w:right w:val="nil"/>
            </w:tcBorders>
            <w:shd w:val="clear" w:color="auto" w:fill="auto"/>
            <w:vAlign w:val="bottom"/>
            <w:hideMark/>
          </w:tcPr>
          <w:p w14:paraId="3D85D1D3"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0.0012</w:t>
            </w:r>
          </w:p>
        </w:tc>
        <w:tc>
          <w:tcPr>
            <w:tcW w:w="985" w:type="dxa"/>
            <w:tcBorders>
              <w:top w:val="nil"/>
              <w:left w:val="nil"/>
              <w:bottom w:val="nil"/>
              <w:right w:val="nil"/>
            </w:tcBorders>
            <w:shd w:val="clear" w:color="auto" w:fill="auto"/>
            <w:noWrap/>
            <w:vAlign w:val="bottom"/>
            <w:hideMark/>
          </w:tcPr>
          <w:p w14:paraId="3D85D1D4"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1D5" w14:textId="77777777" w:rsidR="0010235F" w:rsidRPr="0010235F" w:rsidRDefault="0010235F"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D1D6"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0.38</w:t>
            </w:r>
          </w:p>
        </w:tc>
        <w:tc>
          <w:tcPr>
            <w:tcW w:w="1162" w:type="dxa"/>
            <w:tcBorders>
              <w:top w:val="nil"/>
              <w:left w:val="nil"/>
              <w:bottom w:val="nil"/>
              <w:right w:val="single" w:sz="4" w:space="0" w:color="auto"/>
            </w:tcBorders>
            <w:shd w:val="clear" w:color="auto" w:fill="auto"/>
            <w:noWrap/>
            <w:vAlign w:val="bottom"/>
            <w:hideMark/>
          </w:tcPr>
          <w:p w14:paraId="3D85D1D7"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0.0030</w:t>
            </w:r>
          </w:p>
        </w:tc>
        <w:tc>
          <w:tcPr>
            <w:tcW w:w="1246" w:type="dxa"/>
            <w:tcBorders>
              <w:top w:val="nil"/>
              <w:left w:val="nil"/>
              <w:bottom w:val="nil"/>
              <w:right w:val="nil"/>
            </w:tcBorders>
            <w:shd w:val="clear" w:color="auto" w:fill="auto"/>
            <w:vAlign w:val="bottom"/>
            <w:hideMark/>
          </w:tcPr>
          <w:p w14:paraId="3D85D1D8"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0.034</w:t>
            </w:r>
          </w:p>
        </w:tc>
        <w:tc>
          <w:tcPr>
            <w:tcW w:w="967" w:type="dxa"/>
            <w:tcBorders>
              <w:top w:val="nil"/>
              <w:left w:val="nil"/>
              <w:bottom w:val="nil"/>
              <w:right w:val="nil"/>
            </w:tcBorders>
            <w:shd w:val="clear" w:color="auto" w:fill="auto"/>
            <w:noWrap/>
            <w:vAlign w:val="bottom"/>
            <w:hideMark/>
          </w:tcPr>
          <w:p w14:paraId="3D85D1D9"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0.30</w:t>
            </w:r>
          </w:p>
        </w:tc>
        <w:tc>
          <w:tcPr>
            <w:tcW w:w="1039" w:type="dxa"/>
            <w:tcBorders>
              <w:top w:val="nil"/>
              <w:left w:val="nil"/>
              <w:bottom w:val="nil"/>
              <w:right w:val="single" w:sz="4" w:space="0" w:color="auto"/>
            </w:tcBorders>
            <w:shd w:val="clear" w:color="auto" w:fill="auto"/>
            <w:noWrap/>
            <w:vAlign w:val="bottom"/>
            <w:hideMark/>
          </w:tcPr>
          <w:p w14:paraId="3D85D1DA"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0.11</w:t>
            </w:r>
          </w:p>
        </w:tc>
      </w:tr>
      <w:tr w:rsidR="0010235F" w:rsidRPr="0010235F" w14:paraId="3D85D1EF" w14:textId="77777777" w:rsidTr="004D46A4">
        <w:trPr>
          <w:trHeight w:val="288"/>
        </w:trPr>
        <w:tc>
          <w:tcPr>
            <w:tcW w:w="1429" w:type="dxa"/>
            <w:tcBorders>
              <w:top w:val="nil"/>
              <w:left w:val="single" w:sz="4" w:space="0" w:color="auto"/>
              <w:bottom w:val="nil"/>
              <w:right w:val="nil"/>
            </w:tcBorders>
            <w:shd w:val="clear" w:color="auto" w:fill="auto"/>
            <w:vAlign w:val="bottom"/>
            <w:hideMark/>
          </w:tcPr>
          <w:p w14:paraId="3D85D1DC"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Nickel</w:t>
            </w:r>
          </w:p>
        </w:tc>
        <w:tc>
          <w:tcPr>
            <w:tcW w:w="1289" w:type="dxa"/>
            <w:tcBorders>
              <w:top w:val="nil"/>
              <w:left w:val="nil"/>
              <w:bottom w:val="nil"/>
              <w:right w:val="nil"/>
            </w:tcBorders>
            <w:shd w:val="clear" w:color="auto" w:fill="auto"/>
            <w:vAlign w:val="bottom"/>
            <w:hideMark/>
          </w:tcPr>
          <w:p w14:paraId="3D85D1DD"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0.00</w:t>
            </w:r>
            <w:r w:rsidR="00C4680B">
              <w:rPr>
                <w:rFonts w:ascii="Arial" w:hAnsi="Arial" w:cs="Arial"/>
                <w:color w:val="000000"/>
                <w:sz w:val="20"/>
                <w:szCs w:val="20"/>
              </w:rPr>
              <w:t>30</w:t>
            </w:r>
          </w:p>
        </w:tc>
        <w:tc>
          <w:tcPr>
            <w:tcW w:w="967" w:type="dxa"/>
            <w:tcBorders>
              <w:top w:val="nil"/>
              <w:left w:val="nil"/>
              <w:bottom w:val="nil"/>
              <w:right w:val="nil"/>
            </w:tcBorders>
            <w:shd w:val="clear" w:color="auto" w:fill="auto"/>
            <w:noWrap/>
            <w:vAlign w:val="bottom"/>
            <w:hideMark/>
          </w:tcPr>
          <w:p w14:paraId="3D85D1DE"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0.0040</w:t>
            </w:r>
          </w:p>
        </w:tc>
        <w:tc>
          <w:tcPr>
            <w:tcW w:w="906" w:type="dxa"/>
            <w:tcBorders>
              <w:top w:val="nil"/>
              <w:left w:val="nil"/>
              <w:bottom w:val="nil"/>
              <w:right w:val="nil"/>
            </w:tcBorders>
            <w:shd w:val="clear" w:color="auto" w:fill="auto"/>
            <w:noWrap/>
            <w:vAlign w:val="bottom"/>
            <w:hideMark/>
          </w:tcPr>
          <w:p w14:paraId="3D85D1DF"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1</w:t>
            </w:r>
          </w:p>
        </w:tc>
        <w:tc>
          <w:tcPr>
            <w:tcW w:w="1250" w:type="dxa"/>
            <w:tcBorders>
              <w:top w:val="nil"/>
              <w:left w:val="nil"/>
              <w:bottom w:val="nil"/>
              <w:right w:val="nil"/>
            </w:tcBorders>
            <w:shd w:val="clear" w:color="auto" w:fill="auto"/>
            <w:noWrap/>
            <w:vAlign w:val="bottom"/>
            <w:hideMark/>
          </w:tcPr>
          <w:p w14:paraId="3D85D1E0"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0.014</w:t>
            </w:r>
          </w:p>
        </w:tc>
        <w:tc>
          <w:tcPr>
            <w:tcW w:w="1051" w:type="dxa"/>
            <w:tcBorders>
              <w:top w:val="nil"/>
              <w:left w:val="nil"/>
              <w:bottom w:val="nil"/>
              <w:right w:val="single" w:sz="4" w:space="0" w:color="auto"/>
            </w:tcBorders>
            <w:shd w:val="clear" w:color="auto" w:fill="auto"/>
            <w:noWrap/>
            <w:vAlign w:val="bottom"/>
            <w:hideMark/>
          </w:tcPr>
          <w:p w14:paraId="3D85D1E1"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w:t>
            </w:r>
            <w:r w:rsidR="00C4680B">
              <w:rPr>
                <w:rFonts w:ascii="Arial" w:hAnsi="Arial" w:cs="Arial"/>
                <w:color w:val="000000"/>
                <w:sz w:val="20"/>
                <w:szCs w:val="20"/>
              </w:rPr>
              <w:t>21</w:t>
            </w:r>
          </w:p>
        </w:tc>
        <w:tc>
          <w:tcPr>
            <w:tcW w:w="1204" w:type="dxa"/>
            <w:tcBorders>
              <w:top w:val="nil"/>
              <w:left w:val="nil"/>
              <w:bottom w:val="nil"/>
              <w:right w:val="nil"/>
            </w:tcBorders>
            <w:shd w:val="clear" w:color="auto" w:fill="auto"/>
            <w:vAlign w:val="bottom"/>
            <w:hideMark/>
          </w:tcPr>
          <w:p w14:paraId="3D85D1E2"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0.0013</w:t>
            </w:r>
          </w:p>
        </w:tc>
        <w:tc>
          <w:tcPr>
            <w:tcW w:w="992" w:type="dxa"/>
            <w:tcBorders>
              <w:top w:val="nil"/>
              <w:left w:val="nil"/>
              <w:bottom w:val="nil"/>
              <w:right w:val="nil"/>
            </w:tcBorders>
            <w:shd w:val="clear" w:color="auto" w:fill="auto"/>
            <w:noWrap/>
            <w:vAlign w:val="bottom"/>
            <w:hideMark/>
          </w:tcPr>
          <w:p w14:paraId="3D85D1E3"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0.10</w:t>
            </w:r>
          </w:p>
        </w:tc>
        <w:tc>
          <w:tcPr>
            <w:tcW w:w="906" w:type="dxa"/>
            <w:tcBorders>
              <w:top w:val="nil"/>
              <w:left w:val="nil"/>
              <w:bottom w:val="nil"/>
              <w:right w:val="nil"/>
            </w:tcBorders>
            <w:shd w:val="clear" w:color="auto" w:fill="auto"/>
            <w:noWrap/>
            <w:vAlign w:val="bottom"/>
            <w:hideMark/>
          </w:tcPr>
          <w:p w14:paraId="3D85D1E4"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0.01</w:t>
            </w:r>
            <w:r w:rsidR="00C4680B">
              <w:rPr>
                <w:rFonts w:ascii="Arial" w:hAnsi="Arial" w:cs="Arial"/>
                <w:color w:val="000000"/>
                <w:sz w:val="20"/>
                <w:szCs w:val="20"/>
              </w:rPr>
              <w:t>3</w:t>
            </w:r>
          </w:p>
        </w:tc>
        <w:tc>
          <w:tcPr>
            <w:tcW w:w="1250" w:type="dxa"/>
            <w:tcBorders>
              <w:top w:val="nil"/>
              <w:left w:val="nil"/>
              <w:bottom w:val="nil"/>
              <w:right w:val="nil"/>
            </w:tcBorders>
            <w:shd w:val="clear" w:color="auto" w:fill="auto"/>
            <w:noWrap/>
            <w:vAlign w:val="bottom"/>
            <w:hideMark/>
          </w:tcPr>
          <w:p w14:paraId="3D85D1E5"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0.059</w:t>
            </w:r>
          </w:p>
        </w:tc>
        <w:tc>
          <w:tcPr>
            <w:tcW w:w="1162" w:type="dxa"/>
            <w:tcBorders>
              <w:top w:val="nil"/>
              <w:left w:val="nil"/>
              <w:bottom w:val="nil"/>
              <w:right w:val="single" w:sz="4" w:space="0" w:color="auto"/>
            </w:tcBorders>
            <w:shd w:val="clear" w:color="auto" w:fill="auto"/>
            <w:noWrap/>
            <w:vAlign w:val="bottom"/>
            <w:hideMark/>
          </w:tcPr>
          <w:p w14:paraId="3D85D1E6"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w:t>
            </w:r>
            <w:r w:rsidR="00C4680B">
              <w:rPr>
                <w:rFonts w:ascii="Arial" w:hAnsi="Arial" w:cs="Arial"/>
                <w:color w:val="000000"/>
                <w:sz w:val="20"/>
                <w:szCs w:val="20"/>
              </w:rPr>
              <w:t>22</w:t>
            </w:r>
          </w:p>
        </w:tc>
        <w:tc>
          <w:tcPr>
            <w:tcW w:w="1347" w:type="dxa"/>
            <w:tcBorders>
              <w:top w:val="nil"/>
              <w:left w:val="nil"/>
              <w:bottom w:val="nil"/>
              <w:right w:val="nil"/>
            </w:tcBorders>
            <w:shd w:val="clear" w:color="auto" w:fill="auto"/>
            <w:vAlign w:val="bottom"/>
            <w:hideMark/>
          </w:tcPr>
          <w:p w14:paraId="3D85D1E7"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0.0013</w:t>
            </w:r>
          </w:p>
        </w:tc>
        <w:tc>
          <w:tcPr>
            <w:tcW w:w="985" w:type="dxa"/>
            <w:tcBorders>
              <w:top w:val="nil"/>
              <w:left w:val="nil"/>
              <w:bottom w:val="nil"/>
              <w:right w:val="nil"/>
            </w:tcBorders>
            <w:shd w:val="clear" w:color="auto" w:fill="auto"/>
            <w:noWrap/>
            <w:vAlign w:val="bottom"/>
            <w:hideMark/>
          </w:tcPr>
          <w:p w14:paraId="3D85D1E8"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0.048</w:t>
            </w:r>
          </w:p>
        </w:tc>
        <w:tc>
          <w:tcPr>
            <w:tcW w:w="906" w:type="dxa"/>
            <w:tcBorders>
              <w:top w:val="nil"/>
              <w:left w:val="nil"/>
              <w:bottom w:val="nil"/>
              <w:right w:val="nil"/>
            </w:tcBorders>
            <w:shd w:val="clear" w:color="auto" w:fill="auto"/>
            <w:noWrap/>
            <w:vAlign w:val="bottom"/>
            <w:hideMark/>
          </w:tcPr>
          <w:p w14:paraId="3D85D1E9"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w:t>
            </w:r>
            <w:r w:rsidR="00C4680B">
              <w:rPr>
                <w:rFonts w:ascii="Arial" w:hAnsi="Arial" w:cs="Arial"/>
                <w:color w:val="000000"/>
                <w:sz w:val="20"/>
                <w:szCs w:val="20"/>
              </w:rPr>
              <w:t>28</w:t>
            </w:r>
          </w:p>
        </w:tc>
        <w:tc>
          <w:tcPr>
            <w:tcW w:w="1250" w:type="dxa"/>
            <w:tcBorders>
              <w:top w:val="nil"/>
              <w:left w:val="nil"/>
              <w:bottom w:val="nil"/>
              <w:right w:val="nil"/>
            </w:tcBorders>
            <w:shd w:val="clear" w:color="auto" w:fill="auto"/>
            <w:noWrap/>
            <w:vAlign w:val="bottom"/>
            <w:hideMark/>
          </w:tcPr>
          <w:p w14:paraId="3D85D1EA"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0.059</w:t>
            </w:r>
          </w:p>
        </w:tc>
        <w:tc>
          <w:tcPr>
            <w:tcW w:w="1162" w:type="dxa"/>
            <w:tcBorders>
              <w:top w:val="nil"/>
              <w:left w:val="nil"/>
              <w:bottom w:val="nil"/>
              <w:right w:val="single" w:sz="4" w:space="0" w:color="auto"/>
            </w:tcBorders>
            <w:shd w:val="clear" w:color="auto" w:fill="auto"/>
            <w:noWrap/>
            <w:vAlign w:val="bottom"/>
            <w:hideMark/>
          </w:tcPr>
          <w:p w14:paraId="3D85D1EB"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0.022</w:t>
            </w:r>
          </w:p>
        </w:tc>
        <w:tc>
          <w:tcPr>
            <w:tcW w:w="1246" w:type="dxa"/>
            <w:tcBorders>
              <w:top w:val="nil"/>
              <w:left w:val="nil"/>
              <w:bottom w:val="nil"/>
              <w:right w:val="nil"/>
            </w:tcBorders>
            <w:shd w:val="clear" w:color="auto" w:fill="auto"/>
            <w:vAlign w:val="bottom"/>
            <w:hideMark/>
          </w:tcPr>
          <w:p w14:paraId="3D85D1EC"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0.041</w:t>
            </w:r>
          </w:p>
        </w:tc>
        <w:tc>
          <w:tcPr>
            <w:tcW w:w="967" w:type="dxa"/>
            <w:tcBorders>
              <w:top w:val="nil"/>
              <w:left w:val="nil"/>
              <w:bottom w:val="nil"/>
              <w:right w:val="nil"/>
            </w:tcBorders>
            <w:shd w:val="clear" w:color="auto" w:fill="auto"/>
            <w:noWrap/>
            <w:vAlign w:val="bottom"/>
            <w:hideMark/>
          </w:tcPr>
          <w:p w14:paraId="3D85D1ED"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0.20</w:t>
            </w:r>
          </w:p>
        </w:tc>
        <w:tc>
          <w:tcPr>
            <w:tcW w:w="1039" w:type="dxa"/>
            <w:tcBorders>
              <w:top w:val="nil"/>
              <w:left w:val="nil"/>
              <w:bottom w:val="nil"/>
              <w:right w:val="single" w:sz="4" w:space="0" w:color="auto"/>
            </w:tcBorders>
            <w:shd w:val="clear" w:color="auto" w:fill="auto"/>
            <w:noWrap/>
            <w:vAlign w:val="bottom"/>
            <w:hideMark/>
          </w:tcPr>
          <w:p w14:paraId="3D85D1EE" w14:textId="77777777" w:rsidR="0010235F" w:rsidRPr="0010235F" w:rsidRDefault="00C4680B" w:rsidP="0010235F">
            <w:pPr>
              <w:jc w:val="center"/>
              <w:rPr>
                <w:rFonts w:ascii="Arial" w:hAnsi="Arial" w:cs="Arial"/>
                <w:color w:val="000000"/>
                <w:sz w:val="20"/>
                <w:szCs w:val="20"/>
              </w:rPr>
            </w:pPr>
            <w:r>
              <w:rPr>
                <w:rFonts w:ascii="Arial" w:hAnsi="Arial" w:cs="Arial"/>
                <w:color w:val="000000"/>
                <w:sz w:val="20"/>
                <w:szCs w:val="20"/>
              </w:rPr>
              <w:t>0.20</w:t>
            </w:r>
          </w:p>
        </w:tc>
      </w:tr>
      <w:tr w:rsidR="0010235F" w:rsidRPr="0010235F" w14:paraId="3D85D203" w14:textId="77777777" w:rsidTr="004D46A4">
        <w:trPr>
          <w:trHeight w:val="288"/>
        </w:trPr>
        <w:tc>
          <w:tcPr>
            <w:tcW w:w="1429" w:type="dxa"/>
            <w:tcBorders>
              <w:top w:val="nil"/>
              <w:left w:val="single" w:sz="4" w:space="0" w:color="auto"/>
              <w:bottom w:val="nil"/>
              <w:right w:val="nil"/>
            </w:tcBorders>
            <w:shd w:val="clear" w:color="auto" w:fill="auto"/>
            <w:noWrap/>
            <w:vAlign w:val="bottom"/>
            <w:hideMark/>
          </w:tcPr>
          <w:p w14:paraId="3D85D1F0"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Total Unit 1</w:t>
            </w:r>
          </w:p>
        </w:tc>
        <w:tc>
          <w:tcPr>
            <w:tcW w:w="1289" w:type="dxa"/>
            <w:tcBorders>
              <w:top w:val="nil"/>
              <w:left w:val="nil"/>
              <w:bottom w:val="nil"/>
              <w:right w:val="nil"/>
            </w:tcBorders>
            <w:shd w:val="clear" w:color="auto" w:fill="auto"/>
            <w:noWrap/>
            <w:vAlign w:val="bottom"/>
            <w:hideMark/>
          </w:tcPr>
          <w:p w14:paraId="3D85D1F1" w14:textId="77777777" w:rsidR="0010235F" w:rsidRPr="0010235F" w:rsidRDefault="0010235F" w:rsidP="0010235F">
            <w:pPr>
              <w:rPr>
                <w:rFonts w:ascii="Arial" w:hAnsi="Arial" w:cs="Arial"/>
                <w:color w:val="000000"/>
                <w:sz w:val="20"/>
                <w:szCs w:val="20"/>
              </w:rPr>
            </w:pPr>
          </w:p>
        </w:tc>
        <w:tc>
          <w:tcPr>
            <w:tcW w:w="967" w:type="dxa"/>
            <w:tcBorders>
              <w:top w:val="nil"/>
              <w:left w:val="nil"/>
              <w:bottom w:val="nil"/>
              <w:right w:val="nil"/>
            </w:tcBorders>
            <w:shd w:val="clear" w:color="auto" w:fill="auto"/>
            <w:noWrap/>
            <w:vAlign w:val="bottom"/>
            <w:hideMark/>
          </w:tcPr>
          <w:p w14:paraId="3D85D1F2" w14:textId="77777777" w:rsidR="0010235F" w:rsidRPr="0010235F" w:rsidRDefault="0010235F" w:rsidP="0010235F">
            <w:pP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1F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1</w:t>
            </w:r>
            <w:r w:rsidR="00C4680B">
              <w:rPr>
                <w:rFonts w:ascii="Arial" w:hAnsi="Arial" w:cs="Arial"/>
                <w:b/>
                <w:bCs/>
                <w:color w:val="000000"/>
                <w:sz w:val="20"/>
                <w:szCs w:val="20"/>
              </w:rPr>
              <w:t>4</w:t>
            </w:r>
          </w:p>
        </w:tc>
        <w:tc>
          <w:tcPr>
            <w:tcW w:w="1250" w:type="dxa"/>
            <w:tcBorders>
              <w:top w:val="nil"/>
              <w:left w:val="nil"/>
              <w:bottom w:val="nil"/>
              <w:right w:val="nil"/>
            </w:tcBorders>
            <w:shd w:val="clear" w:color="auto" w:fill="auto"/>
            <w:noWrap/>
            <w:vAlign w:val="bottom"/>
            <w:hideMark/>
          </w:tcPr>
          <w:p w14:paraId="3D85D1F4" w14:textId="77777777" w:rsidR="0010235F" w:rsidRPr="0010235F" w:rsidRDefault="0010235F" w:rsidP="0010235F">
            <w:pPr>
              <w:jc w:val="center"/>
              <w:rPr>
                <w:rFonts w:ascii="Arial" w:hAnsi="Arial" w:cs="Arial"/>
                <w:b/>
                <w:bCs/>
                <w:color w:val="000000"/>
                <w:sz w:val="20"/>
                <w:szCs w:val="20"/>
              </w:rPr>
            </w:pPr>
          </w:p>
        </w:tc>
        <w:tc>
          <w:tcPr>
            <w:tcW w:w="1051" w:type="dxa"/>
            <w:tcBorders>
              <w:top w:val="nil"/>
              <w:left w:val="nil"/>
              <w:bottom w:val="nil"/>
              <w:right w:val="single" w:sz="4" w:space="0" w:color="auto"/>
            </w:tcBorders>
            <w:shd w:val="clear" w:color="auto" w:fill="auto"/>
            <w:noWrap/>
            <w:vAlign w:val="bottom"/>
            <w:hideMark/>
          </w:tcPr>
          <w:p w14:paraId="3D85D1F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0.</w:t>
            </w:r>
            <w:r w:rsidR="00C4680B">
              <w:rPr>
                <w:rFonts w:ascii="Arial" w:hAnsi="Arial" w:cs="Arial"/>
                <w:b/>
                <w:bCs/>
                <w:color w:val="000000"/>
                <w:sz w:val="20"/>
                <w:szCs w:val="20"/>
              </w:rPr>
              <w:t>26</w:t>
            </w:r>
          </w:p>
        </w:tc>
        <w:tc>
          <w:tcPr>
            <w:tcW w:w="1204" w:type="dxa"/>
            <w:tcBorders>
              <w:top w:val="nil"/>
              <w:left w:val="nil"/>
              <w:bottom w:val="nil"/>
              <w:right w:val="nil"/>
            </w:tcBorders>
            <w:shd w:val="clear" w:color="auto" w:fill="auto"/>
            <w:noWrap/>
            <w:vAlign w:val="bottom"/>
            <w:hideMark/>
          </w:tcPr>
          <w:p w14:paraId="3D85D1F6" w14:textId="77777777" w:rsidR="0010235F" w:rsidRPr="0010235F" w:rsidRDefault="0010235F" w:rsidP="0010235F">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14:paraId="3D85D1F7" w14:textId="77777777" w:rsidR="0010235F" w:rsidRPr="0010235F" w:rsidRDefault="0010235F" w:rsidP="0010235F">
            <w:pP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1F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0.2</w:t>
            </w:r>
          </w:p>
        </w:tc>
        <w:tc>
          <w:tcPr>
            <w:tcW w:w="1250" w:type="dxa"/>
            <w:tcBorders>
              <w:top w:val="nil"/>
              <w:left w:val="nil"/>
              <w:bottom w:val="nil"/>
              <w:right w:val="nil"/>
            </w:tcBorders>
            <w:shd w:val="clear" w:color="auto" w:fill="auto"/>
            <w:noWrap/>
            <w:vAlign w:val="bottom"/>
            <w:hideMark/>
          </w:tcPr>
          <w:p w14:paraId="3D85D1F9" w14:textId="77777777" w:rsidR="0010235F" w:rsidRPr="0010235F" w:rsidRDefault="0010235F" w:rsidP="0010235F">
            <w:pPr>
              <w:jc w:val="center"/>
              <w:rPr>
                <w:rFonts w:ascii="Arial" w:hAnsi="Arial" w:cs="Arial"/>
                <w:b/>
                <w:bCs/>
                <w:color w:val="000000"/>
                <w:sz w:val="20"/>
                <w:szCs w:val="20"/>
              </w:rPr>
            </w:pPr>
          </w:p>
        </w:tc>
        <w:tc>
          <w:tcPr>
            <w:tcW w:w="1162" w:type="dxa"/>
            <w:tcBorders>
              <w:top w:val="nil"/>
              <w:left w:val="nil"/>
              <w:bottom w:val="nil"/>
              <w:right w:val="single" w:sz="4" w:space="0" w:color="auto"/>
            </w:tcBorders>
            <w:shd w:val="clear" w:color="auto" w:fill="auto"/>
            <w:noWrap/>
            <w:vAlign w:val="bottom"/>
            <w:hideMark/>
          </w:tcPr>
          <w:p w14:paraId="3D85D1F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0.02</w:t>
            </w:r>
            <w:r w:rsidR="00C4680B">
              <w:rPr>
                <w:rFonts w:ascii="Arial" w:hAnsi="Arial" w:cs="Arial"/>
                <w:b/>
                <w:bCs/>
                <w:color w:val="000000"/>
                <w:sz w:val="20"/>
                <w:szCs w:val="20"/>
              </w:rPr>
              <w:t>7</w:t>
            </w:r>
          </w:p>
        </w:tc>
        <w:tc>
          <w:tcPr>
            <w:tcW w:w="1347" w:type="dxa"/>
            <w:tcBorders>
              <w:top w:val="nil"/>
              <w:left w:val="nil"/>
              <w:bottom w:val="nil"/>
              <w:right w:val="nil"/>
            </w:tcBorders>
            <w:shd w:val="clear" w:color="auto" w:fill="auto"/>
            <w:noWrap/>
            <w:vAlign w:val="bottom"/>
            <w:hideMark/>
          </w:tcPr>
          <w:p w14:paraId="3D85D1FB" w14:textId="77777777" w:rsidR="0010235F" w:rsidRPr="0010235F" w:rsidRDefault="0010235F" w:rsidP="0010235F">
            <w:pPr>
              <w:rPr>
                <w:rFonts w:ascii="Arial" w:hAnsi="Arial" w:cs="Arial"/>
                <w:color w:val="000000"/>
                <w:sz w:val="20"/>
                <w:szCs w:val="20"/>
              </w:rPr>
            </w:pPr>
          </w:p>
        </w:tc>
        <w:tc>
          <w:tcPr>
            <w:tcW w:w="985" w:type="dxa"/>
            <w:tcBorders>
              <w:top w:val="nil"/>
              <w:left w:val="nil"/>
              <w:bottom w:val="nil"/>
              <w:right w:val="nil"/>
            </w:tcBorders>
            <w:shd w:val="clear" w:color="auto" w:fill="auto"/>
            <w:noWrap/>
            <w:vAlign w:val="bottom"/>
            <w:hideMark/>
          </w:tcPr>
          <w:p w14:paraId="3D85D1FC" w14:textId="77777777" w:rsidR="0010235F" w:rsidRPr="0010235F" w:rsidRDefault="0010235F" w:rsidP="0010235F">
            <w:pP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1FD" w14:textId="77777777" w:rsidR="0010235F" w:rsidRPr="0010235F" w:rsidRDefault="00C4680B" w:rsidP="0010235F">
            <w:pPr>
              <w:jc w:val="center"/>
              <w:rPr>
                <w:rFonts w:ascii="Arial" w:hAnsi="Arial" w:cs="Arial"/>
                <w:b/>
                <w:bCs/>
                <w:color w:val="000000"/>
                <w:sz w:val="20"/>
                <w:szCs w:val="20"/>
              </w:rPr>
            </w:pPr>
            <w:r>
              <w:rPr>
                <w:rFonts w:ascii="Arial" w:hAnsi="Arial" w:cs="Arial"/>
                <w:b/>
                <w:bCs/>
                <w:color w:val="000000"/>
                <w:sz w:val="20"/>
                <w:szCs w:val="20"/>
              </w:rPr>
              <w:t>0.54</w:t>
            </w:r>
          </w:p>
        </w:tc>
        <w:tc>
          <w:tcPr>
            <w:tcW w:w="1250" w:type="dxa"/>
            <w:tcBorders>
              <w:top w:val="nil"/>
              <w:left w:val="nil"/>
              <w:bottom w:val="nil"/>
              <w:right w:val="nil"/>
            </w:tcBorders>
            <w:shd w:val="clear" w:color="auto" w:fill="auto"/>
            <w:noWrap/>
            <w:vAlign w:val="bottom"/>
            <w:hideMark/>
          </w:tcPr>
          <w:p w14:paraId="3D85D1FE" w14:textId="77777777" w:rsidR="0010235F" w:rsidRPr="0010235F" w:rsidRDefault="0010235F" w:rsidP="0010235F">
            <w:pPr>
              <w:jc w:val="center"/>
              <w:rPr>
                <w:rFonts w:ascii="Arial" w:hAnsi="Arial" w:cs="Arial"/>
                <w:b/>
                <w:bCs/>
                <w:color w:val="000000"/>
                <w:sz w:val="20"/>
                <w:szCs w:val="20"/>
              </w:rPr>
            </w:pPr>
          </w:p>
        </w:tc>
        <w:tc>
          <w:tcPr>
            <w:tcW w:w="1162" w:type="dxa"/>
            <w:tcBorders>
              <w:top w:val="nil"/>
              <w:left w:val="nil"/>
              <w:bottom w:val="nil"/>
              <w:right w:val="single" w:sz="4" w:space="0" w:color="auto"/>
            </w:tcBorders>
            <w:shd w:val="clear" w:color="auto" w:fill="auto"/>
            <w:noWrap/>
            <w:vAlign w:val="bottom"/>
            <w:hideMark/>
          </w:tcPr>
          <w:p w14:paraId="3D85D1FF" w14:textId="77777777" w:rsidR="0010235F" w:rsidRPr="0010235F" w:rsidRDefault="00C4680B" w:rsidP="0010235F">
            <w:pPr>
              <w:jc w:val="center"/>
              <w:rPr>
                <w:rFonts w:ascii="Arial" w:hAnsi="Arial" w:cs="Arial"/>
                <w:b/>
                <w:bCs/>
                <w:color w:val="000000"/>
                <w:sz w:val="20"/>
                <w:szCs w:val="20"/>
              </w:rPr>
            </w:pPr>
            <w:r>
              <w:rPr>
                <w:rFonts w:ascii="Arial" w:hAnsi="Arial" w:cs="Arial"/>
                <w:b/>
                <w:bCs/>
                <w:color w:val="000000"/>
                <w:sz w:val="20"/>
                <w:szCs w:val="20"/>
              </w:rPr>
              <w:t>0.027</w:t>
            </w:r>
          </w:p>
        </w:tc>
        <w:tc>
          <w:tcPr>
            <w:tcW w:w="1246" w:type="dxa"/>
            <w:tcBorders>
              <w:top w:val="nil"/>
              <w:left w:val="nil"/>
              <w:bottom w:val="nil"/>
              <w:right w:val="nil"/>
            </w:tcBorders>
            <w:shd w:val="clear" w:color="auto" w:fill="auto"/>
            <w:noWrap/>
            <w:vAlign w:val="bottom"/>
            <w:hideMark/>
          </w:tcPr>
          <w:p w14:paraId="3D85D200"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nil"/>
              <w:right w:val="nil"/>
            </w:tcBorders>
            <w:shd w:val="clear" w:color="auto" w:fill="auto"/>
            <w:noWrap/>
            <w:vAlign w:val="bottom"/>
            <w:hideMark/>
          </w:tcPr>
          <w:p w14:paraId="3D85D201"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D202" w14:textId="77777777" w:rsidR="0010235F" w:rsidRPr="0010235F" w:rsidRDefault="00C4680B" w:rsidP="0010235F">
            <w:pPr>
              <w:jc w:val="center"/>
              <w:rPr>
                <w:rFonts w:ascii="Arial" w:hAnsi="Arial" w:cs="Arial"/>
                <w:b/>
                <w:bCs/>
                <w:color w:val="000000"/>
                <w:sz w:val="20"/>
                <w:szCs w:val="20"/>
              </w:rPr>
            </w:pPr>
            <w:r>
              <w:rPr>
                <w:rFonts w:ascii="Arial" w:hAnsi="Arial" w:cs="Arial"/>
                <w:b/>
                <w:bCs/>
                <w:color w:val="000000"/>
                <w:sz w:val="20"/>
                <w:szCs w:val="20"/>
              </w:rPr>
              <w:t>0.32</w:t>
            </w:r>
          </w:p>
        </w:tc>
      </w:tr>
      <w:tr w:rsidR="0010235F" w:rsidRPr="0010235F" w14:paraId="3D85D217" w14:textId="77777777" w:rsidTr="004D46A4">
        <w:trPr>
          <w:trHeight w:val="288"/>
        </w:trPr>
        <w:tc>
          <w:tcPr>
            <w:tcW w:w="1429" w:type="dxa"/>
            <w:tcBorders>
              <w:top w:val="nil"/>
              <w:left w:val="single" w:sz="4" w:space="0" w:color="auto"/>
              <w:bottom w:val="nil"/>
              <w:right w:val="nil"/>
            </w:tcBorders>
            <w:shd w:val="clear" w:color="auto" w:fill="auto"/>
            <w:noWrap/>
            <w:vAlign w:val="bottom"/>
            <w:hideMark/>
          </w:tcPr>
          <w:p w14:paraId="3D85D204"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 </w:t>
            </w:r>
          </w:p>
        </w:tc>
        <w:tc>
          <w:tcPr>
            <w:tcW w:w="1289" w:type="dxa"/>
            <w:tcBorders>
              <w:top w:val="nil"/>
              <w:left w:val="nil"/>
              <w:bottom w:val="single" w:sz="4" w:space="0" w:color="auto"/>
              <w:right w:val="nil"/>
            </w:tcBorders>
            <w:shd w:val="clear" w:color="auto" w:fill="auto"/>
            <w:noWrap/>
            <w:vAlign w:val="bottom"/>
            <w:hideMark/>
          </w:tcPr>
          <w:p w14:paraId="3D85D205"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D206"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D207"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50" w:type="dxa"/>
            <w:tcBorders>
              <w:top w:val="nil"/>
              <w:left w:val="nil"/>
              <w:bottom w:val="single" w:sz="4" w:space="0" w:color="auto"/>
              <w:right w:val="nil"/>
            </w:tcBorders>
            <w:shd w:val="clear" w:color="auto" w:fill="auto"/>
            <w:noWrap/>
            <w:vAlign w:val="bottom"/>
            <w:hideMark/>
          </w:tcPr>
          <w:p w14:paraId="3D85D208"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3D85D209"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04" w:type="dxa"/>
            <w:tcBorders>
              <w:top w:val="nil"/>
              <w:left w:val="nil"/>
              <w:bottom w:val="single" w:sz="4" w:space="0" w:color="auto"/>
              <w:right w:val="nil"/>
            </w:tcBorders>
            <w:shd w:val="clear" w:color="auto" w:fill="auto"/>
            <w:noWrap/>
            <w:vAlign w:val="bottom"/>
            <w:hideMark/>
          </w:tcPr>
          <w:p w14:paraId="3D85D20A"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92" w:type="dxa"/>
            <w:tcBorders>
              <w:top w:val="nil"/>
              <w:left w:val="nil"/>
              <w:bottom w:val="single" w:sz="4" w:space="0" w:color="auto"/>
              <w:right w:val="nil"/>
            </w:tcBorders>
            <w:shd w:val="clear" w:color="auto" w:fill="auto"/>
            <w:noWrap/>
            <w:vAlign w:val="bottom"/>
            <w:hideMark/>
          </w:tcPr>
          <w:p w14:paraId="3D85D20B"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D20C"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50" w:type="dxa"/>
            <w:tcBorders>
              <w:top w:val="nil"/>
              <w:left w:val="nil"/>
              <w:bottom w:val="single" w:sz="4" w:space="0" w:color="auto"/>
              <w:right w:val="nil"/>
            </w:tcBorders>
            <w:shd w:val="clear" w:color="auto" w:fill="auto"/>
            <w:noWrap/>
            <w:vAlign w:val="bottom"/>
            <w:hideMark/>
          </w:tcPr>
          <w:p w14:paraId="3D85D20D"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162" w:type="dxa"/>
            <w:tcBorders>
              <w:top w:val="nil"/>
              <w:left w:val="nil"/>
              <w:bottom w:val="single" w:sz="4" w:space="0" w:color="auto"/>
              <w:right w:val="single" w:sz="4" w:space="0" w:color="auto"/>
            </w:tcBorders>
            <w:shd w:val="clear" w:color="auto" w:fill="auto"/>
            <w:noWrap/>
            <w:vAlign w:val="bottom"/>
            <w:hideMark/>
          </w:tcPr>
          <w:p w14:paraId="3D85D20E"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347" w:type="dxa"/>
            <w:tcBorders>
              <w:top w:val="nil"/>
              <w:left w:val="nil"/>
              <w:bottom w:val="single" w:sz="4" w:space="0" w:color="auto"/>
              <w:right w:val="nil"/>
            </w:tcBorders>
            <w:shd w:val="clear" w:color="auto" w:fill="auto"/>
            <w:noWrap/>
            <w:vAlign w:val="bottom"/>
            <w:hideMark/>
          </w:tcPr>
          <w:p w14:paraId="3D85D20F"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85" w:type="dxa"/>
            <w:tcBorders>
              <w:top w:val="nil"/>
              <w:left w:val="nil"/>
              <w:bottom w:val="single" w:sz="4" w:space="0" w:color="auto"/>
              <w:right w:val="nil"/>
            </w:tcBorders>
            <w:shd w:val="clear" w:color="auto" w:fill="auto"/>
            <w:noWrap/>
            <w:vAlign w:val="bottom"/>
            <w:hideMark/>
          </w:tcPr>
          <w:p w14:paraId="3D85D210"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D211"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50" w:type="dxa"/>
            <w:tcBorders>
              <w:top w:val="nil"/>
              <w:left w:val="nil"/>
              <w:bottom w:val="single" w:sz="4" w:space="0" w:color="auto"/>
              <w:right w:val="nil"/>
            </w:tcBorders>
            <w:shd w:val="clear" w:color="auto" w:fill="auto"/>
            <w:noWrap/>
            <w:vAlign w:val="bottom"/>
            <w:hideMark/>
          </w:tcPr>
          <w:p w14:paraId="3D85D212"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162" w:type="dxa"/>
            <w:tcBorders>
              <w:top w:val="nil"/>
              <w:left w:val="nil"/>
              <w:bottom w:val="single" w:sz="4" w:space="0" w:color="auto"/>
              <w:right w:val="single" w:sz="4" w:space="0" w:color="auto"/>
            </w:tcBorders>
            <w:shd w:val="clear" w:color="auto" w:fill="auto"/>
            <w:noWrap/>
            <w:vAlign w:val="bottom"/>
            <w:hideMark/>
          </w:tcPr>
          <w:p w14:paraId="3D85D213"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46" w:type="dxa"/>
            <w:tcBorders>
              <w:top w:val="nil"/>
              <w:left w:val="nil"/>
              <w:bottom w:val="single" w:sz="4" w:space="0" w:color="auto"/>
              <w:right w:val="nil"/>
            </w:tcBorders>
            <w:shd w:val="clear" w:color="auto" w:fill="auto"/>
            <w:noWrap/>
            <w:vAlign w:val="bottom"/>
            <w:hideMark/>
          </w:tcPr>
          <w:p w14:paraId="3D85D214"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D215"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14:paraId="3D85D216"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D22B" w14:textId="77777777" w:rsidTr="004D46A4">
        <w:trPr>
          <w:trHeight w:val="288"/>
        </w:trPr>
        <w:tc>
          <w:tcPr>
            <w:tcW w:w="1429" w:type="dxa"/>
            <w:tcBorders>
              <w:top w:val="single" w:sz="4" w:space="0" w:color="auto"/>
              <w:left w:val="single" w:sz="4" w:space="0" w:color="auto"/>
              <w:bottom w:val="nil"/>
              <w:right w:val="nil"/>
            </w:tcBorders>
            <w:shd w:val="clear" w:color="auto" w:fill="auto"/>
            <w:noWrap/>
            <w:vAlign w:val="bottom"/>
            <w:hideMark/>
          </w:tcPr>
          <w:p w14:paraId="3D85D218"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 </w:t>
            </w:r>
          </w:p>
        </w:tc>
        <w:tc>
          <w:tcPr>
            <w:tcW w:w="1289" w:type="dxa"/>
            <w:tcBorders>
              <w:top w:val="nil"/>
              <w:left w:val="nil"/>
              <w:bottom w:val="nil"/>
              <w:right w:val="nil"/>
            </w:tcBorders>
            <w:shd w:val="clear" w:color="auto" w:fill="auto"/>
            <w:noWrap/>
            <w:vAlign w:val="bottom"/>
            <w:hideMark/>
          </w:tcPr>
          <w:p w14:paraId="3D85D219"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21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nil"/>
              <w:right w:val="nil"/>
            </w:tcBorders>
            <w:shd w:val="clear" w:color="auto" w:fill="auto"/>
            <w:noWrap/>
            <w:vAlign w:val="bottom"/>
            <w:hideMark/>
          </w:tcPr>
          <w:p w14:paraId="3D85D21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left w:val="nil"/>
              <w:bottom w:val="nil"/>
              <w:right w:val="nil"/>
            </w:tcBorders>
            <w:shd w:val="clear" w:color="auto" w:fill="auto"/>
            <w:noWrap/>
            <w:vAlign w:val="bottom"/>
            <w:hideMark/>
          </w:tcPr>
          <w:p w14:paraId="3D85D21C"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51" w:type="dxa"/>
            <w:tcBorders>
              <w:top w:val="nil"/>
              <w:left w:val="nil"/>
              <w:bottom w:val="nil"/>
              <w:right w:val="single" w:sz="4" w:space="0" w:color="auto"/>
            </w:tcBorders>
            <w:shd w:val="clear" w:color="auto" w:fill="auto"/>
            <w:noWrap/>
            <w:vAlign w:val="bottom"/>
            <w:hideMark/>
          </w:tcPr>
          <w:p w14:paraId="3D85D21D"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04" w:type="dxa"/>
            <w:tcBorders>
              <w:top w:val="nil"/>
              <w:left w:val="nil"/>
              <w:bottom w:val="nil"/>
              <w:right w:val="nil"/>
            </w:tcBorders>
            <w:shd w:val="clear" w:color="auto" w:fill="auto"/>
            <w:noWrap/>
            <w:vAlign w:val="bottom"/>
            <w:hideMark/>
          </w:tcPr>
          <w:p w14:paraId="3D85D21E"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92" w:type="dxa"/>
            <w:tcBorders>
              <w:top w:val="nil"/>
              <w:left w:val="nil"/>
              <w:bottom w:val="nil"/>
              <w:right w:val="nil"/>
            </w:tcBorders>
            <w:shd w:val="clear" w:color="auto" w:fill="auto"/>
            <w:noWrap/>
            <w:vAlign w:val="bottom"/>
            <w:hideMark/>
          </w:tcPr>
          <w:p w14:paraId="3D85D21F"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nil"/>
              <w:right w:val="nil"/>
            </w:tcBorders>
            <w:shd w:val="clear" w:color="auto" w:fill="auto"/>
            <w:noWrap/>
            <w:vAlign w:val="bottom"/>
            <w:hideMark/>
          </w:tcPr>
          <w:p w14:paraId="3D85D22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left w:val="nil"/>
              <w:bottom w:val="nil"/>
              <w:right w:val="nil"/>
            </w:tcBorders>
            <w:shd w:val="clear" w:color="auto" w:fill="auto"/>
            <w:noWrap/>
            <w:vAlign w:val="bottom"/>
            <w:hideMark/>
          </w:tcPr>
          <w:p w14:paraId="3D85D22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62" w:type="dxa"/>
            <w:tcBorders>
              <w:top w:val="nil"/>
              <w:left w:val="nil"/>
              <w:bottom w:val="nil"/>
              <w:right w:val="single" w:sz="4" w:space="0" w:color="auto"/>
            </w:tcBorders>
            <w:shd w:val="clear" w:color="auto" w:fill="auto"/>
            <w:noWrap/>
            <w:vAlign w:val="bottom"/>
            <w:hideMark/>
          </w:tcPr>
          <w:p w14:paraId="3D85D222"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347" w:type="dxa"/>
            <w:tcBorders>
              <w:top w:val="nil"/>
              <w:left w:val="nil"/>
              <w:bottom w:val="nil"/>
              <w:right w:val="nil"/>
            </w:tcBorders>
            <w:shd w:val="clear" w:color="auto" w:fill="auto"/>
            <w:noWrap/>
            <w:vAlign w:val="bottom"/>
            <w:hideMark/>
          </w:tcPr>
          <w:p w14:paraId="3D85D223"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85" w:type="dxa"/>
            <w:tcBorders>
              <w:top w:val="nil"/>
              <w:left w:val="nil"/>
              <w:bottom w:val="nil"/>
              <w:right w:val="nil"/>
            </w:tcBorders>
            <w:shd w:val="clear" w:color="auto" w:fill="auto"/>
            <w:noWrap/>
            <w:vAlign w:val="bottom"/>
            <w:hideMark/>
          </w:tcPr>
          <w:p w14:paraId="3D85D224"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nil"/>
              <w:right w:val="nil"/>
            </w:tcBorders>
            <w:shd w:val="clear" w:color="auto" w:fill="auto"/>
            <w:noWrap/>
            <w:vAlign w:val="bottom"/>
            <w:hideMark/>
          </w:tcPr>
          <w:p w14:paraId="3D85D22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50" w:type="dxa"/>
            <w:tcBorders>
              <w:top w:val="nil"/>
              <w:left w:val="nil"/>
              <w:bottom w:val="nil"/>
              <w:right w:val="nil"/>
            </w:tcBorders>
            <w:shd w:val="clear" w:color="auto" w:fill="auto"/>
            <w:noWrap/>
            <w:vAlign w:val="bottom"/>
            <w:hideMark/>
          </w:tcPr>
          <w:p w14:paraId="3D85D226"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62" w:type="dxa"/>
            <w:tcBorders>
              <w:top w:val="nil"/>
              <w:left w:val="nil"/>
              <w:bottom w:val="nil"/>
              <w:right w:val="single" w:sz="4" w:space="0" w:color="auto"/>
            </w:tcBorders>
            <w:shd w:val="clear" w:color="auto" w:fill="auto"/>
            <w:noWrap/>
            <w:vAlign w:val="bottom"/>
            <w:hideMark/>
          </w:tcPr>
          <w:p w14:paraId="3D85D227"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46" w:type="dxa"/>
            <w:tcBorders>
              <w:top w:val="nil"/>
              <w:left w:val="nil"/>
              <w:bottom w:val="nil"/>
              <w:right w:val="nil"/>
            </w:tcBorders>
            <w:shd w:val="clear" w:color="auto" w:fill="auto"/>
            <w:noWrap/>
            <w:vAlign w:val="bottom"/>
            <w:hideMark/>
          </w:tcPr>
          <w:p w14:paraId="3D85D228"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229"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nil"/>
              <w:right w:val="single" w:sz="4" w:space="0" w:color="auto"/>
            </w:tcBorders>
            <w:shd w:val="clear" w:color="auto" w:fill="auto"/>
            <w:noWrap/>
            <w:vAlign w:val="bottom"/>
            <w:hideMark/>
          </w:tcPr>
          <w:p w14:paraId="3D85D22A"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D23E" w14:textId="77777777" w:rsidTr="004D46A4">
        <w:trPr>
          <w:trHeight w:val="288"/>
        </w:trPr>
        <w:tc>
          <w:tcPr>
            <w:tcW w:w="2718" w:type="dxa"/>
            <w:gridSpan w:val="2"/>
            <w:tcBorders>
              <w:top w:val="nil"/>
              <w:left w:val="single" w:sz="4" w:space="0" w:color="auto"/>
              <w:bottom w:val="nil"/>
              <w:right w:val="nil"/>
            </w:tcBorders>
            <w:shd w:val="clear" w:color="auto" w:fill="auto"/>
            <w:noWrap/>
            <w:vAlign w:val="bottom"/>
            <w:hideMark/>
          </w:tcPr>
          <w:p w14:paraId="3D85D22C"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Emission Unit 2</w:t>
            </w:r>
          </w:p>
        </w:tc>
        <w:tc>
          <w:tcPr>
            <w:tcW w:w="967" w:type="dxa"/>
            <w:tcBorders>
              <w:top w:val="nil"/>
              <w:left w:val="nil"/>
              <w:bottom w:val="nil"/>
              <w:right w:val="nil"/>
            </w:tcBorders>
            <w:shd w:val="clear" w:color="auto" w:fill="auto"/>
            <w:noWrap/>
            <w:vAlign w:val="bottom"/>
            <w:hideMark/>
          </w:tcPr>
          <w:p w14:paraId="3D85D22D"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22E"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nil"/>
              <w:bottom w:val="nil"/>
              <w:right w:val="nil"/>
            </w:tcBorders>
            <w:shd w:val="clear" w:color="auto" w:fill="auto"/>
            <w:noWrap/>
            <w:vAlign w:val="bottom"/>
            <w:hideMark/>
          </w:tcPr>
          <w:p w14:paraId="3D85D22F" w14:textId="77777777" w:rsidR="0010235F" w:rsidRPr="0010235F" w:rsidRDefault="0010235F" w:rsidP="0010235F">
            <w:pPr>
              <w:jc w:val="center"/>
              <w:rPr>
                <w:rFonts w:ascii="Arial" w:hAnsi="Arial" w:cs="Arial"/>
                <w:b/>
                <w:bCs/>
                <w:color w:val="000000"/>
                <w:sz w:val="20"/>
                <w:szCs w:val="20"/>
              </w:rPr>
            </w:pPr>
          </w:p>
        </w:tc>
        <w:tc>
          <w:tcPr>
            <w:tcW w:w="1051" w:type="dxa"/>
            <w:tcBorders>
              <w:top w:val="nil"/>
              <w:left w:val="nil"/>
              <w:bottom w:val="nil"/>
              <w:right w:val="single" w:sz="4" w:space="0" w:color="auto"/>
            </w:tcBorders>
            <w:shd w:val="clear" w:color="auto" w:fill="auto"/>
            <w:noWrap/>
            <w:vAlign w:val="bottom"/>
            <w:hideMark/>
          </w:tcPr>
          <w:p w14:paraId="3D85D230"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04" w:type="dxa"/>
            <w:tcBorders>
              <w:top w:val="nil"/>
              <w:left w:val="nil"/>
              <w:bottom w:val="nil"/>
              <w:right w:val="nil"/>
            </w:tcBorders>
            <w:shd w:val="clear" w:color="auto" w:fill="auto"/>
            <w:noWrap/>
            <w:vAlign w:val="bottom"/>
            <w:hideMark/>
          </w:tcPr>
          <w:p w14:paraId="3D85D231" w14:textId="77777777" w:rsidR="0010235F" w:rsidRPr="0010235F" w:rsidRDefault="0010235F" w:rsidP="0010235F">
            <w:pPr>
              <w:jc w:val="center"/>
              <w:rPr>
                <w:rFonts w:ascii="Arial" w:hAnsi="Arial" w:cs="Arial"/>
                <w:b/>
                <w:bCs/>
                <w:color w:val="000000"/>
                <w:sz w:val="20"/>
                <w:szCs w:val="20"/>
              </w:rPr>
            </w:pPr>
          </w:p>
        </w:tc>
        <w:tc>
          <w:tcPr>
            <w:tcW w:w="992" w:type="dxa"/>
            <w:tcBorders>
              <w:top w:val="nil"/>
              <w:left w:val="nil"/>
              <w:bottom w:val="nil"/>
              <w:right w:val="nil"/>
            </w:tcBorders>
            <w:shd w:val="clear" w:color="auto" w:fill="auto"/>
            <w:noWrap/>
            <w:vAlign w:val="bottom"/>
            <w:hideMark/>
          </w:tcPr>
          <w:p w14:paraId="3D85D232"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233"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nil"/>
              <w:bottom w:val="nil"/>
              <w:right w:val="nil"/>
            </w:tcBorders>
            <w:shd w:val="clear" w:color="auto" w:fill="auto"/>
            <w:noWrap/>
            <w:vAlign w:val="bottom"/>
            <w:hideMark/>
          </w:tcPr>
          <w:p w14:paraId="3D85D234" w14:textId="77777777" w:rsidR="0010235F" w:rsidRPr="0010235F" w:rsidRDefault="0010235F" w:rsidP="0010235F">
            <w:pPr>
              <w:jc w:val="center"/>
              <w:rPr>
                <w:rFonts w:ascii="Arial" w:hAnsi="Arial" w:cs="Arial"/>
                <w:b/>
                <w:bCs/>
                <w:color w:val="000000"/>
                <w:sz w:val="20"/>
                <w:szCs w:val="20"/>
              </w:rPr>
            </w:pPr>
          </w:p>
        </w:tc>
        <w:tc>
          <w:tcPr>
            <w:tcW w:w="1162" w:type="dxa"/>
            <w:tcBorders>
              <w:top w:val="nil"/>
              <w:left w:val="nil"/>
              <w:bottom w:val="nil"/>
              <w:right w:val="single" w:sz="4" w:space="0" w:color="auto"/>
            </w:tcBorders>
            <w:shd w:val="clear" w:color="auto" w:fill="auto"/>
            <w:noWrap/>
            <w:vAlign w:val="bottom"/>
            <w:hideMark/>
          </w:tcPr>
          <w:p w14:paraId="3D85D235"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347" w:type="dxa"/>
            <w:tcBorders>
              <w:top w:val="nil"/>
              <w:left w:val="nil"/>
              <w:bottom w:val="nil"/>
              <w:right w:val="nil"/>
            </w:tcBorders>
            <w:shd w:val="clear" w:color="auto" w:fill="auto"/>
            <w:noWrap/>
            <w:vAlign w:val="bottom"/>
            <w:hideMark/>
          </w:tcPr>
          <w:p w14:paraId="3D85D236" w14:textId="77777777" w:rsidR="0010235F" w:rsidRPr="0010235F" w:rsidRDefault="0010235F" w:rsidP="0010235F">
            <w:pPr>
              <w:jc w:val="center"/>
              <w:rPr>
                <w:rFonts w:ascii="Arial" w:hAnsi="Arial" w:cs="Arial"/>
                <w:b/>
                <w:bCs/>
                <w:color w:val="000000"/>
                <w:sz w:val="20"/>
                <w:szCs w:val="20"/>
              </w:rPr>
            </w:pPr>
          </w:p>
        </w:tc>
        <w:tc>
          <w:tcPr>
            <w:tcW w:w="985" w:type="dxa"/>
            <w:tcBorders>
              <w:top w:val="nil"/>
              <w:left w:val="nil"/>
              <w:bottom w:val="nil"/>
              <w:right w:val="nil"/>
            </w:tcBorders>
            <w:shd w:val="clear" w:color="auto" w:fill="auto"/>
            <w:noWrap/>
            <w:vAlign w:val="bottom"/>
            <w:hideMark/>
          </w:tcPr>
          <w:p w14:paraId="3D85D237" w14:textId="77777777" w:rsidR="0010235F" w:rsidRPr="0010235F" w:rsidRDefault="0010235F" w:rsidP="0010235F">
            <w:pPr>
              <w:jc w:val="center"/>
              <w:rPr>
                <w:rFonts w:ascii="Arial" w:hAnsi="Arial" w:cs="Arial"/>
                <w:b/>
                <w:bCs/>
                <w:color w:val="000000"/>
                <w:sz w:val="20"/>
                <w:szCs w:val="20"/>
              </w:rPr>
            </w:pPr>
          </w:p>
        </w:tc>
        <w:tc>
          <w:tcPr>
            <w:tcW w:w="906" w:type="dxa"/>
            <w:tcBorders>
              <w:top w:val="nil"/>
              <w:left w:val="nil"/>
              <w:bottom w:val="nil"/>
              <w:right w:val="nil"/>
            </w:tcBorders>
            <w:shd w:val="clear" w:color="auto" w:fill="auto"/>
            <w:noWrap/>
            <w:vAlign w:val="bottom"/>
            <w:hideMark/>
          </w:tcPr>
          <w:p w14:paraId="3D85D238" w14:textId="77777777" w:rsidR="0010235F" w:rsidRPr="0010235F" w:rsidRDefault="0010235F" w:rsidP="0010235F">
            <w:pPr>
              <w:jc w:val="center"/>
              <w:rPr>
                <w:rFonts w:ascii="Arial" w:hAnsi="Arial" w:cs="Arial"/>
                <w:b/>
                <w:bCs/>
                <w:color w:val="000000"/>
                <w:sz w:val="20"/>
                <w:szCs w:val="20"/>
              </w:rPr>
            </w:pPr>
          </w:p>
        </w:tc>
        <w:tc>
          <w:tcPr>
            <w:tcW w:w="1250" w:type="dxa"/>
            <w:tcBorders>
              <w:top w:val="nil"/>
              <w:left w:val="nil"/>
              <w:bottom w:val="nil"/>
              <w:right w:val="nil"/>
            </w:tcBorders>
            <w:shd w:val="clear" w:color="auto" w:fill="auto"/>
            <w:noWrap/>
            <w:vAlign w:val="bottom"/>
            <w:hideMark/>
          </w:tcPr>
          <w:p w14:paraId="3D85D239" w14:textId="77777777" w:rsidR="0010235F" w:rsidRPr="0010235F" w:rsidRDefault="0010235F" w:rsidP="0010235F">
            <w:pPr>
              <w:jc w:val="center"/>
              <w:rPr>
                <w:rFonts w:ascii="Arial" w:hAnsi="Arial" w:cs="Arial"/>
                <w:b/>
                <w:bCs/>
                <w:color w:val="000000"/>
                <w:sz w:val="20"/>
                <w:szCs w:val="20"/>
              </w:rPr>
            </w:pPr>
          </w:p>
        </w:tc>
        <w:tc>
          <w:tcPr>
            <w:tcW w:w="1162" w:type="dxa"/>
            <w:tcBorders>
              <w:top w:val="nil"/>
              <w:left w:val="nil"/>
              <w:bottom w:val="nil"/>
              <w:right w:val="single" w:sz="4" w:space="0" w:color="auto"/>
            </w:tcBorders>
            <w:shd w:val="clear" w:color="auto" w:fill="auto"/>
            <w:noWrap/>
            <w:vAlign w:val="bottom"/>
            <w:hideMark/>
          </w:tcPr>
          <w:p w14:paraId="3D85D23A"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246" w:type="dxa"/>
            <w:tcBorders>
              <w:top w:val="nil"/>
              <w:left w:val="nil"/>
              <w:bottom w:val="nil"/>
              <w:right w:val="nil"/>
            </w:tcBorders>
            <w:shd w:val="clear" w:color="auto" w:fill="auto"/>
            <w:noWrap/>
            <w:vAlign w:val="bottom"/>
            <w:hideMark/>
          </w:tcPr>
          <w:p w14:paraId="3D85D23B"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nil"/>
              <w:right w:val="nil"/>
            </w:tcBorders>
            <w:shd w:val="clear" w:color="auto" w:fill="auto"/>
            <w:noWrap/>
            <w:vAlign w:val="bottom"/>
            <w:hideMark/>
          </w:tcPr>
          <w:p w14:paraId="3D85D23C" w14:textId="77777777" w:rsidR="0010235F" w:rsidRPr="0010235F" w:rsidRDefault="0010235F" w:rsidP="0010235F">
            <w:pPr>
              <w:jc w:val="center"/>
              <w:rPr>
                <w:rFonts w:ascii="Arial" w:hAnsi="Arial" w:cs="Arial"/>
                <w:b/>
                <w:bCs/>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D23D"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4B6AD3" w:rsidRPr="0010235F" w14:paraId="3D85D252" w14:textId="77777777" w:rsidTr="004D46A4">
        <w:trPr>
          <w:trHeight w:val="288"/>
        </w:trPr>
        <w:tc>
          <w:tcPr>
            <w:tcW w:w="1429" w:type="dxa"/>
            <w:tcBorders>
              <w:top w:val="nil"/>
              <w:left w:val="single" w:sz="4" w:space="0" w:color="auto"/>
              <w:bottom w:val="nil"/>
              <w:right w:val="nil"/>
            </w:tcBorders>
            <w:shd w:val="clear" w:color="auto" w:fill="auto"/>
            <w:noWrap/>
            <w:vAlign w:val="bottom"/>
            <w:hideMark/>
          </w:tcPr>
          <w:p w14:paraId="3D85D23F" w14:textId="77777777" w:rsidR="004B6AD3" w:rsidRPr="00923502" w:rsidRDefault="004B6AD3" w:rsidP="007525E6">
            <w:pPr>
              <w:rPr>
                <w:rFonts w:ascii="Arial" w:hAnsi="Arial" w:cs="Arial"/>
                <w:color w:val="000000"/>
                <w:sz w:val="20"/>
                <w:szCs w:val="20"/>
              </w:rPr>
            </w:pPr>
            <w:r w:rsidRPr="00923502">
              <w:rPr>
                <w:rFonts w:ascii="Arial" w:hAnsi="Arial" w:cs="Arial"/>
                <w:color w:val="000000"/>
                <w:sz w:val="20"/>
                <w:szCs w:val="20"/>
              </w:rPr>
              <w:t>Acetaldehyde</w:t>
            </w:r>
          </w:p>
        </w:tc>
        <w:tc>
          <w:tcPr>
            <w:tcW w:w="1289" w:type="dxa"/>
            <w:tcBorders>
              <w:top w:val="nil"/>
              <w:left w:val="nil"/>
              <w:bottom w:val="nil"/>
              <w:right w:val="nil"/>
            </w:tcBorders>
            <w:shd w:val="clear" w:color="auto" w:fill="auto"/>
            <w:vAlign w:val="bottom"/>
            <w:hideMark/>
          </w:tcPr>
          <w:p w14:paraId="3D85D240" w14:textId="77777777" w:rsidR="004B6AD3" w:rsidRPr="0010235F" w:rsidRDefault="004B6AD3" w:rsidP="0010235F">
            <w:pPr>
              <w:jc w:val="center"/>
              <w:rPr>
                <w:rFonts w:ascii="Arial" w:hAnsi="Arial" w:cs="Arial"/>
                <w:color w:val="000000"/>
                <w:sz w:val="20"/>
                <w:szCs w:val="20"/>
              </w:rPr>
            </w:pPr>
            <w:r w:rsidRPr="0010235F">
              <w:rPr>
                <w:rFonts w:ascii="Arial" w:hAnsi="Arial" w:cs="Arial"/>
                <w:color w:val="000000"/>
                <w:sz w:val="20"/>
                <w:szCs w:val="20"/>
              </w:rPr>
              <w:t>0.</w:t>
            </w:r>
            <w:r>
              <w:rPr>
                <w:rFonts w:ascii="Arial" w:hAnsi="Arial" w:cs="Arial"/>
                <w:color w:val="000000"/>
                <w:sz w:val="20"/>
                <w:szCs w:val="20"/>
              </w:rPr>
              <w:t>9</w:t>
            </w:r>
          </w:p>
        </w:tc>
        <w:tc>
          <w:tcPr>
            <w:tcW w:w="967" w:type="dxa"/>
            <w:tcBorders>
              <w:top w:val="nil"/>
              <w:left w:val="nil"/>
              <w:bottom w:val="nil"/>
              <w:right w:val="nil"/>
            </w:tcBorders>
            <w:shd w:val="clear" w:color="auto" w:fill="auto"/>
            <w:noWrap/>
            <w:vAlign w:val="bottom"/>
            <w:hideMark/>
          </w:tcPr>
          <w:p w14:paraId="3D85D241"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0.45</w:t>
            </w:r>
          </w:p>
        </w:tc>
        <w:tc>
          <w:tcPr>
            <w:tcW w:w="906" w:type="dxa"/>
            <w:tcBorders>
              <w:top w:val="nil"/>
              <w:left w:val="nil"/>
              <w:bottom w:val="nil"/>
              <w:right w:val="nil"/>
            </w:tcBorders>
            <w:shd w:val="clear" w:color="auto" w:fill="auto"/>
            <w:noWrap/>
            <w:vAlign w:val="bottom"/>
            <w:hideMark/>
          </w:tcPr>
          <w:p w14:paraId="3D85D242"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2</w:t>
            </w:r>
          </w:p>
        </w:tc>
        <w:tc>
          <w:tcPr>
            <w:tcW w:w="1250" w:type="dxa"/>
            <w:tcBorders>
              <w:top w:val="nil"/>
              <w:left w:val="nil"/>
              <w:bottom w:val="nil"/>
              <w:right w:val="nil"/>
            </w:tcBorders>
            <w:shd w:val="clear" w:color="auto" w:fill="auto"/>
            <w:noWrap/>
            <w:vAlign w:val="bottom"/>
            <w:hideMark/>
          </w:tcPr>
          <w:p w14:paraId="3D85D243"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9</w:t>
            </w:r>
          </w:p>
        </w:tc>
        <w:tc>
          <w:tcPr>
            <w:tcW w:w="1051" w:type="dxa"/>
            <w:tcBorders>
              <w:top w:val="nil"/>
              <w:left w:val="nil"/>
              <w:bottom w:val="nil"/>
              <w:right w:val="single" w:sz="4" w:space="0" w:color="auto"/>
            </w:tcBorders>
            <w:shd w:val="clear" w:color="auto" w:fill="auto"/>
            <w:noWrap/>
            <w:vAlign w:val="bottom"/>
            <w:hideMark/>
          </w:tcPr>
          <w:p w14:paraId="3D85D244" w14:textId="77777777" w:rsidR="004B6AD3" w:rsidRPr="0010235F" w:rsidRDefault="004B6AD3" w:rsidP="007525E6">
            <w:pPr>
              <w:jc w:val="center"/>
              <w:rPr>
                <w:rFonts w:ascii="Arial" w:hAnsi="Arial" w:cs="Arial"/>
                <w:color w:val="000000"/>
                <w:sz w:val="20"/>
                <w:szCs w:val="20"/>
              </w:rPr>
            </w:pPr>
            <w:r>
              <w:rPr>
                <w:rFonts w:ascii="Arial" w:hAnsi="Arial" w:cs="Arial"/>
                <w:color w:val="000000"/>
                <w:sz w:val="20"/>
                <w:szCs w:val="20"/>
              </w:rPr>
              <w:t>0.094</w:t>
            </w:r>
          </w:p>
        </w:tc>
        <w:tc>
          <w:tcPr>
            <w:tcW w:w="1204" w:type="dxa"/>
            <w:tcBorders>
              <w:top w:val="nil"/>
              <w:left w:val="nil"/>
              <w:bottom w:val="nil"/>
              <w:right w:val="nil"/>
            </w:tcBorders>
            <w:shd w:val="clear" w:color="auto" w:fill="auto"/>
            <w:vAlign w:val="bottom"/>
            <w:hideMark/>
          </w:tcPr>
          <w:p w14:paraId="3D85D245"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0.50</w:t>
            </w:r>
          </w:p>
        </w:tc>
        <w:tc>
          <w:tcPr>
            <w:tcW w:w="992" w:type="dxa"/>
            <w:tcBorders>
              <w:top w:val="nil"/>
              <w:left w:val="nil"/>
              <w:bottom w:val="nil"/>
              <w:right w:val="nil"/>
            </w:tcBorders>
            <w:shd w:val="clear" w:color="auto" w:fill="auto"/>
            <w:noWrap/>
            <w:vAlign w:val="bottom"/>
            <w:hideMark/>
          </w:tcPr>
          <w:p w14:paraId="3D85D246"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11</w:t>
            </w:r>
          </w:p>
        </w:tc>
        <w:tc>
          <w:tcPr>
            <w:tcW w:w="906" w:type="dxa"/>
            <w:tcBorders>
              <w:top w:val="nil"/>
              <w:left w:val="nil"/>
              <w:bottom w:val="nil"/>
              <w:right w:val="nil"/>
            </w:tcBorders>
            <w:shd w:val="clear" w:color="auto" w:fill="auto"/>
            <w:noWrap/>
            <w:vAlign w:val="bottom"/>
            <w:hideMark/>
          </w:tcPr>
          <w:p w14:paraId="3D85D247"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0.05</w:t>
            </w:r>
          </w:p>
        </w:tc>
        <w:tc>
          <w:tcPr>
            <w:tcW w:w="1250" w:type="dxa"/>
            <w:tcBorders>
              <w:top w:val="nil"/>
              <w:left w:val="nil"/>
              <w:bottom w:val="nil"/>
              <w:right w:val="nil"/>
            </w:tcBorders>
            <w:shd w:val="clear" w:color="auto" w:fill="auto"/>
            <w:noWrap/>
            <w:vAlign w:val="bottom"/>
            <w:hideMark/>
          </w:tcPr>
          <w:p w14:paraId="3D85D248"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38</w:t>
            </w:r>
          </w:p>
        </w:tc>
        <w:tc>
          <w:tcPr>
            <w:tcW w:w="1162" w:type="dxa"/>
            <w:tcBorders>
              <w:top w:val="nil"/>
              <w:left w:val="nil"/>
              <w:bottom w:val="nil"/>
              <w:right w:val="single" w:sz="4" w:space="0" w:color="auto"/>
            </w:tcBorders>
            <w:shd w:val="clear" w:color="auto" w:fill="auto"/>
            <w:noWrap/>
            <w:vAlign w:val="bottom"/>
            <w:hideMark/>
          </w:tcPr>
          <w:p w14:paraId="3D85D249" w14:textId="77777777" w:rsidR="004B6AD3" w:rsidRPr="0010235F" w:rsidRDefault="004B6AD3" w:rsidP="007525E6">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13</w:t>
            </w:r>
          </w:p>
        </w:tc>
        <w:tc>
          <w:tcPr>
            <w:tcW w:w="1347" w:type="dxa"/>
            <w:tcBorders>
              <w:top w:val="nil"/>
              <w:left w:val="nil"/>
              <w:bottom w:val="nil"/>
              <w:right w:val="nil"/>
            </w:tcBorders>
            <w:shd w:val="clear" w:color="auto" w:fill="auto"/>
            <w:vAlign w:val="bottom"/>
            <w:hideMark/>
          </w:tcPr>
          <w:p w14:paraId="3D85D24A" w14:textId="77777777" w:rsidR="004B6AD3" w:rsidRPr="0010235F" w:rsidRDefault="004B6AD3" w:rsidP="004B6AD3">
            <w:pPr>
              <w:jc w:val="center"/>
              <w:rPr>
                <w:rFonts w:ascii="Arial" w:hAnsi="Arial" w:cs="Arial"/>
                <w:color w:val="000000"/>
                <w:sz w:val="20"/>
                <w:szCs w:val="20"/>
              </w:rPr>
            </w:pPr>
            <w:r>
              <w:rPr>
                <w:rFonts w:ascii="Arial" w:hAnsi="Arial" w:cs="Arial"/>
                <w:color w:val="000000"/>
                <w:sz w:val="20"/>
                <w:szCs w:val="20"/>
              </w:rPr>
              <w:t>0.50</w:t>
            </w:r>
          </w:p>
        </w:tc>
        <w:tc>
          <w:tcPr>
            <w:tcW w:w="985" w:type="dxa"/>
            <w:tcBorders>
              <w:top w:val="nil"/>
              <w:left w:val="nil"/>
              <w:bottom w:val="nil"/>
              <w:right w:val="nil"/>
            </w:tcBorders>
            <w:shd w:val="clear" w:color="auto" w:fill="auto"/>
            <w:noWrap/>
            <w:vAlign w:val="bottom"/>
            <w:hideMark/>
          </w:tcPr>
          <w:p w14:paraId="3D85D24B"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5.4</w:t>
            </w:r>
          </w:p>
        </w:tc>
        <w:tc>
          <w:tcPr>
            <w:tcW w:w="906" w:type="dxa"/>
            <w:tcBorders>
              <w:top w:val="nil"/>
              <w:left w:val="nil"/>
              <w:bottom w:val="nil"/>
              <w:right w:val="nil"/>
            </w:tcBorders>
            <w:shd w:val="clear" w:color="auto" w:fill="auto"/>
            <w:noWrap/>
            <w:vAlign w:val="bottom"/>
            <w:hideMark/>
          </w:tcPr>
          <w:p w14:paraId="3D85D24C"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0.09</w:t>
            </w:r>
          </w:p>
        </w:tc>
        <w:tc>
          <w:tcPr>
            <w:tcW w:w="1250" w:type="dxa"/>
            <w:tcBorders>
              <w:top w:val="nil"/>
              <w:left w:val="nil"/>
              <w:bottom w:val="nil"/>
              <w:right w:val="nil"/>
            </w:tcBorders>
            <w:shd w:val="clear" w:color="auto" w:fill="auto"/>
            <w:noWrap/>
            <w:vAlign w:val="bottom"/>
            <w:hideMark/>
          </w:tcPr>
          <w:p w14:paraId="3D85D24D" w14:textId="77777777" w:rsidR="004B6AD3" w:rsidRPr="0010235F" w:rsidRDefault="004B6AD3" w:rsidP="004B6AD3">
            <w:pPr>
              <w:jc w:val="center"/>
              <w:rPr>
                <w:rFonts w:ascii="Arial" w:hAnsi="Arial" w:cs="Arial"/>
                <w:color w:val="000000"/>
                <w:sz w:val="20"/>
                <w:szCs w:val="20"/>
              </w:rPr>
            </w:pPr>
            <w:r>
              <w:rPr>
                <w:rFonts w:ascii="Arial" w:hAnsi="Arial" w:cs="Arial"/>
                <w:color w:val="000000"/>
                <w:sz w:val="20"/>
                <w:szCs w:val="20"/>
              </w:rPr>
              <w:t>38</w:t>
            </w:r>
          </w:p>
        </w:tc>
        <w:tc>
          <w:tcPr>
            <w:tcW w:w="1162" w:type="dxa"/>
            <w:tcBorders>
              <w:top w:val="nil"/>
              <w:left w:val="nil"/>
              <w:bottom w:val="nil"/>
              <w:right w:val="single" w:sz="4" w:space="0" w:color="auto"/>
            </w:tcBorders>
            <w:shd w:val="clear" w:color="auto" w:fill="auto"/>
            <w:noWrap/>
            <w:vAlign w:val="bottom"/>
            <w:hideMark/>
          </w:tcPr>
          <w:p w14:paraId="3D85D24E" w14:textId="77777777" w:rsidR="004B6AD3" w:rsidRPr="0010235F" w:rsidRDefault="004B6AD3" w:rsidP="004B6AD3">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13</w:t>
            </w:r>
          </w:p>
        </w:tc>
        <w:tc>
          <w:tcPr>
            <w:tcW w:w="1246" w:type="dxa"/>
            <w:tcBorders>
              <w:top w:val="nil"/>
              <w:left w:val="nil"/>
              <w:bottom w:val="nil"/>
              <w:right w:val="nil"/>
            </w:tcBorders>
            <w:shd w:val="clear" w:color="auto" w:fill="auto"/>
            <w:vAlign w:val="bottom"/>
            <w:hideMark/>
          </w:tcPr>
          <w:p w14:paraId="3D85D24F"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10</w:t>
            </w:r>
          </w:p>
        </w:tc>
        <w:tc>
          <w:tcPr>
            <w:tcW w:w="967" w:type="dxa"/>
            <w:tcBorders>
              <w:top w:val="nil"/>
              <w:left w:val="nil"/>
              <w:bottom w:val="nil"/>
              <w:right w:val="nil"/>
            </w:tcBorders>
            <w:shd w:val="clear" w:color="auto" w:fill="auto"/>
            <w:noWrap/>
            <w:vAlign w:val="bottom"/>
            <w:hideMark/>
          </w:tcPr>
          <w:p w14:paraId="3D85D250" w14:textId="77777777" w:rsidR="004B6AD3" w:rsidRPr="0010235F" w:rsidRDefault="004B6AD3" w:rsidP="004B6AD3">
            <w:pPr>
              <w:jc w:val="center"/>
              <w:rPr>
                <w:rFonts w:ascii="Arial" w:hAnsi="Arial" w:cs="Arial"/>
                <w:color w:val="000000"/>
                <w:sz w:val="20"/>
                <w:szCs w:val="20"/>
              </w:rPr>
            </w:pPr>
            <w:r>
              <w:rPr>
                <w:rFonts w:ascii="Arial" w:hAnsi="Arial" w:cs="Arial"/>
                <w:color w:val="000000"/>
                <w:sz w:val="20"/>
                <w:szCs w:val="20"/>
              </w:rPr>
              <w:t>470</w:t>
            </w:r>
          </w:p>
        </w:tc>
        <w:tc>
          <w:tcPr>
            <w:tcW w:w="1039" w:type="dxa"/>
            <w:tcBorders>
              <w:top w:val="nil"/>
              <w:left w:val="nil"/>
              <w:bottom w:val="nil"/>
              <w:right w:val="single" w:sz="4" w:space="0" w:color="auto"/>
            </w:tcBorders>
            <w:shd w:val="clear" w:color="auto" w:fill="auto"/>
            <w:noWrap/>
            <w:vAlign w:val="bottom"/>
            <w:hideMark/>
          </w:tcPr>
          <w:p w14:paraId="3D85D251" w14:textId="77777777" w:rsidR="004B6AD3" w:rsidRPr="0010235F" w:rsidRDefault="004B6AD3" w:rsidP="004B6AD3">
            <w:pPr>
              <w:jc w:val="center"/>
              <w:rPr>
                <w:rFonts w:ascii="Arial" w:hAnsi="Arial" w:cs="Arial"/>
                <w:color w:val="000000"/>
                <w:sz w:val="20"/>
                <w:szCs w:val="20"/>
              </w:rPr>
            </w:pPr>
            <w:r>
              <w:rPr>
                <w:rFonts w:ascii="Arial" w:hAnsi="Arial" w:cs="Arial"/>
                <w:color w:val="000000"/>
                <w:sz w:val="20"/>
                <w:szCs w:val="20"/>
              </w:rPr>
              <w:t>0.02</w:t>
            </w:r>
          </w:p>
        </w:tc>
      </w:tr>
      <w:tr w:rsidR="004B6AD3" w:rsidRPr="0010235F" w14:paraId="3D85D266" w14:textId="77777777" w:rsidTr="004D46A4">
        <w:trPr>
          <w:trHeight w:val="288"/>
        </w:trPr>
        <w:tc>
          <w:tcPr>
            <w:tcW w:w="1429" w:type="dxa"/>
            <w:tcBorders>
              <w:top w:val="nil"/>
              <w:left w:val="single" w:sz="4" w:space="0" w:color="auto"/>
              <w:bottom w:val="nil"/>
              <w:right w:val="nil"/>
            </w:tcBorders>
            <w:shd w:val="clear" w:color="auto" w:fill="auto"/>
            <w:noWrap/>
            <w:vAlign w:val="bottom"/>
            <w:hideMark/>
          </w:tcPr>
          <w:p w14:paraId="3D85D253" w14:textId="77777777" w:rsidR="004B6AD3" w:rsidRPr="00923502" w:rsidRDefault="004B6AD3" w:rsidP="007525E6">
            <w:pPr>
              <w:rPr>
                <w:rFonts w:ascii="Arial" w:hAnsi="Arial" w:cs="Arial"/>
                <w:color w:val="000000"/>
                <w:sz w:val="20"/>
                <w:szCs w:val="20"/>
              </w:rPr>
            </w:pPr>
            <w:r w:rsidRPr="00923502">
              <w:rPr>
                <w:rFonts w:ascii="Arial" w:hAnsi="Arial" w:cs="Arial"/>
                <w:color w:val="000000"/>
                <w:sz w:val="20"/>
                <w:szCs w:val="20"/>
              </w:rPr>
              <w:t>Acetone</w:t>
            </w:r>
          </w:p>
        </w:tc>
        <w:tc>
          <w:tcPr>
            <w:tcW w:w="1289" w:type="dxa"/>
            <w:tcBorders>
              <w:top w:val="nil"/>
              <w:left w:val="nil"/>
              <w:bottom w:val="nil"/>
              <w:right w:val="nil"/>
            </w:tcBorders>
            <w:shd w:val="clear" w:color="auto" w:fill="auto"/>
            <w:vAlign w:val="bottom"/>
            <w:hideMark/>
          </w:tcPr>
          <w:p w14:paraId="3D85D254"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0.7</w:t>
            </w:r>
          </w:p>
        </w:tc>
        <w:tc>
          <w:tcPr>
            <w:tcW w:w="967" w:type="dxa"/>
            <w:tcBorders>
              <w:top w:val="nil"/>
              <w:left w:val="nil"/>
              <w:bottom w:val="nil"/>
              <w:right w:val="nil"/>
            </w:tcBorders>
            <w:shd w:val="clear" w:color="auto" w:fill="auto"/>
            <w:noWrap/>
            <w:vAlign w:val="bottom"/>
            <w:hideMark/>
          </w:tcPr>
          <w:p w14:paraId="3D85D255" w14:textId="77777777" w:rsidR="004B6AD3" w:rsidRPr="0010235F" w:rsidRDefault="004B6AD3"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256" w14:textId="77777777" w:rsidR="004B6AD3" w:rsidRPr="0010235F" w:rsidRDefault="004B6AD3"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D257"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3</w:t>
            </w:r>
            <w:r w:rsidRPr="0010235F">
              <w:rPr>
                <w:rFonts w:ascii="Arial" w:hAnsi="Arial" w:cs="Arial"/>
                <w:color w:val="000000"/>
                <w:sz w:val="20"/>
                <w:szCs w:val="20"/>
              </w:rPr>
              <w:t>1,000</w:t>
            </w:r>
          </w:p>
        </w:tc>
        <w:tc>
          <w:tcPr>
            <w:tcW w:w="1051" w:type="dxa"/>
            <w:tcBorders>
              <w:top w:val="nil"/>
              <w:left w:val="nil"/>
              <w:bottom w:val="nil"/>
              <w:right w:val="single" w:sz="4" w:space="0" w:color="auto"/>
            </w:tcBorders>
            <w:shd w:val="clear" w:color="auto" w:fill="auto"/>
            <w:noWrap/>
            <w:vAlign w:val="bottom"/>
            <w:hideMark/>
          </w:tcPr>
          <w:p w14:paraId="3D85D258" w14:textId="77777777" w:rsidR="004B6AD3" w:rsidRPr="0010235F" w:rsidRDefault="004B6AD3" w:rsidP="007525E6">
            <w:pPr>
              <w:jc w:val="center"/>
              <w:rPr>
                <w:rFonts w:ascii="Arial" w:hAnsi="Arial" w:cs="Arial"/>
                <w:color w:val="000000"/>
                <w:sz w:val="20"/>
                <w:szCs w:val="20"/>
              </w:rPr>
            </w:pPr>
            <w:r w:rsidRPr="0010235F">
              <w:rPr>
                <w:rFonts w:ascii="Arial" w:hAnsi="Arial" w:cs="Arial"/>
                <w:color w:val="000000"/>
                <w:sz w:val="20"/>
                <w:szCs w:val="20"/>
              </w:rPr>
              <w:t>0.00</w:t>
            </w:r>
            <w:r>
              <w:rPr>
                <w:rFonts w:ascii="Arial" w:hAnsi="Arial" w:cs="Arial"/>
                <w:color w:val="000000"/>
                <w:sz w:val="20"/>
                <w:szCs w:val="20"/>
              </w:rPr>
              <w:t>0022</w:t>
            </w:r>
          </w:p>
        </w:tc>
        <w:tc>
          <w:tcPr>
            <w:tcW w:w="1204" w:type="dxa"/>
            <w:tcBorders>
              <w:top w:val="nil"/>
              <w:left w:val="nil"/>
              <w:bottom w:val="nil"/>
              <w:right w:val="nil"/>
            </w:tcBorders>
            <w:shd w:val="clear" w:color="auto" w:fill="auto"/>
            <w:vAlign w:val="bottom"/>
            <w:hideMark/>
          </w:tcPr>
          <w:p w14:paraId="3D85D259" w14:textId="77777777" w:rsidR="004B6AD3" w:rsidRPr="0010235F" w:rsidRDefault="004B6AD3" w:rsidP="0010235F">
            <w:pPr>
              <w:jc w:val="center"/>
              <w:rPr>
                <w:rFonts w:ascii="Arial" w:hAnsi="Arial" w:cs="Arial"/>
                <w:color w:val="000000"/>
                <w:sz w:val="20"/>
                <w:szCs w:val="20"/>
              </w:rPr>
            </w:pPr>
            <w:r w:rsidRPr="0010235F">
              <w:rPr>
                <w:rFonts w:ascii="Arial" w:hAnsi="Arial" w:cs="Arial"/>
                <w:color w:val="000000"/>
                <w:sz w:val="20"/>
                <w:szCs w:val="20"/>
              </w:rPr>
              <w:t>0.</w:t>
            </w:r>
            <w:r>
              <w:rPr>
                <w:rFonts w:ascii="Arial" w:hAnsi="Arial" w:cs="Arial"/>
                <w:color w:val="000000"/>
                <w:sz w:val="20"/>
                <w:szCs w:val="20"/>
              </w:rPr>
              <w:t>40</w:t>
            </w:r>
          </w:p>
        </w:tc>
        <w:tc>
          <w:tcPr>
            <w:tcW w:w="992" w:type="dxa"/>
            <w:tcBorders>
              <w:top w:val="nil"/>
              <w:left w:val="nil"/>
              <w:bottom w:val="nil"/>
              <w:right w:val="nil"/>
            </w:tcBorders>
            <w:shd w:val="clear" w:color="auto" w:fill="auto"/>
            <w:noWrap/>
            <w:vAlign w:val="bottom"/>
            <w:hideMark/>
          </w:tcPr>
          <w:p w14:paraId="3D85D25A" w14:textId="77777777" w:rsidR="004B6AD3" w:rsidRPr="0010235F" w:rsidRDefault="004B6AD3"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25B" w14:textId="77777777" w:rsidR="004B6AD3" w:rsidRPr="0010235F" w:rsidRDefault="004B6AD3"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D25C"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130,000</w:t>
            </w:r>
          </w:p>
        </w:tc>
        <w:tc>
          <w:tcPr>
            <w:tcW w:w="1162" w:type="dxa"/>
            <w:tcBorders>
              <w:top w:val="nil"/>
              <w:left w:val="nil"/>
              <w:bottom w:val="nil"/>
              <w:right w:val="single" w:sz="4" w:space="0" w:color="auto"/>
            </w:tcBorders>
            <w:shd w:val="clear" w:color="auto" w:fill="auto"/>
            <w:noWrap/>
            <w:vAlign w:val="bottom"/>
            <w:hideMark/>
          </w:tcPr>
          <w:p w14:paraId="3D85D25D" w14:textId="77777777" w:rsidR="004B6AD3" w:rsidRPr="0010235F" w:rsidRDefault="004B6AD3" w:rsidP="007525E6">
            <w:pPr>
              <w:jc w:val="center"/>
              <w:rPr>
                <w:rFonts w:ascii="Arial" w:hAnsi="Arial" w:cs="Arial"/>
                <w:color w:val="000000"/>
                <w:sz w:val="20"/>
                <w:szCs w:val="20"/>
              </w:rPr>
            </w:pPr>
            <w:r w:rsidRPr="0010235F">
              <w:rPr>
                <w:rFonts w:ascii="Arial" w:hAnsi="Arial" w:cs="Arial"/>
                <w:color w:val="000000"/>
                <w:sz w:val="20"/>
                <w:szCs w:val="20"/>
              </w:rPr>
              <w:t>0.000</w:t>
            </w:r>
            <w:r>
              <w:rPr>
                <w:rFonts w:ascii="Arial" w:hAnsi="Arial" w:cs="Arial"/>
                <w:color w:val="000000"/>
                <w:sz w:val="20"/>
                <w:szCs w:val="20"/>
              </w:rPr>
              <w:t>0031</w:t>
            </w:r>
          </w:p>
        </w:tc>
        <w:tc>
          <w:tcPr>
            <w:tcW w:w="1347" w:type="dxa"/>
            <w:tcBorders>
              <w:top w:val="nil"/>
              <w:left w:val="nil"/>
              <w:bottom w:val="nil"/>
              <w:right w:val="nil"/>
            </w:tcBorders>
            <w:shd w:val="clear" w:color="auto" w:fill="auto"/>
            <w:vAlign w:val="bottom"/>
            <w:hideMark/>
          </w:tcPr>
          <w:p w14:paraId="3D85D25E" w14:textId="77777777" w:rsidR="004B6AD3" w:rsidRPr="0010235F" w:rsidRDefault="004B6AD3" w:rsidP="004B6AD3">
            <w:pPr>
              <w:jc w:val="center"/>
              <w:rPr>
                <w:rFonts w:ascii="Arial" w:hAnsi="Arial" w:cs="Arial"/>
                <w:color w:val="000000"/>
                <w:sz w:val="20"/>
                <w:szCs w:val="20"/>
              </w:rPr>
            </w:pPr>
            <w:r w:rsidRPr="0010235F">
              <w:rPr>
                <w:rFonts w:ascii="Arial" w:hAnsi="Arial" w:cs="Arial"/>
                <w:color w:val="000000"/>
                <w:sz w:val="20"/>
                <w:szCs w:val="20"/>
              </w:rPr>
              <w:t>0.</w:t>
            </w:r>
            <w:r>
              <w:rPr>
                <w:rFonts w:ascii="Arial" w:hAnsi="Arial" w:cs="Arial"/>
                <w:color w:val="000000"/>
                <w:sz w:val="20"/>
                <w:szCs w:val="20"/>
              </w:rPr>
              <w:t>40</w:t>
            </w:r>
          </w:p>
        </w:tc>
        <w:tc>
          <w:tcPr>
            <w:tcW w:w="985" w:type="dxa"/>
            <w:tcBorders>
              <w:top w:val="nil"/>
              <w:left w:val="nil"/>
              <w:bottom w:val="nil"/>
              <w:right w:val="nil"/>
            </w:tcBorders>
            <w:shd w:val="clear" w:color="auto" w:fill="auto"/>
            <w:noWrap/>
            <w:vAlign w:val="bottom"/>
            <w:hideMark/>
          </w:tcPr>
          <w:p w14:paraId="3D85D25F" w14:textId="77777777" w:rsidR="004B6AD3" w:rsidRPr="0010235F" w:rsidRDefault="004B6AD3"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260" w14:textId="77777777" w:rsidR="004B6AD3" w:rsidRPr="0010235F" w:rsidRDefault="004B6AD3"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D261" w14:textId="77777777" w:rsidR="004B6AD3" w:rsidRPr="0010235F" w:rsidRDefault="004B6AD3" w:rsidP="004B6AD3">
            <w:pPr>
              <w:jc w:val="center"/>
              <w:rPr>
                <w:rFonts w:ascii="Arial" w:hAnsi="Arial" w:cs="Arial"/>
                <w:color w:val="000000"/>
                <w:sz w:val="20"/>
                <w:szCs w:val="20"/>
              </w:rPr>
            </w:pPr>
            <w:r>
              <w:rPr>
                <w:rFonts w:ascii="Arial" w:hAnsi="Arial" w:cs="Arial"/>
                <w:color w:val="000000"/>
                <w:sz w:val="20"/>
                <w:szCs w:val="20"/>
              </w:rPr>
              <w:t>130,000</w:t>
            </w:r>
          </w:p>
        </w:tc>
        <w:tc>
          <w:tcPr>
            <w:tcW w:w="1162" w:type="dxa"/>
            <w:tcBorders>
              <w:top w:val="nil"/>
              <w:left w:val="nil"/>
              <w:bottom w:val="nil"/>
              <w:right w:val="single" w:sz="4" w:space="0" w:color="auto"/>
            </w:tcBorders>
            <w:shd w:val="clear" w:color="auto" w:fill="auto"/>
            <w:noWrap/>
            <w:vAlign w:val="bottom"/>
            <w:hideMark/>
          </w:tcPr>
          <w:p w14:paraId="3D85D262" w14:textId="77777777" w:rsidR="004B6AD3" w:rsidRPr="0010235F" w:rsidRDefault="004B6AD3" w:rsidP="004B6AD3">
            <w:pPr>
              <w:jc w:val="center"/>
              <w:rPr>
                <w:rFonts w:ascii="Arial" w:hAnsi="Arial" w:cs="Arial"/>
                <w:color w:val="000000"/>
                <w:sz w:val="20"/>
                <w:szCs w:val="20"/>
              </w:rPr>
            </w:pPr>
            <w:r w:rsidRPr="0010235F">
              <w:rPr>
                <w:rFonts w:ascii="Arial" w:hAnsi="Arial" w:cs="Arial"/>
                <w:color w:val="000000"/>
                <w:sz w:val="20"/>
                <w:szCs w:val="20"/>
              </w:rPr>
              <w:t>0.000</w:t>
            </w:r>
            <w:r>
              <w:rPr>
                <w:rFonts w:ascii="Arial" w:hAnsi="Arial" w:cs="Arial"/>
                <w:color w:val="000000"/>
                <w:sz w:val="20"/>
                <w:szCs w:val="20"/>
              </w:rPr>
              <w:t>0031</w:t>
            </w:r>
          </w:p>
        </w:tc>
        <w:tc>
          <w:tcPr>
            <w:tcW w:w="1246" w:type="dxa"/>
            <w:tcBorders>
              <w:top w:val="nil"/>
              <w:left w:val="nil"/>
              <w:bottom w:val="nil"/>
              <w:right w:val="nil"/>
            </w:tcBorders>
            <w:shd w:val="clear" w:color="auto" w:fill="auto"/>
            <w:vAlign w:val="bottom"/>
            <w:hideMark/>
          </w:tcPr>
          <w:p w14:paraId="3D85D263"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8</w:t>
            </w:r>
          </w:p>
        </w:tc>
        <w:tc>
          <w:tcPr>
            <w:tcW w:w="967" w:type="dxa"/>
            <w:tcBorders>
              <w:top w:val="nil"/>
              <w:left w:val="nil"/>
              <w:bottom w:val="nil"/>
              <w:right w:val="nil"/>
            </w:tcBorders>
            <w:shd w:val="clear" w:color="auto" w:fill="auto"/>
            <w:noWrap/>
            <w:vAlign w:val="bottom"/>
            <w:hideMark/>
          </w:tcPr>
          <w:p w14:paraId="3D85D264" w14:textId="77777777" w:rsidR="004B6AD3" w:rsidRPr="0010235F" w:rsidRDefault="004B6AD3" w:rsidP="004B6AD3">
            <w:pPr>
              <w:jc w:val="center"/>
              <w:rPr>
                <w:rFonts w:ascii="Arial" w:hAnsi="Arial" w:cs="Arial"/>
                <w:color w:val="000000"/>
                <w:sz w:val="20"/>
                <w:szCs w:val="20"/>
              </w:rPr>
            </w:pPr>
            <w:r>
              <w:rPr>
                <w:rFonts w:ascii="Arial" w:hAnsi="Arial" w:cs="Arial"/>
                <w:color w:val="000000"/>
                <w:sz w:val="20"/>
                <w:szCs w:val="20"/>
              </w:rPr>
              <w:t>6</w:t>
            </w:r>
            <w:r w:rsidRPr="0010235F">
              <w:rPr>
                <w:rFonts w:ascii="Arial" w:hAnsi="Arial" w:cs="Arial"/>
                <w:color w:val="000000"/>
                <w:sz w:val="20"/>
                <w:szCs w:val="20"/>
              </w:rPr>
              <w:t>2,000</w:t>
            </w:r>
          </w:p>
        </w:tc>
        <w:tc>
          <w:tcPr>
            <w:tcW w:w="1039" w:type="dxa"/>
            <w:tcBorders>
              <w:top w:val="nil"/>
              <w:left w:val="nil"/>
              <w:bottom w:val="nil"/>
              <w:right w:val="single" w:sz="4" w:space="0" w:color="auto"/>
            </w:tcBorders>
            <w:shd w:val="clear" w:color="auto" w:fill="auto"/>
            <w:noWrap/>
            <w:vAlign w:val="bottom"/>
            <w:hideMark/>
          </w:tcPr>
          <w:p w14:paraId="3D85D265" w14:textId="77777777" w:rsidR="004B6AD3" w:rsidRPr="0010235F" w:rsidRDefault="004B6AD3" w:rsidP="004B6AD3">
            <w:pPr>
              <w:jc w:val="center"/>
              <w:rPr>
                <w:rFonts w:ascii="Arial" w:hAnsi="Arial" w:cs="Arial"/>
                <w:color w:val="000000"/>
                <w:sz w:val="20"/>
                <w:szCs w:val="20"/>
              </w:rPr>
            </w:pPr>
            <w:r w:rsidRPr="0010235F">
              <w:rPr>
                <w:rFonts w:ascii="Arial" w:hAnsi="Arial" w:cs="Arial"/>
                <w:color w:val="000000"/>
                <w:sz w:val="20"/>
                <w:szCs w:val="20"/>
              </w:rPr>
              <w:t>0.00</w:t>
            </w:r>
            <w:r>
              <w:rPr>
                <w:rFonts w:ascii="Arial" w:hAnsi="Arial" w:cs="Arial"/>
                <w:color w:val="000000"/>
                <w:sz w:val="20"/>
                <w:szCs w:val="20"/>
              </w:rPr>
              <w:t>013</w:t>
            </w:r>
          </w:p>
        </w:tc>
      </w:tr>
      <w:tr w:rsidR="004B6AD3" w:rsidRPr="0010235F" w14:paraId="3D85D27A" w14:textId="77777777" w:rsidTr="004D46A4">
        <w:trPr>
          <w:trHeight w:val="288"/>
        </w:trPr>
        <w:tc>
          <w:tcPr>
            <w:tcW w:w="1429" w:type="dxa"/>
            <w:tcBorders>
              <w:top w:val="nil"/>
              <w:left w:val="single" w:sz="4" w:space="0" w:color="auto"/>
              <w:bottom w:val="nil"/>
              <w:right w:val="nil"/>
            </w:tcBorders>
            <w:shd w:val="clear" w:color="auto" w:fill="auto"/>
            <w:noWrap/>
            <w:vAlign w:val="bottom"/>
            <w:hideMark/>
          </w:tcPr>
          <w:p w14:paraId="3D85D267" w14:textId="77777777" w:rsidR="004B6AD3" w:rsidRPr="00923502" w:rsidRDefault="004B6AD3" w:rsidP="007525E6">
            <w:pPr>
              <w:rPr>
                <w:rFonts w:ascii="Arial" w:hAnsi="Arial" w:cs="Arial"/>
                <w:color w:val="000000"/>
                <w:sz w:val="20"/>
                <w:szCs w:val="20"/>
              </w:rPr>
            </w:pPr>
            <w:r w:rsidRPr="00923502">
              <w:rPr>
                <w:rFonts w:ascii="Arial" w:hAnsi="Arial" w:cs="Arial"/>
                <w:color w:val="000000"/>
                <w:sz w:val="20"/>
                <w:szCs w:val="20"/>
              </w:rPr>
              <w:t>Acrolein</w:t>
            </w:r>
          </w:p>
        </w:tc>
        <w:tc>
          <w:tcPr>
            <w:tcW w:w="1289" w:type="dxa"/>
            <w:tcBorders>
              <w:top w:val="nil"/>
              <w:left w:val="nil"/>
              <w:bottom w:val="nil"/>
              <w:right w:val="nil"/>
            </w:tcBorders>
            <w:shd w:val="clear" w:color="auto" w:fill="auto"/>
            <w:vAlign w:val="bottom"/>
            <w:hideMark/>
          </w:tcPr>
          <w:p w14:paraId="3D85D268"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0.2</w:t>
            </w:r>
          </w:p>
        </w:tc>
        <w:tc>
          <w:tcPr>
            <w:tcW w:w="967" w:type="dxa"/>
            <w:tcBorders>
              <w:top w:val="nil"/>
              <w:left w:val="nil"/>
              <w:bottom w:val="nil"/>
              <w:right w:val="nil"/>
            </w:tcBorders>
            <w:shd w:val="clear" w:color="auto" w:fill="auto"/>
            <w:noWrap/>
            <w:vAlign w:val="bottom"/>
            <w:hideMark/>
          </w:tcPr>
          <w:p w14:paraId="3D85D269" w14:textId="77777777" w:rsidR="004B6AD3" w:rsidRPr="0010235F" w:rsidRDefault="004B6AD3"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26A" w14:textId="77777777" w:rsidR="004B6AD3" w:rsidRPr="0010235F" w:rsidRDefault="004B6AD3"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D26B"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0.35</w:t>
            </w:r>
          </w:p>
        </w:tc>
        <w:tc>
          <w:tcPr>
            <w:tcW w:w="1051" w:type="dxa"/>
            <w:tcBorders>
              <w:top w:val="nil"/>
              <w:left w:val="nil"/>
              <w:bottom w:val="nil"/>
              <w:right w:val="single" w:sz="4" w:space="0" w:color="auto"/>
            </w:tcBorders>
            <w:shd w:val="clear" w:color="auto" w:fill="auto"/>
            <w:noWrap/>
            <w:vAlign w:val="bottom"/>
            <w:hideMark/>
          </w:tcPr>
          <w:p w14:paraId="3D85D26C" w14:textId="77777777" w:rsidR="004B6AD3" w:rsidRPr="0010235F" w:rsidRDefault="004B6AD3" w:rsidP="007525E6">
            <w:pPr>
              <w:jc w:val="center"/>
              <w:rPr>
                <w:rFonts w:ascii="Arial" w:hAnsi="Arial" w:cs="Arial"/>
                <w:color w:val="000000"/>
                <w:sz w:val="20"/>
                <w:szCs w:val="20"/>
              </w:rPr>
            </w:pPr>
            <w:r w:rsidRPr="0010235F">
              <w:rPr>
                <w:rFonts w:ascii="Arial" w:hAnsi="Arial" w:cs="Arial"/>
                <w:color w:val="000000"/>
                <w:sz w:val="20"/>
                <w:szCs w:val="20"/>
              </w:rPr>
              <w:t>0.</w:t>
            </w:r>
            <w:r>
              <w:rPr>
                <w:rFonts w:ascii="Arial" w:hAnsi="Arial" w:cs="Arial"/>
                <w:color w:val="000000"/>
                <w:sz w:val="20"/>
                <w:szCs w:val="20"/>
              </w:rPr>
              <w:t>61</w:t>
            </w:r>
          </w:p>
        </w:tc>
        <w:tc>
          <w:tcPr>
            <w:tcW w:w="1204" w:type="dxa"/>
            <w:tcBorders>
              <w:top w:val="nil"/>
              <w:left w:val="nil"/>
              <w:bottom w:val="nil"/>
              <w:right w:val="nil"/>
            </w:tcBorders>
            <w:shd w:val="clear" w:color="auto" w:fill="auto"/>
            <w:vAlign w:val="bottom"/>
            <w:hideMark/>
          </w:tcPr>
          <w:p w14:paraId="3D85D26D" w14:textId="77777777" w:rsidR="004B6AD3" w:rsidRPr="0010235F" w:rsidRDefault="004B6AD3" w:rsidP="00C4680B">
            <w:pPr>
              <w:jc w:val="center"/>
              <w:rPr>
                <w:rFonts w:ascii="Arial" w:hAnsi="Arial" w:cs="Arial"/>
                <w:color w:val="000000"/>
                <w:sz w:val="20"/>
                <w:szCs w:val="20"/>
              </w:rPr>
            </w:pPr>
            <w:r>
              <w:rPr>
                <w:rFonts w:ascii="Arial" w:hAnsi="Arial" w:cs="Arial"/>
                <w:color w:val="000000"/>
                <w:sz w:val="20"/>
                <w:szCs w:val="20"/>
              </w:rPr>
              <w:t>0.13</w:t>
            </w:r>
          </w:p>
        </w:tc>
        <w:tc>
          <w:tcPr>
            <w:tcW w:w="992" w:type="dxa"/>
            <w:tcBorders>
              <w:top w:val="nil"/>
              <w:left w:val="nil"/>
              <w:bottom w:val="nil"/>
              <w:right w:val="nil"/>
            </w:tcBorders>
            <w:shd w:val="clear" w:color="auto" w:fill="auto"/>
            <w:noWrap/>
            <w:vAlign w:val="bottom"/>
            <w:hideMark/>
          </w:tcPr>
          <w:p w14:paraId="3D85D26E" w14:textId="77777777" w:rsidR="004B6AD3" w:rsidRPr="0010235F" w:rsidRDefault="004B6AD3"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26F" w14:textId="77777777" w:rsidR="004B6AD3" w:rsidRPr="0010235F" w:rsidRDefault="004B6AD3"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D270"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1.5</w:t>
            </w:r>
          </w:p>
        </w:tc>
        <w:tc>
          <w:tcPr>
            <w:tcW w:w="1162" w:type="dxa"/>
            <w:tcBorders>
              <w:top w:val="nil"/>
              <w:left w:val="nil"/>
              <w:bottom w:val="nil"/>
              <w:right w:val="single" w:sz="4" w:space="0" w:color="auto"/>
            </w:tcBorders>
            <w:shd w:val="clear" w:color="auto" w:fill="auto"/>
            <w:noWrap/>
            <w:vAlign w:val="bottom"/>
            <w:hideMark/>
          </w:tcPr>
          <w:p w14:paraId="3D85D271" w14:textId="77777777" w:rsidR="004B6AD3" w:rsidRPr="0010235F" w:rsidRDefault="004B6AD3" w:rsidP="007525E6">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83</w:t>
            </w:r>
          </w:p>
        </w:tc>
        <w:tc>
          <w:tcPr>
            <w:tcW w:w="1347" w:type="dxa"/>
            <w:tcBorders>
              <w:top w:val="nil"/>
              <w:left w:val="nil"/>
              <w:bottom w:val="nil"/>
              <w:right w:val="nil"/>
            </w:tcBorders>
            <w:shd w:val="clear" w:color="auto" w:fill="auto"/>
            <w:vAlign w:val="bottom"/>
            <w:hideMark/>
          </w:tcPr>
          <w:p w14:paraId="3D85D272" w14:textId="77777777" w:rsidR="004B6AD3" w:rsidRPr="0010235F" w:rsidRDefault="004B6AD3" w:rsidP="004B6AD3">
            <w:pPr>
              <w:jc w:val="center"/>
              <w:rPr>
                <w:rFonts w:ascii="Arial" w:hAnsi="Arial" w:cs="Arial"/>
                <w:color w:val="000000"/>
                <w:sz w:val="20"/>
                <w:szCs w:val="20"/>
              </w:rPr>
            </w:pPr>
            <w:r>
              <w:rPr>
                <w:rFonts w:ascii="Arial" w:hAnsi="Arial" w:cs="Arial"/>
                <w:color w:val="000000"/>
                <w:sz w:val="20"/>
                <w:szCs w:val="20"/>
              </w:rPr>
              <w:t>0.13</w:t>
            </w:r>
          </w:p>
        </w:tc>
        <w:tc>
          <w:tcPr>
            <w:tcW w:w="985" w:type="dxa"/>
            <w:tcBorders>
              <w:top w:val="nil"/>
              <w:left w:val="nil"/>
              <w:bottom w:val="nil"/>
              <w:right w:val="nil"/>
            </w:tcBorders>
            <w:shd w:val="clear" w:color="auto" w:fill="auto"/>
            <w:noWrap/>
            <w:vAlign w:val="bottom"/>
            <w:hideMark/>
          </w:tcPr>
          <w:p w14:paraId="3D85D273" w14:textId="77777777" w:rsidR="004B6AD3" w:rsidRPr="0010235F" w:rsidRDefault="004B6AD3"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274" w14:textId="77777777" w:rsidR="004B6AD3" w:rsidRPr="0010235F" w:rsidRDefault="004B6AD3" w:rsidP="0010235F">
            <w:pPr>
              <w:jc w:val="center"/>
              <w:rPr>
                <w:rFonts w:ascii="Arial" w:hAnsi="Arial" w:cs="Arial"/>
                <w:color w:val="000000"/>
                <w:sz w:val="20"/>
                <w:szCs w:val="20"/>
              </w:rPr>
            </w:pPr>
          </w:p>
        </w:tc>
        <w:tc>
          <w:tcPr>
            <w:tcW w:w="1250" w:type="dxa"/>
            <w:tcBorders>
              <w:top w:val="nil"/>
              <w:left w:val="nil"/>
              <w:bottom w:val="nil"/>
              <w:right w:val="nil"/>
            </w:tcBorders>
            <w:shd w:val="clear" w:color="auto" w:fill="auto"/>
            <w:noWrap/>
            <w:vAlign w:val="bottom"/>
            <w:hideMark/>
          </w:tcPr>
          <w:p w14:paraId="3D85D275" w14:textId="77777777" w:rsidR="004B6AD3" w:rsidRPr="0010235F" w:rsidRDefault="004B6AD3" w:rsidP="004B6AD3">
            <w:pPr>
              <w:jc w:val="center"/>
              <w:rPr>
                <w:rFonts w:ascii="Arial" w:hAnsi="Arial" w:cs="Arial"/>
                <w:color w:val="000000"/>
                <w:sz w:val="20"/>
                <w:szCs w:val="20"/>
              </w:rPr>
            </w:pPr>
            <w:r>
              <w:rPr>
                <w:rFonts w:ascii="Arial" w:hAnsi="Arial" w:cs="Arial"/>
                <w:color w:val="000000"/>
                <w:sz w:val="20"/>
                <w:szCs w:val="20"/>
              </w:rPr>
              <w:t>1.5</w:t>
            </w:r>
          </w:p>
        </w:tc>
        <w:tc>
          <w:tcPr>
            <w:tcW w:w="1162" w:type="dxa"/>
            <w:tcBorders>
              <w:top w:val="nil"/>
              <w:left w:val="nil"/>
              <w:bottom w:val="nil"/>
              <w:right w:val="single" w:sz="4" w:space="0" w:color="auto"/>
            </w:tcBorders>
            <w:shd w:val="clear" w:color="auto" w:fill="auto"/>
            <w:noWrap/>
            <w:vAlign w:val="bottom"/>
            <w:hideMark/>
          </w:tcPr>
          <w:p w14:paraId="3D85D276" w14:textId="77777777" w:rsidR="004B6AD3" w:rsidRPr="0010235F" w:rsidRDefault="004B6AD3" w:rsidP="004B6AD3">
            <w:pPr>
              <w:jc w:val="center"/>
              <w:rPr>
                <w:rFonts w:ascii="Arial" w:hAnsi="Arial" w:cs="Arial"/>
                <w:color w:val="000000"/>
                <w:sz w:val="20"/>
                <w:szCs w:val="20"/>
              </w:rPr>
            </w:pPr>
            <w:r w:rsidRPr="0010235F">
              <w:rPr>
                <w:rFonts w:ascii="Arial" w:hAnsi="Arial" w:cs="Arial"/>
                <w:color w:val="000000"/>
                <w:sz w:val="20"/>
                <w:szCs w:val="20"/>
              </w:rPr>
              <w:t>0.0</w:t>
            </w:r>
            <w:r>
              <w:rPr>
                <w:rFonts w:ascii="Arial" w:hAnsi="Arial" w:cs="Arial"/>
                <w:color w:val="000000"/>
                <w:sz w:val="20"/>
                <w:szCs w:val="20"/>
              </w:rPr>
              <w:t>83</w:t>
            </w:r>
          </w:p>
        </w:tc>
        <w:tc>
          <w:tcPr>
            <w:tcW w:w="1246" w:type="dxa"/>
            <w:tcBorders>
              <w:top w:val="nil"/>
              <w:left w:val="nil"/>
              <w:bottom w:val="nil"/>
              <w:right w:val="nil"/>
            </w:tcBorders>
            <w:shd w:val="clear" w:color="auto" w:fill="auto"/>
            <w:vAlign w:val="bottom"/>
            <w:hideMark/>
          </w:tcPr>
          <w:p w14:paraId="3D85D277" w14:textId="77777777" w:rsidR="004B6AD3" w:rsidRPr="0010235F" w:rsidRDefault="004B6AD3" w:rsidP="0010235F">
            <w:pPr>
              <w:jc w:val="center"/>
              <w:rPr>
                <w:rFonts w:ascii="Arial" w:hAnsi="Arial" w:cs="Arial"/>
                <w:color w:val="000000"/>
                <w:sz w:val="20"/>
                <w:szCs w:val="20"/>
              </w:rPr>
            </w:pPr>
            <w:r>
              <w:rPr>
                <w:rFonts w:ascii="Arial" w:hAnsi="Arial" w:cs="Arial"/>
                <w:color w:val="000000"/>
                <w:sz w:val="20"/>
                <w:szCs w:val="20"/>
              </w:rPr>
              <w:t>2</w:t>
            </w:r>
          </w:p>
        </w:tc>
        <w:tc>
          <w:tcPr>
            <w:tcW w:w="967" w:type="dxa"/>
            <w:tcBorders>
              <w:top w:val="nil"/>
              <w:left w:val="nil"/>
              <w:bottom w:val="nil"/>
              <w:right w:val="nil"/>
            </w:tcBorders>
            <w:shd w:val="clear" w:color="auto" w:fill="auto"/>
            <w:noWrap/>
            <w:vAlign w:val="bottom"/>
            <w:hideMark/>
          </w:tcPr>
          <w:p w14:paraId="3D85D278" w14:textId="77777777" w:rsidR="004B6AD3" w:rsidRPr="0010235F" w:rsidRDefault="004B6AD3" w:rsidP="004B6AD3">
            <w:pPr>
              <w:jc w:val="center"/>
              <w:rPr>
                <w:rFonts w:ascii="Arial" w:hAnsi="Arial" w:cs="Arial"/>
                <w:color w:val="000000"/>
                <w:sz w:val="20"/>
                <w:szCs w:val="20"/>
              </w:rPr>
            </w:pPr>
            <w:r>
              <w:rPr>
                <w:rFonts w:ascii="Arial" w:hAnsi="Arial" w:cs="Arial"/>
                <w:color w:val="000000"/>
                <w:sz w:val="20"/>
                <w:szCs w:val="20"/>
              </w:rPr>
              <w:t>6.9</w:t>
            </w:r>
          </w:p>
        </w:tc>
        <w:tc>
          <w:tcPr>
            <w:tcW w:w="1039" w:type="dxa"/>
            <w:tcBorders>
              <w:top w:val="nil"/>
              <w:left w:val="nil"/>
              <w:bottom w:val="nil"/>
              <w:right w:val="single" w:sz="4" w:space="0" w:color="auto"/>
            </w:tcBorders>
            <w:shd w:val="clear" w:color="auto" w:fill="auto"/>
            <w:noWrap/>
            <w:vAlign w:val="bottom"/>
            <w:hideMark/>
          </w:tcPr>
          <w:p w14:paraId="3D85D279" w14:textId="77777777" w:rsidR="004B6AD3" w:rsidRPr="0010235F" w:rsidRDefault="004B6AD3" w:rsidP="004D46A4">
            <w:pPr>
              <w:jc w:val="center"/>
              <w:rPr>
                <w:rFonts w:ascii="Arial" w:hAnsi="Arial" w:cs="Arial"/>
                <w:color w:val="000000"/>
                <w:sz w:val="20"/>
                <w:szCs w:val="20"/>
              </w:rPr>
            </w:pPr>
            <w:r>
              <w:rPr>
                <w:rFonts w:ascii="Arial" w:hAnsi="Arial" w:cs="Arial"/>
                <w:color w:val="000000"/>
                <w:sz w:val="20"/>
                <w:szCs w:val="20"/>
              </w:rPr>
              <w:t>0.35</w:t>
            </w:r>
          </w:p>
        </w:tc>
      </w:tr>
      <w:tr w:rsidR="004D46A4" w:rsidRPr="0010235F" w14:paraId="3D85D28E" w14:textId="77777777" w:rsidTr="004D46A4">
        <w:trPr>
          <w:trHeight w:val="288"/>
        </w:trPr>
        <w:tc>
          <w:tcPr>
            <w:tcW w:w="1429" w:type="dxa"/>
            <w:tcBorders>
              <w:top w:val="nil"/>
              <w:left w:val="single" w:sz="4" w:space="0" w:color="auto"/>
              <w:bottom w:val="single" w:sz="4" w:space="0" w:color="auto"/>
              <w:right w:val="nil"/>
            </w:tcBorders>
            <w:shd w:val="clear" w:color="auto" w:fill="auto"/>
            <w:noWrap/>
            <w:vAlign w:val="bottom"/>
            <w:hideMark/>
          </w:tcPr>
          <w:p w14:paraId="3D85D27B" w14:textId="77777777" w:rsidR="004D46A4" w:rsidRPr="0010235F" w:rsidRDefault="004D46A4" w:rsidP="0010235F">
            <w:pPr>
              <w:rPr>
                <w:rFonts w:ascii="Arial" w:hAnsi="Arial" w:cs="Arial"/>
                <w:b/>
                <w:bCs/>
                <w:color w:val="000000"/>
                <w:sz w:val="20"/>
                <w:szCs w:val="20"/>
              </w:rPr>
            </w:pPr>
            <w:r w:rsidRPr="0010235F">
              <w:rPr>
                <w:rFonts w:ascii="Arial" w:hAnsi="Arial" w:cs="Arial"/>
                <w:b/>
                <w:bCs/>
                <w:color w:val="000000"/>
                <w:sz w:val="20"/>
                <w:szCs w:val="20"/>
              </w:rPr>
              <w:t>Total Unit 2</w:t>
            </w:r>
          </w:p>
        </w:tc>
        <w:tc>
          <w:tcPr>
            <w:tcW w:w="1289" w:type="dxa"/>
            <w:tcBorders>
              <w:top w:val="nil"/>
              <w:left w:val="nil"/>
              <w:bottom w:val="single" w:sz="4" w:space="0" w:color="auto"/>
              <w:right w:val="nil"/>
            </w:tcBorders>
            <w:shd w:val="clear" w:color="auto" w:fill="auto"/>
            <w:noWrap/>
            <w:vAlign w:val="bottom"/>
            <w:hideMark/>
          </w:tcPr>
          <w:p w14:paraId="3D85D27C" w14:textId="77777777" w:rsidR="004D46A4" w:rsidRPr="0010235F" w:rsidRDefault="004D46A4"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D27D" w14:textId="77777777" w:rsidR="004D46A4" w:rsidRPr="0010235F" w:rsidRDefault="004D46A4"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D27E" w14:textId="77777777" w:rsidR="004D46A4" w:rsidRPr="0010235F" w:rsidRDefault="004D46A4" w:rsidP="0010235F">
            <w:pPr>
              <w:jc w:val="center"/>
              <w:rPr>
                <w:rFonts w:ascii="Arial" w:hAnsi="Arial" w:cs="Arial"/>
                <w:b/>
                <w:bCs/>
                <w:color w:val="000000"/>
                <w:sz w:val="20"/>
                <w:szCs w:val="20"/>
              </w:rPr>
            </w:pPr>
            <w:r>
              <w:rPr>
                <w:rFonts w:ascii="Arial" w:hAnsi="Arial" w:cs="Arial"/>
                <w:b/>
                <w:bCs/>
                <w:color w:val="000000"/>
                <w:sz w:val="20"/>
                <w:szCs w:val="20"/>
              </w:rPr>
              <w:t>2</w:t>
            </w:r>
          </w:p>
        </w:tc>
        <w:tc>
          <w:tcPr>
            <w:tcW w:w="1250" w:type="dxa"/>
            <w:tcBorders>
              <w:top w:val="nil"/>
              <w:left w:val="nil"/>
              <w:bottom w:val="single" w:sz="4" w:space="0" w:color="auto"/>
              <w:right w:val="nil"/>
            </w:tcBorders>
            <w:shd w:val="clear" w:color="auto" w:fill="auto"/>
            <w:noWrap/>
            <w:vAlign w:val="bottom"/>
            <w:hideMark/>
          </w:tcPr>
          <w:p w14:paraId="3D85D27F" w14:textId="77777777" w:rsidR="004D46A4" w:rsidRPr="0010235F" w:rsidRDefault="004D46A4"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14:paraId="3D85D280" w14:textId="77777777" w:rsidR="004D46A4" w:rsidRPr="0010235F" w:rsidRDefault="004D46A4" w:rsidP="007525E6">
            <w:pPr>
              <w:jc w:val="center"/>
              <w:rPr>
                <w:rFonts w:ascii="Arial" w:hAnsi="Arial" w:cs="Arial"/>
                <w:b/>
                <w:bCs/>
                <w:color w:val="000000"/>
                <w:sz w:val="20"/>
                <w:szCs w:val="20"/>
              </w:rPr>
            </w:pPr>
            <w:r w:rsidRPr="0010235F">
              <w:rPr>
                <w:rFonts w:ascii="Arial" w:hAnsi="Arial" w:cs="Arial"/>
                <w:b/>
                <w:bCs/>
                <w:color w:val="000000"/>
                <w:sz w:val="20"/>
                <w:szCs w:val="20"/>
              </w:rPr>
              <w:t>0.</w:t>
            </w:r>
            <w:r>
              <w:rPr>
                <w:rFonts w:ascii="Arial" w:hAnsi="Arial" w:cs="Arial"/>
                <w:b/>
                <w:bCs/>
                <w:color w:val="000000"/>
                <w:sz w:val="20"/>
                <w:szCs w:val="20"/>
              </w:rPr>
              <w:t>7</w:t>
            </w:r>
          </w:p>
        </w:tc>
        <w:tc>
          <w:tcPr>
            <w:tcW w:w="1204" w:type="dxa"/>
            <w:tcBorders>
              <w:top w:val="nil"/>
              <w:left w:val="nil"/>
              <w:bottom w:val="single" w:sz="4" w:space="0" w:color="auto"/>
              <w:right w:val="nil"/>
            </w:tcBorders>
            <w:shd w:val="clear" w:color="auto" w:fill="auto"/>
            <w:noWrap/>
            <w:vAlign w:val="bottom"/>
            <w:hideMark/>
          </w:tcPr>
          <w:p w14:paraId="3D85D281" w14:textId="77777777" w:rsidR="004D46A4" w:rsidRPr="0010235F" w:rsidRDefault="004D46A4"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92" w:type="dxa"/>
            <w:tcBorders>
              <w:top w:val="nil"/>
              <w:left w:val="nil"/>
              <w:bottom w:val="single" w:sz="4" w:space="0" w:color="auto"/>
              <w:right w:val="nil"/>
            </w:tcBorders>
            <w:shd w:val="clear" w:color="auto" w:fill="auto"/>
            <w:vAlign w:val="bottom"/>
            <w:hideMark/>
          </w:tcPr>
          <w:p w14:paraId="3D85D282" w14:textId="77777777" w:rsidR="004D46A4" w:rsidRPr="0010235F" w:rsidRDefault="004D46A4"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D283" w14:textId="77777777" w:rsidR="004D46A4" w:rsidRPr="0010235F" w:rsidRDefault="004B6AD3" w:rsidP="0010235F">
            <w:pPr>
              <w:jc w:val="center"/>
              <w:rPr>
                <w:rFonts w:ascii="Arial" w:hAnsi="Arial" w:cs="Arial"/>
                <w:b/>
                <w:bCs/>
                <w:color w:val="000000"/>
                <w:sz w:val="20"/>
                <w:szCs w:val="20"/>
              </w:rPr>
            </w:pPr>
            <w:r>
              <w:rPr>
                <w:rFonts w:ascii="Arial" w:hAnsi="Arial" w:cs="Arial"/>
                <w:b/>
                <w:bCs/>
                <w:color w:val="000000"/>
                <w:sz w:val="20"/>
                <w:szCs w:val="20"/>
              </w:rPr>
              <w:t>0.05</w:t>
            </w:r>
          </w:p>
        </w:tc>
        <w:tc>
          <w:tcPr>
            <w:tcW w:w="1250" w:type="dxa"/>
            <w:tcBorders>
              <w:top w:val="nil"/>
              <w:left w:val="nil"/>
              <w:bottom w:val="single" w:sz="4" w:space="0" w:color="auto"/>
              <w:right w:val="nil"/>
            </w:tcBorders>
            <w:shd w:val="clear" w:color="auto" w:fill="auto"/>
            <w:noWrap/>
            <w:vAlign w:val="bottom"/>
            <w:hideMark/>
          </w:tcPr>
          <w:p w14:paraId="3D85D284" w14:textId="77777777" w:rsidR="004D46A4" w:rsidRPr="0010235F" w:rsidRDefault="004D46A4"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62" w:type="dxa"/>
            <w:tcBorders>
              <w:top w:val="nil"/>
              <w:left w:val="nil"/>
              <w:bottom w:val="single" w:sz="4" w:space="0" w:color="auto"/>
              <w:right w:val="single" w:sz="4" w:space="0" w:color="auto"/>
            </w:tcBorders>
            <w:shd w:val="clear" w:color="auto" w:fill="auto"/>
            <w:noWrap/>
            <w:vAlign w:val="bottom"/>
            <w:hideMark/>
          </w:tcPr>
          <w:p w14:paraId="3D85D285" w14:textId="77777777" w:rsidR="004D46A4" w:rsidRPr="0010235F" w:rsidRDefault="004D46A4" w:rsidP="007525E6">
            <w:pPr>
              <w:jc w:val="center"/>
              <w:rPr>
                <w:rFonts w:ascii="Arial" w:hAnsi="Arial" w:cs="Arial"/>
                <w:b/>
                <w:bCs/>
                <w:color w:val="000000"/>
                <w:sz w:val="20"/>
                <w:szCs w:val="20"/>
              </w:rPr>
            </w:pPr>
            <w:r w:rsidRPr="0010235F">
              <w:rPr>
                <w:rFonts w:ascii="Arial" w:hAnsi="Arial" w:cs="Arial"/>
                <w:b/>
                <w:bCs/>
                <w:color w:val="000000"/>
                <w:sz w:val="20"/>
                <w:szCs w:val="20"/>
              </w:rPr>
              <w:t>0.0</w:t>
            </w:r>
            <w:r>
              <w:rPr>
                <w:rFonts w:ascii="Arial" w:hAnsi="Arial" w:cs="Arial"/>
                <w:b/>
                <w:bCs/>
                <w:color w:val="000000"/>
                <w:sz w:val="20"/>
                <w:szCs w:val="20"/>
              </w:rPr>
              <w:t>97</w:t>
            </w:r>
          </w:p>
        </w:tc>
        <w:tc>
          <w:tcPr>
            <w:tcW w:w="1347" w:type="dxa"/>
            <w:tcBorders>
              <w:top w:val="nil"/>
              <w:left w:val="nil"/>
              <w:bottom w:val="single" w:sz="4" w:space="0" w:color="auto"/>
              <w:right w:val="nil"/>
            </w:tcBorders>
            <w:shd w:val="clear" w:color="auto" w:fill="auto"/>
            <w:noWrap/>
            <w:vAlign w:val="bottom"/>
            <w:hideMark/>
          </w:tcPr>
          <w:p w14:paraId="3D85D286" w14:textId="77777777" w:rsidR="004D46A4" w:rsidRPr="0010235F" w:rsidRDefault="004D46A4"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85" w:type="dxa"/>
            <w:tcBorders>
              <w:top w:val="nil"/>
              <w:left w:val="nil"/>
              <w:bottom w:val="single" w:sz="4" w:space="0" w:color="auto"/>
              <w:right w:val="nil"/>
            </w:tcBorders>
            <w:shd w:val="clear" w:color="auto" w:fill="auto"/>
            <w:vAlign w:val="bottom"/>
            <w:hideMark/>
          </w:tcPr>
          <w:p w14:paraId="3D85D287" w14:textId="77777777" w:rsidR="004D46A4" w:rsidRPr="0010235F" w:rsidRDefault="004D46A4"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06" w:type="dxa"/>
            <w:tcBorders>
              <w:top w:val="nil"/>
              <w:left w:val="nil"/>
              <w:bottom w:val="single" w:sz="4" w:space="0" w:color="auto"/>
              <w:right w:val="nil"/>
            </w:tcBorders>
            <w:shd w:val="clear" w:color="auto" w:fill="auto"/>
            <w:noWrap/>
            <w:vAlign w:val="bottom"/>
            <w:hideMark/>
          </w:tcPr>
          <w:p w14:paraId="3D85D288" w14:textId="77777777" w:rsidR="004D46A4" w:rsidRPr="0010235F" w:rsidRDefault="004D46A4" w:rsidP="007525E6">
            <w:pPr>
              <w:jc w:val="center"/>
              <w:rPr>
                <w:rFonts w:ascii="Arial" w:hAnsi="Arial" w:cs="Arial"/>
                <w:b/>
                <w:bCs/>
                <w:color w:val="000000"/>
                <w:sz w:val="20"/>
                <w:szCs w:val="20"/>
              </w:rPr>
            </w:pPr>
            <w:r w:rsidRPr="0010235F">
              <w:rPr>
                <w:rFonts w:ascii="Arial" w:hAnsi="Arial" w:cs="Arial"/>
                <w:b/>
                <w:bCs/>
                <w:color w:val="000000"/>
                <w:sz w:val="20"/>
                <w:szCs w:val="20"/>
              </w:rPr>
              <w:t>0</w:t>
            </w:r>
            <w:r>
              <w:rPr>
                <w:rFonts w:ascii="Arial" w:hAnsi="Arial" w:cs="Arial"/>
                <w:b/>
                <w:bCs/>
                <w:color w:val="000000"/>
                <w:sz w:val="20"/>
                <w:szCs w:val="20"/>
              </w:rPr>
              <w:t>.09</w:t>
            </w:r>
          </w:p>
        </w:tc>
        <w:tc>
          <w:tcPr>
            <w:tcW w:w="1250" w:type="dxa"/>
            <w:tcBorders>
              <w:top w:val="nil"/>
              <w:left w:val="nil"/>
              <w:bottom w:val="single" w:sz="4" w:space="0" w:color="auto"/>
              <w:right w:val="nil"/>
            </w:tcBorders>
            <w:shd w:val="clear" w:color="auto" w:fill="auto"/>
            <w:noWrap/>
            <w:vAlign w:val="bottom"/>
            <w:hideMark/>
          </w:tcPr>
          <w:p w14:paraId="3D85D289" w14:textId="77777777" w:rsidR="004D46A4" w:rsidRPr="0010235F" w:rsidRDefault="004D46A4"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162" w:type="dxa"/>
            <w:tcBorders>
              <w:top w:val="nil"/>
              <w:left w:val="nil"/>
              <w:bottom w:val="single" w:sz="4" w:space="0" w:color="auto"/>
              <w:right w:val="single" w:sz="4" w:space="0" w:color="auto"/>
            </w:tcBorders>
            <w:shd w:val="clear" w:color="auto" w:fill="auto"/>
            <w:noWrap/>
            <w:vAlign w:val="bottom"/>
            <w:hideMark/>
          </w:tcPr>
          <w:p w14:paraId="3D85D28A" w14:textId="77777777" w:rsidR="004D46A4" w:rsidRPr="0010235F" w:rsidRDefault="004D46A4" w:rsidP="004B6AD3">
            <w:pPr>
              <w:jc w:val="center"/>
              <w:rPr>
                <w:rFonts w:ascii="Arial" w:hAnsi="Arial" w:cs="Arial"/>
                <w:b/>
                <w:bCs/>
                <w:color w:val="000000"/>
                <w:sz w:val="20"/>
                <w:szCs w:val="20"/>
              </w:rPr>
            </w:pPr>
            <w:r w:rsidRPr="0010235F">
              <w:rPr>
                <w:rFonts w:ascii="Arial" w:hAnsi="Arial" w:cs="Arial"/>
                <w:b/>
                <w:bCs/>
                <w:color w:val="000000"/>
                <w:sz w:val="20"/>
                <w:szCs w:val="20"/>
              </w:rPr>
              <w:t>0.0</w:t>
            </w:r>
            <w:r>
              <w:rPr>
                <w:rFonts w:ascii="Arial" w:hAnsi="Arial" w:cs="Arial"/>
                <w:b/>
                <w:bCs/>
                <w:color w:val="000000"/>
                <w:sz w:val="20"/>
                <w:szCs w:val="20"/>
              </w:rPr>
              <w:t>97</w:t>
            </w:r>
          </w:p>
        </w:tc>
        <w:tc>
          <w:tcPr>
            <w:tcW w:w="1246" w:type="dxa"/>
            <w:tcBorders>
              <w:top w:val="nil"/>
              <w:left w:val="nil"/>
              <w:bottom w:val="single" w:sz="4" w:space="0" w:color="auto"/>
              <w:right w:val="nil"/>
            </w:tcBorders>
            <w:shd w:val="clear" w:color="auto" w:fill="auto"/>
            <w:noWrap/>
            <w:vAlign w:val="bottom"/>
            <w:hideMark/>
          </w:tcPr>
          <w:p w14:paraId="3D85D28B" w14:textId="77777777" w:rsidR="004D46A4" w:rsidRPr="0010235F" w:rsidRDefault="004D46A4"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D28C" w14:textId="77777777" w:rsidR="004D46A4" w:rsidRPr="0010235F" w:rsidRDefault="004D46A4" w:rsidP="004B6AD3">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14:paraId="3D85D28D" w14:textId="77777777" w:rsidR="004D46A4" w:rsidRPr="0010235F" w:rsidRDefault="004D46A4" w:rsidP="004D46A4">
            <w:pPr>
              <w:jc w:val="center"/>
              <w:rPr>
                <w:rFonts w:ascii="Arial" w:hAnsi="Arial" w:cs="Arial"/>
                <w:b/>
                <w:bCs/>
                <w:color w:val="000000"/>
                <w:sz w:val="20"/>
                <w:szCs w:val="20"/>
              </w:rPr>
            </w:pPr>
            <w:r>
              <w:rPr>
                <w:rFonts w:ascii="Arial" w:hAnsi="Arial" w:cs="Arial"/>
                <w:b/>
                <w:bCs/>
                <w:color w:val="000000"/>
                <w:sz w:val="20"/>
                <w:szCs w:val="20"/>
              </w:rPr>
              <w:t>0.37</w:t>
            </w:r>
          </w:p>
        </w:tc>
      </w:tr>
      <w:tr w:rsidR="0010235F" w:rsidRPr="0010235F" w14:paraId="3D85D2A2" w14:textId="77777777" w:rsidTr="004D46A4">
        <w:trPr>
          <w:trHeight w:val="288"/>
        </w:trPr>
        <w:tc>
          <w:tcPr>
            <w:tcW w:w="1429" w:type="dxa"/>
            <w:tcBorders>
              <w:top w:val="nil"/>
              <w:left w:val="single" w:sz="4" w:space="0" w:color="auto"/>
              <w:bottom w:val="nil"/>
              <w:right w:val="nil"/>
            </w:tcBorders>
            <w:shd w:val="clear" w:color="auto" w:fill="auto"/>
            <w:noWrap/>
            <w:vAlign w:val="bottom"/>
            <w:hideMark/>
          </w:tcPr>
          <w:p w14:paraId="3D85D28F" w14:textId="77777777" w:rsidR="0010235F" w:rsidRPr="0010235F" w:rsidRDefault="0010235F" w:rsidP="0010235F">
            <w:pPr>
              <w:rPr>
                <w:rFonts w:ascii="Arial" w:hAnsi="Arial" w:cs="Arial"/>
                <w:color w:val="000000"/>
                <w:sz w:val="20"/>
                <w:szCs w:val="20"/>
              </w:rPr>
            </w:pPr>
            <w:r w:rsidRPr="0010235F">
              <w:rPr>
                <w:rFonts w:ascii="Arial" w:hAnsi="Arial" w:cs="Arial"/>
                <w:color w:val="000000"/>
                <w:sz w:val="20"/>
                <w:szCs w:val="20"/>
              </w:rPr>
              <w:t> </w:t>
            </w:r>
          </w:p>
        </w:tc>
        <w:tc>
          <w:tcPr>
            <w:tcW w:w="1289" w:type="dxa"/>
            <w:tcBorders>
              <w:top w:val="nil"/>
              <w:left w:val="nil"/>
              <w:bottom w:val="nil"/>
              <w:right w:val="nil"/>
            </w:tcBorders>
            <w:shd w:val="clear" w:color="auto" w:fill="auto"/>
            <w:noWrap/>
            <w:vAlign w:val="bottom"/>
            <w:hideMark/>
          </w:tcPr>
          <w:p w14:paraId="3D85D290" w14:textId="77777777" w:rsidR="0010235F" w:rsidRPr="0010235F" w:rsidRDefault="0010235F" w:rsidP="0010235F">
            <w:pPr>
              <w:jc w:val="center"/>
              <w:rPr>
                <w:rFonts w:ascii="Arial" w:hAnsi="Arial" w:cs="Arial"/>
                <w:color w:val="000000"/>
                <w:sz w:val="20"/>
                <w:szCs w:val="20"/>
              </w:rPr>
            </w:pPr>
          </w:p>
        </w:tc>
        <w:tc>
          <w:tcPr>
            <w:tcW w:w="967" w:type="dxa"/>
            <w:tcBorders>
              <w:top w:val="nil"/>
              <w:left w:val="nil"/>
              <w:bottom w:val="nil"/>
              <w:right w:val="nil"/>
            </w:tcBorders>
            <w:shd w:val="clear" w:color="auto" w:fill="auto"/>
            <w:noWrap/>
            <w:vAlign w:val="bottom"/>
            <w:hideMark/>
          </w:tcPr>
          <w:p w14:paraId="3D85D291"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292" w14:textId="77777777" w:rsidR="0010235F" w:rsidRPr="0010235F" w:rsidRDefault="0010235F" w:rsidP="0010235F">
            <w:pPr>
              <w:jc w:val="center"/>
              <w:rPr>
                <w:rFonts w:ascii="Arial" w:hAnsi="Arial" w:cs="Arial"/>
                <w:sz w:val="20"/>
                <w:szCs w:val="20"/>
              </w:rPr>
            </w:pPr>
          </w:p>
        </w:tc>
        <w:tc>
          <w:tcPr>
            <w:tcW w:w="1250" w:type="dxa"/>
            <w:tcBorders>
              <w:top w:val="nil"/>
              <w:left w:val="nil"/>
              <w:bottom w:val="nil"/>
              <w:right w:val="nil"/>
            </w:tcBorders>
            <w:shd w:val="clear" w:color="auto" w:fill="auto"/>
            <w:noWrap/>
            <w:vAlign w:val="bottom"/>
            <w:hideMark/>
          </w:tcPr>
          <w:p w14:paraId="3D85D293" w14:textId="77777777" w:rsidR="0010235F" w:rsidRPr="0010235F" w:rsidRDefault="0010235F" w:rsidP="0010235F">
            <w:pPr>
              <w:jc w:val="center"/>
              <w:rPr>
                <w:rFonts w:ascii="Arial" w:hAnsi="Arial" w:cs="Arial"/>
                <w:color w:val="000000"/>
                <w:sz w:val="20"/>
                <w:szCs w:val="20"/>
              </w:rPr>
            </w:pPr>
          </w:p>
        </w:tc>
        <w:tc>
          <w:tcPr>
            <w:tcW w:w="1051" w:type="dxa"/>
            <w:tcBorders>
              <w:top w:val="nil"/>
              <w:left w:val="nil"/>
              <w:bottom w:val="nil"/>
              <w:right w:val="single" w:sz="4" w:space="0" w:color="auto"/>
            </w:tcBorders>
            <w:shd w:val="clear" w:color="auto" w:fill="auto"/>
            <w:noWrap/>
            <w:vAlign w:val="bottom"/>
            <w:hideMark/>
          </w:tcPr>
          <w:p w14:paraId="3D85D294"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04" w:type="dxa"/>
            <w:tcBorders>
              <w:top w:val="nil"/>
              <w:left w:val="nil"/>
              <w:bottom w:val="nil"/>
              <w:right w:val="nil"/>
            </w:tcBorders>
            <w:shd w:val="clear" w:color="auto" w:fill="auto"/>
            <w:noWrap/>
            <w:vAlign w:val="bottom"/>
            <w:hideMark/>
          </w:tcPr>
          <w:p w14:paraId="3D85D295" w14:textId="77777777" w:rsidR="0010235F" w:rsidRPr="0010235F" w:rsidRDefault="0010235F" w:rsidP="0010235F">
            <w:pPr>
              <w:jc w:val="cente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hideMark/>
          </w:tcPr>
          <w:p w14:paraId="3D85D296"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297" w14:textId="77777777" w:rsidR="0010235F" w:rsidRPr="0010235F" w:rsidRDefault="0010235F" w:rsidP="0010235F">
            <w:pPr>
              <w:jc w:val="center"/>
              <w:rPr>
                <w:rFonts w:ascii="Arial" w:hAnsi="Arial" w:cs="Arial"/>
                <w:sz w:val="20"/>
                <w:szCs w:val="20"/>
              </w:rPr>
            </w:pPr>
          </w:p>
        </w:tc>
        <w:tc>
          <w:tcPr>
            <w:tcW w:w="1250" w:type="dxa"/>
            <w:tcBorders>
              <w:top w:val="nil"/>
              <w:left w:val="nil"/>
              <w:bottom w:val="nil"/>
              <w:right w:val="nil"/>
            </w:tcBorders>
            <w:shd w:val="clear" w:color="auto" w:fill="auto"/>
            <w:noWrap/>
            <w:vAlign w:val="bottom"/>
            <w:hideMark/>
          </w:tcPr>
          <w:p w14:paraId="3D85D298" w14:textId="77777777" w:rsidR="0010235F" w:rsidRPr="0010235F" w:rsidRDefault="0010235F" w:rsidP="0010235F">
            <w:pPr>
              <w:jc w:val="center"/>
              <w:rPr>
                <w:rFonts w:ascii="Arial" w:hAnsi="Arial" w:cs="Arial"/>
                <w:sz w:val="20"/>
                <w:szCs w:val="20"/>
              </w:rPr>
            </w:pPr>
          </w:p>
        </w:tc>
        <w:tc>
          <w:tcPr>
            <w:tcW w:w="1162" w:type="dxa"/>
            <w:tcBorders>
              <w:top w:val="nil"/>
              <w:left w:val="nil"/>
              <w:bottom w:val="nil"/>
              <w:right w:val="single" w:sz="4" w:space="0" w:color="auto"/>
            </w:tcBorders>
            <w:shd w:val="clear" w:color="auto" w:fill="auto"/>
            <w:noWrap/>
            <w:vAlign w:val="bottom"/>
            <w:hideMark/>
          </w:tcPr>
          <w:p w14:paraId="3D85D299"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347" w:type="dxa"/>
            <w:tcBorders>
              <w:top w:val="nil"/>
              <w:left w:val="nil"/>
              <w:bottom w:val="nil"/>
              <w:right w:val="nil"/>
            </w:tcBorders>
            <w:shd w:val="clear" w:color="auto" w:fill="auto"/>
            <w:noWrap/>
            <w:vAlign w:val="bottom"/>
            <w:hideMark/>
          </w:tcPr>
          <w:p w14:paraId="3D85D29A" w14:textId="77777777" w:rsidR="0010235F" w:rsidRPr="0010235F" w:rsidRDefault="0010235F" w:rsidP="0010235F">
            <w:pPr>
              <w:jc w:val="center"/>
              <w:rPr>
                <w:rFonts w:ascii="Arial" w:hAnsi="Arial" w:cs="Arial"/>
                <w:color w:val="000000"/>
                <w:sz w:val="20"/>
                <w:szCs w:val="20"/>
              </w:rPr>
            </w:pPr>
          </w:p>
        </w:tc>
        <w:tc>
          <w:tcPr>
            <w:tcW w:w="985" w:type="dxa"/>
            <w:tcBorders>
              <w:top w:val="nil"/>
              <w:left w:val="nil"/>
              <w:bottom w:val="nil"/>
              <w:right w:val="nil"/>
            </w:tcBorders>
            <w:shd w:val="clear" w:color="auto" w:fill="auto"/>
            <w:noWrap/>
            <w:vAlign w:val="bottom"/>
            <w:hideMark/>
          </w:tcPr>
          <w:p w14:paraId="3D85D29B" w14:textId="77777777" w:rsidR="0010235F" w:rsidRPr="0010235F" w:rsidRDefault="0010235F" w:rsidP="0010235F">
            <w:pPr>
              <w:jc w:val="center"/>
              <w:rPr>
                <w:rFonts w:ascii="Arial" w:hAnsi="Arial" w:cs="Arial"/>
                <w:color w:val="000000"/>
                <w:sz w:val="20"/>
                <w:szCs w:val="20"/>
              </w:rPr>
            </w:pPr>
          </w:p>
        </w:tc>
        <w:tc>
          <w:tcPr>
            <w:tcW w:w="906" w:type="dxa"/>
            <w:tcBorders>
              <w:top w:val="nil"/>
              <w:left w:val="nil"/>
              <w:bottom w:val="nil"/>
              <w:right w:val="nil"/>
            </w:tcBorders>
            <w:shd w:val="clear" w:color="auto" w:fill="auto"/>
            <w:noWrap/>
            <w:vAlign w:val="bottom"/>
            <w:hideMark/>
          </w:tcPr>
          <w:p w14:paraId="3D85D29C" w14:textId="77777777" w:rsidR="0010235F" w:rsidRPr="0010235F" w:rsidRDefault="0010235F" w:rsidP="0010235F">
            <w:pPr>
              <w:jc w:val="center"/>
              <w:rPr>
                <w:rFonts w:ascii="Arial" w:hAnsi="Arial" w:cs="Arial"/>
                <w:sz w:val="20"/>
                <w:szCs w:val="20"/>
              </w:rPr>
            </w:pPr>
          </w:p>
        </w:tc>
        <w:tc>
          <w:tcPr>
            <w:tcW w:w="1250" w:type="dxa"/>
            <w:tcBorders>
              <w:top w:val="nil"/>
              <w:left w:val="nil"/>
              <w:bottom w:val="nil"/>
              <w:right w:val="nil"/>
            </w:tcBorders>
            <w:shd w:val="clear" w:color="auto" w:fill="auto"/>
            <w:noWrap/>
            <w:vAlign w:val="bottom"/>
            <w:hideMark/>
          </w:tcPr>
          <w:p w14:paraId="3D85D29D" w14:textId="77777777" w:rsidR="0010235F" w:rsidRPr="0010235F" w:rsidRDefault="0010235F" w:rsidP="0010235F">
            <w:pPr>
              <w:jc w:val="center"/>
              <w:rPr>
                <w:rFonts w:ascii="Arial" w:hAnsi="Arial" w:cs="Arial"/>
                <w:sz w:val="20"/>
                <w:szCs w:val="20"/>
              </w:rPr>
            </w:pPr>
          </w:p>
        </w:tc>
        <w:tc>
          <w:tcPr>
            <w:tcW w:w="1162" w:type="dxa"/>
            <w:tcBorders>
              <w:top w:val="nil"/>
              <w:left w:val="nil"/>
              <w:bottom w:val="nil"/>
              <w:right w:val="single" w:sz="4" w:space="0" w:color="auto"/>
            </w:tcBorders>
            <w:shd w:val="clear" w:color="auto" w:fill="auto"/>
            <w:noWrap/>
            <w:vAlign w:val="bottom"/>
            <w:hideMark/>
          </w:tcPr>
          <w:p w14:paraId="3D85D29E"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1246" w:type="dxa"/>
            <w:tcBorders>
              <w:top w:val="nil"/>
              <w:left w:val="nil"/>
              <w:bottom w:val="nil"/>
              <w:right w:val="nil"/>
            </w:tcBorders>
            <w:shd w:val="clear" w:color="auto" w:fill="auto"/>
            <w:noWrap/>
            <w:vAlign w:val="bottom"/>
            <w:hideMark/>
          </w:tcPr>
          <w:p w14:paraId="3D85D29F"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c>
          <w:tcPr>
            <w:tcW w:w="967" w:type="dxa"/>
            <w:tcBorders>
              <w:top w:val="nil"/>
              <w:left w:val="nil"/>
              <w:bottom w:val="nil"/>
              <w:right w:val="nil"/>
            </w:tcBorders>
            <w:shd w:val="clear" w:color="auto" w:fill="auto"/>
            <w:noWrap/>
            <w:vAlign w:val="bottom"/>
            <w:hideMark/>
          </w:tcPr>
          <w:p w14:paraId="3D85D2A0" w14:textId="77777777" w:rsidR="0010235F" w:rsidRPr="0010235F" w:rsidRDefault="0010235F" w:rsidP="0010235F">
            <w:pPr>
              <w:rPr>
                <w:rFonts w:ascii="Arial" w:hAnsi="Arial" w:cs="Arial"/>
                <w:color w:val="000000"/>
                <w:sz w:val="20"/>
                <w:szCs w:val="20"/>
              </w:rPr>
            </w:pPr>
          </w:p>
        </w:tc>
        <w:tc>
          <w:tcPr>
            <w:tcW w:w="1039" w:type="dxa"/>
            <w:tcBorders>
              <w:top w:val="nil"/>
              <w:left w:val="nil"/>
              <w:bottom w:val="nil"/>
              <w:right w:val="single" w:sz="4" w:space="0" w:color="auto"/>
            </w:tcBorders>
            <w:shd w:val="clear" w:color="auto" w:fill="auto"/>
            <w:noWrap/>
            <w:vAlign w:val="bottom"/>
            <w:hideMark/>
          </w:tcPr>
          <w:p w14:paraId="3D85D2A1" w14:textId="77777777" w:rsidR="0010235F" w:rsidRPr="0010235F" w:rsidRDefault="0010235F" w:rsidP="0010235F">
            <w:pPr>
              <w:jc w:val="center"/>
              <w:rPr>
                <w:rFonts w:ascii="Arial" w:hAnsi="Arial" w:cs="Arial"/>
                <w:color w:val="000000"/>
                <w:sz w:val="20"/>
                <w:szCs w:val="20"/>
              </w:rPr>
            </w:pPr>
            <w:r w:rsidRPr="0010235F">
              <w:rPr>
                <w:rFonts w:ascii="Arial" w:hAnsi="Arial" w:cs="Arial"/>
                <w:color w:val="000000"/>
                <w:sz w:val="20"/>
                <w:szCs w:val="20"/>
              </w:rPr>
              <w:t> </w:t>
            </w:r>
          </w:p>
        </w:tc>
      </w:tr>
      <w:tr w:rsidR="0010235F" w:rsidRPr="0010235F" w14:paraId="3D85D2B4" w14:textId="77777777" w:rsidTr="004D46A4">
        <w:trPr>
          <w:trHeight w:val="288"/>
        </w:trPr>
        <w:tc>
          <w:tcPr>
            <w:tcW w:w="3685" w:type="dxa"/>
            <w:gridSpan w:val="3"/>
            <w:tcBorders>
              <w:top w:val="nil"/>
              <w:left w:val="single" w:sz="4" w:space="0" w:color="auto"/>
              <w:bottom w:val="single" w:sz="4" w:space="0" w:color="auto"/>
              <w:right w:val="nil"/>
            </w:tcBorders>
            <w:shd w:val="clear" w:color="auto" w:fill="auto"/>
            <w:noWrap/>
            <w:vAlign w:val="bottom"/>
            <w:hideMark/>
          </w:tcPr>
          <w:p w14:paraId="3D85D2A3" w14:textId="77777777" w:rsidR="0010235F" w:rsidRPr="0010235F" w:rsidRDefault="0010235F" w:rsidP="0010235F">
            <w:pPr>
              <w:rPr>
                <w:rFonts w:ascii="Arial" w:hAnsi="Arial" w:cs="Arial"/>
                <w:b/>
                <w:bCs/>
                <w:color w:val="000000"/>
                <w:sz w:val="20"/>
                <w:szCs w:val="20"/>
              </w:rPr>
            </w:pPr>
            <w:r w:rsidRPr="0010235F">
              <w:rPr>
                <w:rFonts w:ascii="Arial" w:hAnsi="Arial" w:cs="Arial"/>
                <w:b/>
                <w:bCs/>
                <w:color w:val="000000"/>
                <w:sz w:val="20"/>
                <w:szCs w:val="20"/>
              </w:rPr>
              <w:t>Total Source (Unit 1 and Unit 2)</w:t>
            </w:r>
          </w:p>
        </w:tc>
        <w:tc>
          <w:tcPr>
            <w:tcW w:w="906" w:type="dxa"/>
            <w:tcBorders>
              <w:top w:val="nil"/>
              <w:left w:val="nil"/>
              <w:bottom w:val="single" w:sz="4" w:space="0" w:color="auto"/>
              <w:right w:val="nil"/>
            </w:tcBorders>
            <w:shd w:val="clear" w:color="auto" w:fill="auto"/>
            <w:noWrap/>
            <w:vAlign w:val="bottom"/>
            <w:hideMark/>
          </w:tcPr>
          <w:p w14:paraId="3D85D2A4" w14:textId="77777777" w:rsidR="0010235F" w:rsidRPr="0010235F" w:rsidRDefault="007525E6" w:rsidP="0010235F">
            <w:pPr>
              <w:jc w:val="center"/>
              <w:rPr>
                <w:rFonts w:ascii="Arial" w:hAnsi="Arial" w:cs="Arial"/>
                <w:b/>
                <w:bCs/>
                <w:sz w:val="20"/>
                <w:szCs w:val="20"/>
              </w:rPr>
            </w:pPr>
            <w:r>
              <w:rPr>
                <w:rFonts w:ascii="Arial" w:hAnsi="Arial" w:cs="Arial"/>
                <w:b/>
                <w:bCs/>
                <w:sz w:val="20"/>
                <w:szCs w:val="20"/>
              </w:rPr>
              <w:t>16</w:t>
            </w:r>
          </w:p>
        </w:tc>
        <w:tc>
          <w:tcPr>
            <w:tcW w:w="1250" w:type="dxa"/>
            <w:tcBorders>
              <w:top w:val="nil"/>
              <w:left w:val="nil"/>
              <w:bottom w:val="single" w:sz="4" w:space="0" w:color="auto"/>
              <w:right w:val="nil"/>
            </w:tcBorders>
            <w:shd w:val="clear" w:color="auto" w:fill="auto"/>
            <w:noWrap/>
            <w:vAlign w:val="bottom"/>
            <w:hideMark/>
          </w:tcPr>
          <w:p w14:paraId="3D85D2A5" w14:textId="77777777" w:rsidR="0010235F" w:rsidRPr="0010235F" w:rsidRDefault="0010235F" w:rsidP="0010235F">
            <w:pPr>
              <w:rPr>
                <w:rFonts w:ascii="Arial" w:hAnsi="Arial" w:cs="Arial"/>
                <w:b/>
                <w:bCs/>
                <w:color w:val="FF0000"/>
                <w:sz w:val="20"/>
                <w:szCs w:val="20"/>
              </w:rPr>
            </w:pPr>
          </w:p>
        </w:tc>
        <w:tc>
          <w:tcPr>
            <w:tcW w:w="1051" w:type="dxa"/>
            <w:tcBorders>
              <w:top w:val="nil"/>
              <w:left w:val="nil"/>
              <w:bottom w:val="single" w:sz="4" w:space="0" w:color="auto"/>
              <w:right w:val="single" w:sz="4" w:space="0" w:color="auto"/>
            </w:tcBorders>
            <w:shd w:val="clear" w:color="auto" w:fill="auto"/>
            <w:noWrap/>
            <w:vAlign w:val="bottom"/>
            <w:hideMark/>
          </w:tcPr>
          <w:p w14:paraId="3D85D2A6" w14:textId="77777777" w:rsidR="0010235F" w:rsidRPr="0010235F" w:rsidRDefault="007525E6" w:rsidP="0010235F">
            <w:pPr>
              <w:jc w:val="center"/>
              <w:rPr>
                <w:rFonts w:ascii="Arial" w:hAnsi="Arial" w:cs="Arial"/>
                <w:b/>
                <w:bCs/>
                <w:sz w:val="20"/>
                <w:szCs w:val="20"/>
              </w:rPr>
            </w:pPr>
            <w:r>
              <w:rPr>
                <w:rFonts w:ascii="Arial" w:hAnsi="Arial" w:cs="Arial"/>
                <w:b/>
                <w:bCs/>
                <w:sz w:val="20"/>
                <w:szCs w:val="20"/>
              </w:rPr>
              <w:t>1</w:t>
            </w:r>
          </w:p>
        </w:tc>
        <w:tc>
          <w:tcPr>
            <w:tcW w:w="1204" w:type="dxa"/>
            <w:tcBorders>
              <w:top w:val="nil"/>
              <w:left w:val="nil"/>
              <w:bottom w:val="single" w:sz="4" w:space="0" w:color="auto"/>
              <w:right w:val="nil"/>
            </w:tcBorders>
            <w:shd w:val="clear" w:color="auto" w:fill="auto"/>
            <w:noWrap/>
            <w:vAlign w:val="bottom"/>
            <w:hideMark/>
          </w:tcPr>
          <w:p w14:paraId="3D85D2A7" w14:textId="77777777" w:rsidR="0010235F" w:rsidRPr="0010235F" w:rsidRDefault="0010235F" w:rsidP="0010235F">
            <w:pPr>
              <w:rPr>
                <w:rFonts w:ascii="Arial" w:hAnsi="Arial" w:cs="Arial"/>
                <w:b/>
                <w:bCs/>
                <w:color w:val="000000"/>
                <w:sz w:val="20"/>
                <w:szCs w:val="20"/>
              </w:rPr>
            </w:pPr>
          </w:p>
        </w:tc>
        <w:tc>
          <w:tcPr>
            <w:tcW w:w="992" w:type="dxa"/>
            <w:tcBorders>
              <w:top w:val="nil"/>
              <w:left w:val="nil"/>
              <w:bottom w:val="single" w:sz="4" w:space="0" w:color="auto"/>
              <w:right w:val="nil"/>
            </w:tcBorders>
            <w:shd w:val="clear" w:color="auto" w:fill="auto"/>
            <w:noWrap/>
            <w:vAlign w:val="bottom"/>
            <w:hideMark/>
          </w:tcPr>
          <w:p w14:paraId="3D85D2A8" w14:textId="77777777" w:rsidR="0010235F" w:rsidRPr="0010235F" w:rsidRDefault="0010235F" w:rsidP="0010235F">
            <w:pPr>
              <w:rPr>
                <w:rFonts w:ascii="Arial" w:hAnsi="Arial" w:cs="Arial"/>
                <w:b/>
                <w:bCs/>
                <w:color w:val="000000"/>
                <w:sz w:val="20"/>
                <w:szCs w:val="20"/>
              </w:rPr>
            </w:pPr>
          </w:p>
        </w:tc>
        <w:tc>
          <w:tcPr>
            <w:tcW w:w="906" w:type="dxa"/>
            <w:tcBorders>
              <w:top w:val="nil"/>
              <w:left w:val="nil"/>
              <w:bottom w:val="single" w:sz="4" w:space="0" w:color="auto"/>
              <w:right w:val="nil"/>
            </w:tcBorders>
            <w:shd w:val="clear" w:color="auto" w:fill="auto"/>
            <w:noWrap/>
            <w:vAlign w:val="bottom"/>
            <w:hideMark/>
          </w:tcPr>
          <w:p w14:paraId="3D85D2A9"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0.3</w:t>
            </w:r>
          </w:p>
        </w:tc>
        <w:tc>
          <w:tcPr>
            <w:tcW w:w="1250" w:type="dxa"/>
            <w:tcBorders>
              <w:top w:val="nil"/>
              <w:left w:val="nil"/>
              <w:bottom w:val="single" w:sz="4" w:space="0" w:color="auto"/>
              <w:right w:val="nil"/>
            </w:tcBorders>
            <w:shd w:val="clear" w:color="auto" w:fill="auto"/>
            <w:noWrap/>
            <w:vAlign w:val="bottom"/>
            <w:hideMark/>
          </w:tcPr>
          <w:p w14:paraId="3D85D2AA" w14:textId="77777777" w:rsidR="0010235F" w:rsidRPr="0010235F" w:rsidRDefault="0010235F" w:rsidP="0010235F">
            <w:pPr>
              <w:jc w:val="center"/>
              <w:rPr>
                <w:rFonts w:ascii="Arial" w:hAnsi="Arial" w:cs="Arial"/>
                <w:b/>
                <w:bCs/>
                <w:color w:val="000000"/>
                <w:sz w:val="20"/>
                <w:szCs w:val="20"/>
              </w:rPr>
            </w:pPr>
          </w:p>
        </w:tc>
        <w:tc>
          <w:tcPr>
            <w:tcW w:w="1162" w:type="dxa"/>
            <w:tcBorders>
              <w:top w:val="nil"/>
              <w:left w:val="nil"/>
              <w:bottom w:val="single" w:sz="4" w:space="0" w:color="auto"/>
              <w:right w:val="single" w:sz="4" w:space="0" w:color="auto"/>
            </w:tcBorders>
            <w:shd w:val="clear" w:color="auto" w:fill="auto"/>
            <w:noWrap/>
            <w:vAlign w:val="bottom"/>
            <w:hideMark/>
          </w:tcPr>
          <w:p w14:paraId="3D85D2AB" w14:textId="77777777" w:rsidR="0010235F" w:rsidRPr="0010235F" w:rsidRDefault="007525E6" w:rsidP="0010235F">
            <w:pPr>
              <w:jc w:val="center"/>
              <w:rPr>
                <w:rFonts w:ascii="Arial" w:hAnsi="Arial" w:cs="Arial"/>
                <w:b/>
                <w:bCs/>
                <w:color w:val="000000"/>
                <w:sz w:val="20"/>
                <w:szCs w:val="20"/>
              </w:rPr>
            </w:pPr>
            <w:r>
              <w:rPr>
                <w:rFonts w:ascii="Arial" w:hAnsi="Arial" w:cs="Arial"/>
                <w:b/>
                <w:bCs/>
                <w:color w:val="000000"/>
                <w:sz w:val="20"/>
                <w:szCs w:val="20"/>
              </w:rPr>
              <w:t>0.1</w:t>
            </w:r>
          </w:p>
        </w:tc>
        <w:tc>
          <w:tcPr>
            <w:tcW w:w="1347" w:type="dxa"/>
            <w:tcBorders>
              <w:top w:val="nil"/>
              <w:left w:val="nil"/>
              <w:bottom w:val="single" w:sz="4" w:space="0" w:color="auto"/>
              <w:right w:val="nil"/>
            </w:tcBorders>
            <w:shd w:val="clear" w:color="auto" w:fill="auto"/>
            <w:noWrap/>
            <w:vAlign w:val="bottom"/>
            <w:hideMark/>
          </w:tcPr>
          <w:p w14:paraId="3D85D2AC" w14:textId="77777777" w:rsidR="0010235F" w:rsidRPr="0010235F" w:rsidRDefault="0010235F" w:rsidP="0010235F">
            <w:pPr>
              <w:rPr>
                <w:rFonts w:ascii="Arial" w:hAnsi="Arial" w:cs="Arial"/>
                <w:b/>
                <w:bCs/>
                <w:color w:val="000000"/>
                <w:sz w:val="20"/>
                <w:szCs w:val="20"/>
              </w:rPr>
            </w:pPr>
          </w:p>
        </w:tc>
        <w:tc>
          <w:tcPr>
            <w:tcW w:w="985" w:type="dxa"/>
            <w:tcBorders>
              <w:top w:val="nil"/>
              <w:left w:val="nil"/>
              <w:bottom w:val="single" w:sz="4" w:space="0" w:color="auto"/>
              <w:right w:val="nil"/>
            </w:tcBorders>
            <w:shd w:val="clear" w:color="auto" w:fill="auto"/>
            <w:noWrap/>
            <w:vAlign w:val="bottom"/>
            <w:hideMark/>
          </w:tcPr>
          <w:p w14:paraId="3D85D2AD" w14:textId="77777777" w:rsidR="0010235F" w:rsidRPr="0010235F" w:rsidRDefault="0010235F" w:rsidP="0010235F">
            <w:pPr>
              <w:rPr>
                <w:rFonts w:ascii="Arial" w:hAnsi="Arial" w:cs="Arial"/>
                <w:b/>
                <w:bCs/>
                <w:color w:val="000000"/>
                <w:sz w:val="20"/>
                <w:szCs w:val="20"/>
              </w:rPr>
            </w:pPr>
          </w:p>
        </w:tc>
        <w:tc>
          <w:tcPr>
            <w:tcW w:w="906" w:type="dxa"/>
            <w:tcBorders>
              <w:top w:val="nil"/>
              <w:left w:val="nil"/>
              <w:bottom w:val="single" w:sz="4" w:space="0" w:color="auto"/>
              <w:right w:val="nil"/>
            </w:tcBorders>
            <w:shd w:val="clear" w:color="auto" w:fill="auto"/>
            <w:noWrap/>
            <w:vAlign w:val="bottom"/>
            <w:hideMark/>
          </w:tcPr>
          <w:p w14:paraId="3D85D2AE" w14:textId="77777777" w:rsidR="0010235F" w:rsidRPr="0010235F" w:rsidRDefault="007525E6" w:rsidP="0010235F">
            <w:pPr>
              <w:jc w:val="center"/>
              <w:rPr>
                <w:rFonts w:ascii="Arial" w:hAnsi="Arial" w:cs="Arial"/>
                <w:b/>
                <w:bCs/>
                <w:color w:val="000000"/>
                <w:sz w:val="20"/>
                <w:szCs w:val="20"/>
              </w:rPr>
            </w:pPr>
            <w:r>
              <w:rPr>
                <w:rFonts w:ascii="Arial" w:hAnsi="Arial" w:cs="Arial"/>
                <w:b/>
                <w:bCs/>
                <w:color w:val="000000"/>
                <w:sz w:val="20"/>
                <w:szCs w:val="20"/>
              </w:rPr>
              <w:t>0.6</w:t>
            </w:r>
          </w:p>
        </w:tc>
        <w:tc>
          <w:tcPr>
            <w:tcW w:w="1250" w:type="dxa"/>
            <w:tcBorders>
              <w:top w:val="nil"/>
              <w:left w:val="nil"/>
              <w:bottom w:val="single" w:sz="4" w:space="0" w:color="auto"/>
              <w:right w:val="nil"/>
            </w:tcBorders>
            <w:shd w:val="clear" w:color="auto" w:fill="auto"/>
            <w:noWrap/>
            <w:vAlign w:val="bottom"/>
            <w:hideMark/>
          </w:tcPr>
          <w:p w14:paraId="3D85D2AF" w14:textId="77777777" w:rsidR="0010235F" w:rsidRPr="0010235F" w:rsidRDefault="0010235F" w:rsidP="0010235F">
            <w:pPr>
              <w:jc w:val="center"/>
              <w:rPr>
                <w:rFonts w:ascii="Arial" w:hAnsi="Arial" w:cs="Arial"/>
                <w:b/>
                <w:bCs/>
                <w:color w:val="000000"/>
                <w:sz w:val="20"/>
                <w:szCs w:val="20"/>
              </w:rPr>
            </w:pPr>
          </w:p>
        </w:tc>
        <w:tc>
          <w:tcPr>
            <w:tcW w:w="1162" w:type="dxa"/>
            <w:tcBorders>
              <w:top w:val="nil"/>
              <w:left w:val="nil"/>
              <w:bottom w:val="single" w:sz="4" w:space="0" w:color="auto"/>
              <w:right w:val="single" w:sz="4" w:space="0" w:color="auto"/>
            </w:tcBorders>
            <w:shd w:val="clear" w:color="auto" w:fill="auto"/>
            <w:noWrap/>
            <w:vAlign w:val="bottom"/>
            <w:hideMark/>
          </w:tcPr>
          <w:p w14:paraId="3D85D2B0" w14:textId="77777777" w:rsidR="0010235F" w:rsidRPr="0010235F" w:rsidRDefault="004D46A4" w:rsidP="0010235F">
            <w:pPr>
              <w:jc w:val="center"/>
              <w:rPr>
                <w:rFonts w:ascii="Arial" w:hAnsi="Arial" w:cs="Arial"/>
                <w:b/>
                <w:bCs/>
                <w:color w:val="000000"/>
                <w:sz w:val="20"/>
                <w:szCs w:val="20"/>
              </w:rPr>
            </w:pPr>
            <w:r>
              <w:rPr>
                <w:rFonts w:ascii="Arial" w:hAnsi="Arial" w:cs="Arial"/>
                <w:b/>
                <w:bCs/>
                <w:color w:val="000000"/>
                <w:sz w:val="20"/>
                <w:szCs w:val="20"/>
              </w:rPr>
              <w:t>0.1</w:t>
            </w:r>
          </w:p>
        </w:tc>
        <w:tc>
          <w:tcPr>
            <w:tcW w:w="1246" w:type="dxa"/>
            <w:tcBorders>
              <w:top w:val="nil"/>
              <w:left w:val="nil"/>
              <w:bottom w:val="single" w:sz="4" w:space="0" w:color="auto"/>
              <w:right w:val="nil"/>
            </w:tcBorders>
            <w:shd w:val="clear" w:color="auto" w:fill="auto"/>
            <w:noWrap/>
            <w:vAlign w:val="bottom"/>
            <w:hideMark/>
          </w:tcPr>
          <w:p w14:paraId="3D85D2B1" w14:textId="77777777" w:rsidR="0010235F" w:rsidRPr="0010235F" w:rsidRDefault="0010235F" w:rsidP="0010235F">
            <w:pPr>
              <w:jc w:val="center"/>
              <w:rPr>
                <w:rFonts w:ascii="Arial" w:hAnsi="Arial" w:cs="Arial"/>
                <w:b/>
                <w:bCs/>
                <w:color w:val="000000"/>
                <w:sz w:val="20"/>
                <w:szCs w:val="20"/>
              </w:rPr>
            </w:pPr>
            <w:r w:rsidRPr="0010235F">
              <w:rPr>
                <w:rFonts w:ascii="Arial" w:hAnsi="Arial" w:cs="Arial"/>
                <w:b/>
                <w:bCs/>
                <w:color w:val="000000"/>
                <w:sz w:val="20"/>
                <w:szCs w:val="20"/>
              </w:rPr>
              <w:t> </w:t>
            </w:r>
          </w:p>
        </w:tc>
        <w:tc>
          <w:tcPr>
            <w:tcW w:w="967" w:type="dxa"/>
            <w:tcBorders>
              <w:top w:val="nil"/>
              <w:left w:val="nil"/>
              <w:bottom w:val="single" w:sz="4" w:space="0" w:color="auto"/>
              <w:right w:val="nil"/>
            </w:tcBorders>
            <w:shd w:val="clear" w:color="auto" w:fill="auto"/>
            <w:noWrap/>
            <w:vAlign w:val="bottom"/>
            <w:hideMark/>
          </w:tcPr>
          <w:p w14:paraId="3D85D2B2" w14:textId="77777777" w:rsidR="0010235F" w:rsidRPr="0010235F" w:rsidRDefault="0010235F" w:rsidP="0010235F">
            <w:pPr>
              <w:rPr>
                <w:rFonts w:ascii="Arial" w:hAnsi="Arial" w:cs="Arial"/>
                <w:b/>
                <w:bCs/>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bottom"/>
            <w:hideMark/>
          </w:tcPr>
          <w:p w14:paraId="3D85D2B3" w14:textId="77777777" w:rsidR="0010235F" w:rsidRPr="0010235F" w:rsidRDefault="00C4680B" w:rsidP="0010235F">
            <w:pPr>
              <w:jc w:val="center"/>
              <w:rPr>
                <w:rFonts w:ascii="Arial" w:hAnsi="Arial" w:cs="Arial"/>
                <w:b/>
                <w:bCs/>
                <w:sz w:val="20"/>
                <w:szCs w:val="20"/>
              </w:rPr>
            </w:pPr>
            <w:r>
              <w:rPr>
                <w:rFonts w:ascii="Arial" w:hAnsi="Arial" w:cs="Arial"/>
                <w:b/>
                <w:bCs/>
                <w:sz w:val="20"/>
                <w:szCs w:val="20"/>
              </w:rPr>
              <w:t>0.</w:t>
            </w:r>
            <w:r w:rsidR="004D46A4">
              <w:rPr>
                <w:rFonts w:ascii="Arial" w:hAnsi="Arial" w:cs="Arial"/>
                <w:b/>
                <w:bCs/>
                <w:sz w:val="20"/>
                <w:szCs w:val="20"/>
              </w:rPr>
              <w:t>7</w:t>
            </w:r>
          </w:p>
        </w:tc>
      </w:tr>
      <w:tr w:rsidR="00DF15A7" w:rsidRPr="00DF15A7" w14:paraId="3D85D2C7" w14:textId="77777777" w:rsidTr="004D46A4">
        <w:trPr>
          <w:trHeight w:val="288"/>
        </w:trPr>
        <w:tc>
          <w:tcPr>
            <w:tcW w:w="3685" w:type="dxa"/>
            <w:gridSpan w:val="3"/>
            <w:tcBorders>
              <w:top w:val="single" w:sz="4" w:space="0" w:color="auto"/>
              <w:left w:val="single" w:sz="4" w:space="0" w:color="auto"/>
              <w:bottom w:val="single" w:sz="4" w:space="0" w:color="auto"/>
              <w:right w:val="nil"/>
            </w:tcBorders>
            <w:shd w:val="clear" w:color="auto" w:fill="auto"/>
            <w:noWrap/>
            <w:vAlign w:val="bottom"/>
            <w:hideMark/>
          </w:tcPr>
          <w:p w14:paraId="3D85D2B5" w14:textId="77777777" w:rsidR="00DF15A7" w:rsidRPr="00DF15A7" w:rsidRDefault="00DF15A7" w:rsidP="0010235F">
            <w:pPr>
              <w:rPr>
                <w:rFonts w:ascii="Arial" w:hAnsi="Arial" w:cs="Arial"/>
                <w:i/>
                <w:color w:val="000000"/>
                <w:sz w:val="20"/>
                <w:szCs w:val="20"/>
              </w:rPr>
            </w:pPr>
            <w:r w:rsidRPr="00DF15A7">
              <w:rPr>
                <w:rFonts w:ascii="Arial" w:hAnsi="Arial" w:cs="Arial"/>
                <w:i/>
                <w:color w:val="000000"/>
                <w:sz w:val="20"/>
                <w:szCs w:val="20"/>
              </w:rPr>
              <w:t> </w:t>
            </w:r>
          </w:p>
          <w:p w14:paraId="3D85D2B6" w14:textId="77777777" w:rsidR="00DF15A7" w:rsidRPr="00DF15A7" w:rsidRDefault="00DF15A7" w:rsidP="0010235F">
            <w:pPr>
              <w:rPr>
                <w:rFonts w:ascii="Arial" w:hAnsi="Arial" w:cs="Arial"/>
                <w:i/>
                <w:color w:val="000000"/>
                <w:sz w:val="20"/>
                <w:szCs w:val="20"/>
              </w:rPr>
            </w:pPr>
            <w:r w:rsidRPr="00DF15A7">
              <w:rPr>
                <w:rFonts w:ascii="Arial" w:hAnsi="Arial" w:cs="Arial"/>
                <w:i/>
                <w:color w:val="000000"/>
                <w:sz w:val="20"/>
                <w:szCs w:val="20"/>
              </w:rPr>
              <w:t> Existing Facility R</w:t>
            </w:r>
            <w:r>
              <w:rPr>
                <w:rFonts w:ascii="Arial" w:hAnsi="Arial" w:cs="Arial"/>
                <w:i/>
                <w:color w:val="000000"/>
                <w:sz w:val="20"/>
                <w:szCs w:val="20"/>
              </w:rPr>
              <w:t>isk Action Level</w:t>
            </w:r>
          </w:p>
        </w:tc>
        <w:tc>
          <w:tcPr>
            <w:tcW w:w="906" w:type="dxa"/>
            <w:tcBorders>
              <w:top w:val="single" w:sz="4" w:space="0" w:color="auto"/>
              <w:left w:val="nil"/>
              <w:bottom w:val="single" w:sz="4" w:space="0" w:color="auto"/>
              <w:right w:val="nil"/>
            </w:tcBorders>
            <w:shd w:val="clear" w:color="auto" w:fill="auto"/>
            <w:noWrap/>
            <w:vAlign w:val="bottom"/>
            <w:hideMark/>
          </w:tcPr>
          <w:p w14:paraId="3D85D2B7" w14:textId="77777777" w:rsidR="00DF15A7" w:rsidRPr="00DF15A7" w:rsidRDefault="00DF15A7" w:rsidP="0010235F">
            <w:pPr>
              <w:jc w:val="center"/>
              <w:rPr>
                <w:rFonts w:ascii="Arial" w:hAnsi="Arial" w:cs="Arial"/>
                <w:i/>
                <w:color w:val="000000"/>
                <w:sz w:val="20"/>
                <w:szCs w:val="20"/>
              </w:rPr>
            </w:pPr>
            <w:r w:rsidRPr="00DF15A7">
              <w:rPr>
                <w:rFonts w:ascii="Arial" w:hAnsi="Arial" w:cs="Arial"/>
                <w:i/>
                <w:color w:val="000000"/>
                <w:sz w:val="20"/>
                <w:szCs w:val="20"/>
              </w:rPr>
              <w:t>25 </w:t>
            </w:r>
          </w:p>
        </w:tc>
        <w:tc>
          <w:tcPr>
            <w:tcW w:w="1250" w:type="dxa"/>
            <w:tcBorders>
              <w:top w:val="single" w:sz="4" w:space="0" w:color="auto"/>
              <w:left w:val="nil"/>
              <w:bottom w:val="single" w:sz="4" w:space="0" w:color="auto"/>
              <w:right w:val="nil"/>
            </w:tcBorders>
            <w:shd w:val="clear" w:color="auto" w:fill="auto"/>
            <w:noWrap/>
            <w:vAlign w:val="bottom"/>
            <w:hideMark/>
          </w:tcPr>
          <w:p w14:paraId="3D85D2B8" w14:textId="77777777" w:rsidR="00DF15A7" w:rsidRPr="00DF15A7" w:rsidRDefault="00DF15A7" w:rsidP="0010235F">
            <w:pPr>
              <w:rPr>
                <w:rFonts w:ascii="Arial" w:hAnsi="Arial" w:cs="Arial"/>
                <w:i/>
                <w:color w:val="000000"/>
                <w:sz w:val="20"/>
                <w:szCs w:val="20"/>
              </w:rPr>
            </w:pPr>
            <w:r w:rsidRPr="00DF15A7">
              <w:rPr>
                <w:rFonts w:ascii="Arial" w:hAnsi="Arial" w:cs="Arial"/>
                <w:i/>
                <w:color w:val="000000"/>
                <w:sz w:val="20"/>
                <w:szCs w:val="20"/>
              </w:rPr>
              <w:t> </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D85D2B9" w14:textId="77777777" w:rsidR="00DF15A7" w:rsidRPr="00DF15A7" w:rsidRDefault="00DF15A7" w:rsidP="0010235F">
            <w:pPr>
              <w:jc w:val="center"/>
              <w:rPr>
                <w:rFonts w:ascii="Arial" w:hAnsi="Arial" w:cs="Arial"/>
                <w:i/>
                <w:color w:val="000000"/>
                <w:sz w:val="20"/>
                <w:szCs w:val="20"/>
              </w:rPr>
            </w:pPr>
            <w:r w:rsidRPr="00DF15A7">
              <w:rPr>
                <w:rFonts w:ascii="Arial" w:hAnsi="Arial" w:cs="Arial"/>
                <w:i/>
                <w:color w:val="000000"/>
                <w:sz w:val="20"/>
                <w:szCs w:val="20"/>
              </w:rPr>
              <w:t>1 </w:t>
            </w:r>
          </w:p>
        </w:tc>
        <w:tc>
          <w:tcPr>
            <w:tcW w:w="1204" w:type="dxa"/>
            <w:tcBorders>
              <w:top w:val="single" w:sz="4" w:space="0" w:color="auto"/>
              <w:left w:val="nil"/>
              <w:bottom w:val="single" w:sz="4" w:space="0" w:color="auto"/>
              <w:right w:val="nil"/>
            </w:tcBorders>
            <w:shd w:val="clear" w:color="auto" w:fill="auto"/>
            <w:noWrap/>
            <w:vAlign w:val="bottom"/>
            <w:hideMark/>
          </w:tcPr>
          <w:p w14:paraId="3D85D2BA" w14:textId="77777777" w:rsidR="00DF15A7" w:rsidRPr="00DF15A7" w:rsidRDefault="00DF15A7" w:rsidP="0010235F">
            <w:pPr>
              <w:rPr>
                <w:rFonts w:ascii="Arial" w:hAnsi="Arial" w:cs="Arial"/>
                <w:i/>
                <w:color w:val="000000"/>
                <w:sz w:val="20"/>
                <w:szCs w:val="20"/>
              </w:rPr>
            </w:pPr>
            <w:r w:rsidRPr="00DF15A7">
              <w:rPr>
                <w:rFonts w:ascii="Arial" w:hAnsi="Arial" w:cs="Arial"/>
                <w:i/>
                <w:color w:val="000000"/>
                <w:sz w:val="20"/>
                <w:szCs w:val="20"/>
              </w:rPr>
              <w:t> </w:t>
            </w:r>
          </w:p>
        </w:tc>
        <w:tc>
          <w:tcPr>
            <w:tcW w:w="992" w:type="dxa"/>
            <w:tcBorders>
              <w:top w:val="single" w:sz="4" w:space="0" w:color="auto"/>
              <w:left w:val="nil"/>
              <w:bottom w:val="single" w:sz="4" w:space="0" w:color="auto"/>
              <w:right w:val="nil"/>
            </w:tcBorders>
            <w:shd w:val="clear" w:color="auto" w:fill="auto"/>
            <w:noWrap/>
            <w:vAlign w:val="bottom"/>
            <w:hideMark/>
          </w:tcPr>
          <w:p w14:paraId="3D85D2BB" w14:textId="77777777" w:rsidR="00DF15A7" w:rsidRPr="00DF15A7" w:rsidRDefault="00DF15A7" w:rsidP="0010235F">
            <w:pPr>
              <w:rPr>
                <w:rFonts w:ascii="Arial" w:hAnsi="Arial" w:cs="Arial"/>
                <w:i/>
                <w:color w:val="000000"/>
                <w:sz w:val="20"/>
                <w:szCs w:val="20"/>
              </w:rPr>
            </w:pPr>
            <w:r w:rsidRPr="00DF15A7">
              <w:rPr>
                <w:rFonts w:ascii="Arial" w:hAnsi="Arial" w:cs="Arial"/>
                <w:i/>
                <w:color w:val="000000"/>
                <w:sz w:val="20"/>
                <w:szCs w:val="20"/>
              </w:rPr>
              <w:t> </w:t>
            </w:r>
          </w:p>
        </w:tc>
        <w:tc>
          <w:tcPr>
            <w:tcW w:w="906" w:type="dxa"/>
            <w:tcBorders>
              <w:top w:val="single" w:sz="4" w:space="0" w:color="auto"/>
              <w:left w:val="nil"/>
              <w:bottom w:val="single" w:sz="4" w:space="0" w:color="auto"/>
              <w:right w:val="nil"/>
            </w:tcBorders>
            <w:shd w:val="clear" w:color="auto" w:fill="auto"/>
            <w:noWrap/>
            <w:vAlign w:val="bottom"/>
            <w:hideMark/>
          </w:tcPr>
          <w:p w14:paraId="3D85D2BC" w14:textId="77777777" w:rsidR="00DF15A7" w:rsidRPr="00DF15A7" w:rsidRDefault="00DF15A7" w:rsidP="0010235F">
            <w:pPr>
              <w:jc w:val="center"/>
              <w:rPr>
                <w:rFonts w:ascii="Arial" w:hAnsi="Arial" w:cs="Arial"/>
                <w:i/>
                <w:color w:val="000000"/>
                <w:sz w:val="20"/>
                <w:szCs w:val="20"/>
              </w:rPr>
            </w:pPr>
            <w:r w:rsidRPr="00DF15A7">
              <w:rPr>
                <w:rFonts w:ascii="Arial" w:hAnsi="Arial" w:cs="Arial"/>
                <w:i/>
                <w:color w:val="000000"/>
                <w:sz w:val="20"/>
                <w:szCs w:val="20"/>
              </w:rPr>
              <w:t>25 </w:t>
            </w:r>
          </w:p>
        </w:tc>
        <w:tc>
          <w:tcPr>
            <w:tcW w:w="1250" w:type="dxa"/>
            <w:tcBorders>
              <w:top w:val="single" w:sz="4" w:space="0" w:color="auto"/>
              <w:left w:val="nil"/>
              <w:bottom w:val="single" w:sz="4" w:space="0" w:color="auto"/>
              <w:right w:val="nil"/>
            </w:tcBorders>
            <w:shd w:val="clear" w:color="auto" w:fill="auto"/>
            <w:noWrap/>
            <w:vAlign w:val="bottom"/>
            <w:hideMark/>
          </w:tcPr>
          <w:p w14:paraId="3D85D2BD" w14:textId="77777777" w:rsidR="00DF15A7" w:rsidRPr="00DF15A7" w:rsidRDefault="00DF15A7" w:rsidP="0010235F">
            <w:pPr>
              <w:jc w:val="center"/>
              <w:rPr>
                <w:rFonts w:ascii="Arial" w:hAnsi="Arial" w:cs="Arial"/>
                <w:i/>
                <w:color w:val="000000"/>
                <w:sz w:val="20"/>
                <w:szCs w:val="20"/>
              </w:rPr>
            </w:pPr>
            <w:r w:rsidRPr="00DF15A7">
              <w:rPr>
                <w:rFonts w:ascii="Arial" w:hAnsi="Arial" w:cs="Arial"/>
                <w:i/>
                <w:color w:val="000000"/>
                <w:sz w:val="20"/>
                <w:szCs w:val="20"/>
              </w:rPr>
              <w:t> </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3D85D2BE" w14:textId="77777777" w:rsidR="00DF15A7" w:rsidRPr="00DF15A7" w:rsidRDefault="00DF15A7" w:rsidP="0010235F">
            <w:pPr>
              <w:jc w:val="center"/>
              <w:rPr>
                <w:rFonts w:ascii="Arial" w:hAnsi="Arial" w:cs="Arial"/>
                <w:i/>
                <w:color w:val="000000"/>
                <w:sz w:val="20"/>
                <w:szCs w:val="20"/>
              </w:rPr>
            </w:pPr>
            <w:r w:rsidRPr="00DF15A7">
              <w:rPr>
                <w:rFonts w:ascii="Arial" w:hAnsi="Arial" w:cs="Arial"/>
                <w:i/>
                <w:color w:val="000000"/>
                <w:sz w:val="20"/>
                <w:szCs w:val="20"/>
              </w:rPr>
              <w:t> 1</w:t>
            </w:r>
          </w:p>
        </w:tc>
        <w:tc>
          <w:tcPr>
            <w:tcW w:w="1347" w:type="dxa"/>
            <w:tcBorders>
              <w:top w:val="single" w:sz="4" w:space="0" w:color="auto"/>
              <w:left w:val="nil"/>
              <w:bottom w:val="single" w:sz="4" w:space="0" w:color="auto"/>
              <w:right w:val="nil"/>
            </w:tcBorders>
            <w:shd w:val="clear" w:color="auto" w:fill="auto"/>
            <w:noWrap/>
            <w:vAlign w:val="bottom"/>
            <w:hideMark/>
          </w:tcPr>
          <w:p w14:paraId="3D85D2BF" w14:textId="77777777" w:rsidR="00DF15A7" w:rsidRPr="00DF15A7" w:rsidRDefault="00DF15A7" w:rsidP="0010235F">
            <w:pPr>
              <w:rPr>
                <w:rFonts w:ascii="Arial" w:hAnsi="Arial" w:cs="Arial"/>
                <w:i/>
                <w:color w:val="000000"/>
                <w:sz w:val="20"/>
                <w:szCs w:val="20"/>
              </w:rPr>
            </w:pPr>
            <w:r w:rsidRPr="00DF15A7">
              <w:rPr>
                <w:rFonts w:ascii="Arial" w:hAnsi="Arial" w:cs="Arial"/>
                <w:i/>
                <w:color w:val="000000"/>
                <w:sz w:val="20"/>
                <w:szCs w:val="20"/>
              </w:rPr>
              <w:t> </w:t>
            </w:r>
          </w:p>
        </w:tc>
        <w:tc>
          <w:tcPr>
            <w:tcW w:w="985" w:type="dxa"/>
            <w:tcBorders>
              <w:top w:val="single" w:sz="4" w:space="0" w:color="auto"/>
              <w:left w:val="nil"/>
              <w:bottom w:val="single" w:sz="4" w:space="0" w:color="auto"/>
              <w:right w:val="nil"/>
            </w:tcBorders>
            <w:shd w:val="clear" w:color="auto" w:fill="auto"/>
            <w:noWrap/>
            <w:vAlign w:val="bottom"/>
            <w:hideMark/>
          </w:tcPr>
          <w:p w14:paraId="3D85D2C0" w14:textId="77777777" w:rsidR="00DF15A7" w:rsidRPr="00DF15A7" w:rsidRDefault="00DF15A7" w:rsidP="0010235F">
            <w:pPr>
              <w:rPr>
                <w:rFonts w:ascii="Arial" w:hAnsi="Arial" w:cs="Arial"/>
                <w:i/>
                <w:color w:val="000000"/>
                <w:sz w:val="20"/>
                <w:szCs w:val="20"/>
              </w:rPr>
            </w:pPr>
            <w:r w:rsidRPr="00DF15A7">
              <w:rPr>
                <w:rFonts w:ascii="Arial" w:hAnsi="Arial" w:cs="Arial"/>
                <w:i/>
                <w:color w:val="000000"/>
                <w:sz w:val="20"/>
                <w:szCs w:val="20"/>
              </w:rPr>
              <w:t> </w:t>
            </w:r>
          </w:p>
        </w:tc>
        <w:tc>
          <w:tcPr>
            <w:tcW w:w="906" w:type="dxa"/>
            <w:tcBorders>
              <w:top w:val="single" w:sz="4" w:space="0" w:color="auto"/>
              <w:left w:val="nil"/>
              <w:bottom w:val="single" w:sz="4" w:space="0" w:color="auto"/>
              <w:right w:val="nil"/>
            </w:tcBorders>
            <w:shd w:val="clear" w:color="auto" w:fill="auto"/>
            <w:noWrap/>
            <w:vAlign w:val="bottom"/>
            <w:hideMark/>
          </w:tcPr>
          <w:p w14:paraId="3D85D2C1" w14:textId="77777777" w:rsidR="00DF15A7" w:rsidRPr="00DF15A7" w:rsidRDefault="00DF15A7" w:rsidP="0010235F">
            <w:pPr>
              <w:jc w:val="center"/>
              <w:rPr>
                <w:rFonts w:ascii="Arial" w:hAnsi="Arial" w:cs="Arial"/>
                <w:i/>
                <w:color w:val="000000"/>
                <w:sz w:val="20"/>
                <w:szCs w:val="20"/>
              </w:rPr>
            </w:pPr>
            <w:r w:rsidRPr="00DF15A7">
              <w:rPr>
                <w:rFonts w:ascii="Arial" w:hAnsi="Arial" w:cs="Arial"/>
                <w:i/>
                <w:color w:val="000000"/>
                <w:sz w:val="20"/>
                <w:szCs w:val="20"/>
              </w:rPr>
              <w:t> 25</w:t>
            </w:r>
          </w:p>
        </w:tc>
        <w:tc>
          <w:tcPr>
            <w:tcW w:w="1250" w:type="dxa"/>
            <w:tcBorders>
              <w:top w:val="single" w:sz="4" w:space="0" w:color="auto"/>
              <w:left w:val="nil"/>
              <w:bottom w:val="single" w:sz="4" w:space="0" w:color="auto"/>
              <w:right w:val="nil"/>
            </w:tcBorders>
            <w:shd w:val="clear" w:color="auto" w:fill="auto"/>
            <w:noWrap/>
            <w:vAlign w:val="bottom"/>
            <w:hideMark/>
          </w:tcPr>
          <w:p w14:paraId="3D85D2C2" w14:textId="77777777" w:rsidR="00DF15A7" w:rsidRPr="00DF15A7" w:rsidRDefault="00DF15A7" w:rsidP="0010235F">
            <w:pPr>
              <w:jc w:val="center"/>
              <w:rPr>
                <w:rFonts w:ascii="Arial" w:hAnsi="Arial" w:cs="Arial"/>
                <w:i/>
                <w:color w:val="000000"/>
                <w:sz w:val="20"/>
                <w:szCs w:val="20"/>
              </w:rPr>
            </w:pPr>
            <w:r w:rsidRPr="00DF15A7">
              <w:rPr>
                <w:rFonts w:ascii="Arial" w:hAnsi="Arial" w:cs="Arial"/>
                <w:i/>
                <w:color w:val="000000"/>
                <w:sz w:val="20"/>
                <w:szCs w:val="20"/>
              </w:rPr>
              <w:t> </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3D85D2C3" w14:textId="77777777" w:rsidR="00DF15A7" w:rsidRPr="00DF15A7" w:rsidRDefault="00DF15A7" w:rsidP="0010235F">
            <w:pPr>
              <w:jc w:val="center"/>
              <w:rPr>
                <w:rFonts w:ascii="Arial" w:hAnsi="Arial" w:cs="Arial"/>
                <w:i/>
                <w:color w:val="000000"/>
                <w:sz w:val="20"/>
                <w:szCs w:val="20"/>
              </w:rPr>
            </w:pPr>
            <w:r w:rsidRPr="00DF15A7">
              <w:rPr>
                <w:rFonts w:ascii="Arial" w:hAnsi="Arial" w:cs="Arial"/>
                <w:i/>
                <w:color w:val="000000"/>
                <w:sz w:val="20"/>
                <w:szCs w:val="20"/>
              </w:rPr>
              <w:t>1 </w:t>
            </w:r>
          </w:p>
        </w:tc>
        <w:tc>
          <w:tcPr>
            <w:tcW w:w="1246" w:type="dxa"/>
            <w:tcBorders>
              <w:top w:val="single" w:sz="4" w:space="0" w:color="auto"/>
              <w:left w:val="nil"/>
              <w:bottom w:val="single" w:sz="4" w:space="0" w:color="auto"/>
              <w:right w:val="nil"/>
            </w:tcBorders>
            <w:shd w:val="clear" w:color="auto" w:fill="auto"/>
            <w:noWrap/>
            <w:vAlign w:val="bottom"/>
            <w:hideMark/>
          </w:tcPr>
          <w:p w14:paraId="3D85D2C4" w14:textId="77777777" w:rsidR="00DF15A7" w:rsidRPr="00DF15A7" w:rsidRDefault="00DF15A7" w:rsidP="0010235F">
            <w:pPr>
              <w:jc w:val="center"/>
              <w:rPr>
                <w:rFonts w:ascii="Arial" w:hAnsi="Arial" w:cs="Arial"/>
                <w:i/>
                <w:color w:val="000000"/>
                <w:sz w:val="20"/>
                <w:szCs w:val="20"/>
              </w:rPr>
            </w:pPr>
            <w:r w:rsidRPr="00DF15A7">
              <w:rPr>
                <w:rFonts w:ascii="Arial" w:hAnsi="Arial" w:cs="Arial"/>
                <w:i/>
                <w:color w:val="000000"/>
                <w:sz w:val="20"/>
                <w:szCs w:val="20"/>
              </w:rPr>
              <w:t> </w:t>
            </w:r>
          </w:p>
        </w:tc>
        <w:tc>
          <w:tcPr>
            <w:tcW w:w="967" w:type="dxa"/>
            <w:tcBorders>
              <w:top w:val="single" w:sz="4" w:space="0" w:color="auto"/>
              <w:left w:val="nil"/>
              <w:bottom w:val="single" w:sz="4" w:space="0" w:color="auto"/>
              <w:right w:val="nil"/>
            </w:tcBorders>
            <w:shd w:val="clear" w:color="auto" w:fill="auto"/>
            <w:noWrap/>
            <w:vAlign w:val="bottom"/>
            <w:hideMark/>
          </w:tcPr>
          <w:p w14:paraId="3D85D2C5" w14:textId="77777777" w:rsidR="00DF15A7" w:rsidRPr="00DF15A7" w:rsidRDefault="00DF15A7" w:rsidP="0010235F">
            <w:pPr>
              <w:rPr>
                <w:rFonts w:ascii="Arial" w:hAnsi="Arial" w:cs="Arial"/>
                <w:i/>
                <w:color w:val="000000"/>
                <w:sz w:val="20"/>
                <w:szCs w:val="20"/>
              </w:rPr>
            </w:pPr>
            <w:r w:rsidRPr="00DF15A7">
              <w:rPr>
                <w:rFonts w:ascii="Arial" w:hAnsi="Arial" w:cs="Arial"/>
                <w:i/>
                <w:color w:val="000000"/>
                <w:sz w:val="20"/>
                <w:szCs w:val="20"/>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14:paraId="3D85D2C6" w14:textId="77777777" w:rsidR="00DF15A7" w:rsidRPr="00DF15A7" w:rsidRDefault="00DF15A7" w:rsidP="0010235F">
            <w:pPr>
              <w:jc w:val="center"/>
              <w:rPr>
                <w:rFonts w:ascii="Arial" w:hAnsi="Arial" w:cs="Arial"/>
                <w:i/>
                <w:color w:val="000000"/>
                <w:sz w:val="20"/>
                <w:szCs w:val="20"/>
              </w:rPr>
            </w:pPr>
            <w:r w:rsidRPr="00DF15A7">
              <w:rPr>
                <w:rFonts w:ascii="Arial" w:hAnsi="Arial" w:cs="Arial"/>
                <w:i/>
                <w:color w:val="000000"/>
                <w:sz w:val="20"/>
                <w:szCs w:val="20"/>
              </w:rPr>
              <w:t> 1</w:t>
            </w:r>
          </w:p>
        </w:tc>
      </w:tr>
    </w:tbl>
    <w:p w14:paraId="3D85D2C8" w14:textId="77777777" w:rsidR="0010235F" w:rsidRPr="0010235F" w:rsidRDefault="0010235F" w:rsidP="0010235F">
      <w:pPr>
        <w:pStyle w:val="NoSpacing"/>
        <w:rPr>
          <w:rFonts w:ascii="Arial" w:hAnsi="Arial" w:cs="Arial"/>
        </w:rPr>
      </w:pPr>
    </w:p>
    <w:tbl>
      <w:tblPr>
        <w:tblW w:w="9378" w:type="dxa"/>
        <w:tblInd w:w="99" w:type="dxa"/>
        <w:tblLook w:val="04A0" w:firstRow="1" w:lastRow="0" w:firstColumn="1" w:lastColumn="0" w:noHBand="0" w:noVBand="1"/>
      </w:tblPr>
      <w:tblGrid>
        <w:gridCol w:w="9378"/>
      </w:tblGrid>
      <w:tr w:rsidR="0010235F" w:rsidRPr="0010235F" w14:paraId="3D85D2CA" w14:textId="77777777" w:rsidTr="0010235F">
        <w:trPr>
          <w:trHeight w:val="288"/>
        </w:trPr>
        <w:tc>
          <w:tcPr>
            <w:tcW w:w="9378" w:type="dxa"/>
            <w:tcBorders>
              <w:top w:val="nil"/>
              <w:left w:val="nil"/>
              <w:bottom w:val="nil"/>
              <w:right w:val="nil"/>
            </w:tcBorders>
            <w:shd w:val="clear" w:color="auto" w:fill="auto"/>
            <w:noWrap/>
            <w:vAlign w:val="bottom"/>
            <w:hideMark/>
          </w:tcPr>
          <w:p w14:paraId="3D85D2C9" w14:textId="77777777" w:rsidR="0010235F" w:rsidRPr="0010235F" w:rsidRDefault="0010235F" w:rsidP="0010235F">
            <w:pPr>
              <w:rPr>
                <w:rFonts w:ascii="Arial" w:hAnsi="Arial" w:cs="Arial"/>
                <w:b/>
                <w:bCs/>
                <w:color w:val="000000"/>
              </w:rPr>
            </w:pPr>
            <w:r w:rsidRPr="0010235F">
              <w:rPr>
                <w:rFonts w:ascii="Arial" w:hAnsi="Arial" w:cs="Arial"/>
                <w:b/>
                <w:bCs/>
                <w:color w:val="000000"/>
              </w:rPr>
              <w:t>Notes:</w:t>
            </w:r>
          </w:p>
        </w:tc>
      </w:tr>
      <w:tr w:rsidR="0010235F" w:rsidRPr="0010235F" w14:paraId="3D85D2CD" w14:textId="77777777" w:rsidTr="0010235F">
        <w:trPr>
          <w:trHeight w:val="288"/>
        </w:trPr>
        <w:tc>
          <w:tcPr>
            <w:tcW w:w="9378" w:type="dxa"/>
            <w:tcBorders>
              <w:top w:val="nil"/>
              <w:left w:val="nil"/>
              <w:bottom w:val="nil"/>
              <w:right w:val="nil"/>
            </w:tcBorders>
            <w:shd w:val="clear" w:color="auto" w:fill="auto"/>
            <w:noWrap/>
            <w:vAlign w:val="bottom"/>
            <w:hideMark/>
          </w:tcPr>
          <w:p w14:paraId="3D85D2CB" w14:textId="77777777" w:rsidR="0010235F" w:rsidRPr="0010235F" w:rsidRDefault="0010235F" w:rsidP="0010235F">
            <w:pPr>
              <w:rPr>
                <w:rFonts w:ascii="Arial" w:hAnsi="Arial" w:cs="Arial"/>
                <w:color w:val="000000"/>
              </w:rPr>
            </w:pPr>
            <w:r w:rsidRPr="0010235F">
              <w:rPr>
                <w:rFonts w:ascii="Arial" w:hAnsi="Arial" w:cs="Arial"/>
                <w:color w:val="000000"/>
              </w:rPr>
              <w:t xml:space="preserve">Excess Cancer Risk = Annual conc.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 Cancer RBC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w:t>
            </w:r>
          </w:p>
          <w:p w14:paraId="3D85D2CC" w14:textId="77777777" w:rsidR="0010235F" w:rsidRPr="0010235F" w:rsidRDefault="0010235F" w:rsidP="0010235F">
            <w:pPr>
              <w:rPr>
                <w:rFonts w:ascii="Arial" w:hAnsi="Arial" w:cs="Arial"/>
                <w:color w:val="000000"/>
              </w:rPr>
            </w:pPr>
            <w:r w:rsidRPr="0010235F">
              <w:rPr>
                <w:rFonts w:ascii="Arial" w:hAnsi="Arial" w:cs="Arial"/>
                <w:color w:val="000000"/>
              </w:rPr>
              <w:t>Expressed as risk per million</w:t>
            </w:r>
          </w:p>
        </w:tc>
      </w:tr>
      <w:tr w:rsidR="0010235F" w:rsidRPr="0010235F" w14:paraId="3D85D2CF" w14:textId="77777777" w:rsidTr="0010235F">
        <w:trPr>
          <w:trHeight w:val="288"/>
        </w:trPr>
        <w:tc>
          <w:tcPr>
            <w:tcW w:w="9378" w:type="dxa"/>
            <w:tcBorders>
              <w:top w:val="nil"/>
              <w:left w:val="nil"/>
              <w:bottom w:val="nil"/>
              <w:right w:val="nil"/>
            </w:tcBorders>
            <w:shd w:val="clear" w:color="auto" w:fill="auto"/>
            <w:noWrap/>
            <w:vAlign w:val="bottom"/>
            <w:hideMark/>
          </w:tcPr>
          <w:p w14:paraId="3D85D2CE" w14:textId="77777777" w:rsidR="0010235F" w:rsidRPr="0010235F" w:rsidRDefault="0010235F" w:rsidP="0010235F">
            <w:pPr>
              <w:rPr>
                <w:rFonts w:ascii="Arial" w:hAnsi="Arial" w:cs="Arial"/>
                <w:color w:val="000000"/>
              </w:rPr>
            </w:pPr>
            <w:r w:rsidRPr="0010235F">
              <w:rPr>
                <w:rFonts w:ascii="Arial" w:hAnsi="Arial" w:cs="Arial"/>
                <w:color w:val="000000"/>
              </w:rPr>
              <w:t xml:space="preserve">Chronic Hazard Quotient = Annual conc.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 Noncancer RBC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x 1</w:t>
            </w:r>
          </w:p>
        </w:tc>
      </w:tr>
      <w:tr w:rsidR="0010235F" w:rsidRPr="0010235F" w14:paraId="3D85D2D1" w14:textId="77777777" w:rsidTr="0010235F">
        <w:trPr>
          <w:trHeight w:val="276"/>
        </w:trPr>
        <w:tc>
          <w:tcPr>
            <w:tcW w:w="9378" w:type="dxa"/>
            <w:tcBorders>
              <w:top w:val="nil"/>
              <w:left w:val="nil"/>
              <w:bottom w:val="nil"/>
              <w:right w:val="nil"/>
            </w:tcBorders>
            <w:shd w:val="clear" w:color="auto" w:fill="auto"/>
            <w:noWrap/>
            <w:vAlign w:val="bottom"/>
            <w:hideMark/>
          </w:tcPr>
          <w:p w14:paraId="3D85D2D0" w14:textId="77777777" w:rsidR="0010235F" w:rsidRPr="0010235F" w:rsidRDefault="0010235F" w:rsidP="0010235F">
            <w:pPr>
              <w:rPr>
                <w:rFonts w:ascii="Arial" w:hAnsi="Arial" w:cs="Arial"/>
                <w:color w:val="000000"/>
              </w:rPr>
            </w:pPr>
            <w:r w:rsidRPr="0010235F">
              <w:rPr>
                <w:rFonts w:ascii="Arial" w:hAnsi="Arial" w:cs="Arial"/>
                <w:color w:val="000000"/>
              </w:rPr>
              <w:t xml:space="preserve">Acute Hazard Quotient = 24-hr conc.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 Acute RBC </w:t>
            </w:r>
            <w:r w:rsidRPr="0010235F">
              <w:rPr>
                <w:rFonts w:ascii="Arial" w:hAnsi="Arial" w:cs="Arial"/>
                <w:bCs/>
                <w:color w:val="000000"/>
              </w:rPr>
              <w:t>(</w:t>
            </w:r>
            <w:r w:rsidRPr="0010235F">
              <w:rPr>
                <w:rFonts w:ascii="Arial" w:hAnsi="Arial" w:cs="Arial"/>
                <w:color w:val="000000"/>
              </w:rPr>
              <w:t>μ</w:t>
            </w:r>
            <w:r w:rsidRPr="0010235F">
              <w:rPr>
                <w:rFonts w:ascii="Arial" w:hAnsi="Arial" w:cs="Arial"/>
                <w:bCs/>
                <w:color w:val="000000"/>
              </w:rPr>
              <w:t>g/m</w:t>
            </w:r>
            <w:r w:rsidRPr="0010235F">
              <w:rPr>
                <w:rFonts w:ascii="Arial" w:hAnsi="Arial" w:cs="Arial"/>
                <w:bCs/>
                <w:color w:val="000000"/>
                <w:vertAlign w:val="superscript"/>
              </w:rPr>
              <w:t>3</w:t>
            </w:r>
            <w:r w:rsidRPr="0010235F">
              <w:rPr>
                <w:rFonts w:ascii="Arial" w:hAnsi="Arial" w:cs="Arial"/>
                <w:bCs/>
                <w:color w:val="000000"/>
              </w:rPr>
              <w:t>)</w:t>
            </w:r>
            <w:r w:rsidRPr="0010235F">
              <w:rPr>
                <w:rFonts w:ascii="Arial" w:hAnsi="Arial" w:cs="Arial"/>
                <w:color w:val="000000"/>
              </w:rPr>
              <w:t xml:space="preserve"> x 1</w:t>
            </w:r>
          </w:p>
        </w:tc>
      </w:tr>
      <w:tr w:rsidR="0010235F" w:rsidRPr="0010235F" w14:paraId="3D85D2D3" w14:textId="77777777" w:rsidTr="0010235F">
        <w:trPr>
          <w:trHeight w:val="276"/>
        </w:trPr>
        <w:tc>
          <w:tcPr>
            <w:tcW w:w="9378" w:type="dxa"/>
            <w:tcBorders>
              <w:top w:val="nil"/>
              <w:left w:val="nil"/>
              <w:bottom w:val="nil"/>
              <w:right w:val="nil"/>
            </w:tcBorders>
            <w:shd w:val="clear" w:color="auto" w:fill="auto"/>
            <w:noWrap/>
            <w:vAlign w:val="bottom"/>
            <w:hideMark/>
          </w:tcPr>
          <w:p w14:paraId="3D85D2D2" w14:textId="77777777" w:rsidR="0010235F" w:rsidRPr="0010235F" w:rsidRDefault="0010235F" w:rsidP="0010235F">
            <w:pPr>
              <w:rPr>
                <w:rFonts w:ascii="Arial" w:hAnsi="Arial" w:cs="Arial"/>
                <w:color w:val="000000"/>
              </w:rPr>
            </w:pPr>
            <w:r w:rsidRPr="0010235F">
              <w:rPr>
                <w:rFonts w:ascii="Arial" w:hAnsi="Arial" w:cs="Arial"/>
                <w:color w:val="000000"/>
              </w:rPr>
              <w:t>Air concentrations modeled using AERMOD.</w:t>
            </w:r>
          </w:p>
        </w:tc>
      </w:tr>
    </w:tbl>
    <w:p w14:paraId="3D85D2D4" w14:textId="77777777" w:rsidR="0010235F" w:rsidRPr="0010235F" w:rsidRDefault="0010235F" w:rsidP="0010235F">
      <w:pPr>
        <w:pStyle w:val="NoSpacing"/>
        <w:rPr>
          <w:rFonts w:ascii="Arial" w:hAnsi="Arial" w:cs="Arial"/>
        </w:rPr>
      </w:pPr>
    </w:p>
    <w:p w14:paraId="3D85D2D5" w14:textId="77777777" w:rsidR="0010235F" w:rsidRDefault="0010235F" w:rsidP="00487636">
      <w:pPr>
        <w:rPr>
          <w:rFonts w:ascii="Arial" w:hAnsi="Arial" w:cs="Arial"/>
        </w:rPr>
      </w:pPr>
    </w:p>
    <w:p w14:paraId="3D85D2D6" w14:textId="77777777" w:rsidR="00487636" w:rsidRDefault="00487636">
      <w:pPr>
        <w:outlineLvl w:val="9"/>
        <w:rPr>
          <w:rFonts w:ascii="Arial" w:eastAsia="Arial" w:hAnsi="Arial" w:cs="Arial"/>
          <w:color w:val="000000"/>
        </w:rPr>
      </w:pPr>
    </w:p>
    <w:p w14:paraId="3D85D2D7" w14:textId="77777777" w:rsidR="00487636" w:rsidRDefault="00487636">
      <w:pPr>
        <w:outlineLvl w:val="9"/>
        <w:rPr>
          <w:rFonts w:ascii="Arial" w:eastAsia="Arial" w:hAnsi="Arial" w:cs="Arial"/>
          <w:color w:val="000000"/>
        </w:rPr>
      </w:pPr>
    </w:p>
    <w:p w14:paraId="3D85D2D8" w14:textId="77777777" w:rsidR="006A1CE1" w:rsidRDefault="006A1CE1">
      <w:pPr>
        <w:outlineLvl w:val="9"/>
        <w:rPr>
          <w:rFonts w:ascii="Arial" w:eastAsia="Arial" w:hAnsi="Arial" w:cs="Arial"/>
          <w:color w:val="000000"/>
        </w:rPr>
        <w:sectPr w:rsidR="006A1CE1" w:rsidSect="005D4872">
          <w:footerReference w:type="default" r:id="rId40"/>
          <w:pgSz w:w="24480" w:h="15840" w:orient="landscape" w:code="17"/>
          <w:pgMar w:top="1080" w:right="1080" w:bottom="1080" w:left="1080" w:header="576" w:footer="576" w:gutter="0"/>
          <w:pgNumType w:chapStyle="1"/>
          <w:cols w:space="360"/>
          <w:docGrid w:linePitch="299"/>
        </w:sectPr>
      </w:pPr>
    </w:p>
    <w:p w14:paraId="3D85D2D9" w14:textId="77777777" w:rsidR="00487636" w:rsidRPr="006A1CE1" w:rsidRDefault="006A1CE1" w:rsidP="006A1CE1">
      <w:pPr>
        <w:jc w:val="center"/>
        <w:outlineLvl w:val="9"/>
        <w:rPr>
          <w:rFonts w:ascii="Arial" w:eastAsia="Arial" w:hAnsi="Arial" w:cs="Arial"/>
          <w:b/>
          <w:color w:val="000000"/>
        </w:rPr>
      </w:pPr>
      <w:r w:rsidRPr="006A1CE1">
        <w:rPr>
          <w:rFonts w:ascii="Arial" w:eastAsia="Arial" w:hAnsi="Arial" w:cs="Arial"/>
          <w:b/>
          <w:color w:val="000000"/>
        </w:rPr>
        <w:t>Example 4 – Summary of Calculated Risk</w:t>
      </w:r>
      <w:r w:rsidR="002457EC" w:rsidRPr="002457EC">
        <w:rPr>
          <w:rFonts w:ascii="Arial" w:eastAsia="Arial" w:hAnsi="Arial" w:cs="Arial"/>
          <w:b/>
          <w:color w:val="000000"/>
          <w:vertAlign w:val="superscript"/>
        </w:rPr>
        <w:t>a</w:t>
      </w:r>
      <w:r w:rsidRPr="006A1CE1">
        <w:rPr>
          <w:rFonts w:ascii="Arial" w:eastAsia="Arial" w:hAnsi="Arial" w:cs="Arial"/>
          <w:b/>
          <w:color w:val="000000"/>
        </w:rPr>
        <w:t xml:space="preserve"> at Different Risk Assessment Levels</w:t>
      </w:r>
    </w:p>
    <w:p w14:paraId="3D85D2DA" w14:textId="77777777" w:rsidR="006A1CE1" w:rsidRDefault="006A1CE1">
      <w:pPr>
        <w:outlineLvl w:val="9"/>
        <w:rPr>
          <w:rFonts w:ascii="Arial" w:eastAsia="Arial" w:hAnsi="Arial" w:cs="Arial"/>
          <w:color w:val="000000"/>
        </w:rPr>
      </w:pPr>
    </w:p>
    <w:p w14:paraId="3D85D2DB" w14:textId="77777777" w:rsidR="006A1CE1" w:rsidRDefault="006A1CE1">
      <w:pPr>
        <w:outlineLvl w:val="9"/>
        <w:rPr>
          <w:rFonts w:ascii="Arial" w:eastAsia="Arial" w:hAnsi="Arial" w:cs="Arial"/>
          <w:color w:val="000000"/>
        </w:rPr>
      </w:pPr>
    </w:p>
    <w:tbl>
      <w:tblPr>
        <w:tblStyle w:val="TableGrid"/>
        <w:tblW w:w="0" w:type="auto"/>
        <w:tblLook w:val="04A0" w:firstRow="1" w:lastRow="0" w:firstColumn="1" w:lastColumn="0" w:noHBand="0" w:noVBand="1"/>
      </w:tblPr>
      <w:tblGrid>
        <w:gridCol w:w="2268"/>
        <w:gridCol w:w="1530"/>
        <w:gridCol w:w="1620"/>
        <w:gridCol w:w="1800"/>
        <w:gridCol w:w="1620"/>
        <w:gridCol w:w="1800"/>
        <w:gridCol w:w="1620"/>
        <w:gridCol w:w="1638"/>
      </w:tblGrid>
      <w:tr w:rsidR="006A1CE1" w:rsidRPr="006A1CE1" w14:paraId="3D85D2E1" w14:textId="77777777" w:rsidTr="006A1CE1">
        <w:tc>
          <w:tcPr>
            <w:tcW w:w="2268" w:type="dxa"/>
          </w:tcPr>
          <w:p w14:paraId="3D85D2DC" w14:textId="77777777" w:rsidR="006A1CE1" w:rsidRPr="006A1CE1" w:rsidRDefault="006A1CE1" w:rsidP="006A1CE1">
            <w:pPr>
              <w:jc w:val="center"/>
              <w:outlineLvl w:val="9"/>
              <w:rPr>
                <w:rFonts w:ascii="Arial" w:eastAsia="Arial" w:hAnsi="Arial" w:cs="Arial"/>
                <w:b/>
                <w:color w:val="000000"/>
              </w:rPr>
            </w:pPr>
          </w:p>
        </w:tc>
        <w:tc>
          <w:tcPr>
            <w:tcW w:w="3150" w:type="dxa"/>
            <w:gridSpan w:val="2"/>
          </w:tcPr>
          <w:p w14:paraId="3D85D2DD" w14:textId="77777777" w:rsidR="006A1CE1" w:rsidRPr="006A1CE1" w:rsidRDefault="006A1CE1" w:rsidP="006A1CE1">
            <w:pPr>
              <w:jc w:val="center"/>
              <w:outlineLvl w:val="9"/>
              <w:rPr>
                <w:rFonts w:ascii="Arial" w:eastAsia="Arial" w:hAnsi="Arial" w:cs="Arial"/>
                <w:b/>
                <w:color w:val="000000"/>
              </w:rPr>
            </w:pPr>
            <w:r w:rsidRPr="006A1CE1">
              <w:rPr>
                <w:rFonts w:ascii="Arial" w:eastAsia="Arial" w:hAnsi="Arial" w:cs="Arial"/>
                <w:b/>
                <w:color w:val="000000"/>
              </w:rPr>
              <w:t>Residential Exposure</w:t>
            </w:r>
          </w:p>
        </w:tc>
        <w:tc>
          <w:tcPr>
            <w:tcW w:w="3420" w:type="dxa"/>
            <w:gridSpan w:val="2"/>
          </w:tcPr>
          <w:p w14:paraId="3D85D2DE" w14:textId="77777777" w:rsidR="006A1CE1" w:rsidRPr="006A1CE1" w:rsidRDefault="006A1CE1" w:rsidP="006A1CE1">
            <w:pPr>
              <w:jc w:val="center"/>
              <w:outlineLvl w:val="9"/>
              <w:rPr>
                <w:rFonts w:ascii="Arial" w:eastAsia="Arial" w:hAnsi="Arial" w:cs="Arial"/>
                <w:b/>
                <w:color w:val="000000"/>
              </w:rPr>
            </w:pPr>
            <w:r w:rsidRPr="006A1CE1">
              <w:rPr>
                <w:rFonts w:ascii="Arial" w:eastAsia="Arial" w:hAnsi="Arial" w:cs="Arial"/>
                <w:b/>
                <w:color w:val="000000"/>
              </w:rPr>
              <w:t>Non-Resident Child Exposure</w:t>
            </w:r>
          </w:p>
        </w:tc>
        <w:tc>
          <w:tcPr>
            <w:tcW w:w="3420" w:type="dxa"/>
            <w:gridSpan w:val="2"/>
          </w:tcPr>
          <w:p w14:paraId="3D85D2DF" w14:textId="77777777" w:rsidR="006A1CE1" w:rsidRPr="006A1CE1" w:rsidRDefault="006A1CE1" w:rsidP="006A1CE1">
            <w:pPr>
              <w:jc w:val="center"/>
              <w:outlineLvl w:val="9"/>
              <w:rPr>
                <w:rFonts w:ascii="Arial" w:eastAsia="Arial" w:hAnsi="Arial" w:cs="Arial"/>
                <w:b/>
                <w:color w:val="000000"/>
              </w:rPr>
            </w:pPr>
            <w:r w:rsidRPr="006A1CE1">
              <w:rPr>
                <w:rFonts w:ascii="Arial" w:eastAsia="Arial" w:hAnsi="Arial" w:cs="Arial"/>
                <w:b/>
                <w:color w:val="000000"/>
              </w:rPr>
              <w:t>Non-Resident Worker Exposure</w:t>
            </w:r>
          </w:p>
        </w:tc>
        <w:tc>
          <w:tcPr>
            <w:tcW w:w="1638" w:type="dxa"/>
          </w:tcPr>
          <w:p w14:paraId="3D85D2E0" w14:textId="77777777" w:rsidR="006A1CE1" w:rsidRPr="006A1CE1" w:rsidRDefault="006A1CE1" w:rsidP="006A1CE1">
            <w:pPr>
              <w:jc w:val="center"/>
              <w:outlineLvl w:val="9"/>
              <w:rPr>
                <w:rFonts w:ascii="Arial" w:eastAsia="Arial" w:hAnsi="Arial" w:cs="Arial"/>
                <w:b/>
                <w:color w:val="000000"/>
              </w:rPr>
            </w:pPr>
            <w:r w:rsidRPr="006A1CE1">
              <w:rPr>
                <w:rFonts w:ascii="Arial" w:eastAsia="Arial" w:hAnsi="Arial" w:cs="Arial"/>
                <w:b/>
                <w:color w:val="000000"/>
              </w:rPr>
              <w:t>Acute Exposure</w:t>
            </w:r>
          </w:p>
        </w:tc>
      </w:tr>
      <w:tr w:rsidR="006A1CE1" w:rsidRPr="006A1CE1" w14:paraId="3D85D2EA" w14:textId="77777777" w:rsidTr="006A1CE1">
        <w:tc>
          <w:tcPr>
            <w:tcW w:w="2268" w:type="dxa"/>
          </w:tcPr>
          <w:p w14:paraId="3D85D2E2" w14:textId="77777777" w:rsidR="006A1CE1" w:rsidRPr="006A1CE1" w:rsidRDefault="006A1CE1" w:rsidP="006A1CE1">
            <w:pPr>
              <w:jc w:val="center"/>
              <w:outlineLvl w:val="9"/>
              <w:rPr>
                <w:rFonts w:ascii="Arial" w:eastAsia="Arial" w:hAnsi="Arial" w:cs="Arial"/>
                <w:b/>
                <w:color w:val="000000"/>
              </w:rPr>
            </w:pPr>
            <w:r>
              <w:rPr>
                <w:rFonts w:ascii="Arial" w:eastAsia="Arial" w:hAnsi="Arial" w:cs="Arial"/>
                <w:b/>
                <w:color w:val="000000"/>
              </w:rPr>
              <w:t>Risk Assessment Level</w:t>
            </w:r>
          </w:p>
        </w:tc>
        <w:tc>
          <w:tcPr>
            <w:tcW w:w="1530" w:type="dxa"/>
          </w:tcPr>
          <w:p w14:paraId="3D85D2E3" w14:textId="77777777" w:rsidR="006A1CE1" w:rsidRPr="006A1CE1" w:rsidRDefault="006A1CE1" w:rsidP="006A1CE1">
            <w:pPr>
              <w:jc w:val="center"/>
              <w:outlineLvl w:val="9"/>
              <w:rPr>
                <w:rFonts w:ascii="Arial" w:eastAsia="Arial" w:hAnsi="Arial" w:cs="Arial"/>
                <w:b/>
                <w:color w:val="000000"/>
              </w:rPr>
            </w:pPr>
            <w:r w:rsidRPr="006A1CE1">
              <w:rPr>
                <w:rFonts w:ascii="Arial" w:eastAsia="Arial" w:hAnsi="Arial" w:cs="Arial"/>
                <w:b/>
                <w:color w:val="000000"/>
              </w:rPr>
              <w:t>Excess Cancer Risk</w:t>
            </w:r>
          </w:p>
        </w:tc>
        <w:tc>
          <w:tcPr>
            <w:tcW w:w="1620" w:type="dxa"/>
          </w:tcPr>
          <w:p w14:paraId="3D85D2E4" w14:textId="77777777" w:rsidR="006A1CE1" w:rsidRPr="006A1CE1" w:rsidRDefault="006A1CE1" w:rsidP="006A1CE1">
            <w:pPr>
              <w:jc w:val="center"/>
              <w:outlineLvl w:val="9"/>
              <w:rPr>
                <w:rFonts w:ascii="Arial" w:eastAsia="Arial" w:hAnsi="Arial" w:cs="Arial"/>
                <w:b/>
                <w:color w:val="000000"/>
              </w:rPr>
            </w:pPr>
            <w:r w:rsidRPr="006A1CE1">
              <w:rPr>
                <w:rFonts w:ascii="Arial" w:eastAsia="Arial" w:hAnsi="Arial" w:cs="Arial"/>
                <w:b/>
                <w:color w:val="000000"/>
              </w:rPr>
              <w:t>Hazard Index</w:t>
            </w:r>
          </w:p>
        </w:tc>
        <w:tc>
          <w:tcPr>
            <w:tcW w:w="1800" w:type="dxa"/>
          </w:tcPr>
          <w:p w14:paraId="3D85D2E5" w14:textId="77777777" w:rsidR="006A1CE1" w:rsidRPr="006A1CE1" w:rsidRDefault="006A1CE1" w:rsidP="006A1CE1">
            <w:pPr>
              <w:jc w:val="center"/>
              <w:outlineLvl w:val="9"/>
              <w:rPr>
                <w:rFonts w:ascii="Arial" w:eastAsia="Arial" w:hAnsi="Arial" w:cs="Arial"/>
                <w:b/>
                <w:color w:val="000000"/>
              </w:rPr>
            </w:pPr>
            <w:r w:rsidRPr="006A1CE1">
              <w:rPr>
                <w:rFonts w:ascii="Arial" w:eastAsia="Arial" w:hAnsi="Arial" w:cs="Arial"/>
                <w:b/>
                <w:color w:val="000000"/>
              </w:rPr>
              <w:t>Excess Cancer Risk</w:t>
            </w:r>
          </w:p>
        </w:tc>
        <w:tc>
          <w:tcPr>
            <w:tcW w:w="1620" w:type="dxa"/>
          </w:tcPr>
          <w:p w14:paraId="3D85D2E6" w14:textId="77777777" w:rsidR="006A1CE1" w:rsidRPr="006A1CE1" w:rsidRDefault="006A1CE1" w:rsidP="006A1CE1">
            <w:pPr>
              <w:jc w:val="center"/>
              <w:outlineLvl w:val="9"/>
              <w:rPr>
                <w:rFonts w:ascii="Arial" w:eastAsia="Arial" w:hAnsi="Arial" w:cs="Arial"/>
                <w:b/>
                <w:color w:val="000000"/>
              </w:rPr>
            </w:pPr>
            <w:r w:rsidRPr="006A1CE1">
              <w:rPr>
                <w:rFonts w:ascii="Arial" w:eastAsia="Arial" w:hAnsi="Arial" w:cs="Arial"/>
                <w:b/>
                <w:color w:val="000000"/>
              </w:rPr>
              <w:t>Hazard Index</w:t>
            </w:r>
          </w:p>
        </w:tc>
        <w:tc>
          <w:tcPr>
            <w:tcW w:w="1800" w:type="dxa"/>
          </w:tcPr>
          <w:p w14:paraId="3D85D2E7" w14:textId="77777777" w:rsidR="006A1CE1" w:rsidRPr="006A1CE1" w:rsidRDefault="006A1CE1" w:rsidP="006A1CE1">
            <w:pPr>
              <w:jc w:val="center"/>
              <w:outlineLvl w:val="9"/>
              <w:rPr>
                <w:rFonts w:ascii="Arial" w:eastAsia="Arial" w:hAnsi="Arial" w:cs="Arial"/>
                <w:b/>
                <w:color w:val="000000"/>
              </w:rPr>
            </w:pPr>
            <w:r w:rsidRPr="006A1CE1">
              <w:rPr>
                <w:rFonts w:ascii="Arial" w:eastAsia="Arial" w:hAnsi="Arial" w:cs="Arial"/>
                <w:b/>
                <w:color w:val="000000"/>
              </w:rPr>
              <w:t>Excess Cancer Risk</w:t>
            </w:r>
          </w:p>
        </w:tc>
        <w:tc>
          <w:tcPr>
            <w:tcW w:w="1620" w:type="dxa"/>
          </w:tcPr>
          <w:p w14:paraId="3D85D2E8" w14:textId="77777777" w:rsidR="006A1CE1" w:rsidRPr="006A1CE1" w:rsidRDefault="006A1CE1" w:rsidP="006A1CE1">
            <w:pPr>
              <w:jc w:val="center"/>
              <w:outlineLvl w:val="9"/>
              <w:rPr>
                <w:rFonts w:ascii="Arial" w:eastAsia="Arial" w:hAnsi="Arial" w:cs="Arial"/>
                <w:b/>
                <w:color w:val="000000"/>
              </w:rPr>
            </w:pPr>
            <w:r w:rsidRPr="006A1CE1">
              <w:rPr>
                <w:rFonts w:ascii="Arial" w:eastAsia="Arial" w:hAnsi="Arial" w:cs="Arial"/>
                <w:b/>
                <w:color w:val="000000"/>
              </w:rPr>
              <w:t>Hazard Index</w:t>
            </w:r>
          </w:p>
        </w:tc>
        <w:tc>
          <w:tcPr>
            <w:tcW w:w="1638" w:type="dxa"/>
          </w:tcPr>
          <w:p w14:paraId="3D85D2E9" w14:textId="77777777" w:rsidR="006A1CE1" w:rsidRPr="006A1CE1" w:rsidRDefault="006A1CE1" w:rsidP="006A1CE1">
            <w:pPr>
              <w:jc w:val="center"/>
              <w:outlineLvl w:val="9"/>
              <w:rPr>
                <w:rFonts w:ascii="Arial" w:eastAsia="Arial" w:hAnsi="Arial" w:cs="Arial"/>
                <w:b/>
                <w:color w:val="000000"/>
              </w:rPr>
            </w:pPr>
            <w:r w:rsidRPr="006A1CE1">
              <w:rPr>
                <w:rFonts w:ascii="Arial" w:eastAsia="Arial" w:hAnsi="Arial" w:cs="Arial"/>
                <w:b/>
                <w:color w:val="000000"/>
              </w:rPr>
              <w:t>Hazard Index</w:t>
            </w:r>
          </w:p>
        </w:tc>
      </w:tr>
      <w:tr w:rsidR="006A1CE1" w14:paraId="3D85D2F3" w14:textId="77777777" w:rsidTr="006A1CE1">
        <w:tc>
          <w:tcPr>
            <w:tcW w:w="2268" w:type="dxa"/>
          </w:tcPr>
          <w:p w14:paraId="3D85D2EB" w14:textId="77777777" w:rsidR="006A1CE1" w:rsidRDefault="006A1CE1">
            <w:pPr>
              <w:outlineLvl w:val="9"/>
              <w:rPr>
                <w:rFonts w:ascii="Arial" w:eastAsia="Arial" w:hAnsi="Arial" w:cs="Arial"/>
                <w:color w:val="000000"/>
              </w:rPr>
            </w:pPr>
            <w:r>
              <w:rPr>
                <w:rFonts w:ascii="Arial" w:eastAsia="Arial" w:hAnsi="Arial" w:cs="Arial"/>
                <w:color w:val="000000"/>
              </w:rPr>
              <w:t>Level 1</w:t>
            </w:r>
          </w:p>
        </w:tc>
        <w:tc>
          <w:tcPr>
            <w:tcW w:w="1530" w:type="dxa"/>
          </w:tcPr>
          <w:p w14:paraId="3D85D2EC"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32</w:t>
            </w:r>
            <w:r w:rsidR="006A1CE1">
              <w:rPr>
                <w:rFonts w:ascii="Arial" w:eastAsia="Arial" w:hAnsi="Arial" w:cs="Arial"/>
                <w:color w:val="000000"/>
              </w:rPr>
              <w:t>6</w:t>
            </w:r>
          </w:p>
        </w:tc>
        <w:tc>
          <w:tcPr>
            <w:tcW w:w="1620" w:type="dxa"/>
          </w:tcPr>
          <w:p w14:paraId="3D85D2ED"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19</w:t>
            </w:r>
          </w:p>
        </w:tc>
        <w:tc>
          <w:tcPr>
            <w:tcW w:w="1800" w:type="dxa"/>
          </w:tcPr>
          <w:p w14:paraId="3D85D2EE"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4</w:t>
            </w:r>
          </w:p>
        </w:tc>
        <w:tc>
          <w:tcPr>
            <w:tcW w:w="1620" w:type="dxa"/>
          </w:tcPr>
          <w:p w14:paraId="3D85D2EF"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3</w:t>
            </w:r>
          </w:p>
        </w:tc>
        <w:tc>
          <w:tcPr>
            <w:tcW w:w="1800" w:type="dxa"/>
          </w:tcPr>
          <w:p w14:paraId="3D85D2F0"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13</w:t>
            </w:r>
          </w:p>
        </w:tc>
        <w:tc>
          <w:tcPr>
            <w:tcW w:w="1620" w:type="dxa"/>
          </w:tcPr>
          <w:p w14:paraId="3D85D2F1"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3</w:t>
            </w:r>
          </w:p>
        </w:tc>
        <w:tc>
          <w:tcPr>
            <w:tcW w:w="1638" w:type="dxa"/>
          </w:tcPr>
          <w:p w14:paraId="3D85D2F2"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14</w:t>
            </w:r>
          </w:p>
        </w:tc>
      </w:tr>
      <w:tr w:rsidR="006A1CE1" w14:paraId="3D85D2FC" w14:textId="77777777" w:rsidTr="006A1CE1">
        <w:tc>
          <w:tcPr>
            <w:tcW w:w="2268" w:type="dxa"/>
          </w:tcPr>
          <w:p w14:paraId="3D85D2F4" w14:textId="77777777" w:rsidR="006A1CE1" w:rsidRDefault="006A1CE1">
            <w:pPr>
              <w:outlineLvl w:val="9"/>
              <w:rPr>
                <w:rFonts w:ascii="Arial" w:eastAsia="Arial" w:hAnsi="Arial" w:cs="Arial"/>
                <w:color w:val="000000"/>
              </w:rPr>
            </w:pPr>
            <w:r>
              <w:rPr>
                <w:rFonts w:ascii="Arial" w:eastAsia="Arial" w:hAnsi="Arial" w:cs="Arial"/>
                <w:color w:val="000000"/>
              </w:rPr>
              <w:t>Level 2</w:t>
            </w:r>
          </w:p>
        </w:tc>
        <w:tc>
          <w:tcPr>
            <w:tcW w:w="1530" w:type="dxa"/>
          </w:tcPr>
          <w:p w14:paraId="3D85D2F5"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163</w:t>
            </w:r>
          </w:p>
        </w:tc>
        <w:tc>
          <w:tcPr>
            <w:tcW w:w="1620" w:type="dxa"/>
          </w:tcPr>
          <w:p w14:paraId="3D85D2F6"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10</w:t>
            </w:r>
          </w:p>
        </w:tc>
        <w:tc>
          <w:tcPr>
            <w:tcW w:w="1800" w:type="dxa"/>
          </w:tcPr>
          <w:p w14:paraId="3D85D2F7"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2</w:t>
            </w:r>
          </w:p>
        </w:tc>
        <w:tc>
          <w:tcPr>
            <w:tcW w:w="1620" w:type="dxa"/>
          </w:tcPr>
          <w:p w14:paraId="3D85D2F8"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1</w:t>
            </w:r>
          </w:p>
        </w:tc>
        <w:tc>
          <w:tcPr>
            <w:tcW w:w="1800" w:type="dxa"/>
          </w:tcPr>
          <w:p w14:paraId="3D85D2F9"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6</w:t>
            </w:r>
          </w:p>
        </w:tc>
        <w:tc>
          <w:tcPr>
            <w:tcW w:w="1620" w:type="dxa"/>
          </w:tcPr>
          <w:p w14:paraId="3D85D2FA"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1</w:t>
            </w:r>
          </w:p>
        </w:tc>
        <w:tc>
          <w:tcPr>
            <w:tcW w:w="1638" w:type="dxa"/>
          </w:tcPr>
          <w:p w14:paraId="3D85D2FB"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7</w:t>
            </w:r>
          </w:p>
        </w:tc>
      </w:tr>
      <w:tr w:rsidR="006A1CE1" w14:paraId="3D85D305" w14:textId="77777777" w:rsidTr="006A1CE1">
        <w:tc>
          <w:tcPr>
            <w:tcW w:w="2268" w:type="dxa"/>
          </w:tcPr>
          <w:p w14:paraId="3D85D2FD" w14:textId="77777777" w:rsidR="006A1CE1" w:rsidRDefault="006A1CE1">
            <w:pPr>
              <w:outlineLvl w:val="9"/>
              <w:rPr>
                <w:rFonts w:ascii="Arial" w:eastAsia="Arial" w:hAnsi="Arial" w:cs="Arial"/>
                <w:color w:val="000000"/>
              </w:rPr>
            </w:pPr>
            <w:r>
              <w:rPr>
                <w:rFonts w:ascii="Arial" w:eastAsia="Arial" w:hAnsi="Arial" w:cs="Arial"/>
                <w:color w:val="000000"/>
              </w:rPr>
              <w:t>Level 3</w:t>
            </w:r>
          </w:p>
        </w:tc>
        <w:tc>
          <w:tcPr>
            <w:tcW w:w="1530" w:type="dxa"/>
          </w:tcPr>
          <w:p w14:paraId="3D85D2FE"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16</w:t>
            </w:r>
          </w:p>
        </w:tc>
        <w:tc>
          <w:tcPr>
            <w:tcW w:w="1620" w:type="dxa"/>
          </w:tcPr>
          <w:p w14:paraId="3D85D2FF"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1</w:t>
            </w:r>
          </w:p>
        </w:tc>
        <w:tc>
          <w:tcPr>
            <w:tcW w:w="1800" w:type="dxa"/>
          </w:tcPr>
          <w:p w14:paraId="3D85D300" w14:textId="77777777" w:rsidR="006A1CE1" w:rsidRDefault="006A1CE1" w:rsidP="0068645C">
            <w:pPr>
              <w:jc w:val="center"/>
              <w:outlineLvl w:val="9"/>
              <w:rPr>
                <w:rFonts w:ascii="Arial" w:eastAsia="Arial" w:hAnsi="Arial" w:cs="Arial"/>
                <w:color w:val="000000"/>
              </w:rPr>
            </w:pPr>
            <w:r>
              <w:rPr>
                <w:rFonts w:ascii="Arial" w:eastAsia="Arial" w:hAnsi="Arial" w:cs="Arial"/>
                <w:color w:val="000000"/>
              </w:rPr>
              <w:t>0.</w:t>
            </w:r>
            <w:r w:rsidR="0068645C">
              <w:rPr>
                <w:rFonts w:ascii="Arial" w:eastAsia="Arial" w:hAnsi="Arial" w:cs="Arial"/>
                <w:color w:val="000000"/>
              </w:rPr>
              <w:t>3</w:t>
            </w:r>
          </w:p>
        </w:tc>
        <w:tc>
          <w:tcPr>
            <w:tcW w:w="1620" w:type="dxa"/>
          </w:tcPr>
          <w:p w14:paraId="3D85D301" w14:textId="77777777" w:rsidR="006A1CE1" w:rsidRDefault="006A1CE1" w:rsidP="0068645C">
            <w:pPr>
              <w:jc w:val="center"/>
              <w:outlineLvl w:val="9"/>
              <w:rPr>
                <w:rFonts w:ascii="Arial" w:eastAsia="Arial" w:hAnsi="Arial" w:cs="Arial"/>
                <w:color w:val="000000"/>
              </w:rPr>
            </w:pPr>
            <w:r>
              <w:rPr>
                <w:rFonts w:ascii="Arial" w:eastAsia="Arial" w:hAnsi="Arial" w:cs="Arial"/>
                <w:color w:val="000000"/>
              </w:rPr>
              <w:t>0.</w:t>
            </w:r>
            <w:r w:rsidR="0068645C">
              <w:rPr>
                <w:rFonts w:ascii="Arial" w:eastAsia="Arial" w:hAnsi="Arial" w:cs="Arial"/>
                <w:color w:val="000000"/>
              </w:rPr>
              <w:t>1</w:t>
            </w:r>
          </w:p>
        </w:tc>
        <w:tc>
          <w:tcPr>
            <w:tcW w:w="1800" w:type="dxa"/>
          </w:tcPr>
          <w:p w14:paraId="3D85D302"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0.6</w:t>
            </w:r>
          </w:p>
        </w:tc>
        <w:tc>
          <w:tcPr>
            <w:tcW w:w="1620" w:type="dxa"/>
          </w:tcPr>
          <w:p w14:paraId="3D85D303"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0.1</w:t>
            </w:r>
          </w:p>
        </w:tc>
        <w:tc>
          <w:tcPr>
            <w:tcW w:w="1638" w:type="dxa"/>
          </w:tcPr>
          <w:p w14:paraId="3D85D304" w14:textId="77777777" w:rsidR="006A1CE1" w:rsidRDefault="0068645C" w:rsidP="006A1CE1">
            <w:pPr>
              <w:jc w:val="center"/>
              <w:outlineLvl w:val="9"/>
              <w:rPr>
                <w:rFonts w:ascii="Arial" w:eastAsia="Arial" w:hAnsi="Arial" w:cs="Arial"/>
                <w:color w:val="000000"/>
              </w:rPr>
            </w:pPr>
            <w:r>
              <w:rPr>
                <w:rFonts w:ascii="Arial" w:eastAsia="Arial" w:hAnsi="Arial" w:cs="Arial"/>
                <w:color w:val="000000"/>
              </w:rPr>
              <w:t>0.7</w:t>
            </w:r>
          </w:p>
        </w:tc>
      </w:tr>
      <w:tr w:rsidR="006A1CE1" w14:paraId="3D85D30E" w14:textId="77777777" w:rsidTr="006A1CE1">
        <w:tc>
          <w:tcPr>
            <w:tcW w:w="2268" w:type="dxa"/>
          </w:tcPr>
          <w:p w14:paraId="3D85D306" w14:textId="77777777" w:rsidR="006A1CE1" w:rsidRDefault="006A1CE1">
            <w:pPr>
              <w:outlineLvl w:val="9"/>
              <w:rPr>
                <w:rFonts w:ascii="Arial" w:eastAsia="Arial" w:hAnsi="Arial" w:cs="Arial"/>
                <w:color w:val="000000"/>
              </w:rPr>
            </w:pPr>
          </w:p>
        </w:tc>
        <w:tc>
          <w:tcPr>
            <w:tcW w:w="1530" w:type="dxa"/>
          </w:tcPr>
          <w:p w14:paraId="3D85D307" w14:textId="77777777" w:rsidR="006A1CE1" w:rsidRDefault="006A1CE1" w:rsidP="006A1CE1">
            <w:pPr>
              <w:jc w:val="center"/>
              <w:outlineLvl w:val="9"/>
              <w:rPr>
                <w:rFonts w:ascii="Arial" w:eastAsia="Arial" w:hAnsi="Arial" w:cs="Arial"/>
                <w:color w:val="000000"/>
              </w:rPr>
            </w:pPr>
          </w:p>
        </w:tc>
        <w:tc>
          <w:tcPr>
            <w:tcW w:w="1620" w:type="dxa"/>
          </w:tcPr>
          <w:p w14:paraId="3D85D308" w14:textId="77777777" w:rsidR="006A1CE1" w:rsidRDefault="006A1CE1" w:rsidP="006A1CE1">
            <w:pPr>
              <w:jc w:val="center"/>
              <w:outlineLvl w:val="9"/>
              <w:rPr>
                <w:rFonts w:ascii="Arial" w:eastAsia="Arial" w:hAnsi="Arial" w:cs="Arial"/>
                <w:color w:val="000000"/>
              </w:rPr>
            </w:pPr>
          </w:p>
        </w:tc>
        <w:tc>
          <w:tcPr>
            <w:tcW w:w="1800" w:type="dxa"/>
          </w:tcPr>
          <w:p w14:paraId="3D85D309" w14:textId="77777777" w:rsidR="006A1CE1" w:rsidRDefault="006A1CE1" w:rsidP="006A1CE1">
            <w:pPr>
              <w:jc w:val="center"/>
              <w:outlineLvl w:val="9"/>
              <w:rPr>
                <w:rFonts w:ascii="Arial" w:eastAsia="Arial" w:hAnsi="Arial" w:cs="Arial"/>
                <w:color w:val="000000"/>
              </w:rPr>
            </w:pPr>
          </w:p>
        </w:tc>
        <w:tc>
          <w:tcPr>
            <w:tcW w:w="1620" w:type="dxa"/>
          </w:tcPr>
          <w:p w14:paraId="3D85D30A" w14:textId="77777777" w:rsidR="006A1CE1" w:rsidRDefault="006A1CE1" w:rsidP="006A1CE1">
            <w:pPr>
              <w:jc w:val="center"/>
              <w:outlineLvl w:val="9"/>
              <w:rPr>
                <w:rFonts w:ascii="Arial" w:eastAsia="Arial" w:hAnsi="Arial" w:cs="Arial"/>
                <w:color w:val="000000"/>
              </w:rPr>
            </w:pPr>
          </w:p>
        </w:tc>
        <w:tc>
          <w:tcPr>
            <w:tcW w:w="1800" w:type="dxa"/>
          </w:tcPr>
          <w:p w14:paraId="3D85D30B" w14:textId="77777777" w:rsidR="006A1CE1" w:rsidRDefault="006A1CE1" w:rsidP="006A1CE1">
            <w:pPr>
              <w:jc w:val="center"/>
              <w:outlineLvl w:val="9"/>
              <w:rPr>
                <w:rFonts w:ascii="Arial" w:eastAsia="Arial" w:hAnsi="Arial" w:cs="Arial"/>
                <w:color w:val="000000"/>
              </w:rPr>
            </w:pPr>
          </w:p>
        </w:tc>
        <w:tc>
          <w:tcPr>
            <w:tcW w:w="1620" w:type="dxa"/>
          </w:tcPr>
          <w:p w14:paraId="3D85D30C" w14:textId="77777777" w:rsidR="006A1CE1" w:rsidRDefault="006A1CE1" w:rsidP="006A1CE1">
            <w:pPr>
              <w:jc w:val="center"/>
              <w:outlineLvl w:val="9"/>
              <w:rPr>
                <w:rFonts w:ascii="Arial" w:eastAsia="Arial" w:hAnsi="Arial" w:cs="Arial"/>
                <w:color w:val="000000"/>
              </w:rPr>
            </w:pPr>
          </w:p>
        </w:tc>
        <w:tc>
          <w:tcPr>
            <w:tcW w:w="1638" w:type="dxa"/>
          </w:tcPr>
          <w:p w14:paraId="3D85D30D" w14:textId="77777777" w:rsidR="006A1CE1" w:rsidRDefault="006A1CE1" w:rsidP="006A1CE1">
            <w:pPr>
              <w:jc w:val="center"/>
              <w:outlineLvl w:val="9"/>
              <w:rPr>
                <w:rFonts w:ascii="Arial" w:eastAsia="Arial" w:hAnsi="Arial" w:cs="Arial"/>
                <w:color w:val="000000"/>
              </w:rPr>
            </w:pPr>
          </w:p>
        </w:tc>
      </w:tr>
      <w:tr w:rsidR="006A1CE1" w:rsidRPr="005266EF" w14:paraId="3D85D317" w14:textId="77777777" w:rsidTr="006A1CE1">
        <w:tc>
          <w:tcPr>
            <w:tcW w:w="2268" w:type="dxa"/>
          </w:tcPr>
          <w:p w14:paraId="3D85D30F" w14:textId="77777777" w:rsidR="006A1CE1" w:rsidRPr="005266EF" w:rsidRDefault="006A1CE1">
            <w:pPr>
              <w:outlineLvl w:val="9"/>
              <w:rPr>
                <w:rFonts w:ascii="Arial" w:eastAsia="Arial" w:hAnsi="Arial" w:cs="Arial"/>
                <w:i/>
                <w:color w:val="000000"/>
              </w:rPr>
            </w:pPr>
            <w:r w:rsidRPr="005266EF">
              <w:rPr>
                <w:rFonts w:ascii="Arial" w:eastAsia="Arial" w:hAnsi="Arial" w:cs="Arial"/>
                <w:i/>
                <w:color w:val="000000"/>
              </w:rPr>
              <w:t>Risk Action Level</w:t>
            </w:r>
            <w:r w:rsidR="002457EC" w:rsidRPr="005266EF">
              <w:rPr>
                <w:rFonts w:ascii="Arial" w:eastAsia="Arial" w:hAnsi="Arial" w:cs="Arial"/>
                <w:i/>
                <w:color w:val="000000"/>
                <w:vertAlign w:val="superscript"/>
              </w:rPr>
              <w:t>b</w:t>
            </w:r>
          </w:p>
        </w:tc>
        <w:tc>
          <w:tcPr>
            <w:tcW w:w="1530" w:type="dxa"/>
          </w:tcPr>
          <w:p w14:paraId="3D85D310" w14:textId="77777777" w:rsidR="006A1CE1" w:rsidRPr="005266EF" w:rsidRDefault="006A1CE1" w:rsidP="006A1CE1">
            <w:pPr>
              <w:jc w:val="center"/>
              <w:outlineLvl w:val="9"/>
              <w:rPr>
                <w:rFonts w:ascii="Arial" w:eastAsia="Arial" w:hAnsi="Arial" w:cs="Arial"/>
                <w:i/>
                <w:color w:val="000000"/>
              </w:rPr>
            </w:pPr>
            <w:r w:rsidRPr="005266EF">
              <w:rPr>
                <w:rFonts w:ascii="Arial" w:eastAsia="Arial" w:hAnsi="Arial" w:cs="Arial"/>
                <w:i/>
                <w:color w:val="000000"/>
              </w:rPr>
              <w:t>25</w:t>
            </w:r>
          </w:p>
        </w:tc>
        <w:tc>
          <w:tcPr>
            <w:tcW w:w="1620" w:type="dxa"/>
          </w:tcPr>
          <w:p w14:paraId="3D85D311" w14:textId="77777777" w:rsidR="006A1CE1" w:rsidRPr="005266EF" w:rsidRDefault="006A1CE1" w:rsidP="006A1CE1">
            <w:pPr>
              <w:jc w:val="center"/>
              <w:outlineLvl w:val="9"/>
              <w:rPr>
                <w:rFonts w:ascii="Arial" w:eastAsia="Arial" w:hAnsi="Arial" w:cs="Arial"/>
                <w:i/>
                <w:color w:val="000000"/>
              </w:rPr>
            </w:pPr>
            <w:r w:rsidRPr="005266EF">
              <w:rPr>
                <w:rFonts w:ascii="Arial" w:eastAsia="Arial" w:hAnsi="Arial" w:cs="Arial"/>
                <w:i/>
                <w:color w:val="000000"/>
              </w:rPr>
              <w:t>1</w:t>
            </w:r>
          </w:p>
        </w:tc>
        <w:tc>
          <w:tcPr>
            <w:tcW w:w="1800" w:type="dxa"/>
          </w:tcPr>
          <w:p w14:paraId="3D85D312" w14:textId="77777777" w:rsidR="006A1CE1" w:rsidRPr="005266EF" w:rsidRDefault="006A1CE1" w:rsidP="006A1CE1">
            <w:pPr>
              <w:jc w:val="center"/>
              <w:outlineLvl w:val="9"/>
              <w:rPr>
                <w:rFonts w:ascii="Arial" w:eastAsia="Arial" w:hAnsi="Arial" w:cs="Arial"/>
                <w:i/>
                <w:color w:val="000000"/>
              </w:rPr>
            </w:pPr>
            <w:r w:rsidRPr="005266EF">
              <w:rPr>
                <w:rFonts w:ascii="Arial" w:eastAsia="Arial" w:hAnsi="Arial" w:cs="Arial"/>
                <w:i/>
                <w:color w:val="000000"/>
              </w:rPr>
              <w:t>25</w:t>
            </w:r>
          </w:p>
        </w:tc>
        <w:tc>
          <w:tcPr>
            <w:tcW w:w="1620" w:type="dxa"/>
          </w:tcPr>
          <w:p w14:paraId="3D85D313" w14:textId="77777777" w:rsidR="006A1CE1" w:rsidRPr="005266EF" w:rsidRDefault="006A1CE1" w:rsidP="006A1CE1">
            <w:pPr>
              <w:jc w:val="center"/>
              <w:outlineLvl w:val="9"/>
              <w:rPr>
                <w:rFonts w:ascii="Arial" w:eastAsia="Arial" w:hAnsi="Arial" w:cs="Arial"/>
                <w:i/>
                <w:color w:val="000000"/>
              </w:rPr>
            </w:pPr>
            <w:r w:rsidRPr="005266EF">
              <w:rPr>
                <w:rFonts w:ascii="Arial" w:eastAsia="Arial" w:hAnsi="Arial" w:cs="Arial"/>
                <w:i/>
                <w:color w:val="000000"/>
              </w:rPr>
              <w:t>1</w:t>
            </w:r>
          </w:p>
        </w:tc>
        <w:tc>
          <w:tcPr>
            <w:tcW w:w="1800" w:type="dxa"/>
          </w:tcPr>
          <w:p w14:paraId="3D85D314" w14:textId="77777777" w:rsidR="006A1CE1" w:rsidRPr="005266EF" w:rsidRDefault="006A1CE1" w:rsidP="006A1CE1">
            <w:pPr>
              <w:jc w:val="center"/>
              <w:outlineLvl w:val="9"/>
              <w:rPr>
                <w:rFonts w:ascii="Arial" w:eastAsia="Arial" w:hAnsi="Arial" w:cs="Arial"/>
                <w:i/>
                <w:color w:val="000000"/>
              </w:rPr>
            </w:pPr>
            <w:r w:rsidRPr="005266EF">
              <w:rPr>
                <w:rFonts w:ascii="Arial" w:eastAsia="Arial" w:hAnsi="Arial" w:cs="Arial"/>
                <w:i/>
                <w:color w:val="000000"/>
              </w:rPr>
              <w:t>25</w:t>
            </w:r>
          </w:p>
        </w:tc>
        <w:tc>
          <w:tcPr>
            <w:tcW w:w="1620" w:type="dxa"/>
          </w:tcPr>
          <w:p w14:paraId="3D85D315" w14:textId="77777777" w:rsidR="006A1CE1" w:rsidRPr="005266EF" w:rsidRDefault="006A1CE1" w:rsidP="006A1CE1">
            <w:pPr>
              <w:jc w:val="center"/>
              <w:outlineLvl w:val="9"/>
              <w:rPr>
                <w:rFonts w:ascii="Arial" w:eastAsia="Arial" w:hAnsi="Arial" w:cs="Arial"/>
                <w:i/>
                <w:color w:val="000000"/>
              </w:rPr>
            </w:pPr>
            <w:r w:rsidRPr="005266EF">
              <w:rPr>
                <w:rFonts w:ascii="Arial" w:eastAsia="Arial" w:hAnsi="Arial" w:cs="Arial"/>
                <w:i/>
                <w:color w:val="000000"/>
              </w:rPr>
              <w:t>1</w:t>
            </w:r>
          </w:p>
        </w:tc>
        <w:tc>
          <w:tcPr>
            <w:tcW w:w="1638" w:type="dxa"/>
          </w:tcPr>
          <w:p w14:paraId="3D85D316" w14:textId="77777777" w:rsidR="006A1CE1" w:rsidRPr="005266EF" w:rsidRDefault="006A1CE1" w:rsidP="006A1CE1">
            <w:pPr>
              <w:jc w:val="center"/>
              <w:outlineLvl w:val="9"/>
              <w:rPr>
                <w:rFonts w:ascii="Arial" w:eastAsia="Arial" w:hAnsi="Arial" w:cs="Arial"/>
                <w:i/>
                <w:color w:val="000000"/>
              </w:rPr>
            </w:pPr>
            <w:r w:rsidRPr="005266EF">
              <w:rPr>
                <w:rFonts w:ascii="Arial" w:eastAsia="Arial" w:hAnsi="Arial" w:cs="Arial"/>
                <w:i/>
                <w:color w:val="000000"/>
              </w:rPr>
              <w:t>1</w:t>
            </w:r>
          </w:p>
        </w:tc>
      </w:tr>
      <w:tr w:rsidR="006A1CE1" w14:paraId="3D85D320" w14:textId="77777777" w:rsidTr="006A1CE1">
        <w:tc>
          <w:tcPr>
            <w:tcW w:w="2268" w:type="dxa"/>
          </w:tcPr>
          <w:p w14:paraId="3D85D318" w14:textId="77777777" w:rsidR="006A1CE1" w:rsidRDefault="006A1CE1">
            <w:pPr>
              <w:outlineLvl w:val="9"/>
              <w:rPr>
                <w:rFonts w:ascii="Arial" w:eastAsia="Arial" w:hAnsi="Arial" w:cs="Arial"/>
                <w:color w:val="000000"/>
              </w:rPr>
            </w:pPr>
          </w:p>
        </w:tc>
        <w:tc>
          <w:tcPr>
            <w:tcW w:w="1530" w:type="dxa"/>
          </w:tcPr>
          <w:p w14:paraId="3D85D319" w14:textId="77777777" w:rsidR="006A1CE1" w:rsidRDefault="006A1CE1">
            <w:pPr>
              <w:outlineLvl w:val="9"/>
              <w:rPr>
                <w:rFonts w:ascii="Arial" w:eastAsia="Arial" w:hAnsi="Arial" w:cs="Arial"/>
                <w:color w:val="000000"/>
              </w:rPr>
            </w:pPr>
          </w:p>
        </w:tc>
        <w:tc>
          <w:tcPr>
            <w:tcW w:w="1620" w:type="dxa"/>
          </w:tcPr>
          <w:p w14:paraId="3D85D31A" w14:textId="77777777" w:rsidR="006A1CE1" w:rsidRDefault="006A1CE1">
            <w:pPr>
              <w:outlineLvl w:val="9"/>
              <w:rPr>
                <w:rFonts w:ascii="Arial" w:eastAsia="Arial" w:hAnsi="Arial" w:cs="Arial"/>
                <w:color w:val="000000"/>
              </w:rPr>
            </w:pPr>
          </w:p>
        </w:tc>
        <w:tc>
          <w:tcPr>
            <w:tcW w:w="1800" w:type="dxa"/>
          </w:tcPr>
          <w:p w14:paraId="3D85D31B" w14:textId="77777777" w:rsidR="006A1CE1" w:rsidRDefault="006A1CE1">
            <w:pPr>
              <w:outlineLvl w:val="9"/>
              <w:rPr>
                <w:rFonts w:ascii="Arial" w:eastAsia="Arial" w:hAnsi="Arial" w:cs="Arial"/>
                <w:color w:val="000000"/>
              </w:rPr>
            </w:pPr>
          </w:p>
        </w:tc>
        <w:tc>
          <w:tcPr>
            <w:tcW w:w="1620" w:type="dxa"/>
          </w:tcPr>
          <w:p w14:paraId="3D85D31C" w14:textId="77777777" w:rsidR="006A1CE1" w:rsidRDefault="006A1CE1">
            <w:pPr>
              <w:outlineLvl w:val="9"/>
              <w:rPr>
                <w:rFonts w:ascii="Arial" w:eastAsia="Arial" w:hAnsi="Arial" w:cs="Arial"/>
                <w:color w:val="000000"/>
              </w:rPr>
            </w:pPr>
          </w:p>
        </w:tc>
        <w:tc>
          <w:tcPr>
            <w:tcW w:w="1800" w:type="dxa"/>
          </w:tcPr>
          <w:p w14:paraId="3D85D31D" w14:textId="77777777" w:rsidR="006A1CE1" w:rsidRDefault="006A1CE1">
            <w:pPr>
              <w:outlineLvl w:val="9"/>
              <w:rPr>
                <w:rFonts w:ascii="Arial" w:eastAsia="Arial" w:hAnsi="Arial" w:cs="Arial"/>
                <w:color w:val="000000"/>
              </w:rPr>
            </w:pPr>
          </w:p>
        </w:tc>
        <w:tc>
          <w:tcPr>
            <w:tcW w:w="1620" w:type="dxa"/>
          </w:tcPr>
          <w:p w14:paraId="3D85D31E" w14:textId="77777777" w:rsidR="006A1CE1" w:rsidRDefault="006A1CE1">
            <w:pPr>
              <w:outlineLvl w:val="9"/>
              <w:rPr>
                <w:rFonts w:ascii="Arial" w:eastAsia="Arial" w:hAnsi="Arial" w:cs="Arial"/>
                <w:color w:val="000000"/>
              </w:rPr>
            </w:pPr>
          </w:p>
        </w:tc>
        <w:tc>
          <w:tcPr>
            <w:tcW w:w="1638" w:type="dxa"/>
          </w:tcPr>
          <w:p w14:paraId="3D85D31F" w14:textId="77777777" w:rsidR="006A1CE1" w:rsidRDefault="006A1CE1">
            <w:pPr>
              <w:outlineLvl w:val="9"/>
              <w:rPr>
                <w:rFonts w:ascii="Arial" w:eastAsia="Arial" w:hAnsi="Arial" w:cs="Arial"/>
                <w:color w:val="000000"/>
              </w:rPr>
            </w:pPr>
          </w:p>
        </w:tc>
      </w:tr>
    </w:tbl>
    <w:p w14:paraId="3D85D321" w14:textId="77777777" w:rsidR="006A1CE1" w:rsidRDefault="006A1CE1">
      <w:pPr>
        <w:outlineLvl w:val="9"/>
        <w:rPr>
          <w:rFonts w:ascii="Arial" w:eastAsia="Arial" w:hAnsi="Arial" w:cs="Arial"/>
          <w:color w:val="000000"/>
        </w:rPr>
      </w:pPr>
    </w:p>
    <w:p w14:paraId="3D85D322" w14:textId="77777777" w:rsidR="006A1CE1" w:rsidRDefault="006A1CE1">
      <w:pPr>
        <w:outlineLvl w:val="9"/>
        <w:rPr>
          <w:rFonts w:ascii="Arial" w:eastAsia="Arial" w:hAnsi="Arial" w:cs="Arial"/>
          <w:color w:val="000000"/>
        </w:rPr>
      </w:pPr>
      <w:r>
        <w:rPr>
          <w:rFonts w:ascii="Arial" w:eastAsia="Arial" w:hAnsi="Arial" w:cs="Arial"/>
          <w:color w:val="000000"/>
        </w:rPr>
        <w:t>Note:</w:t>
      </w:r>
    </w:p>
    <w:p w14:paraId="3D85D323" w14:textId="77777777" w:rsidR="006A1CE1" w:rsidRDefault="002457EC" w:rsidP="002457EC">
      <w:pPr>
        <w:pStyle w:val="ListParagraph"/>
        <w:numPr>
          <w:ilvl w:val="0"/>
          <w:numId w:val="19"/>
        </w:numPr>
        <w:outlineLvl w:val="9"/>
        <w:rPr>
          <w:rFonts w:eastAsia="Arial"/>
          <w:color w:val="000000"/>
        </w:rPr>
      </w:pPr>
      <w:r>
        <w:rPr>
          <w:rFonts w:eastAsia="Arial"/>
          <w:color w:val="000000"/>
        </w:rPr>
        <w:t xml:space="preserve">Calculated </w:t>
      </w:r>
      <w:r w:rsidR="006A1CE1" w:rsidRPr="002457EC">
        <w:rPr>
          <w:rFonts w:eastAsia="Arial"/>
          <w:color w:val="000000"/>
        </w:rPr>
        <w:t xml:space="preserve">risks are total calculated risks for </w:t>
      </w:r>
      <w:r>
        <w:rPr>
          <w:rFonts w:eastAsia="Arial"/>
          <w:color w:val="000000"/>
        </w:rPr>
        <w:t>the example</w:t>
      </w:r>
      <w:r w:rsidR="006A1CE1" w:rsidRPr="002457EC">
        <w:rPr>
          <w:rFonts w:eastAsia="Arial"/>
          <w:color w:val="000000"/>
        </w:rPr>
        <w:t xml:space="preserve"> facility, taken from Examples 1, 2, and 3.</w:t>
      </w:r>
    </w:p>
    <w:p w14:paraId="3D85D324" w14:textId="77777777" w:rsidR="002457EC" w:rsidRPr="002457EC" w:rsidRDefault="002457EC" w:rsidP="002457EC">
      <w:pPr>
        <w:pStyle w:val="ListParagraph"/>
        <w:numPr>
          <w:ilvl w:val="0"/>
          <w:numId w:val="19"/>
        </w:numPr>
        <w:outlineLvl w:val="9"/>
        <w:rPr>
          <w:rFonts w:eastAsia="Arial"/>
          <w:color w:val="000000"/>
        </w:rPr>
      </w:pPr>
      <w:r>
        <w:rPr>
          <w:rFonts w:eastAsia="Arial"/>
          <w:color w:val="000000"/>
        </w:rPr>
        <w:t>RAL for an existing facility, taken from OAR 340-245-8010 Table 1.</w:t>
      </w:r>
    </w:p>
    <w:p w14:paraId="3D85D325" w14:textId="77777777" w:rsidR="002457EC" w:rsidRDefault="002457EC">
      <w:pPr>
        <w:outlineLvl w:val="9"/>
        <w:rPr>
          <w:rFonts w:ascii="Arial" w:eastAsia="Arial" w:hAnsi="Arial" w:cs="Arial"/>
          <w:color w:val="000000"/>
        </w:rPr>
      </w:pPr>
    </w:p>
    <w:p w14:paraId="3D85D326" w14:textId="77777777" w:rsidR="002457EC" w:rsidRDefault="002457EC">
      <w:pPr>
        <w:outlineLvl w:val="9"/>
        <w:rPr>
          <w:rFonts w:ascii="Arial" w:eastAsia="Arial" w:hAnsi="Arial" w:cs="Arial"/>
          <w:color w:val="000000"/>
        </w:rPr>
        <w:sectPr w:rsidR="002457EC" w:rsidSect="006A1CE1">
          <w:pgSz w:w="15840" w:h="12240" w:orient="landscape" w:code="1"/>
          <w:pgMar w:top="1080" w:right="1080" w:bottom="1080" w:left="1080" w:header="576" w:footer="576" w:gutter="0"/>
          <w:pgNumType w:chapStyle="1"/>
          <w:cols w:space="360"/>
          <w:docGrid w:linePitch="299"/>
        </w:sectPr>
      </w:pPr>
    </w:p>
    <w:p w14:paraId="3D85D327" w14:textId="77777777" w:rsidR="00487636" w:rsidRDefault="00487636">
      <w:pPr>
        <w:outlineLvl w:val="9"/>
        <w:rPr>
          <w:rFonts w:ascii="Arial" w:eastAsia="Arial" w:hAnsi="Arial" w:cs="Arial"/>
          <w:color w:val="000000"/>
        </w:rPr>
      </w:pPr>
    </w:p>
    <w:p w14:paraId="3D85D328" w14:textId="77777777" w:rsidR="00412C30" w:rsidRDefault="00412C30">
      <w:pPr>
        <w:outlineLvl w:val="9"/>
        <w:rPr>
          <w:rFonts w:ascii="Arial" w:eastAsia="Arial" w:hAnsi="Arial" w:cs="Arial"/>
          <w:color w:val="000000"/>
        </w:rPr>
      </w:pPr>
    </w:p>
    <w:p w14:paraId="3D85D329" w14:textId="77777777" w:rsidR="00412C30" w:rsidRDefault="00412C30" w:rsidP="00412C30">
      <w:pPr>
        <w:pStyle w:val="Heading1"/>
      </w:pPr>
      <w:bookmarkStart w:id="37" w:name="_Toc496183518"/>
      <w:r>
        <w:t>APPENDIX A</w:t>
      </w:r>
      <w:bookmarkEnd w:id="37"/>
    </w:p>
    <w:p w14:paraId="3D85D32A" w14:textId="77777777" w:rsidR="00412C30" w:rsidRPr="00405B77" w:rsidRDefault="00412C30" w:rsidP="00405B77">
      <w:pPr>
        <w:pStyle w:val="Heading2"/>
      </w:pPr>
      <w:bookmarkStart w:id="38" w:name="_Toc496183519"/>
      <w:r w:rsidRPr="00405B77">
        <w:t>Hierarchy for Authoritative Sources of</w:t>
      </w:r>
      <w:r w:rsidRPr="00405B77">
        <w:br/>
        <w:t>Toxicity Reference Values</w:t>
      </w:r>
      <w:bookmarkEnd w:id="38"/>
    </w:p>
    <w:p w14:paraId="3D85D32B" w14:textId="77777777" w:rsidR="00412C30" w:rsidRDefault="00412C30" w:rsidP="00B0686D">
      <w:pPr>
        <w:pStyle w:val="Normal1"/>
        <w:jc w:val="left"/>
      </w:pPr>
    </w:p>
    <w:p w14:paraId="3D85D32C" w14:textId="77777777" w:rsidR="00412C30" w:rsidRPr="0010271E" w:rsidRDefault="00412C30" w:rsidP="0010271E">
      <w:pPr>
        <w:pStyle w:val="NoSpacing"/>
        <w:rPr>
          <w:rFonts w:ascii="Arial" w:hAnsi="Arial" w:cs="Arial"/>
          <w:b/>
        </w:rPr>
      </w:pPr>
      <w:r w:rsidRPr="0010271E">
        <w:rPr>
          <w:rFonts w:ascii="Arial" w:hAnsi="Arial" w:cs="Arial"/>
          <w:b/>
        </w:rPr>
        <w:t>A.1 Chronic Values</w:t>
      </w:r>
    </w:p>
    <w:p w14:paraId="3D85D32D" w14:textId="77777777" w:rsidR="00412C30" w:rsidRDefault="00412C30" w:rsidP="00412C30">
      <w:pPr>
        <w:pStyle w:val="Normal1"/>
        <w:widowControl/>
        <w:jc w:val="left"/>
      </w:pPr>
    </w:p>
    <w:p w14:paraId="3D85D32E" w14:textId="77777777" w:rsidR="00412C30" w:rsidRDefault="00412C30" w:rsidP="00412C30">
      <w:pPr>
        <w:pStyle w:val="Normal1"/>
        <w:widowControl/>
        <w:jc w:val="left"/>
      </w:pPr>
      <w:r>
        <w:t>DEQ used the following hierarchy of sources of chronic toxicity reference values (TRVs):</w:t>
      </w:r>
    </w:p>
    <w:p w14:paraId="3D85D32F" w14:textId="77777777" w:rsidR="00412C30" w:rsidRDefault="00412C30" w:rsidP="00412C30">
      <w:pPr>
        <w:pStyle w:val="Normal1"/>
        <w:jc w:val="left"/>
      </w:pPr>
    </w:p>
    <w:p w14:paraId="3D85D330" w14:textId="77777777" w:rsidR="00412C30" w:rsidRDefault="00412C30" w:rsidP="00713CB5">
      <w:pPr>
        <w:pStyle w:val="Normal1"/>
        <w:numPr>
          <w:ilvl w:val="0"/>
          <w:numId w:val="14"/>
        </w:numPr>
        <w:jc w:val="left"/>
      </w:pPr>
      <w:r>
        <w:t>DEQ alone or in consultation with DEQ’s Air Toxics Science Advisory Committee (ATSAC) and/or Oregon Health Authority (OHA), including Ambient Benchmark Concentrations (ABCs)</w:t>
      </w:r>
    </w:p>
    <w:p w14:paraId="3D85D331" w14:textId="77777777" w:rsidR="00412C30" w:rsidRDefault="00412C30" w:rsidP="00713CB5">
      <w:pPr>
        <w:pStyle w:val="Normal1"/>
        <w:numPr>
          <w:ilvl w:val="0"/>
          <w:numId w:val="14"/>
        </w:numPr>
        <w:jc w:val="left"/>
      </w:pPr>
      <w:r>
        <w:t>EPA Integrated Risk Information System (IRIS) database (</w:t>
      </w:r>
      <w:hyperlink r:id="rId41">
        <w:r>
          <w:rPr>
            <w:color w:val="0000FF"/>
            <w:u w:val="single"/>
          </w:rPr>
          <w:t>www.epa.gov/iris</w:t>
        </w:r>
      </w:hyperlink>
      <w:r>
        <w:t>)</w:t>
      </w:r>
    </w:p>
    <w:p w14:paraId="3D85D332" w14:textId="77777777" w:rsidR="00412C30" w:rsidRDefault="00412C30" w:rsidP="00713CB5">
      <w:pPr>
        <w:pStyle w:val="Normal1"/>
        <w:numPr>
          <w:ilvl w:val="0"/>
          <w:numId w:val="14"/>
        </w:numPr>
        <w:jc w:val="left"/>
      </w:pPr>
      <w:r>
        <w:t>EPA Provisional Peer-Reviewed Toxicity Value (PPRTV) database (</w:t>
      </w:r>
      <w:hyperlink r:id="rId42">
        <w:r>
          <w:rPr>
            <w:color w:val="0000FF"/>
            <w:u w:val="single"/>
          </w:rPr>
          <w:t>www.hhpprtv.ornl.gov</w:t>
        </w:r>
      </w:hyperlink>
      <w:r>
        <w:t>)</w:t>
      </w:r>
    </w:p>
    <w:p w14:paraId="3D85D333" w14:textId="77777777" w:rsidR="00412C30" w:rsidRDefault="00412C30" w:rsidP="00713CB5">
      <w:pPr>
        <w:pStyle w:val="Normal1"/>
        <w:numPr>
          <w:ilvl w:val="0"/>
          <w:numId w:val="14"/>
        </w:numPr>
        <w:jc w:val="left"/>
      </w:pPr>
      <w:r>
        <w:t>Agency for Toxic Substances and Disease Registry (ATSDR) Toxicological Profiles (</w:t>
      </w:r>
      <w:hyperlink r:id="rId43">
        <w:r>
          <w:rPr>
            <w:color w:val="0000FF"/>
            <w:u w:val="single"/>
          </w:rPr>
          <w:t>www.atsdr.cdc.gov</w:t>
        </w:r>
      </w:hyperlink>
      <w:r>
        <w:t>)</w:t>
      </w:r>
    </w:p>
    <w:p w14:paraId="3D85D334" w14:textId="77777777" w:rsidR="00412C30" w:rsidRDefault="00412C30" w:rsidP="00713CB5">
      <w:pPr>
        <w:pStyle w:val="Normal1"/>
        <w:numPr>
          <w:ilvl w:val="0"/>
          <w:numId w:val="14"/>
        </w:numPr>
        <w:jc w:val="left"/>
      </w:pPr>
      <w:r>
        <w:t>California’s Office of Environmental Health Hazard Assessment (OEHHA)(</w:t>
      </w:r>
      <w:hyperlink r:id="rId44">
        <w:r>
          <w:rPr>
            <w:color w:val="0000FF"/>
            <w:u w:val="single"/>
          </w:rPr>
          <w:t>www.oehha.ca.gov</w:t>
        </w:r>
      </w:hyperlink>
      <w:r>
        <w:t>)</w:t>
      </w:r>
    </w:p>
    <w:p w14:paraId="3D85D335" w14:textId="77777777" w:rsidR="00412C30" w:rsidRDefault="00412C30" w:rsidP="00412C30">
      <w:pPr>
        <w:pStyle w:val="Normal1"/>
        <w:jc w:val="left"/>
      </w:pPr>
    </w:p>
    <w:p w14:paraId="3D85D336" w14:textId="77777777" w:rsidR="00412C30" w:rsidRDefault="00412C30" w:rsidP="00412C30">
      <w:pPr>
        <w:pStyle w:val="Normal1"/>
        <w:jc w:val="left"/>
      </w:pPr>
      <w:r>
        <w:t xml:space="preserve">Chronic TRVs were developed separately for noncarcinogenic and carcinogenic effects. </w:t>
      </w:r>
    </w:p>
    <w:p w14:paraId="3D85D337" w14:textId="77777777" w:rsidR="00412C30" w:rsidRDefault="00412C30" w:rsidP="00412C30">
      <w:pPr>
        <w:pStyle w:val="Normal1"/>
        <w:jc w:val="left"/>
      </w:pPr>
    </w:p>
    <w:p w14:paraId="3D85D338" w14:textId="77777777" w:rsidR="00412C30" w:rsidRDefault="00412C30" w:rsidP="00BF1719">
      <w:pPr>
        <w:pStyle w:val="Normal1"/>
        <w:spacing w:after="120"/>
        <w:ind w:right="18"/>
        <w:jc w:val="left"/>
      </w:pPr>
      <w:r>
        <w:t>Inhalation toxicity information for noncancer effects are typically provided as threshold values given different names by different authoritative bodies. For example, EPA calls them Reference Concentrations (RfCs), the federal Agency for Toxic Substances and Disease Registry calls them Minimal Risk Levels (MRLs), and California’s Office of Environmental Health Hazard Assessment calls them Risk Exposure Levels (RELs). For the purposes of this document, all of these will be given the general name “reference concentrations” (RfCs). For noncancer, Toxicity Reference Values are equal to the Reference Concentration.  </w:t>
      </w:r>
    </w:p>
    <w:p w14:paraId="3D85D339" w14:textId="77777777" w:rsidR="00412C30" w:rsidRDefault="00412C30" w:rsidP="00412C30">
      <w:pPr>
        <w:pStyle w:val="Normal1"/>
      </w:pPr>
    </w:p>
    <w:p w14:paraId="3D85D33A" w14:textId="77777777" w:rsidR="00412C30" w:rsidRDefault="00412C30" w:rsidP="00412C30">
      <w:pPr>
        <w:pStyle w:val="Normal1"/>
        <w:spacing w:after="120"/>
        <w:ind w:left="720" w:right="18"/>
        <w:jc w:val="center"/>
      </w:pPr>
      <w:r>
        <w:t>TRV</w:t>
      </w:r>
      <w:r>
        <w:rPr>
          <w:vertAlign w:val="subscript"/>
        </w:rPr>
        <w:t>noncancer, chronic</w:t>
      </w:r>
      <w:r>
        <w:t xml:space="preserve"> (µg/m</w:t>
      </w:r>
      <w:r>
        <w:rPr>
          <w:vertAlign w:val="superscript"/>
        </w:rPr>
        <w:t>3</w:t>
      </w:r>
      <w:r>
        <w:t>) = RfC</w:t>
      </w:r>
      <w:r>
        <w:rPr>
          <w:vertAlign w:val="subscript"/>
        </w:rPr>
        <w:t xml:space="preserve"> chronic</w:t>
      </w:r>
      <w:r>
        <w:t xml:space="preserve"> (µg/m</w:t>
      </w:r>
      <w:r>
        <w:rPr>
          <w:vertAlign w:val="superscript"/>
        </w:rPr>
        <w:t>3</w:t>
      </w:r>
      <w:r>
        <w:t>)</w:t>
      </w:r>
    </w:p>
    <w:p w14:paraId="3D85D33B" w14:textId="77777777" w:rsidR="00412C30" w:rsidRDefault="00412C30" w:rsidP="00412C30">
      <w:pPr>
        <w:pStyle w:val="Normal1"/>
        <w:spacing w:after="120"/>
        <w:ind w:right="18"/>
      </w:pPr>
      <w:r>
        <w:t>Where:</w:t>
      </w:r>
    </w:p>
    <w:p w14:paraId="3D85D33C" w14:textId="77777777" w:rsidR="00412C30" w:rsidRDefault="00412C30" w:rsidP="00412C30">
      <w:pPr>
        <w:pStyle w:val="Normal1"/>
        <w:ind w:right="18"/>
      </w:pPr>
      <w:r>
        <w:t>TRV</w:t>
      </w:r>
      <w:r>
        <w:rPr>
          <w:vertAlign w:val="subscript"/>
        </w:rPr>
        <w:t>noncancer, chronic</w:t>
      </w:r>
      <w:r>
        <w:t xml:space="preserve"> = toxicity reference value for chronic exposures leading to noncancer health effects</w:t>
      </w:r>
    </w:p>
    <w:p w14:paraId="3D85D33D" w14:textId="77777777" w:rsidR="00412C30" w:rsidRDefault="00412C30" w:rsidP="00412C30">
      <w:pPr>
        <w:pStyle w:val="Normal1"/>
        <w:ind w:right="18"/>
      </w:pPr>
      <w:r>
        <w:t>RfC = reference concentration for chronic exposures leading to noncancer health effects</w:t>
      </w:r>
    </w:p>
    <w:p w14:paraId="3D85D33E" w14:textId="77777777" w:rsidR="00412C30" w:rsidRDefault="00412C30" w:rsidP="00412C30">
      <w:pPr>
        <w:pStyle w:val="Normal1"/>
        <w:widowControl/>
        <w:jc w:val="left"/>
      </w:pPr>
    </w:p>
    <w:p w14:paraId="3D85D33F" w14:textId="77777777" w:rsidR="00412C30" w:rsidRDefault="00412C30" w:rsidP="00BF1719">
      <w:pPr>
        <w:pStyle w:val="Normal1"/>
        <w:widowControl/>
        <w:jc w:val="left"/>
      </w:pPr>
      <w:r>
        <w:t xml:space="preserve">Inhalation toxicity values for carcinogens are typically provided as inhalation unit risk (IUR) values. For ease of use in developing RBCs, IURs were converted to TRV concentrations using a consistent target excess cancer risk level of one in one million. </w:t>
      </w:r>
    </w:p>
    <w:p w14:paraId="3D85D340" w14:textId="77777777" w:rsidR="00412C30" w:rsidRDefault="00412C30" w:rsidP="00412C30">
      <w:pPr>
        <w:pStyle w:val="Normal1"/>
        <w:widowControl/>
        <w:jc w:val="left"/>
      </w:pPr>
    </w:p>
    <w:p w14:paraId="3D85D341" w14:textId="77777777" w:rsidR="00412C30" w:rsidRDefault="00412C30" w:rsidP="00412C30">
      <w:pPr>
        <w:pStyle w:val="Normal1"/>
        <w:widowControl/>
        <w:jc w:val="center"/>
        <w:rPr>
          <w:vertAlign w:val="superscript"/>
        </w:rPr>
      </w:pPr>
      <w:r>
        <w:t>TRV</w:t>
      </w:r>
      <w:r>
        <w:rPr>
          <w:vertAlign w:val="subscript"/>
        </w:rPr>
        <w:t>cancer</w:t>
      </w:r>
      <w:r>
        <w:t xml:space="preserve"> (µg/m</w:t>
      </w:r>
      <w:r>
        <w:rPr>
          <w:vertAlign w:val="superscript"/>
        </w:rPr>
        <w:t>3</w:t>
      </w:r>
      <w:r>
        <w:t>) = Target Risk (1 x 10</w:t>
      </w:r>
      <w:r>
        <w:rPr>
          <w:vertAlign w:val="superscript"/>
        </w:rPr>
        <w:t>-6</w:t>
      </w:r>
      <w:r>
        <w:t>) / IUR (µg/m</w:t>
      </w:r>
      <w:r>
        <w:rPr>
          <w:vertAlign w:val="superscript"/>
        </w:rPr>
        <w:t>3</w:t>
      </w:r>
      <w:r>
        <w:t>)</w:t>
      </w:r>
      <w:r>
        <w:rPr>
          <w:vertAlign w:val="superscript"/>
        </w:rPr>
        <w:t>-1</w:t>
      </w:r>
    </w:p>
    <w:p w14:paraId="3D85D342" w14:textId="77777777" w:rsidR="00412C30" w:rsidRDefault="00412C30" w:rsidP="00412C30">
      <w:pPr>
        <w:pStyle w:val="Normal1"/>
        <w:widowControl/>
        <w:jc w:val="left"/>
      </w:pPr>
    </w:p>
    <w:p w14:paraId="3D85D343" w14:textId="77777777" w:rsidR="00412C30" w:rsidRDefault="00412C30" w:rsidP="00412C30">
      <w:pPr>
        <w:pStyle w:val="Normal1"/>
        <w:spacing w:after="120"/>
        <w:ind w:right="18"/>
        <w:jc w:val="left"/>
      </w:pPr>
      <w:r>
        <w:t>Where:</w:t>
      </w:r>
    </w:p>
    <w:p w14:paraId="3D85D344" w14:textId="77777777" w:rsidR="00412C30" w:rsidRDefault="00412C30" w:rsidP="00412C30">
      <w:pPr>
        <w:pStyle w:val="Normal1"/>
        <w:spacing w:after="120"/>
        <w:ind w:right="18"/>
        <w:jc w:val="left"/>
      </w:pPr>
      <w:r>
        <w:t>TRV</w:t>
      </w:r>
      <w:r>
        <w:rPr>
          <w:vertAlign w:val="subscript"/>
        </w:rPr>
        <w:t>cancer</w:t>
      </w:r>
      <w:r>
        <w:t xml:space="preserve"> = Toxicity Reference Value for cancer </w:t>
      </w:r>
    </w:p>
    <w:p w14:paraId="3D85D345" w14:textId="77777777" w:rsidR="00412C30" w:rsidRDefault="00412C30" w:rsidP="00412C30">
      <w:pPr>
        <w:pStyle w:val="Normal1"/>
        <w:spacing w:after="120"/>
        <w:ind w:right="18"/>
        <w:jc w:val="left"/>
      </w:pPr>
      <w:r>
        <w:t>IUR = Inhalation Unit Risk</w:t>
      </w:r>
    </w:p>
    <w:p w14:paraId="3D85D346" w14:textId="77777777" w:rsidR="00412C30" w:rsidRDefault="00412C30" w:rsidP="00412C30">
      <w:pPr>
        <w:pStyle w:val="Normal1"/>
        <w:widowControl/>
        <w:jc w:val="left"/>
      </w:pPr>
    </w:p>
    <w:p w14:paraId="3D85D347" w14:textId="77777777" w:rsidR="00DD272F" w:rsidRDefault="00DD272F" w:rsidP="00412C30">
      <w:pPr>
        <w:pStyle w:val="Normal1"/>
        <w:widowControl/>
        <w:jc w:val="left"/>
      </w:pPr>
    </w:p>
    <w:p w14:paraId="3D85D348" w14:textId="77777777" w:rsidR="00B0686D" w:rsidRDefault="00B0686D" w:rsidP="00412C30">
      <w:pPr>
        <w:pStyle w:val="Normal1"/>
        <w:widowControl/>
        <w:jc w:val="left"/>
      </w:pPr>
    </w:p>
    <w:p w14:paraId="3D85D349" w14:textId="77777777" w:rsidR="00B0686D" w:rsidRDefault="00B0686D" w:rsidP="00412C30">
      <w:pPr>
        <w:pStyle w:val="Normal1"/>
        <w:widowControl/>
        <w:jc w:val="left"/>
      </w:pPr>
    </w:p>
    <w:p w14:paraId="3D85D34A" w14:textId="77777777" w:rsidR="00412C30" w:rsidRPr="0010271E" w:rsidRDefault="00412C30" w:rsidP="0010271E">
      <w:pPr>
        <w:pStyle w:val="NoSpacing"/>
        <w:rPr>
          <w:rFonts w:ascii="Arial" w:hAnsi="Arial" w:cs="Arial"/>
          <w:b/>
        </w:rPr>
      </w:pPr>
      <w:r w:rsidRPr="0010271E">
        <w:rPr>
          <w:rFonts w:ascii="Arial" w:hAnsi="Arial" w:cs="Arial"/>
          <w:b/>
        </w:rPr>
        <w:t>A.2 Acute Values</w:t>
      </w:r>
    </w:p>
    <w:p w14:paraId="3D85D34B" w14:textId="77777777" w:rsidR="00412C30" w:rsidRDefault="00412C30" w:rsidP="00412C30">
      <w:pPr>
        <w:pStyle w:val="Normal1"/>
        <w:widowControl/>
        <w:jc w:val="left"/>
      </w:pPr>
    </w:p>
    <w:p w14:paraId="3D85D34C" w14:textId="77777777" w:rsidR="00412C30" w:rsidRDefault="00412C30" w:rsidP="00412C30">
      <w:pPr>
        <w:pStyle w:val="Normal1"/>
        <w:widowControl/>
        <w:jc w:val="left"/>
      </w:pPr>
      <w:r>
        <w:t>DEQ used the following hierarchy of sources of acute toxicity reference values (TRVs):</w:t>
      </w:r>
    </w:p>
    <w:p w14:paraId="3D85D34D" w14:textId="77777777" w:rsidR="00412C30" w:rsidRDefault="00412C30" w:rsidP="00412C30">
      <w:pPr>
        <w:pStyle w:val="Normal1"/>
        <w:jc w:val="left"/>
      </w:pPr>
    </w:p>
    <w:p w14:paraId="3D85D34E" w14:textId="77777777" w:rsidR="00412C30" w:rsidRDefault="00412C30" w:rsidP="00713CB5">
      <w:pPr>
        <w:pStyle w:val="Normal1"/>
        <w:numPr>
          <w:ilvl w:val="0"/>
          <w:numId w:val="15"/>
        </w:numPr>
        <w:jc w:val="left"/>
      </w:pPr>
      <w:r>
        <w:t>DEQ alone or in consultation with DEQ’s ATSAC and/or OHA</w:t>
      </w:r>
    </w:p>
    <w:p w14:paraId="3D85D34F" w14:textId="77777777" w:rsidR="00412C30" w:rsidRDefault="00412C30" w:rsidP="00713CB5">
      <w:pPr>
        <w:pStyle w:val="Normal1"/>
        <w:numPr>
          <w:ilvl w:val="0"/>
          <w:numId w:val="15"/>
        </w:numPr>
        <w:jc w:val="left"/>
      </w:pPr>
      <w:r>
        <w:t>Agency for Toxic Substances and Disease Registry (ATSDR) Toxicological Profiles, Acute Minimal Risk Levels (MRLs)</w:t>
      </w:r>
    </w:p>
    <w:p w14:paraId="3D85D350" w14:textId="77777777" w:rsidR="00412C30" w:rsidRDefault="00412C30" w:rsidP="00713CB5">
      <w:pPr>
        <w:pStyle w:val="Normal1"/>
        <w:numPr>
          <w:ilvl w:val="0"/>
          <w:numId w:val="15"/>
        </w:numPr>
        <w:jc w:val="left"/>
      </w:pPr>
      <w:r>
        <w:t>California’s Office of Environmental Health Hazard Assessment (OEHHA) Acute Reference Level (REL)</w:t>
      </w:r>
    </w:p>
    <w:p w14:paraId="3D85D351" w14:textId="77777777" w:rsidR="00412C30" w:rsidRDefault="00412C30" w:rsidP="00713CB5">
      <w:pPr>
        <w:pStyle w:val="Normal1"/>
        <w:numPr>
          <w:ilvl w:val="0"/>
          <w:numId w:val="15"/>
        </w:numPr>
        <w:jc w:val="left"/>
      </w:pPr>
      <w:r>
        <w:t>Agency for Toxic Substances and Disease Registry (ATSDR) Toxicological Profiles, Intermediate Minimal Risk Levels (MRLs)</w:t>
      </w:r>
    </w:p>
    <w:p w14:paraId="3D85D352" w14:textId="77777777" w:rsidR="00412C30" w:rsidRDefault="00412C30" w:rsidP="00713CB5">
      <w:pPr>
        <w:pStyle w:val="Normal1"/>
        <w:numPr>
          <w:ilvl w:val="0"/>
          <w:numId w:val="15"/>
        </w:numPr>
        <w:jc w:val="left"/>
      </w:pPr>
      <w:r>
        <w:t>If no short-term Reference Concentration was available from sources listed here, no short-term Toxicity Reference Value was recommended or proposed</w:t>
      </w:r>
    </w:p>
    <w:p w14:paraId="3D85D353" w14:textId="77777777" w:rsidR="00412C30" w:rsidRDefault="00412C30" w:rsidP="00412C30">
      <w:pPr>
        <w:pStyle w:val="Normal1"/>
        <w:jc w:val="left"/>
      </w:pPr>
    </w:p>
    <w:p w14:paraId="3D85D354" w14:textId="77777777" w:rsidR="00412C30" w:rsidRPr="009C1D8E" w:rsidRDefault="00412C30" w:rsidP="00412C30">
      <w:pPr>
        <w:pStyle w:val="Normal1"/>
        <w:jc w:val="left"/>
      </w:pPr>
      <w:r w:rsidRPr="00957C55">
        <w:t>Acute TRVs are only for non-carcinogenic effects. If no short-term toxicity values were available from the above authoritative bodies, no short-term TRVs were established. If the short-term TRV was lower than the chronic TRV, the chronic TRV was used for the short-term TRV</w:t>
      </w:r>
      <w:r w:rsidR="00D41332" w:rsidRPr="00957C55">
        <w:t>, because there is generally more confidence in chronic toxicity values</w:t>
      </w:r>
      <w:r w:rsidR="00BD4F28" w:rsidRPr="00957C55">
        <w:t xml:space="preserve">. For example, </w:t>
      </w:r>
      <w:r w:rsidR="002051DB">
        <w:t xml:space="preserve">in </w:t>
      </w:r>
      <w:r w:rsidR="00DC10AF">
        <w:t>DEQ and OHA’s</w:t>
      </w:r>
      <w:r w:rsidR="002051DB">
        <w:t xml:space="preserve"> draft short-term guideline concentrations, </w:t>
      </w:r>
      <w:r w:rsidR="00BD4F28" w:rsidRPr="00957C55">
        <w:t xml:space="preserve">the </w:t>
      </w:r>
      <w:r w:rsidR="00DC10AF">
        <w:t xml:space="preserve">recommended </w:t>
      </w:r>
      <w:r w:rsidR="00BD4F28" w:rsidRPr="00957C55">
        <w:t>short-term g</w:t>
      </w:r>
      <w:r w:rsidR="00832402" w:rsidRPr="00957C55">
        <w:t>uideline concentration</w:t>
      </w:r>
      <w:r w:rsidR="00BD4F28" w:rsidRPr="00957C55">
        <w:t xml:space="preserve"> for selenium of 2 </w:t>
      </w:r>
      <w:r w:rsidR="009C1D8E" w:rsidRPr="00957C55">
        <w:t>µg/m</w:t>
      </w:r>
      <w:r w:rsidR="009C1D8E" w:rsidRPr="00957C55">
        <w:rPr>
          <w:vertAlign w:val="superscript"/>
        </w:rPr>
        <w:t>3</w:t>
      </w:r>
      <w:r w:rsidR="009C1D8E" w:rsidRPr="00957C55">
        <w:t xml:space="preserve"> </w:t>
      </w:r>
      <w:r w:rsidR="00957C55">
        <w:t>was developed by</w:t>
      </w:r>
      <w:r w:rsidR="00832402" w:rsidRPr="00957C55">
        <w:t xml:space="preserve"> dividing the</w:t>
      </w:r>
      <w:r w:rsidR="009C1D8E" w:rsidRPr="00957C55">
        <w:t xml:space="preserve"> Occupational Safety and Health Administration (OSHA) value of 200 µg/m</w:t>
      </w:r>
      <w:r w:rsidR="009C1D8E" w:rsidRPr="00957C55">
        <w:rPr>
          <w:vertAlign w:val="superscript"/>
        </w:rPr>
        <w:t>3</w:t>
      </w:r>
      <w:r w:rsidR="00832402" w:rsidRPr="00957C55">
        <w:t xml:space="preserve"> for long-term daily worker exposure by a factor of 100</w:t>
      </w:r>
      <w:r w:rsidR="00DC10AF">
        <w:t xml:space="preserve"> (DEQ/OHA 2017)</w:t>
      </w:r>
      <w:r w:rsidR="00832402" w:rsidRPr="00957C55">
        <w:t>.</w:t>
      </w:r>
      <w:r w:rsidR="009C1D8E" w:rsidRPr="00957C55">
        <w:t xml:space="preserve"> The chronic noncancer value from OEHAA is 20 µg/m</w:t>
      </w:r>
      <w:r w:rsidR="009C1D8E" w:rsidRPr="00957C55">
        <w:rPr>
          <w:vertAlign w:val="superscript"/>
        </w:rPr>
        <w:t>3</w:t>
      </w:r>
      <w:r w:rsidR="009C1D8E" w:rsidRPr="00957C55">
        <w:t xml:space="preserve">. Given the greater confidence in the chronic value, and because it would be inconsistent to have an acute TRV less than a chronic TRV, the chronic </w:t>
      </w:r>
      <w:r w:rsidR="005266EF" w:rsidRPr="00957C55">
        <w:t xml:space="preserve">noncancer </w:t>
      </w:r>
      <w:r w:rsidR="009C1D8E" w:rsidRPr="00957C55">
        <w:t>value was used as the acute TRV for selenium.</w:t>
      </w:r>
    </w:p>
    <w:p w14:paraId="3D85D355" w14:textId="77777777" w:rsidR="00412C30" w:rsidRDefault="00412C30" w:rsidP="00412C30">
      <w:pPr>
        <w:pStyle w:val="Normal1"/>
        <w:jc w:val="left"/>
      </w:pPr>
    </w:p>
    <w:p w14:paraId="3D85D356" w14:textId="77777777" w:rsidR="00412C30" w:rsidRDefault="00412C30" w:rsidP="00412C30">
      <w:pPr>
        <w:pStyle w:val="Normal1"/>
        <w:spacing w:after="120"/>
        <w:ind w:right="18"/>
        <w:jc w:val="left"/>
      </w:pPr>
      <w:r>
        <w:t xml:space="preserve">As with chronic noncancer effects, </w:t>
      </w:r>
      <w:r w:rsidR="00D41332">
        <w:t>TRVs</w:t>
      </w:r>
      <w:r>
        <w:t xml:space="preserve"> for acute effects are equal to the R</w:t>
      </w:r>
      <w:r w:rsidR="00D41332">
        <w:t>fCs</w:t>
      </w:r>
      <w:r>
        <w:t>.  </w:t>
      </w:r>
    </w:p>
    <w:p w14:paraId="3D85D357" w14:textId="77777777" w:rsidR="00412C30" w:rsidRDefault="00412C30" w:rsidP="00412C30">
      <w:pPr>
        <w:pStyle w:val="Normal1"/>
      </w:pPr>
    </w:p>
    <w:p w14:paraId="3D85D358" w14:textId="77777777" w:rsidR="00412C30" w:rsidRDefault="00412C30" w:rsidP="00412C30">
      <w:pPr>
        <w:pStyle w:val="Normal1"/>
        <w:spacing w:after="120"/>
        <w:ind w:left="720" w:right="18"/>
        <w:jc w:val="center"/>
      </w:pPr>
      <w:r>
        <w:t>TRV</w:t>
      </w:r>
      <w:r>
        <w:rPr>
          <w:vertAlign w:val="subscript"/>
        </w:rPr>
        <w:t>noncancer, acute</w:t>
      </w:r>
      <w:r>
        <w:t xml:space="preserve"> (µg/m</w:t>
      </w:r>
      <w:r>
        <w:rPr>
          <w:vertAlign w:val="superscript"/>
        </w:rPr>
        <w:t>3</w:t>
      </w:r>
      <w:r>
        <w:t>) = RfC</w:t>
      </w:r>
      <w:r>
        <w:rPr>
          <w:vertAlign w:val="subscript"/>
        </w:rPr>
        <w:t xml:space="preserve"> acute</w:t>
      </w:r>
      <w:r>
        <w:t xml:space="preserve"> (µg/m</w:t>
      </w:r>
      <w:r>
        <w:rPr>
          <w:vertAlign w:val="superscript"/>
        </w:rPr>
        <w:t>3</w:t>
      </w:r>
      <w:r>
        <w:t>)</w:t>
      </w:r>
    </w:p>
    <w:p w14:paraId="3D85D359" w14:textId="77777777" w:rsidR="00412C30" w:rsidRDefault="00412C30" w:rsidP="00412C30">
      <w:pPr>
        <w:pStyle w:val="Normal1"/>
        <w:spacing w:after="120"/>
        <w:ind w:right="18"/>
      </w:pPr>
      <w:r>
        <w:t>Where:</w:t>
      </w:r>
    </w:p>
    <w:p w14:paraId="3D85D35A" w14:textId="77777777" w:rsidR="00412C30" w:rsidRDefault="00412C30" w:rsidP="00412C30">
      <w:pPr>
        <w:pStyle w:val="Normal1"/>
        <w:ind w:right="18"/>
        <w:jc w:val="left"/>
      </w:pPr>
      <w:r>
        <w:t>TRV</w:t>
      </w:r>
      <w:r>
        <w:rPr>
          <w:vertAlign w:val="subscript"/>
        </w:rPr>
        <w:t>noncancer, acute</w:t>
      </w:r>
      <w:r>
        <w:t xml:space="preserve"> = toxicity reference value for acute exposures leading to noncancer health effects</w:t>
      </w:r>
    </w:p>
    <w:p w14:paraId="3D85D35B" w14:textId="77777777" w:rsidR="00412C30" w:rsidRDefault="00412C30" w:rsidP="00412C30">
      <w:pPr>
        <w:pStyle w:val="Normal1"/>
        <w:ind w:right="18"/>
        <w:jc w:val="left"/>
      </w:pPr>
      <w:r>
        <w:t>RfC</w:t>
      </w:r>
      <w:r>
        <w:rPr>
          <w:vertAlign w:val="subscript"/>
        </w:rPr>
        <w:t>acute</w:t>
      </w:r>
      <w:r>
        <w:t xml:space="preserve"> = reference concentration for acute exposures leading to noncancer health effects</w:t>
      </w:r>
    </w:p>
    <w:p w14:paraId="3D85D35C" w14:textId="77777777" w:rsidR="00412C30" w:rsidRDefault="00DD272F" w:rsidP="00412C30">
      <w:pPr>
        <w:pStyle w:val="Normal1"/>
        <w:jc w:val="left"/>
      </w:pPr>
      <w:r>
        <w:br/>
      </w:r>
    </w:p>
    <w:p w14:paraId="3D85D35D" w14:textId="77777777" w:rsidR="00412C30" w:rsidRDefault="00412C30" w:rsidP="00412C30">
      <w:pPr>
        <w:pStyle w:val="Normal1"/>
        <w:widowControl/>
        <w:jc w:val="left"/>
      </w:pPr>
    </w:p>
    <w:p w14:paraId="3D85D35E" w14:textId="77777777" w:rsidR="00412C30" w:rsidRDefault="00412C30" w:rsidP="00412C30">
      <w:pPr>
        <w:pStyle w:val="Normal1"/>
        <w:widowControl/>
        <w:jc w:val="left"/>
      </w:pPr>
      <w:r>
        <w:br w:type="page"/>
      </w:r>
    </w:p>
    <w:p w14:paraId="3D85D35F" w14:textId="77777777" w:rsidR="00412C30" w:rsidRDefault="00412C30" w:rsidP="00412C30">
      <w:pPr>
        <w:pStyle w:val="Heading1"/>
      </w:pPr>
      <w:bookmarkStart w:id="39" w:name="_Toc496183520"/>
      <w:r>
        <w:t>APPENDIX B</w:t>
      </w:r>
      <w:bookmarkEnd w:id="39"/>
    </w:p>
    <w:p w14:paraId="3D85D360" w14:textId="77777777" w:rsidR="00412C30" w:rsidRDefault="00412C30" w:rsidP="00412C30">
      <w:pPr>
        <w:pStyle w:val="Heading2"/>
      </w:pPr>
      <w:bookmarkStart w:id="40" w:name="_Toc496183521"/>
      <w:r>
        <w:t>Development of Adjustment Factors and Calculation of Risk-Based Concentrations</w:t>
      </w:r>
      <w:bookmarkEnd w:id="40"/>
    </w:p>
    <w:p w14:paraId="3D85D361" w14:textId="77777777" w:rsidR="00412C30" w:rsidRDefault="00412C30" w:rsidP="00412C30">
      <w:pPr>
        <w:pStyle w:val="Normal1"/>
        <w:widowControl/>
        <w:jc w:val="left"/>
      </w:pPr>
    </w:p>
    <w:p w14:paraId="3D85D362" w14:textId="77777777" w:rsidR="00412C30" w:rsidRPr="0010271E" w:rsidRDefault="00412C30" w:rsidP="0010271E">
      <w:pPr>
        <w:pStyle w:val="NoSpacing"/>
        <w:rPr>
          <w:rFonts w:ascii="Arial" w:hAnsi="Arial" w:cs="Arial"/>
          <w:b/>
        </w:rPr>
      </w:pPr>
      <w:r w:rsidRPr="0010271E">
        <w:rPr>
          <w:rFonts w:ascii="Arial" w:hAnsi="Arial" w:cs="Arial"/>
          <w:b/>
        </w:rPr>
        <w:t>B.1 Introduction</w:t>
      </w:r>
    </w:p>
    <w:p w14:paraId="3D85D363" w14:textId="77777777" w:rsidR="00412C30" w:rsidRDefault="00412C30" w:rsidP="00412C30">
      <w:pPr>
        <w:pStyle w:val="Normal1"/>
        <w:widowControl/>
        <w:jc w:val="left"/>
        <w:rPr>
          <w:b/>
        </w:rPr>
      </w:pPr>
    </w:p>
    <w:p w14:paraId="3D85D364" w14:textId="77777777" w:rsidR="00412C30" w:rsidRDefault="00412C30" w:rsidP="00412C30">
      <w:pPr>
        <w:pStyle w:val="Normal1"/>
        <w:widowControl/>
        <w:jc w:val="left"/>
      </w:pPr>
      <w:r>
        <w:t>Risk-based concentrations (RBCs) were calculated for the following receptors for chronic exposure:</w:t>
      </w:r>
    </w:p>
    <w:p w14:paraId="3D85D365" w14:textId="77777777" w:rsidR="00412C30" w:rsidRDefault="00412C30" w:rsidP="00412C30">
      <w:pPr>
        <w:pStyle w:val="Normal1"/>
        <w:widowControl/>
        <w:jc w:val="left"/>
      </w:pPr>
    </w:p>
    <w:p w14:paraId="3D85D366" w14:textId="77777777" w:rsidR="00412C30" w:rsidRDefault="00412C30" w:rsidP="00713CB5">
      <w:pPr>
        <w:pStyle w:val="Normal1"/>
        <w:widowControl/>
        <w:numPr>
          <w:ilvl w:val="0"/>
          <w:numId w:val="16"/>
        </w:numPr>
        <w:jc w:val="left"/>
      </w:pPr>
      <w:r>
        <w:t>Residential, including single family homes, apartments, and condominiums</w:t>
      </w:r>
    </w:p>
    <w:p w14:paraId="3D85D367" w14:textId="77777777" w:rsidR="00412C30" w:rsidRDefault="00412C30" w:rsidP="00713CB5">
      <w:pPr>
        <w:pStyle w:val="Normal1"/>
        <w:widowControl/>
        <w:numPr>
          <w:ilvl w:val="0"/>
          <w:numId w:val="16"/>
        </w:numPr>
        <w:jc w:val="left"/>
      </w:pPr>
      <w:r>
        <w:t>Non-residential children, including schools and daycare facilities</w:t>
      </w:r>
    </w:p>
    <w:p w14:paraId="3D85D368" w14:textId="77777777" w:rsidR="00412C30" w:rsidRDefault="00412C30" w:rsidP="00713CB5">
      <w:pPr>
        <w:pStyle w:val="Normal1"/>
        <w:widowControl/>
        <w:numPr>
          <w:ilvl w:val="0"/>
          <w:numId w:val="16"/>
        </w:numPr>
        <w:jc w:val="left"/>
      </w:pPr>
      <w:r>
        <w:t>Non-residential adults, including commercial and industrial facilities</w:t>
      </w:r>
    </w:p>
    <w:p w14:paraId="3D85D369" w14:textId="77777777" w:rsidR="00412C30" w:rsidRDefault="00412C30" w:rsidP="00412C30">
      <w:pPr>
        <w:pStyle w:val="Normal1"/>
        <w:widowControl/>
        <w:jc w:val="left"/>
      </w:pPr>
    </w:p>
    <w:p w14:paraId="3D85D36A" w14:textId="77777777" w:rsidR="00412C30" w:rsidRDefault="00D41332" w:rsidP="00412C30">
      <w:pPr>
        <w:pStyle w:val="Normal1"/>
        <w:widowControl/>
        <w:jc w:val="left"/>
      </w:pPr>
      <w:r>
        <w:t>Short-term acute exposure wa</w:t>
      </w:r>
      <w:r w:rsidR="00412C30">
        <w:t>s also considered.</w:t>
      </w:r>
    </w:p>
    <w:p w14:paraId="3D85D36B" w14:textId="77777777" w:rsidR="00412C30" w:rsidRDefault="00412C30" w:rsidP="00412C30">
      <w:pPr>
        <w:pStyle w:val="Normal1"/>
        <w:widowControl/>
        <w:jc w:val="left"/>
      </w:pPr>
    </w:p>
    <w:p w14:paraId="3D85D36C" w14:textId="77777777" w:rsidR="00412C30" w:rsidRDefault="00412C30" w:rsidP="00412C30">
      <w:pPr>
        <w:pStyle w:val="Normal1"/>
        <w:widowControl/>
        <w:jc w:val="left"/>
      </w:pPr>
      <w:r>
        <w:t>Three adjustments of Toxicity Reference Values were made, if appropriate, to calculate RBCs. The first adjustment is for a scenario-specific consideration of exposure frequency and duration. Another adjustment is for deposition and bioaccumulation of chemicals, which involve exposure routes other than inhalation alone. This is a multipathway adjustment. The third adjustment considers early-life exposure to chemicals that exhibit greater toxicity to infants and children. These adjustments are reflected in the chronic RBC</w:t>
      </w:r>
      <w:r w:rsidR="00DD272F">
        <w:t>s</w:t>
      </w:r>
      <w:r>
        <w:t xml:space="preserve"> listed in </w:t>
      </w:r>
      <w:r w:rsidR="00DD272F">
        <w:t xml:space="preserve">OAR 340-245-8050 </w:t>
      </w:r>
      <w:r>
        <w:t>Table 5. The development of each adjustment factor is discussed below.</w:t>
      </w:r>
    </w:p>
    <w:p w14:paraId="3D85D36D" w14:textId="77777777" w:rsidR="00412C30" w:rsidRDefault="00412C30" w:rsidP="00412C30">
      <w:pPr>
        <w:pStyle w:val="Normal1"/>
        <w:widowControl/>
        <w:jc w:val="left"/>
      </w:pPr>
    </w:p>
    <w:p w14:paraId="3D85D36E" w14:textId="77777777" w:rsidR="00412C30" w:rsidRDefault="00412C30" w:rsidP="00412C30">
      <w:pPr>
        <w:pStyle w:val="Normal1"/>
        <w:widowControl/>
        <w:jc w:val="left"/>
      </w:pPr>
      <w:r>
        <w:t>DEQ may update the RBC tables in this protocol periodically as toxicity values are revised by the authoritative sources. Revised RBCs will be published in rule. In addition, exposure factors may be revised as new information becomes available.</w:t>
      </w:r>
    </w:p>
    <w:p w14:paraId="3D85D36F" w14:textId="77777777" w:rsidR="00412C30" w:rsidRDefault="00412C30" w:rsidP="00412C30">
      <w:pPr>
        <w:pStyle w:val="Normal1"/>
        <w:widowControl/>
        <w:jc w:val="left"/>
      </w:pPr>
    </w:p>
    <w:p w14:paraId="3D85D370" w14:textId="77777777" w:rsidR="00412C30" w:rsidRPr="0010271E" w:rsidRDefault="00412C30" w:rsidP="0010271E">
      <w:pPr>
        <w:pStyle w:val="NoSpacing"/>
        <w:rPr>
          <w:rFonts w:ascii="Arial" w:hAnsi="Arial" w:cs="Arial"/>
          <w:b/>
        </w:rPr>
      </w:pPr>
      <w:r w:rsidRPr="0010271E">
        <w:rPr>
          <w:rFonts w:ascii="Arial" w:hAnsi="Arial" w:cs="Arial"/>
          <w:b/>
        </w:rPr>
        <w:t>B.2 Development of Adjustment Factors</w:t>
      </w:r>
    </w:p>
    <w:p w14:paraId="3D85D371" w14:textId="77777777" w:rsidR="00412C30" w:rsidRPr="0010271E" w:rsidRDefault="00412C30" w:rsidP="0010271E">
      <w:pPr>
        <w:pStyle w:val="NoSpacing"/>
        <w:rPr>
          <w:rFonts w:ascii="Arial" w:hAnsi="Arial" w:cs="Arial"/>
          <w:b/>
        </w:rPr>
      </w:pPr>
    </w:p>
    <w:p w14:paraId="3D85D372" w14:textId="77777777" w:rsidR="00412C30" w:rsidRPr="0010271E" w:rsidRDefault="00412C30" w:rsidP="0010271E">
      <w:pPr>
        <w:pStyle w:val="NoSpacing"/>
        <w:rPr>
          <w:rFonts w:ascii="Arial" w:hAnsi="Arial" w:cs="Arial"/>
          <w:b/>
        </w:rPr>
      </w:pPr>
      <w:r w:rsidRPr="0010271E">
        <w:rPr>
          <w:rFonts w:ascii="Arial" w:hAnsi="Arial" w:cs="Arial"/>
          <w:b/>
        </w:rPr>
        <w:t>B.2.1 Scenario-Specific Exposure Frequency and Duration Adjustments</w:t>
      </w:r>
    </w:p>
    <w:p w14:paraId="3D85D373" w14:textId="77777777" w:rsidR="00412C30" w:rsidRDefault="00412C30" w:rsidP="00412C30">
      <w:pPr>
        <w:pStyle w:val="Normal1"/>
        <w:widowControl/>
        <w:jc w:val="left"/>
      </w:pPr>
    </w:p>
    <w:p w14:paraId="3D85D374" w14:textId="77777777" w:rsidR="00412C30" w:rsidRDefault="00412C30" w:rsidP="00412C30">
      <w:pPr>
        <w:pStyle w:val="Normal1"/>
        <w:widowControl/>
        <w:jc w:val="left"/>
      </w:pPr>
      <w:r>
        <w:t>Residential exposure assumes continual, long-term exposure. Because continual, long-term exposure is the basis of most chronic toxicity values, TRVs are most directly appropriate for residential exposure. In this case, no exposure modifications of TRVs are necessary for calculating RBCs. For other exposure, including shorter term, nonresidential child exposure such as at schools, and worker exposure at commercial or industrial facilities, modifications to TRVs are needed to take into consideration the differences in exposure frequency and duration.</w:t>
      </w:r>
    </w:p>
    <w:p w14:paraId="3D85D375" w14:textId="77777777" w:rsidR="00412C30" w:rsidRDefault="00412C30" w:rsidP="00412C30">
      <w:pPr>
        <w:pStyle w:val="Normal1"/>
        <w:widowControl/>
        <w:jc w:val="left"/>
      </w:pPr>
    </w:p>
    <w:p w14:paraId="3D85D376" w14:textId="77777777" w:rsidR="00412C30" w:rsidRDefault="00412C30" w:rsidP="00412C30">
      <w:pPr>
        <w:pStyle w:val="Normal1"/>
        <w:jc w:val="left"/>
      </w:pPr>
      <w:r>
        <w:t xml:space="preserve">For non-residential exposure, factors for more limited exposure were used to calculate RBCs, as follows. For noncarcinogenic effects for either workers or children in schools or daycare, the value of the adjustment factor for childNRAFnc and workerNRAFnc for someone present 8 hr/day, 5 day/week is: </w:t>
      </w:r>
    </w:p>
    <w:p w14:paraId="3D85D377" w14:textId="77777777" w:rsidR="00412C30" w:rsidRDefault="00412C30" w:rsidP="00412C30">
      <w:pPr>
        <w:pStyle w:val="Normal1"/>
        <w:jc w:val="left"/>
      </w:pPr>
    </w:p>
    <w:p w14:paraId="3D85D378" w14:textId="77777777" w:rsidR="00412C30" w:rsidRDefault="00412C30" w:rsidP="00B0686D">
      <w:pPr>
        <w:pStyle w:val="Normal1"/>
        <w:jc w:val="center"/>
      </w:pPr>
      <w:r>
        <w:t>childNRAFnc = workerNRAFnc = (24 hrs/day / 8 hrs/day) x (7 days/wk / 5 days/wk) = 4.2</w:t>
      </w:r>
    </w:p>
    <w:p w14:paraId="3D85D379" w14:textId="77777777" w:rsidR="00412C30" w:rsidRDefault="00412C30" w:rsidP="00412C30">
      <w:pPr>
        <w:pStyle w:val="Normal1"/>
        <w:jc w:val="left"/>
      </w:pPr>
    </w:p>
    <w:p w14:paraId="3D85D37A" w14:textId="77777777" w:rsidR="00412C30" w:rsidRDefault="00412C30" w:rsidP="00412C30">
      <w:pPr>
        <w:pStyle w:val="Normal1"/>
        <w:jc w:val="left"/>
      </w:pPr>
    </w:p>
    <w:p w14:paraId="3D85D37B" w14:textId="77777777" w:rsidR="00412C30" w:rsidRDefault="00412C30" w:rsidP="00412C30">
      <w:pPr>
        <w:pStyle w:val="Normal1"/>
        <w:jc w:val="left"/>
      </w:pPr>
      <w:r>
        <w:t>Where:</w:t>
      </w:r>
    </w:p>
    <w:p w14:paraId="3D85D37C" w14:textId="77777777" w:rsidR="00412C30" w:rsidRDefault="00412C30" w:rsidP="00412C30">
      <w:pPr>
        <w:pStyle w:val="Normal1"/>
        <w:widowControl/>
        <w:jc w:val="left"/>
      </w:pPr>
      <w:r>
        <w:t>childNRAFnc = Nonresident adjustment factor, child noncancer (unitless)</w:t>
      </w:r>
    </w:p>
    <w:p w14:paraId="3D85D37D" w14:textId="77777777" w:rsidR="00412C30" w:rsidRDefault="00412C30" w:rsidP="00412C30">
      <w:pPr>
        <w:pStyle w:val="Normal1"/>
        <w:jc w:val="left"/>
      </w:pPr>
      <w:r>
        <w:t>workerNRAFnc = Nonresident adjustment factor, worker noncancer (unitless)</w:t>
      </w:r>
    </w:p>
    <w:p w14:paraId="3D85D37E" w14:textId="77777777" w:rsidR="00412C30" w:rsidRDefault="00412C30" w:rsidP="00412C30">
      <w:pPr>
        <w:pStyle w:val="Normal1"/>
        <w:widowControl/>
        <w:jc w:val="left"/>
      </w:pPr>
    </w:p>
    <w:p w14:paraId="3D85D37F" w14:textId="77777777" w:rsidR="00412C30" w:rsidRDefault="00412C30" w:rsidP="00412C30">
      <w:pPr>
        <w:pStyle w:val="Normal1"/>
        <w:widowControl/>
        <w:jc w:val="left"/>
      </w:pPr>
      <w:r>
        <w:t xml:space="preserve">These factors apply to chronic RBCs for noncarcinogenic effects because we assume effects may occur after a year of exposure. For carcinogens, we also include factors for exposure duration because we assume nonresidents are not present at one location for an entire lifetime of 70 years. We assume that non-resident children may be exposed from infancy through elementary school, for a total of 12 years. The standard worker exposure duration assumption is 25 years. The NRAF values for cancer effects are: </w:t>
      </w:r>
    </w:p>
    <w:p w14:paraId="3D85D380" w14:textId="77777777" w:rsidR="00412C30" w:rsidRDefault="00412C30" w:rsidP="00412C30">
      <w:pPr>
        <w:pStyle w:val="Normal1"/>
        <w:widowControl/>
        <w:jc w:val="left"/>
      </w:pPr>
    </w:p>
    <w:p w14:paraId="3D85D381" w14:textId="77777777" w:rsidR="00412C30" w:rsidRDefault="00412C30" w:rsidP="00B0686D">
      <w:pPr>
        <w:pStyle w:val="Normal1"/>
        <w:jc w:val="center"/>
      </w:pPr>
      <w:r>
        <w:t>childNRAFc = (24 hrs/day / 8 hrs/day) x (7 days/wk / 5 days/wk) x (70 yrs / 12 yrs) = 25</w:t>
      </w:r>
    </w:p>
    <w:p w14:paraId="3D85D382" w14:textId="77777777" w:rsidR="00412C30" w:rsidRDefault="00412C30" w:rsidP="00B0686D">
      <w:pPr>
        <w:pStyle w:val="Normal1"/>
        <w:jc w:val="center"/>
      </w:pPr>
    </w:p>
    <w:p w14:paraId="3D85D383" w14:textId="77777777" w:rsidR="00412C30" w:rsidRDefault="00412C30" w:rsidP="00B0686D">
      <w:pPr>
        <w:pStyle w:val="Normal1"/>
        <w:jc w:val="center"/>
      </w:pPr>
      <w:r>
        <w:t>workerNRAFc = (24 hrs/day / 8 hrs/day) x (7 days/wk / 5 days/wk) x (70 yrs / 25 yrs) = 12</w:t>
      </w:r>
    </w:p>
    <w:p w14:paraId="3D85D384" w14:textId="77777777" w:rsidR="00412C30" w:rsidRDefault="00412C30" w:rsidP="00412C30">
      <w:pPr>
        <w:pStyle w:val="Normal1"/>
        <w:widowControl/>
        <w:jc w:val="left"/>
      </w:pPr>
    </w:p>
    <w:p w14:paraId="3D85D385" w14:textId="77777777" w:rsidR="00412C30" w:rsidRDefault="00412C30" w:rsidP="00412C30">
      <w:pPr>
        <w:pStyle w:val="Normal1"/>
        <w:widowControl/>
        <w:jc w:val="left"/>
      </w:pPr>
      <w:r>
        <w:t xml:space="preserve">Where: </w:t>
      </w:r>
    </w:p>
    <w:p w14:paraId="3D85D386" w14:textId="77777777" w:rsidR="00412C30" w:rsidRDefault="00412C30" w:rsidP="00412C30">
      <w:pPr>
        <w:pStyle w:val="Normal1"/>
        <w:widowControl/>
        <w:jc w:val="left"/>
      </w:pPr>
      <w:r>
        <w:t>childNRAFc = Nonresident adjustment factor, child cancer (unitless)</w:t>
      </w:r>
    </w:p>
    <w:p w14:paraId="3D85D387" w14:textId="77777777" w:rsidR="00412C30" w:rsidRDefault="00412C30" w:rsidP="00412C30">
      <w:pPr>
        <w:pStyle w:val="Normal1"/>
        <w:widowControl/>
        <w:jc w:val="left"/>
      </w:pPr>
      <w:r>
        <w:t>workerNRAFc = Nonresident adjustment factor, worker cancer (unitless)</w:t>
      </w:r>
    </w:p>
    <w:p w14:paraId="3D85D388" w14:textId="77777777" w:rsidR="00412C30" w:rsidRDefault="00412C30" w:rsidP="00412C30">
      <w:pPr>
        <w:pStyle w:val="Normal1"/>
        <w:widowControl/>
        <w:jc w:val="left"/>
      </w:pPr>
    </w:p>
    <w:p w14:paraId="3D85D389" w14:textId="77777777" w:rsidR="00412C30" w:rsidRDefault="00412C30" w:rsidP="0010271E">
      <w:pPr>
        <w:pStyle w:val="NoSpacing"/>
        <w:rPr>
          <w:rFonts w:ascii="Arial" w:hAnsi="Arial" w:cs="Arial"/>
          <w:b/>
        </w:rPr>
      </w:pPr>
      <w:r w:rsidRPr="0010271E">
        <w:rPr>
          <w:rFonts w:ascii="Arial" w:hAnsi="Arial" w:cs="Arial"/>
          <w:b/>
        </w:rPr>
        <w:t>B2.1.1. Life Expectancy</w:t>
      </w:r>
    </w:p>
    <w:p w14:paraId="3D85D38A" w14:textId="77777777" w:rsidR="00B0686D" w:rsidRPr="0010271E" w:rsidRDefault="00B0686D" w:rsidP="0010271E">
      <w:pPr>
        <w:pStyle w:val="NoSpacing"/>
        <w:rPr>
          <w:rFonts w:ascii="Arial" w:hAnsi="Arial" w:cs="Arial"/>
          <w:b/>
        </w:rPr>
      </w:pPr>
    </w:p>
    <w:p w14:paraId="3D85D38B" w14:textId="77777777" w:rsidR="00412C30" w:rsidRDefault="00412C30" w:rsidP="00412C30">
      <w:pPr>
        <w:pStyle w:val="Normal1"/>
        <w:widowControl/>
        <w:jc w:val="left"/>
      </w:pPr>
      <w:r>
        <w:t>DEQ and OHA decided that the value of 70 years used above is an appropriate estimate of lifetime despite EPA’s determination in the 2011 Exposure Factors Handbook that average life expectancy is now 78 years (EPA 2011). A change in lifetime only matters for evaluating carcinogenic effects for less than lifetime exposure (such as workers) because residential exposure is evaluated for a lifetime regardless of duration, and noncancer effects are evaluated in a manner that does not incorporate life expectancy. Considering a change in life expectancy involves deciding between two inconsistencies. A decision to stay with a 70-year life expectancy used in risk assessments since the 1980s is inconsistent with current knowledge. A decision to change to a 78-year life expectancy would make current risk assessments for workers inconsistent with prior risk assessments, even though actual risks have not changed. EPA’s recommendation for Superfund risk assessments is to continue using a 70-year lifetime, and this recommendation is used by DEQ’s Cleanup Program. DEQ determined that it is appropriate for Cleaner Air Oregon risk assessments to use a 70-year lifetime. This decision is slightly more protective than assuming a 78-year lifetime.</w:t>
      </w:r>
    </w:p>
    <w:p w14:paraId="3D85D38C" w14:textId="77777777" w:rsidR="00412C30" w:rsidRDefault="00412C30" w:rsidP="00412C30">
      <w:pPr>
        <w:pStyle w:val="Normal1"/>
        <w:widowControl/>
        <w:jc w:val="left"/>
      </w:pPr>
    </w:p>
    <w:p w14:paraId="3D85D38D" w14:textId="77777777" w:rsidR="00412C30" w:rsidRPr="0010271E" w:rsidRDefault="00412C30" w:rsidP="0010271E">
      <w:pPr>
        <w:pStyle w:val="NoSpacing"/>
        <w:rPr>
          <w:rFonts w:ascii="Arial" w:hAnsi="Arial" w:cs="Arial"/>
          <w:b/>
        </w:rPr>
      </w:pPr>
      <w:r w:rsidRPr="0010271E">
        <w:rPr>
          <w:rFonts w:ascii="Arial" w:hAnsi="Arial" w:cs="Arial"/>
          <w:b/>
        </w:rPr>
        <w:t>B.2.2 Multipathway Adjustment Factors</w:t>
      </w:r>
    </w:p>
    <w:p w14:paraId="3D85D38E" w14:textId="77777777" w:rsidR="00412C30" w:rsidRDefault="00412C30" w:rsidP="00412C30">
      <w:pPr>
        <w:pStyle w:val="Normal1"/>
        <w:widowControl/>
        <w:jc w:val="left"/>
      </w:pPr>
    </w:p>
    <w:p w14:paraId="3D85D38F" w14:textId="77777777" w:rsidR="00412C30" w:rsidRDefault="00412C30" w:rsidP="00412C30">
      <w:pPr>
        <w:pStyle w:val="Normal1"/>
        <w:widowControl/>
        <w:jc w:val="left"/>
      </w:pPr>
      <w:r>
        <w:t>DEQ considered developing Multipathway Adjustment Factors (MPAFs) specific to Oregon, but determined that the agency did not have the time or resources to undertake this effort. After evaluating Multipathway Adjustment Factors from other agencies, including Minnesota (MPCA 2016) and California’s South Coast Air Quality Management District (SCAQMD 2016b), DEQ decided to use the Multipathway Adjustment Factors from SCAQMD because of the extensive modeling performed for the development of the Multipathway Adjustment Factors, and the large list of chemicals evaluated. DEQ acknowledges that exposure conditions may not be the same in Oregon, but considers the MPAFs to be appropriately protective.</w:t>
      </w:r>
    </w:p>
    <w:p w14:paraId="3D85D390" w14:textId="77777777" w:rsidR="00412C30" w:rsidRDefault="00412C30" w:rsidP="00412C30">
      <w:pPr>
        <w:pStyle w:val="Normal1"/>
        <w:widowControl/>
        <w:jc w:val="left"/>
      </w:pPr>
    </w:p>
    <w:p w14:paraId="3D85D391" w14:textId="77777777" w:rsidR="00412C30" w:rsidRDefault="00412C30" w:rsidP="00412C30">
      <w:pPr>
        <w:pStyle w:val="Normal1"/>
        <w:widowControl/>
        <w:jc w:val="left"/>
        <w:rPr>
          <w:rFonts w:ascii="Times New Roman" w:eastAsia="Times New Roman" w:hAnsi="Times New Roman" w:cs="Times New Roman"/>
          <w:sz w:val="24"/>
          <w:szCs w:val="24"/>
        </w:rPr>
      </w:pPr>
      <w:r>
        <w:t xml:space="preserve">MPAFs were only applied in development of chronic RBCs, and not in development of acute RBCs. Acute RBCs are equal to acute TRVs in </w:t>
      </w:r>
      <w:r w:rsidR="00DD272F">
        <w:t>OAR 340-245-80</w:t>
      </w:r>
      <w:r w:rsidR="001870D8">
        <w:t>3</w:t>
      </w:r>
      <w:r w:rsidR="00DD272F">
        <w:t xml:space="preserve">0 </w:t>
      </w:r>
      <w:r>
        <w:t xml:space="preserve">Table </w:t>
      </w:r>
      <w:r w:rsidR="001870D8">
        <w:t>3</w:t>
      </w:r>
      <w:r>
        <w:t>. Acute RBCs only consider risks posed by direct inhalation. Assessment of acute risk need not include multipathway</w:t>
      </w:r>
      <w:r>
        <w:rPr>
          <w:rFonts w:ascii="Times New Roman" w:eastAsia="Times New Roman" w:hAnsi="Times New Roman" w:cs="Times New Roman"/>
          <w:sz w:val="24"/>
          <w:szCs w:val="24"/>
        </w:rPr>
        <w:t xml:space="preserve"> </w:t>
      </w:r>
      <w:r>
        <w:t>analysis</w:t>
      </w:r>
      <w:r>
        <w:rPr>
          <w:rFonts w:ascii="Times New Roman" w:eastAsia="Times New Roman" w:hAnsi="Times New Roman" w:cs="Times New Roman"/>
          <w:sz w:val="24"/>
          <w:szCs w:val="24"/>
        </w:rPr>
        <w:t>.</w:t>
      </w:r>
    </w:p>
    <w:p w14:paraId="3D85D392" w14:textId="77777777" w:rsidR="00412C30" w:rsidRDefault="00412C30" w:rsidP="00412C30">
      <w:pPr>
        <w:pStyle w:val="Normal1"/>
        <w:widowControl/>
        <w:jc w:val="left"/>
        <w:rPr>
          <w:rFonts w:ascii="Times New Roman" w:eastAsia="Times New Roman" w:hAnsi="Times New Roman" w:cs="Times New Roman"/>
          <w:sz w:val="24"/>
          <w:szCs w:val="24"/>
        </w:rPr>
      </w:pPr>
    </w:p>
    <w:p w14:paraId="3D85D393" w14:textId="77777777" w:rsidR="00412C30" w:rsidRDefault="00412C30" w:rsidP="0010271E">
      <w:pPr>
        <w:pStyle w:val="NoSpacing"/>
        <w:rPr>
          <w:rFonts w:ascii="Arial" w:hAnsi="Arial" w:cs="Arial"/>
          <w:b/>
        </w:rPr>
      </w:pPr>
      <w:r w:rsidRPr="0010271E">
        <w:rPr>
          <w:rFonts w:ascii="Arial" w:hAnsi="Arial" w:cs="Arial"/>
          <w:b/>
        </w:rPr>
        <w:t>B.2.3 Early-Life Adjustment Factors</w:t>
      </w:r>
    </w:p>
    <w:p w14:paraId="3D85D394" w14:textId="77777777" w:rsidR="00B0686D" w:rsidRPr="0010271E" w:rsidRDefault="00B0686D" w:rsidP="0010271E">
      <w:pPr>
        <w:pStyle w:val="NoSpacing"/>
        <w:rPr>
          <w:rFonts w:ascii="Arial" w:hAnsi="Arial" w:cs="Arial"/>
          <w:b/>
        </w:rPr>
      </w:pPr>
    </w:p>
    <w:p w14:paraId="3D85D395" w14:textId="77777777" w:rsidR="00412C30" w:rsidRDefault="00412C30" w:rsidP="00412C30">
      <w:pPr>
        <w:pStyle w:val="Normal1"/>
        <w:spacing w:after="120"/>
        <w:ind w:right="18"/>
        <w:jc w:val="left"/>
      </w:pPr>
      <w:r>
        <w:t>Carcinogens that harm a cell’s genetic material can have greater toxicity during early-life stages such as infancy and early childhood than in adulthood (EPA 2005a). In these cases, we cannot use the cancer Toxicity Reference Value without modification. For most carcinogenic chemicals acting by a mutagenic mode of action, we use EPA’s general approach for account for early-life exposure using age-dependent adjustment factors, ADAFs. The approach is different for two chemicals. For trichloroethene (TCE), EPA considers early-life appropriate for liver cancer only, and not kidney cancer or non-Hodgkins Lymphoma. The makes the development of an early-life adjustment factor for TCE more complicated. For vinyl chloride, EPA determined that it should continue to be evaluated using a specific procedure for evaluating early-life exposure. Because of the many details necessary in evaluating early-life exposure, we provide the development of early-life adjustment factors (ELAFs) separately, in Appendix C.</w:t>
      </w:r>
    </w:p>
    <w:p w14:paraId="3D85D396" w14:textId="77777777" w:rsidR="00412C30" w:rsidRDefault="00412C30" w:rsidP="00412C30">
      <w:pPr>
        <w:pStyle w:val="Normal1"/>
        <w:widowControl/>
        <w:jc w:val="left"/>
      </w:pPr>
    </w:p>
    <w:p w14:paraId="3D85D397" w14:textId="77777777" w:rsidR="00412C30" w:rsidRPr="0010271E" w:rsidRDefault="00412C30" w:rsidP="0010271E">
      <w:pPr>
        <w:pStyle w:val="NoSpacing"/>
        <w:rPr>
          <w:rFonts w:ascii="Arial" w:hAnsi="Arial" w:cs="Arial"/>
          <w:b/>
        </w:rPr>
      </w:pPr>
      <w:r w:rsidRPr="0010271E">
        <w:rPr>
          <w:rFonts w:ascii="Arial" w:hAnsi="Arial" w:cs="Arial"/>
          <w:b/>
        </w:rPr>
        <w:t>B.3 Calculation of RBCs</w:t>
      </w:r>
    </w:p>
    <w:p w14:paraId="3D85D398" w14:textId="77777777" w:rsidR="00412C30" w:rsidRPr="0010271E" w:rsidRDefault="00412C30" w:rsidP="0010271E">
      <w:pPr>
        <w:pStyle w:val="NoSpacing"/>
        <w:rPr>
          <w:rFonts w:ascii="Arial" w:hAnsi="Arial" w:cs="Arial"/>
          <w:b/>
        </w:rPr>
      </w:pPr>
    </w:p>
    <w:p w14:paraId="3D85D399" w14:textId="77777777" w:rsidR="00412C30" w:rsidRPr="0010271E" w:rsidRDefault="00412C30" w:rsidP="0010271E">
      <w:pPr>
        <w:pStyle w:val="NoSpacing"/>
        <w:rPr>
          <w:rFonts w:ascii="Arial" w:hAnsi="Arial" w:cs="Arial"/>
          <w:b/>
        </w:rPr>
      </w:pPr>
      <w:r w:rsidRPr="0010271E">
        <w:rPr>
          <w:rFonts w:ascii="Arial" w:hAnsi="Arial" w:cs="Arial"/>
          <w:b/>
        </w:rPr>
        <w:t>B.3.1 Residential RBCs</w:t>
      </w:r>
    </w:p>
    <w:p w14:paraId="3D85D39A" w14:textId="77777777" w:rsidR="00412C30" w:rsidRPr="0010271E" w:rsidRDefault="00412C30" w:rsidP="0010271E">
      <w:pPr>
        <w:pStyle w:val="NoSpacing"/>
        <w:rPr>
          <w:rFonts w:ascii="Arial" w:hAnsi="Arial" w:cs="Arial"/>
          <w:b/>
        </w:rPr>
      </w:pPr>
    </w:p>
    <w:p w14:paraId="3D85D39B" w14:textId="77777777" w:rsidR="00412C30" w:rsidRDefault="00412C30" w:rsidP="00412C30">
      <w:pPr>
        <w:pStyle w:val="Normal1"/>
        <w:widowControl/>
        <w:jc w:val="left"/>
      </w:pPr>
      <w:r>
        <w:t xml:space="preserve">DEQ applied the multipathway adjustment factor (MPAF) and early-life adjustment factor (ELAF) values shown in </w:t>
      </w:r>
      <w:r w:rsidR="00DD272F">
        <w:t xml:space="preserve">OAR 340-245-8040 </w:t>
      </w:r>
      <w:r>
        <w:t xml:space="preserve">Table </w:t>
      </w:r>
      <w:r w:rsidR="00DD272F">
        <w:t>4</w:t>
      </w:r>
      <w:r>
        <w:t xml:space="preserve"> to the TRVs in </w:t>
      </w:r>
      <w:r w:rsidR="00DD272F">
        <w:t xml:space="preserve">OAR 340-245-8030 </w:t>
      </w:r>
      <w:r>
        <w:t xml:space="preserve">Table </w:t>
      </w:r>
      <w:r w:rsidR="00DD272F">
        <w:t>3</w:t>
      </w:r>
      <w:r>
        <w:t xml:space="preserve"> using the following equations to calculate residential risk-based concentrations (RBCs)</w:t>
      </w:r>
      <w:r w:rsidR="00D41332">
        <w:t xml:space="preserve"> in OAR 340-245-8050 Table 5</w:t>
      </w:r>
      <w:r>
        <w:t xml:space="preserve">. The acute TRV is used directly as the acute RBC. </w:t>
      </w:r>
    </w:p>
    <w:p w14:paraId="3D85D39C" w14:textId="77777777" w:rsidR="00412C30" w:rsidRDefault="00412C30" w:rsidP="00412C30">
      <w:pPr>
        <w:pStyle w:val="Normal1"/>
        <w:widowControl/>
        <w:jc w:val="left"/>
      </w:pPr>
    </w:p>
    <w:p w14:paraId="3D85D39D" w14:textId="77777777" w:rsidR="00DD272F" w:rsidRDefault="00DD272F" w:rsidP="00DD272F">
      <w:pPr>
        <w:pStyle w:val="NoSpacing"/>
        <w:jc w:val="center"/>
      </w:pPr>
      <w:r w:rsidRPr="00DD272F">
        <w:rPr>
          <w:rFonts w:ascii="Arial" w:hAnsi="Arial" w:cs="Arial"/>
          <w:i/>
        </w:rPr>
        <w:t>residRBCc</w:t>
      </w:r>
      <w:r w:rsidRPr="00DD272F">
        <w:rPr>
          <w:rFonts w:ascii="Arial" w:hAnsi="Arial" w:cs="Arial"/>
        </w:rPr>
        <w:t xml:space="preserve"> =</w:t>
      </w:r>
      <w:r>
        <w:t xml:space="preserve"> </w:t>
      </w:r>
      <w:r w:rsidRPr="0019431D">
        <w:rPr>
          <w:position w:val="-24"/>
        </w:rPr>
        <w:object w:dxaOrig="1760" w:dyaOrig="620" w14:anchorId="3D85D535">
          <v:shape id="_x0000_i1026" type="#_x0000_t75" style="width:90.6pt;height:31.2pt" o:ole="" fillcolor="window">
            <v:imagedata r:id="rId45" o:title=""/>
          </v:shape>
          <o:OLEObject Type="Embed" ProgID="Equation.3" ShapeID="_x0000_i1026" DrawAspect="Content" ObjectID="_1570368273" r:id="rId46"/>
        </w:object>
      </w:r>
    </w:p>
    <w:p w14:paraId="3D85D39E" w14:textId="77777777" w:rsidR="00DD272F" w:rsidRDefault="00DD272F" w:rsidP="00DD272F">
      <w:pPr>
        <w:pStyle w:val="NoSpacing"/>
        <w:jc w:val="center"/>
      </w:pPr>
    </w:p>
    <w:p w14:paraId="3D85D39F" w14:textId="77777777" w:rsidR="00DD272F" w:rsidRDefault="00DD272F" w:rsidP="00DD272F">
      <w:pPr>
        <w:pStyle w:val="NoSpacing"/>
        <w:jc w:val="center"/>
      </w:pPr>
      <w:r w:rsidRPr="00DD272F">
        <w:rPr>
          <w:rFonts w:ascii="Arial" w:hAnsi="Arial" w:cs="Arial"/>
          <w:i/>
        </w:rPr>
        <w:t>residRBCnc</w:t>
      </w:r>
      <w:r w:rsidRPr="00DD272F">
        <w:rPr>
          <w:rFonts w:ascii="Arial" w:hAnsi="Arial" w:cs="Arial"/>
        </w:rPr>
        <w:t xml:space="preserve"> =</w:t>
      </w:r>
      <w:r>
        <w:t xml:space="preserve"> </w:t>
      </w:r>
      <w:r w:rsidRPr="0019431D">
        <w:rPr>
          <w:position w:val="-24"/>
        </w:rPr>
        <w:object w:dxaOrig="1080" w:dyaOrig="620" w14:anchorId="3D85D536">
          <v:shape id="_x0000_i1027" type="#_x0000_t75" style="width:55.8pt;height:31.2pt" o:ole="" fillcolor="window">
            <v:imagedata r:id="rId47" o:title=""/>
          </v:shape>
          <o:OLEObject Type="Embed" ProgID="Equation.3" ShapeID="_x0000_i1027" DrawAspect="Content" ObjectID="_1570368274" r:id="rId48"/>
        </w:object>
      </w:r>
    </w:p>
    <w:p w14:paraId="3D85D3A0" w14:textId="77777777" w:rsidR="00DD272F" w:rsidRDefault="00DD272F" w:rsidP="00DD272F">
      <w:pPr>
        <w:pStyle w:val="NoSpacing"/>
        <w:jc w:val="center"/>
      </w:pPr>
    </w:p>
    <w:p w14:paraId="3D85D3A1" w14:textId="77777777" w:rsidR="00DD272F" w:rsidRPr="00D41332" w:rsidRDefault="00DD272F" w:rsidP="00DD272F">
      <w:pPr>
        <w:pStyle w:val="NoSpacing"/>
        <w:jc w:val="center"/>
        <w:rPr>
          <w:rFonts w:ascii="Arial" w:hAnsi="Arial" w:cs="Arial"/>
        </w:rPr>
      </w:pPr>
      <w:r w:rsidRPr="00DD272F">
        <w:rPr>
          <w:rFonts w:ascii="Arial" w:hAnsi="Arial" w:cs="Arial"/>
          <w:i/>
        </w:rPr>
        <w:t>acuteRBC</w:t>
      </w:r>
      <w:r w:rsidRPr="00DD272F">
        <w:rPr>
          <w:rFonts w:ascii="Arial" w:hAnsi="Arial" w:cs="Arial"/>
        </w:rPr>
        <w:t xml:space="preserve"> =</w:t>
      </w:r>
      <w:r>
        <w:t xml:space="preserve"> </w:t>
      </w:r>
      <w:r w:rsidRPr="00D41332">
        <w:rPr>
          <w:rFonts w:ascii="Arial" w:hAnsi="Arial" w:cs="Arial"/>
          <w:i/>
        </w:rPr>
        <w:t>TRVa</w:t>
      </w:r>
    </w:p>
    <w:p w14:paraId="3D85D3A2" w14:textId="77777777" w:rsidR="00DD272F" w:rsidRDefault="00DD272F" w:rsidP="00DD272F">
      <w:pPr>
        <w:pStyle w:val="Normal1"/>
        <w:widowControl/>
        <w:jc w:val="center"/>
      </w:pPr>
    </w:p>
    <w:p w14:paraId="3D85D3A3" w14:textId="77777777" w:rsidR="00412C30" w:rsidRDefault="00412C30" w:rsidP="00412C30">
      <w:pPr>
        <w:pStyle w:val="Normal1"/>
        <w:widowControl/>
        <w:jc w:val="left"/>
      </w:pPr>
      <w:r>
        <w:t>Where:</w:t>
      </w:r>
    </w:p>
    <w:p w14:paraId="3D85D3A4" w14:textId="77777777" w:rsidR="00412C30" w:rsidRDefault="00412C30" w:rsidP="00412C30">
      <w:pPr>
        <w:pStyle w:val="Normal1"/>
        <w:widowControl/>
        <w:jc w:val="left"/>
      </w:pPr>
      <w:r>
        <w:t>residRBCc = Residential risk-based concentration for cancer effects (</w:t>
      </w:r>
      <w:r>
        <w:rPr>
          <w:rFonts w:ascii="Calibri" w:eastAsia="Calibri" w:hAnsi="Calibri" w:cs="Calibri"/>
        </w:rPr>
        <w:t>μ</w:t>
      </w:r>
      <w:r>
        <w:t>g/m</w:t>
      </w:r>
      <w:r>
        <w:rPr>
          <w:vertAlign w:val="superscript"/>
        </w:rPr>
        <w:t>3</w:t>
      </w:r>
      <w:r>
        <w:t>)</w:t>
      </w:r>
    </w:p>
    <w:p w14:paraId="3D85D3A5" w14:textId="77777777" w:rsidR="00412C30" w:rsidRDefault="00412C30" w:rsidP="00412C30">
      <w:pPr>
        <w:pStyle w:val="Normal1"/>
        <w:widowControl/>
        <w:jc w:val="left"/>
      </w:pPr>
      <w:r>
        <w:t>residRBCnc = Residential risk-based concentration for noncancer effects (</w:t>
      </w:r>
      <w:r>
        <w:rPr>
          <w:rFonts w:ascii="Calibri" w:eastAsia="Calibri" w:hAnsi="Calibri" w:cs="Calibri"/>
        </w:rPr>
        <w:t>μ</w:t>
      </w:r>
      <w:r>
        <w:t>g/m</w:t>
      </w:r>
      <w:r>
        <w:rPr>
          <w:vertAlign w:val="superscript"/>
        </w:rPr>
        <w:t>3</w:t>
      </w:r>
      <w:r>
        <w:t>)</w:t>
      </w:r>
    </w:p>
    <w:p w14:paraId="3D85D3A6" w14:textId="77777777" w:rsidR="00412C30" w:rsidRDefault="00412C30" w:rsidP="00412C30">
      <w:pPr>
        <w:pStyle w:val="Normal1"/>
        <w:widowControl/>
        <w:jc w:val="left"/>
      </w:pPr>
      <w:r>
        <w:t>acuteRBC = Short-term toxicity reference concentration (</w:t>
      </w:r>
      <w:r>
        <w:rPr>
          <w:rFonts w:ascii="Calibri" w:eastAsia="Calibri" w:hAnsi="Calibri" w:cs="Calibri"/>
        </w:rPr>
        <w:t>μ</w:t>
      </w:r>
      <w:r>
        <w:t>g/m</w:t>
      </w:r>
      <w:r>
        <w:rPr>
          <w:vertAlign w:val="superscript"/>
        </w:rPr>
        <w:t>3</w:t>
      </w:r>
      <w:r>
        <w:t>)</w:t>
      </w:r>
    </w:p>
    <w:p w14:paraId="3D85D3A7" w14:textId="77777777" w:rsidR="00412C30" w:rsidRDefault="00412C30" w:rsidP="00412C30">
      <w:pPr>
        <w:pStyle w:val="Normal1"/>
        <w:widowControl/>
        <w:jc w:val="left"/>
      </w:pPr>
      <w:r>
        <w:t>TRVc = Toxicity reference value for cancer effects (</w:t>
      </w:r>
      <w:r>
        <w:rPr>
          <w:rFonts w:ascii="Calibri" w:eastAsia="Calibri" w:hAnsi="Calibri" w:cs="Calibri"/>
        </w:rPr>
        <w:t>μ</w:t>
      </w:r>
      <w:r>
        <w:t>g/m</w:t>
      </w:r>
      <w:r>
        <w:rPr>
          <w:vertAlign w:val="superscript"/>
        </w:rPr>
        <w:t>3</w:t>
      </w:r>
      <w:r>
        <w:t>)</w:t>
      </w:r>
    </w:p>
    <w:p w14:paraId="3D85D3A8" w14:textId="77777777" w:rsidR="00412C30" w:rsidRDefault="00412C30" w:rsidP="00412C30">
      <w:pPr>
        <w:pStyle w:val="Normal1"/>
        <w:widowControl/>
        <w:jc w:val="left"/>
      </w:pPr>
      <w:r>
        <w:t>TRVnc = Toxicity reference value for noncancer effects (</w:t>
      </w:r>
      <w:r>
        <w:rPr>
          <w:rFonts w:ascii="Calibri" w:eastAsia="Calibri" w:hAnsi="Calibri" w:cs="Calibri"/>
        </w:rPr>
        <w:t>μ</w:t>
      </w:r>
      <w:r>
        <w:t>g/m</w:t>
      </w:r>
      <w:r>
        <w:rPr>
          <w:vertAlign w:val="superscript"/>
        </w:rPr>
        <w:t>3</w:t>
      </w:r>
      <w:r>
        <w:t>)</w:t>
      </w:r>
    </w:p>
    <w:p w14:paraId="3D85D3A9" w14:textId="77777777" w:rsidR="00412C30" w:rsidRDefault="00412C30" w:rsidP="00412C30">
      <w:pPr>
        <w:pStyle w:val="Normal1"/>
        <w:widowControl/>
        <w:jc w:val="left"/>
      </w:pPr>
      <w:r>
        <w:t>TRVa = Toxicity reference value for acute effects (</w:t>
      </w:r>
      <w:r>
        <w:rPr>
          <w:rFonts w:ascii="Calibri" w:eastAsia="Calibri" w:hAnsi="Calibri" w:cs="Calibri"/>
        </w:rPr>
        <w:t>μ</w:t>
      </w:r>
      <w:r>
        <w:t>g/m</w:t>
      </w:r>
      <w:r>
        <w:rPr>
          <w:vertAlign w:val="superscript"/>
        </w:rPr>
        <w:t>3</w:t>
      </w:r>
      <w:r>
        <w:t>)</w:t>
      </w:r>
    </w:p>
    <w:p w14:paraId="3D85D3AA" w14:textId="77777777" w:rsidR="00412C30" w:rsidRDefault="00412C30" w:rsidP="00412C30">
      <w:pPr>
        <w:pStyle w:val="Normal1"/>
        <w:widowControl/>
        <w:jc w:val="left"/>
      </w:pPr>
      <w:r>
        <w:t>ELAF = early-life adjustment factor (unitless)</w:t>
      </w:r>
    </w:p>
    <w:p w14:paraId="3D85D3AB" w14:textId="77777777" w:rsidR="00412C30" w:rsidRDefault="00412C30" w:rsidP="00412C30">
      <w:pPr>
        <w:pStyle w:val="Normal1"/>
        <w:widowControl/>
        <w:jc w:val="left"/>
      </w:pPr>
      <w:r>
        <w:t>MPAFrc = multipathway adjustment factor, resident cancer (unitless)</w:t>
      </w:r>
    </w:p>
    <w:p w14:paraId="3D85D3AC" w14:textId="77777777" w:rsidR="00412C30" w:rsidRDefault="00412C30" w:rsidP="00412C30">
      <w:pPr>
        <w:pStyle w:val="Normal1"/>
        <w:widowControl/>
        <w:jc w:val="left"/>
      </w:pPr>
      <w:r>
        <w:t>MPAFrnc = multipathway adjustment factor, resident noncancer (unitless)</w:t>
      </w:r>
    </w:p>
    <w:p w14:paraId="3D85D3AD" w14:textId="77777777" w:rsidR="00412C30" w:rsidRDefault="00412C30" w:rsidP="00412C30">
      <w:pPr>
        <w:pStyle w:val="Normal1"/>
        <w:widowControl/>
        <w:jc w:val="left"/>
      </w:pPr>
    </w:p>
    <w:p w14:paraId="3D85D3AE" w14:textId="77777777" w:rsidR="00412C30" w:rsidRDefault="00412C30" w:rsidP="00412C30">
      <w:pPr>
        <w:pStyle w:val="Normal1"/>
        <w:widowControl/>
        <w:jc w:val="left"/>
      </w:pPr>
      <w:r>
        <w:t>If multipathway or early-life considerations are not relevant for a chemical, these adjustments are omitted. For most chemicals, this is the case, and the residential RBC is equal to the TRV.</w:t>
      </w:r>
    </w:p>
    <w:p w14:paraId="3D85D3AF" w14:textId="77777777" w:rsidR="00412C30" w:rsidRDefault="00412C30" w:rsidP="00412C30">
      <w:pPr>
        <w:pStyle w:val="Normal1"/>
        <w:widowControl/>
        <w:jc w:val="left"/>
      </w:pPr>
    </w:p>
    <w:p w14:paraId="3D85D3B0" w14:textId="77777777" w:rsidR="00412C30" w:rsidRPr="0010271E" w:rsidRDefault="00412C30" w:rsidP="0010271E">
      <w:pPr>
        <w:pStyle w:val="NoSpacing"/>
        <w:rPr>
          <w:rFonts w:ascii="Arial" w:hAnsi="Arial" w:cs="Arial"/>
          <w:b/>
        </w:rPr>
      </w:pPr>
      <w:r w:rsidRPr="0010271E">
        <w:rPr>
          <w:rFonts w:ascii="Arial" w:hAnsi="Arial" w:cs="Arial"/>
          <w:b/>
        </w:rPr>
        <w:t xml:space="preserve">B.3.2 Non-Residential RBCs </w:t>
      </w:r>
    </w:p>
    <w:p w14:paraId="3D85D3B1" w14:textId="77777777" w:rsidR="00412C30" w:rsidRDefault="00412C30" w:rsidP="00412C30">
      <w:pPr>
        <w:pStyle w:val="Normal1"/>
        <w:widowControl/>
        <w:jc w:val="left"/>
      </w:pPr>
    </w:p>
    <w:p w14:paraId="3D85D3B2" w14:textId="77777777" w:rsidR="00412C30" w:rsidRDefault="00412C30" w:rsidP="00412C30">
      <w:pPr>
        <w:pStyle w:val="Normal1"/>
        <w:widowControl/>
        <w:jc w:val="left"/>
      </w:pPr>
      <w:r>
        <w:t>In addition to considerations of MPAF and ELAF for chronic exposure, exposure frequency and exposure duration are also included for non-residential scenarios where exposure will be less than continual exposure for a lifetime. The following equations were used to calculate non-residential RBCs.</w:t>
      </w:r>
    </w:p>
    <w:p w14:paraId="3D85D3B3" w14:textId="77777777" w:rsidR="00DD272F" w:rsidRDefault="00DD272F" w:rsidP="00412C30">
      <w:pPr>
        <w:pStyle w:val="Normal1"/>
        <w:widowControl/>
        <w:jc w:val="left"/>
      </w:pPr>
    </w:p>
    <w:p w14:paraId="3D85D3B4" w14:textId="77777777" w:rsidR="00DD272F" w:rsidRPr="00DD272F" w:rsidRDefault="00DD272F" w:rsidP="00DD272F">
      <w:pPr>
        <w:pStyle w:val="NoSpacing"/>
        <w:jc w:val="center"/>
        <w:rPr>
          <w:rFonts w:ascii="Arial" w:hAnsi="Arial" w:cs="Arial"/>
        </w:rPr>
      </w:pPr>
      <w:r w:rsidRPr="00DD272F">
        <w:rPr>
          <w:rFonts w:ascii="Arial" w:hAnsi="Arial" w:cs="Arial"/>
          <w:i/>
        </w:rPr>
        <w:t>nrchildRBCc</w:t>
      </w:r>
      <w:r w:rsidRPr="00DD272F">
        <w:rPr>
          <w:rFonts w:ascii="Arial" w:hAnsi="Arial" w:cs="Arial"/>
        </w:rPr>
        <w:t xml:space="preserve"> = </w:t>
      </w:r>
      <w:r w:rsidRPr="00DD272F">
        <w:rPr>
          <w:rFonts w:ascii="Arial" w:hAnsi="Arial" w:cs="Arial"/>
          <w:position w:val="-24"/>
        </w:rPr>
        <w:object w:dxaOrig="2020" w:dyaOrig="620" w14:anchorId="3D85D537">
          <v:shape id="_x0000_i1028" type="#_x0000_t75" style="width:103.8pt;height:31.2pt" o:ole="" fillcolor="window">
            <v:imagedata r:id="rId49" o:title=""/>
          </v:shape>
          <o:OLEObject Type="Embed" ProgID="Equation.3" ShapeID="_x0000_i1028" DrawAspect="Content" ObjectID="_1570368275" r:id="rId50"/>
        </w:object>
      </w:r>
    </w:p>
    <w:p w14:paraId="3D85D3B5" w14:textId="77777777" w:rsidR="00DD272F" w:rsidRPr="00DD272F" w:rsidRDefault="00DD272F" w:rsidP="00DD272F">
      <w:pPr>
        <w:pStyle w:val="NoSpacing"/>
        <w:jc w:val="center"/>
        <w:rPr>
          <w:rFonts w:ascii="Arial" w:hAnsi="Arial" w:cs="Arial"/>
        </w:rPr>
      </w:pPr>
    </w:p>
    <w:p w14:paraId="3D85D3B6" w14:textId="77777777" w:rsidR="00DD272F" w:rsidRPr="00DD272F" w:rsidRDefault="00DD272F" w:rsidP="00DD272F">
      <w:pPr>
        <w:pStyle w:val="NoSpacing"/>
        <w:jc w:val="center"/>
        <w:rPr>
          <w:rFonts w:ascii="Arial" w:hAnsi="Arial" w:cs="Arial"/>
        </w:rPr>
      </w:pPr>
      <w:r w:rsidRPr="00DD272F">
        <w:rPr>
          <w:rFonts w:ascii="Arial" w:hAnsi="Arial" w:cs="Arial"/>
          <w:i/>
        </w:rPr>
        <w:t>nrchildRBCnc</w:t>
      </w:r>
      <w:r w:rsidRPr="00DD272F">
        <w:rPr>
          <w:rFonts w:ascii="Arial" w:hAnsi="Arial" w:cs="Arial"/>
        </w:rPr>
        <w:t xml:space="preserve"> = </w:t>
      </w:r>
      <w:r w:rsidRPr="00DD272F">
        <w:rPr>
          <w:rFonts w:ascii="Arial" w:hAnsi="Arial" w:cs="Arial"/>
          <w:position w:val="-24"/>
        </w:rPr>
        <w:object w:dxaOrig="2260" w:dyaOrig="620" w14:anchorId="3D85D538">
          <v:shape id="_x0000_i1029" type="#_x0000_t75" style="width:115.8pt;height:31.2pt" o:ole="" fillcolor="window">
            <v:imagedata r:id="rId51" o:title=""/>
          </v:shape>
          <o:OLEObject Type="Embed" ProgID="Equation.3" ShapeID="_x0000_i1029" DrawAspect="Content" ObjectID="_1570368276" r:id="rId52"/>
        </w:object>
      </w:r>
    </w:p>
    <w:p w14:paraId="3D85D3B7" w14:textId="77777777" w:rsidR="00DD272F" w:rsidRPr="00DD272F" w:rsidRDefault="00DD272F" w:rsidP="00DD272F">
      <w:pPr>
        <w:pStyle w:val="NoSpacing"/>
        <w:jc w:val="center"/>
        <w:rPr>
          <w:rFonts w:ascii="Arial" w:hAnsi="Arial" w:cs="Arial"/>
        </w:rPr>
      </w:pPr>
    </w:p>
    <w:p w14:paraId="3D85D3B8" w14:textId="77777777" w:rsidR="00DD272F" w:rsidRPr="00DD272F" w:rsidRDefault="00DD272F" w:rsidP="00DD272F">
      <w:pPr>
        <w:pStyle w:val="NoSpacing"/>
        <w:jc w:val="center"/>
        <w:rPr>
          <w:rFonts w:ascii="Arial" w:hAnsi="Arial" w:cs="Arial"/>
        </w:rPr>
      </w:pPr>
      <w:r w:rsidRPr="00DD272F">
        <w:rPr>
          <w:rFonts w:ascii="Arial" w:hAnsi="Arial" w:cs="Arial"/>
          <w:i/>
        </w:rPr>
        <w:t>workerRBCc</w:t>
      </w:r>
      <w:r w:rsidRPr="00DD272F">
        <w:rPr>
          <w:rFonts w:ascii="Arial" w:hAnsi="Arial" w:cs="Arial"/>
        </w:rPr>
        <w:t xml:space="preserve"> = </w:t>
      </w:r>
      <w:r w:rsidRPr="00DD272F">
        <w:rPr>
          <w:rFonts w:ascii="Arial" w:hAnsi="Arial" w:cs="Arial"/>
          <w:position w:val="-24"/>
        </w:rPr>
        <w:object w:dxaOrig="2299" w:dyaOrig="620" w14:anchorId="3D85D539">
          <v:shape id="_x0000_i1030" type="#_x0000_t75" style="width:118.8pt;height:31.2pt" o:ole="" fillcolor="window">
            <v:imagedata r:id="rId53" o:title=""/>
          </v:shape>
          <o:OLEObject Type="Embed" ProgID="Equation.3" ShapeID="_x0000_i1030" DrawAspect="Content" ObjectID="_1570368277" r:id="rId54"/>
        </w:object>
      </w:r>
    </w:p>
    <w:p w14:paraId="3D85D3B9" w14:textId="77777777" w:rsidR="00DD272F" w:rsidRPr="00DD272F" w:rsidRDefault="00DD272F" w:rsidP="00DD272F">
      <w:pPr>
        <w:pStyle w:val="NoSpacing"/>
        <w:jc w:val="center"/>
        <w:rPr>
          <w:rFonts w:ascii="Arial" w:hAnsi="Arial" w:cs="Arial"/>
        </w:rPr>
      </w:pPr>
    </w:p>
    <w:p w14:paraId="3D85D3BA" w14:textId="77777777" w:rsidR="00DD272F" w:rsidRPr="00DD272F" w:rsidRDefault="00DD272F" w:rsidP="00DD272F">
      <w:pPr>
        <w:pStyle w:val="NoSpacing"/>
        <w:jc w:val="center"/>
        <w:rPr>
          <w:rFonts w:ascii="Arial" w:hAnsi="Arial" w:cs="Arial"/>
        </w:rPr>
      </w:pPr>
      <w:r w:rsidRPr="00DD272F">
        <w:rPr>
          <w:rFonts w:ascii="Arial" w:hAnsi="Arial" w:cs="Arial"/>
          <w:i/>
        </w:rPr>
        <w:t>workerRBCnc</w:t>
      </w:r>
      <w:r w:rsidRPr="00DD272F">
        <w:rPr>
          <w:rFonts w:ascii="Arial" w:hAnsi="Arial" w:cs="Arial"/>
        </w:rPr>
        <w:t xml:space="preserve"> = </w:t>
      </w:r>
      <w:r w:rsidRPr="00DD272F">
        <w:rPr>
          <w:rFonts w:ascii="Arial" w:hAnsi="Arial" w:cs="Arial"/>
          <w:position w:val="-24"/>
        </w:rPr>
        <w:object w:dxaOrig="2540" w:dyaOrig="620" w14:anchorId="3D85D53A">
          <v:shape id="_x0000_i1031" type="#_x0000_t75" style="width:130.8pt;height:31.2pt" o:ole="" fillcolor="window">
            <v:imagedata r:id="rId55" o:title=""/>
          </v:shape>
          <o:OLEObject Type="Embed" ProgID="Equation.3" ShapeID="_x0000_i1031" DrawAspect="Content" ObjectID="_1570368278" r:id="rId56"/>
        </w:object>
      </w:r>
    </w:p>
    <w:p w14:paraId="3D85D3BB" w14:textId="77777777" w:rsidR="00DD272F" w:rsidRPr="00DD272F" w:rsidRDefault="00DD272F" w:rsidP="00DD272F">
      <w:pPr>
        <w:pStyle w:val="NoSpacing"/>
        <w:jc w:val="center"/>
        <w:rPr>
          <w:rFonts w:ascii="Arial" w:hAnsi="Arial" w:cs="Arial"/>
        </w:rPr>
      </w:pPr>
    </w:p>
    <w:p w14:paraId="3D85D3BC" w14:textId="77777777" w:rsidR="00DD272F" w:rsidRDefault="00DD272F" w:rsidP="00412C30">
      <w:pPr>
        <w:pStyle w:val="Normal1"/>
        <w:widowControl/>
        <w:jc w:val="left"/>
      </w:pPr>
    </w:p>
    <w:p w14:paraId="3D85D3BD" w14:textId="77777777" w:rsidR="00412C30" w:rsidRDefault="00412C30" w:rsidP="00412C30">
      <w:pPr>
        <w:pStyle w:val="Normal1"/>
        <w:widowControl/>
        <w:jc w:val="left"/>
      </w:pPr>
      <w:r>
        <w:t>Where:</w:t>
      </w:r>
    </w:p>
    <w:p w14:paraId="3D85D3BE" w14:textId="77777777" w:rsidR="00412C30" w:rsidRDefault="00412C30" w:rsidP="00412C30">
      <w:pPr>
        <w:pStyle w:val="Normal1"/>
        <w:widowControl/>
        <w:jc w:val="left"/>
      </w:pPr>
      <w:r>
        <w:t>nrchildRBCc = Nonresidential child risk-based concentration for cancer effects (</w:t>
      </w:r>
      <w:r>
        <w:rPr>
          <w:rFonts w:ascii="Calibri" w:eastAsia="Calibri" w:hAnsi="Calibri" w:cs="Calibri"/>
        </w:rPr>
        <w:t>μ</w:t>
      </w:r>
      <w:r>
        <w:t>g/m</w:t>
      </w:r>
      <w:r>
        <w:rPr>
          <w:vertAlign w:val="superscript"/>
        </w:rPr>
        <w:t>3</w:t>
      </w:r>
      <w:r>
        <w:t>)</w:t>
      </w:r>
    </w:p>
    <w:p w14:paraId="3D85D3BF" w14:textId="77777777" w:rsidR="00412C30" w:rsidRDefault="00412C30" w:rsidP="00412C30">
      <w:pPr>
        <w:pStyle w:val="Normal1"/>
        <w:widowControl/>
        <w:jc w:val="left"/>
      </w:pPr>
      <w:r>
        <w:t>nrchildRBCnc = Nonresidential child risk-based concentration for noncancer effects (</w:t>
      </w:r>
      <w:r>
        <w:rPr>
          <w:rFonts w:ascii="Calibri" w:eastAsia="Calibri" w:hAnsi="Calibri" w:cs="Calibri"/>
        </w:rPr>
        <w:t>μ</w:t>
      </w:r>
      <w:r>
        <w:t>g/m</w:t>
      </w:r>
      <w:r>
        <w:rPr>
          <w:vertAlign w:val="superscript"/>
        </w:rPr>
        <w:t>3</w:t>
      </w:r>
      <w:r>
        <w:t>)</w:t>
      </w:r>
    </w:p>
    <w:p w14:paraId="3D85D3C0" w14:textId="77777777" w:rsidR="00412C30" w:rsidRDefault="00412C30" w:rsidP="00412C30">
      <w:pPr>
        <w:pStyle w:val="Normal1"/>
        <w:widowControl/>
        <w:jc w:val="left"/>
      </w:pPr>
      <w:r>
        <w:t>workerRBCc = Nonresidential worker risk-based concentration for cancer effects (</w:t>
      </w:r>
      <w:r>
        <w:rPr>
          <w:rFonts w:ascii="Calibri" w:eastAsia="Calibri" w:hAnsi="Calibri" w:cs="Calibri"/>
        </w:rPr>
        <w:t>μ</w:t>
      </w:r>
      <w:r>
        <w:t>g/m</w:t>
      </w:r>
      <w:r>
        <w:rPr>
          <w:vertAlign w:val="superscript"/>
        </w:rPr>
        <w:t>3</w:t>
      </w:r>
      <w:r>
        <w:t>)</w:t>
      </w:r>
    </w:p>
    <w:p w14:paraId="3D85D3C1" w14:textId="77777777" w:rsidR="00412C30" w:rsidRDefault="00412C30" w:rsidP="00412C30">
      <w:pPr>
        <w:pStyle w:val="Normal1"/>
        <w:widowControl/>
        <w:jc w:val="left"/>
      </w:pPr>
      <w:r>
        <w:t>workerRBCnc = Nonresidential worker risk-based concentration for noncancer effects (</w:t>
      </w:r>
      <w:r>
        <w:rPr>
          <w:rFonts w:ascii="Calibri" w:eastAsia="Calibri" w:hAnsi="Calibri" w:cs="Calibri"/>
        </w:rPr>
        <w:t>μ</w:t>
      </w:r>
      <w:r>
        <w:t>g/m</w:t>
      </w:r>
      <w:r>
        <w:rPr>
          <w:vertAlign w:val="superscript"/>
        </w:rPr>
        <w:t>3</w:t>
      </w:r>
      <w:r>
        <w:t>)</w:t>
      </w:r>
    </w:p>
    <w:p w14:paraId="3D85D3C2" w14:textId="77777777" w:rsidR="00412C30" w:rsidRDefault="00412C30" w:rsidP="00412C30">
      <w:pPr>
        <w:pStyle w:val="Normal1"/>
        <w:widowControl/>
        <w:jc w:val="left"/>
      </w:pPr>
      <w:r>
        <w:t>TRVc = Toxicity reference value for cancer effects (</w:t>
      </w:r>
      <w:r>
        <w:rPr>
          <w:rFonts w:ascii="Calibri" w:eastAsia="Calibri" w:hAnsi="Calibri" w:cs="Calibri"/>
        </w:rPr>
        <w:t>μ</w:t>
      </w:r>
      <w:r>
        <w:t>g/m</w:t>
      </w:r>
      <w:r>
        <w:rPr>
          <w:vertAlign w:val="superscript"/>
        </w:rPr>
        <w:t>3</w:t>
      </w:r>
      <w:r>
        <w:t>)</w:t>
      </w:r>
    </w:p>
    <w:p w14:paraId="3D85D3C3" w14:textId="77777777" w:rsidR="00412C30" w:rsidRDefault="00412C30" w:rsidP="00412C30">
      <w:pPr>
        <w:pStyle w:val="Normal1"/>
        <w:widowControl/>
        <w:jc w:val="left"/>
      </w:pPr>
      <w:r>
        <w:t>TRVnc = Toxicity reference value for noncancer effects (</w:t>
      </w:r>
      <w:r>
        <w:rPr>
          <w:rFonts w:ascii="Calibri" w:eastAsia="Calibri" w:hAnsi="Calibri" w:cs="Calibri"/>
        </w:rPr>
        <w:t>μ</w:t>
      </w:r>
      <w:r>
        <w:t>g/m</w:t>
      </w:r>
      <w:r>
        <w:rPr>
          <w:vertAlign w:val="superscript"/>
        </w:rPr>
        <w:t>3</w:t>
      </w:r>
      <w:r>
        <w:t>)</w:t>
      </w:r>
    </w:p>
    <w:p w14:paraId="3D85D3C4" w14:textId="77777777" w:rsidR="00412C30" w:rsidRDefault="00412C30" w:rsidP="00412C30">
      <w:pPr>
        <w:pStyle w:val="Normal1"/>
        <w:widowControl/>
        <w:jc w:val="left"/>
      </w:pPr>
      <w:r>
        <w:t>TRVa = Toxicity reference value for acute effects (</w:t>
      </w:r>
      <w:r>
        <w:rPr>
          <w:rFonts w:ascii="Calibri" w:eastAsia="Calibri" w:hAnsi="Calibri" w:cs="Calibri"/>
        </w:rPr>
        <w:t>μ</w:t>
      </w:r>
      <w:r>
        <w:t>g/m</w:t>
      </w:r>
      <w:r>
        <w:rPr>
          <w:vertAlign w:val="superscript"/>
        </w:rPr>
        <w:t>3</w:t>
      </w:r>
      <w:r>
        <w:t>)</w:t>
      </w:r>
    </w:p>
    <w:p w14:paraId="3D85D3C5" w14:textId="77777777" w:rsidR="00412C30" w:rsidRDefault="00412C30" w:rsidP="00412C30">
      <w:pPr>
        <w:pStyle w:val="Normal1"/>
        <w:widowControl/>
        <w:jc w:val="left"/>
      </w:pPr>
      <w:r>
        <w:t>ELAF = early-life adjustment factor (unitless)</w:t>
      </w:r>
    </w:p>
    <w:p w14:paraId="3D85D3C6" w14:textId="77777777" w:rsidR="00412C30" w:rsidRDefault="00412C30" w:rsidP="00412C30">
      <w:pPr>
        <w:pStyle w:val="Normal1"/>
        <w:widowControl/>
        <w:jc w:val="left"/>
      </w:pPr>
      <w:r>
        <w:t>MPAFnrc = multipathway adjustment factor, nonresident cancer (unitless)</w:t>
      </w:r>
    </w:p>
    <w:p w14:paraId="3D85D3C7" w14:textId="77777777" w:rsidR="00412C30" w:rsidRDefault="00412C30" w:rsidP="00412C30">
      <w:pPr>
        <w:pStyle w:val="Normal1"/>
        <w:widowControl/>
        <w:jc w:val="left"/>
      </w:pPr>
      <w:r>
        <w:t>MPAFnrnc = multipathway adjustment factor, nonresident noncancer (unitless)</w:t>
      </w:r>
    </w:p>
    <w:p w14:paraId="3D85D3C8" w14:textId="77777777" w:rsidR="00412C30" w:rsidRDefault="00412C30" w:rsidP="00412C30">
      <w:pPr>
        <w:pStyle w:val="Normal1"/>
        <w:widowControl/>
        <w:jc w:val="left"/>
      </w:pPr>
      <w:r>
        <w:t>childNRAFc = Nonresident adjustment factor, child cancer (42) (unitless)</w:t>
      </w:r>
    </w:p>
    <w:p w14:paraId="3D85D3C9" w14:textId="77777777" w:rsidR="00412C30" w:rsidRDefault="00412C30" w:rsidP="00412C30">
      <w:pPr>
        <w:pStyle w:val="Normal1"/>
        <w:widowControl/>
        <w:jc w:val="left"/>
      </w:pPr>
      <w:r>
        <w:t>childNRAFnc = Nonresident adjustment factor, child noncancer (4.2) (unitless)</w:t>
      </w:r>
    </w:p>
    <w:p w14:paraId="3D85D3CA" w14:textId="77777777" w:rsidR="00412C30" w:rsidRDefault="00412C30" w:rsidP="00412C30">
      <w:pPr>
        <w:pStyle w:val="Normal1"/>
        <w:widowControl/>
        <w:jc w:val="left"/>
      </w:pPr>
      <w:r>
        <w:t>workerNRAFc = Nonresident adjustment factor, worker cancer (12) (unitless)</w:t>
      </w:r>
    </w:p>
    <w:p w14:paraId="3D85D3CB" w14:textId="77777777" w:rsidR="00412C30" w:rsidRDefault="00412C30" w:rsidP="00412C30">
      <w:pPr>
        <w:pStyle w:val="Normal1"/>
        <w:widowControl/>
        <w:jc w:val="left"/>
      </w:pPr>
      <w:r>
        <w:t>workerNRAFnc = Nonresident adjustment factor, worker noncancer (4.2) (unitless)</w:t>
      </w:r>
    </w:p>
    <w:p w14:paraId="3D85D3CC" w14:textId="77777777" w:rsidR="00412C30" w:rsidRDefault="00412C30" w:rsidP="00412C30">
      <w:pPr>
        <w:pStyle w:val="Normal1"/>
        <w:widowControl/>
        <w:jc w:val="left"/>
      </w:pPr>
    </w:p>
    <w:p w14:paraId="3D85D3CD" w14:textId="77777777" w:rsidR="00412C30" w:rsidRDefault="00412C30" w:rsidP="00412C30">
      <w:pPr>
        <w:pStyle w:val="Normal1"/>
        <w:widowControl/>
        <w:jc w:val="left"/>
      </w:pPr>
      <w:r>
        <w:t>If multipathway or early-life considerations are not relevant for a chemical, these adjustments are omitted.</w:t>
      </w:r>
    </w:p>
    <w:p w14:paraId="3D85D3CE" w14:textId="77777777" w:rsidR="00412C30" w:rsidRDefault="00412C30" w:rsidP="00412C30">
      <w:pPr>
        <w:pStyle w:val="Normal1"/>
        <w:widowControl/>
        <w:jc w:val="left"/>
      </w:pPr>
    </w:p>
    <w:p w14:paraId="3D85D3CF" w14:textId="77777777" w:rsidR="00412C30" w:rsidRPr="0010271E" w:rsidRDefault="00412C30" w:rsidP="0010271E">
      <w:pPr>
        <w:pStyle w:val="NoSpacing"/>
        <w:rPr>
          <w:rFonts w:ascii="Arial" w:hAnsi="Arial" w:cs="Arial"/>
          <w:b/>
        </w:rPr>
      </w:pPr>
      <w:r w:rsidRPr="0010271E">
        <w:rPr>
          <w:rFonts w:ascii="Arial" w:hAnsi="Arial" w:cs="Arial"/>
          <w:b/>
        </w:rPr>
        <w:t xml:space="preserve">B.3.3 Acute RBCs </w:t>
      </w:r>
    </w:p>
    <w:p w14:paraId="3D85D3D0" w14:textId="77777777" w:rsidR="00DD272F" w:rsidRDefault="00DD272F" w:rsidP="00412C30">
      <w:pPr>
        <w:pStyle w:val="Normal1"/>
        <w:spacing w:after="120"/>
        <w:ind w:right="18"/>
      </w:pPr>
    </w:p>
    <w:p w14:paraId="3D85D3D1" w14:textId="77777777" w:rsidR="00412C30" w:rsidRDefault="00412C30" w:rsidP="00412C30">
      <w:pPr>
        <w:pStyle w:val="Normal1"/>
        <w:spacing w:after="120"/>
        <w:ind w:right="18"/>
      </w:pPr>
      <w:r>
        <w:t>The acute Toxicity Reference Value is used directly as the acute Risk-Based Concentration.</w:t>
      </w:r>
    </w:p>
    <w:p w14:paraId="3D85D3D2" w14:textId="77777777" w:rsidR="00412C30" w:rsidRDefault="00412C30" w:rsidP="00412C30">
      <w:pPr>
        <w:pStyle w:val="Normal1"/>
        <w:spacing w:after="120"/>
        <w:ind w:left="720" w:right="18"/>
        <w:jc w:val="center"/>
      </w:pPr>
      <w:r>
        <w:t>acuteRBC = TRVa</w:t>
      </w:r>
    </w:p>
    <w:p w14:paraId="3D85D3D3" w14:textId="77777777" w:rsidR="00412C30" w:rsidRDefault="00412C30" w:rsidP="00412C30">
      <w:pPr>
        <w:pStyle w:val="Normal1"/>
        <w:spacing w:after="120"/>
        <w:ind w:right="18"/>
      </w:pPr>
      <w:r>
        <w:t>Where:</w:t>
      </w:r>
    </w:p>
    <w:p w14:paraId="3D85D3D4" w14:textId="77777777" w:rsidR="00412C30" w:rsidRDefault="00412C30" w:rsidP="00412C30">
      <w:pPr>
        <w:pStyle w:val="Normal1"/>
        <w:spacing w:after="120"/>
        <w:ind w:right="18"/>
      </w:pPr>
      <w:r>
        <w:t>acuteRBC = Short-term toxicity reference concentration (μg/m</w:t>
      </w:r>
      <w:r>
        <w:rPr>
          <w:vertAlign w:val="superscript"/>
        </w:rPr>
        <w:t>3</w:t>
      </w:r>
      <w:r>
        <w:t>)</w:t>
      </w:r>
    </w:p>
    <w:p w14:paraId="3D85D3D5" w14:textId="77777777" w:rsidR="00412C30" w:rsidRDefault="00412C30" w:rsidP="00412C30">
      <w:pPr>
        <w:pStyle w:val="Normal1"/>
        <w:spacing w:after="120"/>
        <w:ind w:right="18"/>
      </w:pPr>
      <w:r>
        <w:t>TRVa = Toxicity reference value for acute effects (μg/m</w:t>
      </w:r>
      <w:r>
        <w:rPr>
          <w:vertAlign w:val="superscript"/>
        </w:rPr>
        <w:t>3</w:t>
      </w:r>
      <w:r>
        <w:t>)</w:t>
      </w:r>
    </w:p>
    <w:p w14:paraId="3D85D3D6" w14:textId="77777777" w:rsidR="00412C30" w:rsidRDefault="00412C30" w:rsidP="00412C30">
      <w:pPr>
        <w:pStyle w:val="Normal1"/>
        <w:jc w:val="left"/>
      </w:pPr>
    </w:p>
    <w:p w14:paraId="3D85D3D7" w14:textId="77777777" w:rsidR="00412C30" w:rsidRDefault="00412C30" w:rsidP="00412C30">
      <w:pPr>
        <w:pStyle w:val="Normal1"/>
        <w:jc w:val="left"/>
      </w:pPr>
    </w:p>
    <w:p w14:paraId="3D85D3D8" w14:textId="77777777" w:rsidR="00412C30" w:rsidRDefault="00412C30" w:rsidP="00412C30">
      <w:pPr>
        <w:pStyle w:val="Normal1"/>
        <w:jc w:val="left"/>
      </w:pPr>
    </w:p>
    <w:p w14:paraId="3D85D3D9" w14:textId="77777777" w:rsidR="00412C30" w:rsidRDefault="00412C30" w:rsidP="00412C30">
      <w:pPr>
        <w:pStyle w:val="Normal1"/>
        <w:widowControl/>
        <w:rPr>
          <w:color w:val="FF0000"/>
        </w:rPr>
      </w:pPr>
    </w:p>
    <w:p w14:paraId="3D85D3DA" w14:textId="77777777" w:rsidR="00412C30" w:rsidRDefault="00412C30" w:rsidP="00412C30">
      <w:pPr>
        <w:pStyle w:val="Normal1"/>
        <w:widowControl/>
        <w:rPr>
          <w:color w:val="FF0000"/>
        </w:rPr>
      </w:pPr>
    </w:p>
    <w:p w14:paraId="3D85D3DB" w14:textId="77777777" w:rsidR="00412C30" w:rsidRDefault="00412C30" w:rsidP="00412C30">
      <w:pPr>
        <w:pStyle w:val="Normal1"/>
        <w:widowControl/>
        <w:spacing w:after="200" w:line="276" w:lineRule="auto"/>
        <w:jc w:val="left"/>
        <w:rPr>
          <w:color w:val="FF0000"/>
        </w:rPr>
      </w:pPr>
      <w:r>
        <w:br w:type="page"/>
      </w:r>
    </w:p>
    <w:p w14:paraId="3D85D3DC" w14:textId="77777777" w:rsidR="00412C30" w:rsidRDefault="00412C30" w:rsidP="00DD272F">
      <w:pPr>
        <w:pStyle w:val="Heading1"/>
      </w:pPr>
      <w:bookmarkStart w:id="41" w:name="_Toc496183522"/>
      <w:r>
        <w:t>APPENDIX C</w:t>
      </w:r>
      <w:bookmarkEnd w:id="41"/>
    </w:p>
    <w:p w14:paraId="3D85D3DD" w14:textId="77777777" w:rsidR="00412C30" w:rsidRDefault="00412C30" w:rsidP="00DD272F">
      <w:pPr>
        <w:pStyle w:val="Heading2"/>
      </w:pPr>
      <w:bookmarkStart w:id="42" w:name="_Toc496183523"/>
      <w:r>
        <w:t>Derivation of Early-Life Adjustment Factors</w:t>
      </w:r>
      <w:bookmarkEnd w:id="42"/>
    </w:p>
    <w:p w14:paraId="3D85D3DE" w14:textId="77777777" w:rsidR="00412C30" w:rsidRDefault="00412C30" w:rsidP="00412C30">
      <w:pPr>
        <w:pStyle w:val="Normal1"/>
        <w:rPr>
          <w:b/>
        </w:rPr>
      </w:pPr>
    </w:p>
    <w:p w14:paraId="3D85D3DF" w14:textId="77777777" w:rsidR="00412C30" w:rsidRPr="0010271E" w:rsidRDefault="00412C30" w:rsidP="0010271E">
      <w:pPr>
        <w:pStyle w:val="NoSpacing"/>
        <w:rPr>
          <w:rFonts w:ascii="Arial" w:hAnsi="Arial" w:cs="Arial"/>
          <w:b/>
        </w:rPr>
      </w:pPr>
      <w:r w:rsidRPr="0010271E">
        <w:rPr>
          <w:rFonts w:ascii="Arial" w:hAnsi="Arial" w:cs="Arial"/>
          <w:b/>
        </w:rPr>
        <w:t>C.1 Introduction</w:t>
      </w:r>
    </w:p>
    <w:p w14:paraId="3D85D3E0" w14:textId="77777777" w:rsidR="00412C30" w:rsidRDefault="00412C30" w:rsidP="00412C30">
      <w:pPr>
        <w:pStyle w:val="Normal1"/>
        <w:jc w:val="left"/>
      </w:pPr>
    </w:p>
    <w:p w14:paraId="3D85D3E1" w14:textId="77777777" w:rsidR="00412C30" w:rsidRDefault="00412C30" w:rsidP="00412C30">
      <w:pPr>
        <w:pStyle w:val="Normal1"/>
        <w:jc w:val="left"/>
      </w:pPr>
      <w:r>
        <w:t xml:space="preserve">This appendix covers the development of early-life adjustment factors (ELAFs) and the evaluation of early-life exposure for certain compounds. The chemicals for which incorporation of early-life exposure will be necessary are </w:t>
      </w:r>
      <w:r w:rsidR="00D41332">
        <w:t>shown in Table C-1</w:t>
      </w:r>
      <w:r>
        <w:t>. A general discussion is provided below, with specific evaluations of TCE and vinyl chloride. In the future, as more information becomes available, early-life exposure may need to be considered for other chemicals. Early-life exposure is included in the derivation of RBCs for residential and non-residential child exposure scenarios.</w:t>
      </w:r>
    </w:p>
    <w:p w14:paraId="3D85D3E2" w14:textId="77777777" w:rsidR="00412C30" w:rsidRDefault="00412C30" w:rsidP="00412C30">
      <w:pPr>
        <w:pStyle w:val="Normal1"/>
        <w:jc w:val="left"/>
      </w:pPr>
    </w:p>
    <w:p w14:paraId="3D85D3E3" w14:textId="77777777" w:rsidR="00412C30" w:rsidRPr="0010271E" w:rsidRDefault="00412C30" w:rsidP="0010271E">
      <w:pPr>
        <w:pStyle w:val="NoSpacing"/>
        <w:rPr>
          <w:rFonts w:ascii="Arial" w:hAnsi="Arial" w:cs="Arial"/>
          <w:b/>
        </w:rPr>
      </w:pPr>
      <w:r w:rsidRPr="0010271E">
        <w:rPr>
          <w:rFonts w:ascii="Arial" w:hAnsi="Arial" w:cs="Arial"/>
          <w:b/>
        </w:rPr>
        <w:t>C.2 Background</w:t>
      </w:r>
    </w:p>
    <w:p w14:paraId="3D85D3E4" w14:textId="77777777" w:rsidR="00412C30" w:rsidRDefault="00412C30" w:rsidP="00412C30">
      <w:pPr>
        <w:pStyle w:val="Normal1"/>
        <w:jc w:val="left"/>
        <w:rPr>
          <w:b/>
        </w:rPr>
      </w:pPr>
    </w:p>
    <w:p w14:paraId="3D85D3E5" w14:textId="77777777" w:rsidR="00412C30" w:rsidRDefault="00412C30" w:rsidP="00412C30">
      <w:pPr>
        <w:pStyle w:val="Normal1"/>
        <w:jc w:val="left"/>
      </w:pPr>
      <w:r>
        <w:t xml:space="preserve">In March 2005, EPA issued new </w:t>
      </w:r>
      <w:r>
        <w:rPr>
          <w:i/>
        </w:rPr>
        <w:t>Guidelines for Carcinogenic Risk Assessment</w:t>
      </w:r>
      <w:r>
        <w:t xml:space="preserve"> (EPA 2005a), updating the 1986 guidelines and 1999 interim final guidelines. Also included was </w:t>
      </w:r>
      <w:r>
        <w:rPr>
          <w:i/>
        </w:rPr>
        <w:t>Supplemental Guidance for Assessing Susceptibility from Early-Life Exposure to Carcinogens</w:t>
      </w:r>
      <w:r>
        <w:t xml:space="preserve"> (EPA 2005b</w:t>
      </w:r>
      <w:r w:rsidR="00D41332">
        <w:t>)</w:t>
      </w:r>
      <w:r>
        <w:t xml:space="preserve">. In the </w:t>
      </w:r>
      <w:r>
        <w:rPr>
          <w:i/>
        </w:rPr>
        <w:t>Supplemental Guidance,</w:t>
      </w:r>
      <w:r>
        <w:t xml:space="preserve"> EPA concluded that some chemicals, specifically carcinogens acting by a mutagenic mode of action, have a greater cancer impact if exposure occurs during childhood. DEQ included early-life exposure in the derivation of RBCs for the relevant chemicals. The general approach is to evaluate cancer risk using different adjusted potency factors for three life stages (0 – 2 years, 2 – 16 years, and adult).</w:t>
      </w:r>
    </w:p>
    <w:p w14:paraId="3D85D3E6" w14:textId="77777777" w:rsidR="00412C30" w:rsidRDefault="00412C30" w:rsidP="00412C30">
      <w:pPr>
        <w:pStyle w:val="Normal1"/>
        <w:jc w:val="left"/>
      </w:pPr>
    </w:p>
    <w:p w14:paraId="3D85D3E7" w14:textId="77777777" w:rsidR="00412C30" w:rsidRDefault="00412C30" w:rsidP="00412C30">
      <w:pPr>
        <w:pStyle w:val="Normal1"/>
        <w:jc w:val="left"/>
      </w:pPr>
      <w:r>
        <w:t>EPA created workgroups to provide additional information on how to implement the Supplemental Guidance, and provide consistency. One outcome of the workgroups is an EPA memorandum clarifying which chemicals should be evaluated for early-life exposure (EPA 2006). The list of chemicals</w:t>
      </w:r>
      <w:r w:rsidR="001870D8">
        <w:t>,</w:t>
      </w:r>
      <w:r w:rsidR="00D41332">
        <w:t xml:space="preserve"> with updates</w:t>
      </w:r>
      <w:r w:rsidR="001870D8">
        <w:t>,</w:t>
      </w:r>
      <w:r>
        <w:t xml:space="preserve"> is provided in Table </w:t>
      </w:r>
      <w:r w:rsidR="00D41332">
        <w:t>C</w:t>
      </w:r>
      <w:r>
        <w:t>-1.</w:t>
      </w:r>
      <w:r w:rsidR="00D41332">
        <w:t xml:space="preserve"> Most chemicals</w:t>
      </w:r>
      <w:r>
        <w:t xml:space="preserve"> are evaluated using the standard approach. For TCE, EPA considers early-life appropriate for liver cancer only, and not kidney cancer or non-Hodgkins Lymphoma. Because of this complication, the approach for TCE is discussed separately. Also, EPA determined that vinyl chloride should continue to be evaluated using a specific procedure for evaluating early-life exposure</w:t>
      </w:r>
      <w:r w:rsidR="00D41332">
        <w:t>, so vinyl chloride is also discussed separately</w:t>
      </w:r>
      <w:r>
        <w:t xml:space="preserve">. </w:t>
      </w:r>
    </w:p>
    <w:p w14:paraId="3D85D3E8" w14:textId="77777777" w:rsidR="00412C30" w:rsidRDefault="00412C30" w:rsidP="00412C30">
      <w:pPr>
        <w:pStyle w:val="Normal1"/>
        <w:jc w:val="left"/>
      </w:pPr>
    </w:p>
    <w:p w14:paraId="3D85D3E9" w14:textId="77777777" w:rsidR="00412C30" w:rsidRPr="0010271E" w:rsidRDefault="00412C30" w:rsidP="0010271E">
      <w:pPr>
        <w:pStyle w:val="NoSpacing"/>
        <w:rPr>
          <w:rFonts w:ascii="Arial" w:hAnsi="Arial" w:cs="Arial"/>
          <w:b/>
        </w:rPr>
      </w:pPr>
      <w:r w:rsidRPr="0010271E">
        <w:rPr>
          <w:rFonts w:ascii="Arial" w:hAnsi="Arial" w:cs="Arial"/>
          <w:b/>
        </w:rPr>
        <w:t>C.3 Default Early-Life Adjustment Factors</w:t>
      </w:r>
    </w:p>
    <w:p w14:paraId="3D85D3EA" w14:textId="77777777" w:rsidR="00412C30" w:rsidRDefault="00412C30" w:rsidP="00412C30">
      <w:pPr>
        <w:pStyle w:val="Normal1"/>
        <w:jc w:val="left"/>
      </w:pPr>
    </w:p>
    <w:p w14:paraId="3D85D3EB" w14:textId="77777777" w:rsidR="00412C30" w:rsidRDefault="00412C30" w:rsidP="00412C30">
      <w:pPr>
        <w:pStyle w:val="Normal1"/>
        <w:jc w:val="left"/>
      </w:pPr>
      <w:r>
        <w:t>Risk assessments for carcinogens acting by a mutagenic mode of action (excluding vinyl chloride discussed below) include a term called an age dependent adjustment factor (ADAF) to account for increased carcinogenic potency during early life stages. For ages up to 2 years, the ADAF is 10, indicating a ten-fold increase in carcinogenic potency during this period. For ages from 2 years to 16 years, the ADAF is 3. For ages 16 years and older, the ADAF is 1. Using ADAFs, the differences in potency are incorporated by a factor separate from the inhalation unit risk factor, so only one cancer IUR is needed.</w:t>
      </w:r>
      <w:r w:rsidR="00D41332">
        <w:t xml:space="preserve"> In the CAO program, DEQ uses the corresponding TRV rather than the IUR.</w:t>
      </w:r>
      <w:r>
        <w:t xml:space="preserve"> Risk assessments for carcinogens that do not act by a mutagenic mode of action should be conducted using the </w:t>
      </w:r>
      <w:r w:rsidR="00D41332">
        <w:t>TRV</w:t>
      </w:r>
      <w:r>
        <w:t xml:space="preserve"> without adjustments for age. </w:t>
      </w:r>
    </w:p>
    <w:p w14:paraId="3D85D3EC" w14:textId="77777777" w:rsidR="00412C30" w:rsidRDefault="00412C30" w:rsidP="00412C30">
      <w:pPr>
        <w:pStyle w:val="Normal1"/>
        <w:jc w:val="left"/>
      </w:pPr>
    </w:p>
    <w:p w14:paraId="3D85D3ED" w14:textId="77777777" w:rsidR="00412C30" w:rsidRDefault="00412C30" w:rsidP="00412C30">
      <w:pPr>
        <w:pStyle w:val="Normal1"/>
        <w:jc w:val="left"/>
      </w:pPr>
      <w:r>
        <w:t xml:space="preserve">In developing exposure parameters for children, EPA decided that it would be more accurate to divide the 2- to 16-year-old stage into two stages (2 to 6 years, and 6 to 16 years). Both stages have the same ADAF value. </w:t>
      </w:r>
      <w:r w:rsidR="00D41332">
        <w:t>For inhalation exposure, it is not necessary to separate these age groups, so they are combined in the equation below.</w:t>
      </w:r>
    </w:p>
    <w:p w14:paraId="3D85D3EE" w14:textId="77777777" w:rsidR="00412C30" w:rsidRDefault="00412C30" w:rsidP="00412C30">
      <w:pPr>
        <w:pStyle w:val="Normal1"/>
        <w:jc w:val="left"/>
      </w:pPr>
    </w:p>
    <w:p w14:paraId="3D85D3EF" w14:textId="77777777" w:rsidR="00412C30" w:rsidRDefault="00412C30" w:rsidP="00412C30">
      <w:pPr>
        <w:pStyle w:val="Normal1"/>
        <w:jc w:val="left"/>
      </w:pPr>
      <w:r>
        <w:t xml:space="preserve">The incorporation of ADAFs is best included in the calculation of age-adjusted exposure duration for inhalation exposure. These factors are used both in forward risk assessments and calculations of RBCs. Equations for age-adjusted intake factors are presented in DEQ’s RBDM guidance (DEQ 2003). For carcinogens acting by a mutagenic mode of action, these equations should be modified as follows:  </w:t>
      </w:r>
    </w:p>
    <w:p w14:paraId="3D85D3F0" w14:textId="77777777" w:rsidR="00412C30" w:rsidRDefault="00412C30" w:rsidP="00412C30">
      <w:pPr>
        <w:pStyle w:val="Normal1"/>
        <w:jc w:val="left"/>
      </w:pPr>
    </w:p>
    <w:p w14:paraId="3D85D3F1" w14:textId="77777777" w:rsidR="00412C30" w:rsidRDefault="00412C30" w:rsidP="00412C30">
      <w:pPr>
        <w:pStyle w:val="Normal1"/>
        <w:jc w:val="center"/>
      </w:pPr>
      <w:r>
        <w:t>ED</w:t>
      </w:r>
      <w:r>
        <w:rPr>
          <w:vertAlign w:val="subscript"/>
        </w:rPr>
        <w:t>adj</w:t>
      </w:r>
      <w:r>
        <w:t xml:space="preserve">  =  ED</w:t>
      </w:r>
      <w:r>
        <w:rPr>
          <w:vertAlign w:val="subscript"/>
        </w:rPr>
        <w:t>2</w:t>
      </w:r>
      <w:r>
        <w:t xml:space="preserve"> ADAF</w:t>
      </w:r>
      <w:r>
        <w:rPr>
          <w:vertAlign w:val="subscript"/>
        </w:rPr>
        <w:t>2</w:t>
      </w:r>
      <w:r>
        <w:t xml:space="preserve"> + ED</w:t>
      </w:r>
      <w:r>
        <w:rPr>
          <w:vertAlign w:val="subscript"/>
        </w:rPr>
        <w:t>16</w:t>
      </w:r>
      <w:r>
        <w:t xml:space="preserve"> ADAF</w:t>
      </w:r>
      <w:r>
        <w:rPr>
          <w:vertAlign w:val="subscript"/>
        </w:rPr>
        <w:t>16</w:t>
      </w:r>
      <w:r>
        <w:t xml:space="preserve"> + ED</w:t>
      </w:r>
      <w:r>
        <w:rPr>
          <w:vertAlign w:val="subscript"/>
        </w:rPr>
        <w:t>adult</w:t>
      </w:r>
      <w:r>
        <w:t xml:space="preserve"> ADAF</w:t>
      </w:r>
      <w:r>
        <w:rPr>
          <w:vertAlign w:val="subscript"/>
        </w:rPr>
        <w:t>adult</w:t>
      </w:r>
    </w:p>
    <w:p w14:paraId="3D85D3F2" w14:textId="77777777" w:rsidR="00412C30" w:rsidRDefault="00412C30" w:rsidP="00412C30">
      <w:pPr>
        <w:pStyle w:val="Normal1"/>
        <w:jc w:val="left"/>
        <w:rPr>
          <w:b/>
        </w:rPr>
      </w:pPr>
    </w:p>
    <w:p w14:paraId="3D85D3F3" w14:textId="77777777" w:rsidR="00412C30" w:rsidRDefault="00412C30" w:rsidP="00412C30">
      <w:pPr>
        <w:pStyle w:val="Normal1"/>
        <w:spacing w:before="40" w:after="40"/>
        <w:jc w:val="left"/>
      </w:pPr>
      <w:r>
        <w:t>where:</w:t>
      </w:r>
    </w:p>
    <w:p w14:paraId="3D85D3F4" w14:textId="77777777" w:rsidR="00412C30" w:rsidRDefault="00412C30" w:rsidP="00412C30">
      <w:pPr>
        <w:pStyle w:val="Normal1"/>
        <w:tabs>
          <w:tab w:val="left" w:pos="900"/>
          <w:tab w:val="left" w:pos="1440"/>
          <w:tab w:val="left" w:pos="1800"/>
          <w:tab w:val="left" w:pos="9360"/>
        </w:tabs>
        <w:jc w:val="left"/>
      </w:pPr>
      <w:r>
        <w:t>ADAF</w:t>
      </w:r>
      <w:r>
        <w:rPr>
          <w:vertAlign w:val="subscript"/>
        </w:rPr>
        <w:t>2</w:t>
      </w:r>
      <w:r>
        <w:tab/>
        <w:t>=</w:t>
      </w:r>
      <w:r>
        <w:tab/>
        <w:t>Age-dependent Adjustment Factor, child 0 to &lt;2 years old (unitless)</w:t>
      </w:r>
    </w:p>
    <w:p w14:paraId="3D85D3F5" w14:textId="77777777" w:rsidR="00412C30" w:rsidRDefault="00412C30" w:rsidP="00412C30">
      <w:pPr>
        <w:pStyle w:val="Normal1"/>
        <w:tabs>
          <w:tab w:val="left" w:pos="900"/>
          <w:tab w:val="left" w:pos="1440"/>
          <w:tab w:val="left" w:pos="1800"/>
          <w:tab w:val="left" w:pos="9360"/>
        </w:tabs>
        <w:jc w:val="left"/>
      </w:pPr>
      <w:r>
        <w:t>ADAF</w:t>
      </w:r>
      <w:r>
        <w:rPr>
          <w:vertAlign w:val="subscript"/>
        </w:rPr>
        <w:t>16</w:t>
      </w:r>
      <w:r>
        <w:tab/>
        <w:t>=</w:t>
      </w:r>
      <w:r>
        <w:tab/>
        <w:t>Age-dependent Adjustment Factor, child 2 to &lt;16 years old (unitless)</w:t>
      </w:r>
    </w:p>
    <w:p w14:paraId="3D85D3F6" w14:textId="77777777" w:rsidR="00412C30" w:rsidRDefault="00412C30" w:rsidP="00412C30">
      <w:pPr>
        <w:pStyle w:val="Normal1"/>
        <w:tabs>
          <w:tab w:val="left" w:pos="900"/>
          <w:tab w:val="left" w:pos="1440"/>
          <w:tab w:val="left" w:pos="1800"/>
          <w:tab w:val="left" w:pos="9360"/>
        </w:tabs>
        <w:jc w:val="left"/>
      </w:pPr>
      <w:r>
        <w:t>ADAF</w:t>
      </w:r>
      <w:r>
        <w:rPr>
          <w:vertAlign w:val="subscript"/>
        </w:rPr>
        <w:t>adult</w:t>
      </w:r>
      <w:r>
        <w:tab/>
        <w:t>=</w:t>
      </w:r>
      <w:r>
        <w:tab/>
        <w:t>Age-dependent Adjustment Factor, adult (unitless)</w:t>
      </w:r>
    </w:p>
    <w:p w14:paraId="3D85D3F7" w14:textId="77777777" w:rsidR="00412C30" w:rsidRDefault="00412C30" w:rsidP="00412C30">
      <w:pPr>
        <w:pStyle w:val="Normal1"/>
        <w:tabs>
          <w:tab w:val="left" w:pos="900"/>
          <w:tab w:val="left" w:pos="1440"/>
          <w:tab w:val="left" w:pos="1800"/>
          <w:tab w:val="left" w:pos="9360"/>
        </w:tabs>
        <w:jc w:val="left"/>
      </w:pPr>
      <w:r>
        <w:t>ED</w:t>
      </w:r>
      <w:r>
        <w:rPr>
          <w:vertAlign w:val="subscript"/>
        </w:rPr>
        <w:t>2</w:t>
      </w:r>
      <w:r>
        <w:tab/>
        <w:t>=</w:t>
      </w:r>
      <w:r>
        <w:tab/>
        <w:t>Exposure duration, child 0 to &lt;2 years old (yr)</w:t>
      </w:r>
    </w:p>
    <w:p w14:paraId="3D85D3F8" w14:textId="77777777" w:rsidR="00412C30" w:rsidRDefault="00412C30" w:rsidP="00412C30">
      <w:pPr>
        <w:pStyle w:val="Normal1"/>
        <w:tabs>
          <w:tab w:val="left" w:pos="900"/>
          <w:tab w:val="left" w:pos="1440"/>
          <w:tab w:val="left" w:pos="1800"/>
          <w:tab w:val="left" w:pos="9360"/>
        </w:tabs>
        <w:jc w:val="left"/>
      </w:pPr>
      <w:r>
        <w:t>ED</w:t>
      </w:r>
      <w:r>
        <w:rPr>
          <w:vertAlign w:val="subscript"/>
        </w:rPr>
        <w:t>16</w:t>
      </w:r>
      <w:r>
        <w:tab/>
        <w:t>=</w:t>
      </w:r>
      <w:r>
        <w:tab/>
        <w:t>Exposure duration, child 2 to &lt;16 years old (yr)</w:t>
      </w:r>
    </w:p>
    <w:p w14:paraId="3D85D3F9" w14:textId="77777777" w:rsidR="00412C30" w:rsidRDefault="00412C30" w:rsidP="00412C30">
      <w:pPr>
        <w:pStyle w:val="Normal1"/>
        <w:tabs>
          <w:tab w:val="left" w:pos="900"/>
          <w:tab w:val="left" w:pos="1440"/>
          <w:tab w:val="left" w:pos="1800"/>
          <w:tab w:val="left" w:pos="9360"/>
        </w:tabs>
        <w:jc w:val="left"/>
      </w:pPr>
      <w:r>
        <w:t>ED</w:t>
      </w:r>
      <w:r>
        <w:rPr>
          <w:vertAlign w:val="subscript"/>
        </w:rPr>
        <w:t>adult</w:t>
      </w:r>
      <w:r>
        <w:tab/>
        <w:t>=</w:t>
      </w:r>
      <w:r>
        <w:tab/>
        <w:t>Exposure duration, adult (yr)</w:t>
      </w:r>
    </w:p>
    <w:p w14:paraId="3D85D3FA" w14:textId="77777777" w:rsidR="00412C30" w:rsidRDefault="00412C30" w:rsidP="00412C30">
      <w:pPr>
        <w:pStyle w:val="Normal1"/>
        <w:jc w:val="left"/>
      </w:pPr>
    </w:p>
    <w:p w14:paraId="3D85D3FB" w14:textId="77777777" w:rsidR="00412C30" w:rsidRDefault="00D41332" w:rsidP="00412C30">
      <w:pPr>
        <w:pStyle w:val="Normal1"/>
        <w:jc w:val="left"/>
      </w:pPr>
      <w:r>
        <w:t>This approach is discussed in DEQ's risk assessment guidance for the Cleanup Program (DEQ 2010). De</w:t>
      </w:r>
      <w:r w:rsidR="00412C30">
        <w:t xml:space="preserve">fault parameter values are shown in Table </w:t>
      </w:r>
      <w:r>
        <w:t>C</w:t>
      </w:r>
      <w:r w:rsidR="00412C30">
        <w:t xml:space="preserve">-2. </w:t>
      </w:r>
    </w:p>
    <w:p w14:paraId="3D85D3FC" w14:textId="77777777" w:rsidR="00412C30" w:rsidRDefault="00412C30" w:rsidP="00412C30">
      <w:pPr>
        <w:pStyle w:val="Normal1"/>
        <w:jc w:val="left"/>
      </w:pPr>
    </w:p>
    <w:p w14:paraId="3D85D3FD" w14:textId="77777777" w:rsidR="00412C30" w:rsidRDefault="00412C30" w:rsidP="00412C30">
      <w:pPr>
        <w:pStyle w:val="Normal1"/>
        <w:jc w:val="left"/>
      </w:pPr>
      <w:r>
        <w:t>The early-life adjustment factor for residential exposure is the ratio of early-life exposure</w:t>
      </w:r>
      <w:r w:rsidR="00B0686D">
        <w:t xml:space="preserve"> duration</w:t>
      </w:r>
      <w:r>
        <w:t xml:space="preserve"> to general exposure.</w:t>
      </w:r>
      <w:r w:rsidR="00B0686D">
        <w:t xml:space="preserve"> </w:t>
      </w:r>
    </w:p>
    <w:p w14:paraId="3D85D3FE" w14:textId="77777777" w:rsidR="00412C30" w:rsidRDefault="00412C30" w:rsidP="00412C30">
      <w:pPr>
        <w:pStyle w:val="Normal1"/>
        <w:jc w:val="left"/>
      </w:pPr>
    </w:p>
    <w:p w14:paraId="3D85D3FF" w14:textId="77777777" w:rsidR="00412C30" w:rsidRDefault="00412C30" w:rsidP="00B0686D">
      <w:pPr>
        <w:pStyle w:val="Normal1"/>
        <w:jc w:val="center"/>
      </w:pPr>
      <w:r>
        <w:t>ELAFr = (EDadj-r / EDr = [(2 yr x 10) + (14 yr x 3) + (54 yr x 1)] / (70 yr)</w:t>
      </w:r>
      <w:r w:rsidR="00E220C0">
        <w:t xml:space="preserve"> </w:t>
      </w:r>
      <w:r>
        <w:t>= 116 yr / 70 yr  = 1.66</w:t>
      </w:r>
    </w:p>
    <w:p w14:paraId="3D85D400" w14:textId="77777777" w:rsidR="00412C30" w:rsidRDefault="00412C30" w:rsidP="00412C30">
      <w:pPr>
        <w:pStyle w:val="Normal1"/>
        <w:jc w:val="left"/>
      </w:pPr>
    </w:p>
    <w:p w14:paraId="3D85D401" w14:textId="77777777" w:rsidR="00412C30" w:rsidRDefault="00412C30" w:rsidP="00412C30">
      <w:pPr>
        <w:pStyle w:val="Normal1"/>
        <w:jc w:val="left"/>
      </w:pPr>
      <w:r>
        <w:t>Where:</w:t>
      </w:r>
    </w:p>
    <w:p w14:paraId="3D85D402" w14:textId="77777777" w:rsidR="00412C30" w:rsidRDefault="00412C30" w:rsidP="00412C30">
      <w:pPr>
        <w:pStyle w:val="Normal1"/>
        <w:jc w:val="left"/>
      </w:pPr>
      <w:r>
        <w:t>ELAFr = Early-life adjustment factor for residential exposure</w:t>
      </w:r>
    </w:p>
    <w:p w14:paraId="3D85D403" w14:textId="77777777" w:rsidR="00412C30" w:rsidRDefault="00412C30" w:rsidP="00412C30">
      <w:pPr>
        <w:pStyle w:val="Normal1"/>
        <w:jc w:val="left"/>
      </w:pPr>
      <w:r>
        <w:t>EDadj-r = Exposure duration, adjusted for early-life, residential</w:t>
      </w:r>
    </w:p>
    <w:p w14:paraId="3D85D404" w14:textId="77777777" w:rsidR="00412C30" w:rsidRDefault="00412C30" w:rsidP="00412C30">
      <w:pPr>
        <w:pStyle w:val="Normal1"/>
        <w:jc w:val="left"/>
      </w:pPr>
      <w:r>
        <w:t>EDr = Exposure duration for residential</w:t>
      </w:r>
    </w:p>
    <w:p w14:paraId="3D85D405" w14:textId="77777777" w:rsidR="00412C30" w:rsidRDefault="00412C30" w:rsidP="00412C30">
      <w:pPr>
        <w:pStyle w:val="Normal1"/>
        <w:jc w:val="left"/>
      </w:pPr>
    </w:p>
    <w:p w14:paraId="3D85D406" w14:textId="77777777" w:rsidR="00412C30" w:rsidRDefault="00412C30" w:rsidP="00412C30">
      <w:pPr>
        <w:pStyle w:val="Normal1"/>
        <w:jc w:val="left"/>
      </w:pPr>
      <w:r>
        <w:t xml:space="preserve">For nonresidential child exposure, we assume exposure from infancy through elementary school, for a total </w:t>
      </w:r>
      <w:r w:rsidR="00B0686D">
        <w:t xml:space="preserve">exposure duration </w:t>
      </w:r>
      <w:r>
        <w:t>of 12 years.</w:t>
      </w:r>
      <w:r w:rsidR="00B0686D" w:rsidRPr="00B0686D">
        <w:t xml:space="preserve"> </w:t>
      </w:r>
      <w:r w:rsidR="00B0686D">
        <w:t>Other factors, such as exposure frequency (260 days/year) and exposure time (8 hours/day), are already accounted for in the non-residential adjustment factor.</w:t>
      </w:r>
      <w:r>
        <w:t xml:space="preserve"> The nonresidential ELAF is the ratio of early-life exposure to general exposure for the same duration.</w:t>
      </w:r>
    </w:p>
    <w:p w14:paraId="3D85D407" w14:textId="77777777" w:rsidR="00412C30" w:rsidRDefault="00412C30" w:rsidP="00412C30">
      <w:pPr>
        <w:pStyle w:val="Normal1"/>
        <w:jc w:val="left"/>
      </w:pPr>
    </w:p>
    <w:p w14:paraId="3D85D408" w14:textId="77777777" w:rsidR="00412C30" w:rsidRDefault="00412C30" w:rsidP="00412C30">
      <w:pPr>
        <w:pStyle w:val="Normal1"/>
        <w:jc w:val="left"/>
      </w:pPr>
      <w:r>
        <w:t>ELAFnr = (EDadj x EFnr) / ED = [(2 yr x 10) + (1</w:t>
      </w:r>
      <w:r w:rsidR="00B0686D">
        <w:t>0</w:t>
      </w:r>
      <w:r>
        <w:t xml:space="preserve"> yr x 3)] / 12 yr  = </w:t>
      </w:r>
      <w:r w:rsidR="00E220C0">
        <w:t>5</w:t>
      </w:r>
      <w:r w:rsidR="00B0686D">
        <w:t>0</w:t>
      </w:r>
      <w:r>
        <w:t xml:space="preserve"> yr / 12 yr  = 4.2</w:t>
      </w:r>
    </w:p>
    <w:p w14:paraId="3D85D409" w14:textId="77777777" w:rsidR="00412C30" w:rsidRDefault="00412C30" w:rsidP="00412C30">
      <w:pPr>
        <w:pStyle w:val="Normal1"/>
        <w:jc w:val="left"/>
      </w:pPr>
    </w:p>
    <w:p w14:paraId="3D85D40A" w14:textId="77777777" w:rsidR="00412C30" w:rsidRDefault="00412C30" w:rsidP="00412C30">
      <w:pPr>
        <w:pStyle w:val="Normal1"/>
        <w:jc w:val="left"/>
      </w:pPr>
      <w:r>
        <w:t>Where:</w:t>
      </w:r>
    </w:p>
    <w:p w14:paraId="3D85D40B" w14:textId="77777777" w:rsidR="00412C30" w:rsidRDefault="00412C30" w:rsidP="00412C30">
      <w:pPr>
        <w:pStyle w:val="Normal1"/>
        <w:jc w:val="left"/>
      </w:pPr>
      <w:r>
        <w:t>ELAFnr = Early-life adjustment factor for nonresidential exposure</w:t>
      </w:r>
    </w:p>
    <w:p w14:paraId="3D85D40C" w14:textId="77777777" w:rsidR="00412C30" w:rsidRDefault="00412C30" w:rsidP="00412C30">
      <w:pPr>
        <w:pStyle w:val="Normal1"/>
        <w:jc w:val="left"/>
      </w:pPr>
      <w:r>
        <w:t>EDadj-nr = Exposure duration, adjusted for early-life, nonresidential</w:t>
      </w:r>
    </w:p>
    <w:p w14:paraId="3D85D40D" w14:textId="77777777" w:rsidR="00412C30" w:rsidRDefault="00412C30" w:rsidP="00412C30">
      <w:pPr>
        <w:pStyle w:val="Normal1"/>
        <w:jc w:val="left"/>
      </w:pPr>
      <w:r>
        <w:t>EDnr = Exposure duration for nonresidential</w:t>
      </w:r>
    </w:p>
    <w:p w14:paraId="3D85D40E" w14:textId="77777777" w:rsidR="00412C30" w:rsidRDefault="00412C30" w:rsidP="00412C30">
      <w:pPr>
        <w:pStyle w:val="Normal1"/>
        <w:jc w:val="left"/>
      </w:pPr>
    </w:p>
    <w:p w14:paraId="3D85D40F" w14:textId="77777777" w:rsidR="00412C30" w:rsidRDefault="00412C30" w:rsidP="00412C30">
      <w:pPr>
        <w:pStyle w:val="Normal1"/>
        <w:jc w:val="left"/>
      </w:pPr>
      <w:r>
        <w:t>The default ELAF values are applied to the list of chemicals with early-life adjustments in Table 2, with the exception of TCE and vinyl chloride, which are addressed using the approaches described below.</w:t>
      </w:r>
    </w:p>
    <w:p w14:paraId="3D85D410" w14:textId="77777777" w:rsidR="00412C30" w:rsidRDefault="00412C30" w:rsidP="00412C30">
      <w:pPr>
        <w:pStyle w:val="Normal1"/>
        <w:jc w:val="left"/>
      </w:pPr>
    </w:p>
    <w:p w14:paraId="3D85D411" w14:textId="77777777" w:rsidR="00412C30" w:rsidRPr="0010271E" w:rsidRDefault="00412C30" w:rsidP="0010271E">
      <w:pPr>
        <w:pStyle w:val="NoSpacing"/>
        <w:rPr>
          <w:rFonts w:ascii="Arial" w:hAnsi="Arial" w:cs="Arial"/>
          <w:b/>
        </w:rPr>
      </w:pPr>
      <w:r w:rsidRPr="0010271E">
        <w:rPr>
          <w:rFonts w:ascii="Arial" w:hAnsi="Arial" w:cs="Arial"/>
          <w:b/>
        </w:rPr>
        <w:t>C.4 Calculation of ELAFs for TCE</w:t>
      </w:r>
    </w:p>
    <w:p w14:paraId="3D85D412" w14:textId="77777777" w:rsidR="00412C30" w:rsidRDefault="00412C30" w:rsidP="00412C30">
      <w:pPr>
        <w:pStyle w:val="Normal1"/>
        <w:jc w:val="left"/>
      </w:pPr>
    </w:p>
    <w:p w14:paraId="3D85D413" w14:textId="77777777" w:rsidR="00412C30" w:rsidRDefault="00412C30" w:rsidP="00412C30">
      <w:pPr>
        <w:pStyle w:val="Normal1"/>
        <w:widowControl/>
        <w:jc w:val="left"/>
      </w:pPr>
      <w:r>
        <w:t>One issue that complicates the derivation of RBCs for TCE concerns the incorporation of early-life exposure. There are three cancer endpoints considered in the development of the carcinogenic slope factor and inhalation unit risk (IUR) factor for TCE: kidney cancer, liver cancer, and non-Hodgkins lymphoma. EPA determined that TCE was carcinogenic by a mutagenic mode of action for kidney cancer (renal cell carcinoma). Accordingly, age-dependent adjustment factors should be used to evaluate early-life exposure to TCE for this endpoint, presumed to be initiated by a mutagenic mode of action. However, EPA did not determine that there is a mutagenic mode of action for the other two cancer endpoints. The precise method for calculating RBCs for TCE is to use slope factors and IURs for each cancer endpoint, determine an RBC for kidney cancer using ADAFs, determine RBCs for liver cancer and non-Hodgkins lymphoma without assuming early-life exposure, and combine the individual endpoint RBCs to get a comprehensive RBC using the following equation:</w:t>
      </w:r>
    </w:p>
    <w:p w14:paraId="3D85D414" w14:textId="77777777" w:rsidR="00412C30" w:rsidRDefault="00412C30" w:rsidP="00412C30">
      <w:pPr>
        <w:pStyle w:val="Normal1"/>
        <w:widowControl/>
        <w:jc w:val="left"/>
      </w:pPr>
      <w:r>
        <w:tab/>
      </w:r>
    </w:p>
    <w:p w14:paraId="3D85D415" w14:textId="77777777" w:rsidR="00412C30" w:rsidRDefault="00412C30" w:rsidP="00412C30">
      <w:pPr>
        <w:pStyle w:val="Normal1"/>
        <w:widowControl/>
        <w:ind w:firstLine="720"/>
        <w:jc w:val="left"/>
      </w:pPr>
      <w:r>
        <w:t>RBC</w:t>
      </w:r>
      <w:r>
        <w:rPr>
          <w:vertAlign w:val="subscript"/>
        </w:rPr>
        <w:t>TCE-total</w:t>
      </w:r>
      <w:r>
        <w:tab/>
        <w:t>=</w:t>
      </w:r>
      <w:r>
        <w:tab/>
        <w:t>____________________</w:t>
      </w:r>
      <w:r>
        <w:rPr>
          <w:u w:val="single"/>
        </w:rPr>
        <w:t>1</w:t>
      </w:r>
      <w:r>
        <w:t>_____________________</w:t>
      </w:r>
    </w:p>
    <w:p w14:paraId="3D85D416" w14:textId="77777777" w:rsidR="00412C30" w:rsidRDefault="00412C30" w:rsidP="00412C30">
      <w:pPr>
        <w:pStyle w:val="Normal1"/>
        <w:widowControl/>
        <w:jc w:val="left"/>
      </w:pPr>
      <w:r>
        <w:tab/>
      </w:r>
      <w:r>
        <w:tab/>
      </w:r>
      <w:r>
        <w:tab/>
      </w:r>
      <w:r>
        <w:tab/>
      </w:r>
      <w:r w:rsidR="00DD272F">
        <w:tab/>
      </w:r>
      <w:r>
        <w:t>(1/RBC</w:t>
      </w:r>
      <w:r>
        <w:rPr>
          <w:vertAlign w:val="subscript"/>
        </w:rPr>
        <w:t>TCE-kidney</w:t>
      </w:r>
      <w:r>
        <w:t>) + (1/RBC</w:t>
      </w:r>
      <w:r>
        <w:rPr>
          <w:vertAlign w:val="subscript"/>
        </w:rPr>
        <w:t>TCE-liver</w:t>
      </w:r>
      <w:r>
        <w:t>) + (1/RBC</w:t>
      </w:r>
      <w:r>
        <w:rPr>
          <w:vertAlign w:val="subscript"/>
        </w:rPr>
        <w:t>TCE-lymphoma</w:t>
      </w:r>
      <w:r>
        <w:t>)</w:t>
      </w:r>
    </w:p>
    <w:p w14:paraId="3D85D417" w14:textId="77777777" w:rsidR="00412C30" w:rsidRDefault="00412C30" w:rsidP="00412C30">
      <w:pPr>
        <w:pStyle w:val="Normal1"/>
        <w:widowControl/>
        <w:jc w:val="left"/>
      </w:pPr>
    </w:p>
    <w:p w14:paraId="3D85D418" w14:textId="77777777" w:rsidR="00412C30" w:rsidRDefault="00412C30" w:rsidP="00412C30">
      <w:pPr>
        <w:pStyle w:val="Normal1"/>
        <w:widowControl/>
        <w:jc w:val="left"/>
      </w:pPr>
      <w:r>
        <w:t>DEQ used this approach to develop the current RBCs for TCE using default exposure assumptions. To develop site-specific RBCs for TCE, we determine</w:t>
      </w:r>
      <w:r w:rsidR="00D41332">
        <w:t>d</w:t>
      </w:r>
      <w:r>
        <w:t xml:space="preserve"> RBCs separately for each toxic endpoint, and then combine</w:t>
      </w:r>
      <w:r w:rsidR="00D41332">
        <w:t>d</w:t>
      </w:r>
      <w:r>
        <w:t xml:space="preserve"> the RBCs to derive a total RBC as shown above. The toxicity values for each endpoint are the following:</w:t>
      </w:r>
    </w:p>
    <w:p w14:paraId="3D85D419" w14:textId="77777777" w:rsidR="00405B77" w:rsidRDefault="00405B77" w:rsidP="00412C30">
      <w:pPr>
        <w:pStyle w:val="Normal1"/>
        <w:widowControl/>
        <w:jc w:val="left"/>
      </w:pPr>
    </w:p>
    <w:p w14:paraId="3D85D41A" w14:textId="77777777" w:rsidR="00412C30" w:rsidRDefault="00412C30" w:rsidP="00412C30">
      <w:pPr>
        <w:pStyle w:val="Normal1"/>
        <w:widowControl/>
        <w:jc w:val="left"/>
      </w:pP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3420"/>
        <w:gridCol w:w="3420"/>
      </w:tblGrid>
      <w:tr w:rsidR="00E220C0" w14:paraId="3D85D41F" w14:textId="77777777" w:rsidTr="00E220C0">
        <w:trPr>
          <w:trHeight w:val="656"/>
          <w:jc w:val="center"/>
        </w:trPr>
        <w:tc>
          <w:tcPr>
            <w:tcW w:w="2808" w:type="dxa"/>
            <w:vAlign w:val="center"/>
          </w:tcPr>
          <w:p w14:paraId="3D85D41B" w14:textId="77777777" w:rsidR="00E220C0" w:rsidRDefault="00E220C0" w:rsidP="00412C30">
            <w:pPr>
              <w:pStyle w:val="Normal1"/>
              <w:widowControl/>
              <w:tabs>
                <w:tab w:val="center" w:pos="4320"/>
                <w:tab w:val="right" w:pos="8640"/>
              </w:tabs>
              <w:jc w:val="center"/>
              <w:rPr>
                <w:b/>
              </w:rPr>
            </w:pPr>
            <w:r>
              <w:rPr>
                <w:b/>
              </w:rPr>
              <w:t>Toxic Endpoint</w:t>
            </w:r>
          </w:p>
        </w:tc>
        <w:tc>
          <w:tcPr>
            <w:tcW w:w="3420" w:type="dxa"/>
          </w:tcPr>
          <w:p w14:paraId="3D85D41C" w14:textId="77777777" w:rsidR="00E220C0" w:rsidRDefault="00E220C0" w:rsidP="00412C30">
            <w:pPr>
              <w:pStyle w:val="Normal1"/>
              <w:widowControl/>
              <w:tabs>
                <w:tab w:val="center" w:pos="4320"/>
                <w:tab w:val="right" w:pos="8640"/>
              </w:tabs>
              <w:jc w:val="center"/>
              <w:rPr>
                <w:b/>
              </w:rPr>
            </w:pPr>
            <w:r>
              <w:rPr>
                <w:b/>
              </w:rPr>
              <w:t>TCE Inhalation Unit Risk</w:t>
            </w:r>
          </w:p>
          <w:p w14:paraId="3D85D41D" w14:textId="77777777" w:rsidR="00E220C0" w:rsidRDefault="00E220C0" w:rsidP="00E220C0">
            <w:pPr>
              <w:pStyle w:val="Normal1"/>
              <w:widowControl/>
              <w:tabs>
                <w:tab w:val="center" w:pos="4320"/>
                <w:tab w:val="right" w:pos="8640"/>
              </w:tabs>
              <w:jc w:val="center"/>
              <w:rPr>
                <w:b/>
              </w:rPr>
            </w:pPr>
            <w:r>
              <w:rPr>
                <w:b/>
              </w:rPr>
              <w:t>IUR (</w:t>
            </w:r>
            <w:r>
              <w:rPr>
                <w:rFonts w:ascii="Calibri" w:eastAsia="Calibri" w:hAnsi="Calibri" w:cs="Calibri"/>
                <w:b/>
              </w:rPr>
              <w:t>μ</w:t>
            </w:r>
            <w:r>
              <w:rPr>
                <w:b/>
              </w:rPr>
              <w:t>g/m</w:t>
            </w:r>
            <w:r>
              <w:rPr>
                <w:b/>
                <w:vertAlign w:val="superscript"/>
              </w:rPr>
              <w:t>3</w:t>
            </w:r>
            <w:r>
              <w:rPr>
                <w:b/>
              </w:rPr>
              <w:t>)</w:t>
            </w:r>
            <w:r>
              <w:rPr>
                <w:b/>
                <w:vertAlign w:val="superscript"/>
              </w:rPr>
              <w:t>-1</w:t>
            </w:r>
          </w:p>
        </w:tc>
        <w:tc>
          <w:tcPr>
            <w:tcW w:w="3420" w:type="dxa"/>
          </w:tcPr>
          <w:p w14:paraId="3D85D41E" w14:textId="77777777" w:rsidR="00E220C0" w:rsidRDefault="00E220C0" w:rsidP="00E220C0">
            <w:pPr>
              <w:pStyle w:val="Normal1"/>
              <w:widowControl/>
              <w:tabs>
                <w:tab w:val="center" w:pos="4320"/>
                <w:tab w:val="right" w:pos="8640"/>
              </w:tabs>
              <w:jc w:val="center"/>
              <w:rPr>
                <w:b/>
              </w:rPr>
            </w:pPr>
            <w:r>
              <w:rPr>
                <w:b/>
              </w:rPr>
              <w:t>TCE Toxicity Reference Value TRV (</w:t>
            </w:r>
            <w:r>
              <w:rPr>
                <w:rFonts w:ascii="Calibri" w:eastAsia="Calibri" w:hAnsi="Calibri" w:cs="Calibri"/>
                <w:b/>
              </w:rPr>
              <w:t>μ</w:t>
            </w:r>
            <w:r>
              <w:rPr>
                <w:b/>
              </w:rPr>
              <w:t>g/m</w:t>
            </w:r>
            <w:r>
              <w:rPr>
                <w:b/>
                <w:vertAlign w:val="superscript"/>
              </w:rPr>
              <w:t>3</w:t>
            </w:r>
            <w:r>
              <w:rPr>
                <w:b/>
              </w:rPr>
              <w:t>)</w:t>
            </w:r>
          </w:p>
        </w:tc>
      </w:tr>
      <w:tr w:rsidR="00E220C0" w14:paraId="3D85D423" w14:textId="77777777" w:rsidTr="00E220C0">
        <w:trPr>
          <w:jc w:val="center"/>
        </w:trPr>
        <w:tc>
          <w:tcPr>
            <w:tcW w:w="2808" w:type="dxa"/>
          </w:tcPr>
          <w:p w14:paraId="3D85D420" w14:textId="77777777" w:rsidR="00E220C0" w:rsidRDefault="00E220C0" w:rsidP="00412C30">
            <w:pPr>
              <w:pStyle w:val="Normal1"/>
              <w:widowControl/>
              <w:tabs>
                <w:tab w:val="center" w:pos="4320"/>
                <w:tab w:val="right" w:pos="8640"/>
              </w:tabs>
              <w:jc w:val="left"/>
            </w:pPr>
            <w:r>
              <w:t>Kidney cancer</w:t>
            </w:r>
          </w:p>
        </w:tc>
        <w:tc>
          <w:tcPr>
            <w:tcW w:w="3420" w:type="dxa"/>
          </w:tcPr>
          <w:p w14:paraId="3D85D421" w14:textId="77777777" w:rsidR="00E220C0" w:rsidRDefault="00E220C0" w:rsidP="00412C30">
            <w:pPr>
              <w:pStyle w:val="Normal1"/>
              <w:widowControl/>
              <w:tabs>
                <w:tab w:val="center" w:pos="4320"/>
                <w:tab w:val="right" w:pos="8640"/>
              </w:tabs>
              <w:jc w:val="center"/>
              <w:rPr>
                <w:vertAlign w:val="superscript"/>
              </w:rPr>
            </w:pPr>
            <w:r>
              <w:t>1.0 x 10</w:t>
            </w:r>
            <w:r>
              <w:rPr>
                <w:vertAlign w:val="superscript"/>
              </w:rPr>
              <w:t>-6</w:t>
            </w:r>
          </w:p>
        </w:tc>
        <w:tc>
          <w:tcPr>
            <w:tcW w:w="3420" w:type="dxa"/>
          </w:tcPr>
          <w:p w14:paraId="3D85D422" w14:textId="77777777" w:rsidR="00E220C0" w:rsidRDefault="00E220C0" w:rsidP="00412C30">
            <w:pPr>
              <w:pStyle w:val="Normal1"/>
              <w:widowControl/>
              <w:tabs>
                <w:tab w:val="center" w:pos="4320"/>
                <w:tab w:val="right" w:pos="8640"/>
              </w:tabs>
              <w:jc w:val="center"/>
            </w:pPr>
            <w:r>
              <w:t>1</w:t>
            </w:r>
          </w:p>
        </w:tc>
      </w:tr>
      <w:tr w:rsidR="00E220C0" w14:paraId="3D85D427" w14:textId="77777777" w:rsidTr="00E220C0">
        <w:trPr>
          <w:jc w:val="center"/>
        </w:trPr>
        <w:tc>
          <w:tcPr>
            <w:tcW w:w="2808" w:type="dxa"/>
          </w:tcPr>
          <w:p w14:paraId="3D85D424" w14:textId="77777777" w:rsidR="00E220C0" w:rsidRDefault="00E220C0" w:rsidP="00412C30">
            <w:pPr>
              <w:pStyle w:val="Normal1"/>
              <w:widowControl/>
              <w:tabs>
                <w:tab w:val="center" w:pos="4320"/>
                <w:tab w:val="right" w:pos="8640"/>
              </w:tabs>
              <w:jc w:val="left"/>
            </w:pPr>
            <w:r>
              <w:t>Liver cancer</w:t>
            </w:r>
          </w:p>
        </w:tc>
        <w:tc>
          <w:tcPr>
            <w:tcW w:w="3420" w:type="dxa"/>
          </w:tcPr>
          <w:p w14:paraId="3D85D425" w14:textId="77777777" w:rsidR="00E220C0" w:rsidRDefault="00E220C0" w:rsidP="00412C30">
            <w:pPr>
              <w:pStyle w:val="Normal1"/>
              <w:widowControl/>
              <w:tabs>
                <w:tab w:val="center" w:pos="4320"/>
                <w:tab w:val="right" w:pos="8640"/>
              </w:tabs>
              <w:jc w:val="center"/>
              <w:rPr>
                <w:vertAlign w:val="superscript"/>
              </w:rPr>
            </w:pPr>
            <w:r>
              <w:t>1.0 x 10</w:t>
            </w:r>
            <w:r>
              <w:rPr>
                <w:vertAlign w:val="superscript"/>
              </w:rPr>
              <w:t>-6</w:t>
            </w:r>
          </w:p>
        </w:tc>
        <w:tc>
          <w:tcPr>
            <w:tcW w:w="3420" w:type="dxa"/>
          </w:tcPr>
          <w:p w14:paraId="3D85D426" w14:textId="77777777" w:rsidR="00E220C0" w:rsidRDefault="00E220C0" w:rsidP="00412C30">
            <w:pPr>
              <w:pStyle w:val="Normal1"/>
              <w:widowControl/>
              <w:tabs>
                <w:tab w:val="center" w:pos="4320"/>
                <w:tab w:val="right" w:pos="8640"/>
              </w:tabs>
              <w:jc w:val="center"/>
            </w:pPr>
            <w:r>
              <w:t>1</w:t>
            </w:r>
          </w:p>
        </w:tc>
      </w:tr>
      <w:tr w:rsidR="00E220C0" w14:paraId="3D85D42B" w14:textId="77777777" w:rsidTr="00E220C0">
        <w:trPr>
          <w:jc w:val="center"/>
        </w:trPr>
        <w:tc>
          <w:tcPr>
            <w:tcW w:w="2808" w:type="dxa"/>
          </w:tcPr>
          <w:p w14:paraId="3D85D428" w14:textId="77777777" w:rsidR="00E220C0" w:rsidRDefault="00E220C0" w:rsidP="00412C30">
            <w:pPr>
              <w:pStyle w:val="Normal1"/>
              <w:widowControl/>
              <w:tabs>
                <w:tab w:val="center" w:pos="4320"/>
                <w:tab w:val="right" w:pos="8640"/>
              </w:tabs>
              <w:jc w:val="left"/>
            </w:pPr>
            <w:r>
              <w:t>Non-Hodgkins lymphoma</w:t>
            </w:r>
          </w:p>
        </w:tc>
        <w:tc>
          <w:tcPr>
            <w:tcW w:w="3420" w:type="dxa"/>
          </w:tcPr>
          <w:p w14:paraId="3D85D429" w14:textId="77777777" w:rsidR="00E220C0" w:rsidRDefault="00E220C0" w:rsidP="00412C30">
            <w:pPr>
              <w:pStyle w:val="Normal1"/>
              <w:widowControl/>
              <w:tabs>
                <w:tab w:val="center" w:pos="4320"/>
                <w:tab w:val="right" w:pos="8640"/>
              </w:tabs>
              <w:jc w:val="center"/>
            </w:pPr>
            <w:r>
              <w:t>2.1 x 10</w:t>
            </w:r>
            <w:r>
              <w:rPr>
                <w:vertAlign w:val="superscript"/>
              </w:rPr>
              <w:t>-6</w:t>
            </w:r>
          </w:p>
        </w:tc>
        <w:tc>
          <w:tcPr>
            <w:tcW w:w="3420" w:type="dxa"/>
          </w:tcPr>
          <w:p w14:paraId="3D85D42A" w14:textId="77777777" w:rsidR="00E220C0" w:rsidRDefault="00E220C0" w:rsidP="00412C30">
            <w:pPr>
              <w:pStyle w:val="Normal1"/>
              <w:widowControl/>
              <w:tabs>
                <w:tab w:val="center" w:pos="4320"/>
                <w:tab w:val="right" w:pos="8640"/>
              </w:tabs>
              <w:jc w:val="center"/>
            </w:pPr>
            <w:r>
              <w:t>0.48</w:t>
            </w:r>
          </w:p>
        </w:tc>
      </w:tr>
      <w:tr w:rsidR="00E220C0" w14:paraId="3D85D42F" w14:textId="77777777" w:rsidTr="00E220C0">
        <w:trPr>
          <w:jc w:val="center"/>
        </w:trPr>
        <w:tc>
          <w:tcPr>
            <w:tcW w:w="2808" w:type="dxa"/>
          </w:tcPr>
          <w:p w14:paraId="3D85D42C" w14:textId="77777777" w:rsidR="00E220C0" w:rsidRDefault="00E220C0" w:rsidP="00412C30">
            <w:pPr>
              <w:pStyle w:val="Normal1"/>
              <w:widowControl/>
              <w:tabs>
                <w:tab w:val="center" w:pos="4320"/>
                <w:tab w:val="right" w:pos="8640"/>
              </w:tabs>
              <w:jc w:val="left"/>
            </w:pPr>
            <w:r>
              <w:t>Total</w:t>
            </w:r>
          </w:p>
        </w:tc>
        <w:tc>
          <w:tcPr>
            <w:tcW w:w="3420" w:type="dxa"/>
          </w:tcPr>
          <w:p w14:paraId="3D85D42D" w14:textId="77777777" w:rsidR="00E220C0" w:rsidRDefault="00E220C0" w:rsidP="00412C30">
            <w:pPr>
              <w:pStyle w:val="Normal1"/>
              <w:widowControl/>
              <w:tabs>
                <w:tab w:val="center" w:pos="4320"/>
                <w:tab w:val="right" w:pos="8640"/>
              </w:tabs>
              <w:jc w:val="center"/>
              <w:rPr>
                <w:vertAlign w:val="superscript"/>
              </w:rPr>
            </w:pPr>
            <w:r>
              <w:t>4.1 x 10</w:t>
            </w:r>
            <w:r>
              <w:rPr>
                <w:vertAlign w:val="superscript"/>
              </w:rPr>
              <w:t>-6</w:t>
            </w:r>
          </w:p>
        </w:tc>
        <w:tc>
          <w:tcPr>
            <w:tcW w:w="3420" w:type="dxa"/>
          </w:tcPr>
          <w:p w14:paraId="3D85D42E" w14:textId="77777777" w:rsidR="00E220C0" w:rsidRDefault="00E220C0" w:rsidP="00412C30">
            <w:pPr>
              <w:pStyle w:val="Normal1"/>
              <w:widowControl/>
              <w:tabs>
                <w:tab w:val="center" w:pos="4320"/>
                <w:tab w:val="right" w:pos="8640"/>
              </w:tabs>
              <w:jc w:val="center"/>
            </w:pPr>
            <w:r>
              <w:t>0.24</w:t>
            </w:r>
          </w:p>
        </w:tc>
      </w:tr>
    </w:tbl>
    <w:p w14:paraId="3D85D430" w14:textId="77777777" w:rsidR="00412C30" w:rsidRDefault="00412C30" w:rsidP="00412C30">
      <w:pPr>
        <w:pStyle w:val="Normal1"/>
        <w:widowControl/>
        <w:jc w:val="left"/>
      </w:pPr>
    </w:p>
    <w:p w14:paraId="3D85D431" w14:textId="77777777" w:rsidR="00412C30" w:rsidRPr="00DD6715" w:rsidRDefault="00E220C0" w:rsidP="00412C30">
      <w:pPr>
        <w:pStyle w:val="Normal1"/>
        <w:jc w:val="left"/>
        <w:rPr>
          <w:b/>
        </w:rPr>
      </w:pPr>
      <w:r w:rsidRPr="00DD6715">
        <w:rPr>
          <w:b/>
        </w:rPr>
        <w:t>Note:</w:t>
      </w:r>
    </w:p>
    <w:p w14:paraId="3D85D432" w14:textId="77777777" w:rsidR="00E220C0" w:rsidRDefault="00E220C0" w:rsidP="00412C30">
      <w:pPr>
        <w:pStyle w:val="Normal1"/>
        <w:jc w:val="left"/>
      </w:pPr>
      <w:r>
        <w:t>TRV based on one-in-one-million excess cancer risk.</w:t>
      </w:r>
    </w:p>
    <w:p w14:paraId="3D85D433" w14:textId="77777777" w:rsidR="00412C30" w:rsidRDefault="00412C30" w:rsidP="00412C30">
      <w:pPr>
        <w:pStyle w:val="Normal1"/>
      </w:pPr>
    </w:p>
    <w:p w14:paraId="3D85D434" w14:textId="77777777" w:rsidR="00412C30" w:rsidRPr="0010271E" w:rsidRDefault="00412C30" w:rsidP="0010271E">
      <w:pPr>
        <w:pStyle w:val="NoSpacing"/>
        <w:rPr>
          <w:rFonts w:ascii="Arial" w:hAnsi="Arial" w:cs="Arial"/>
          <w:b/>
          <w:color w:val="FF0000"/>
        </w:rPr>
      </w:pPr>
      <w:r w:rsidRPr="0010271E">
        <w:rPr>
          <w:rFonts w:ascii="Arial" w:hAnsi="Arial" w:cs="Arial"/>
          <w:b/>
        </w:rPr>
        <w:t>C.5 Calculation of ELAFs for Vinyl Chloride</w:t>
      </w:r>
    </w:p>
    <w:p w14:paraId="3D85D435" w14:textId="77777777" w:rsidR="00412C30" w:rsidRDefault="00412C30" w:rsidP="00412C30">
      <w:pPr>
        <w:pStyle w:val="Normal1"/>
      </w:pPr>
    </w:p>
    <w:p w14:paraId="3D85D436" w14:textId="77777777" w:rsidR="00412C30" w:rsidRDefault="00412C30" w:rsidP="00412C30">
      <w:pPr>
        <w:pStyle w:val="Normal1"/>
        <w:jc w:val="left"/>
      </w:pPr>
      <w:r>
        <w:t>EPA's Integrated Risk Information System (IRIS) report for vinyl chloride includes two derivations of IUR factors, one based on the linearized multistage (LMS) procedure, and one based on the LED</w:t>
      </w:r>
      <w:r>
        <w:rPr>
          <w:vertAlign w:val="subscript"/>
        </w:rPr>
        <w:t>10</w:t>
      </w:r>
      <w:r>
        <w:t xml:space="preserve"> approach (EPA 2000). The LED</w:t>
      </w:r>
      <w:r>
        <w:rPr>
          <w:vertAlign w:val="subscript"/>
        </w:rPr>
        <w:t>10</w:t>
      </w:r>
      <w:r>
        <w:t xml:space="preserve"> is the lower 95% limit on a dose that is estimated to cause a 10% response. The results are similar, but the LMS approach is used here because that is what is currently used by the EPA regions. For vinyl chloride, LMS values are slightly less conservative than IUR factors based on the LED</w:t>
      </w:r>
      <w:r>
        <w:rPr>
          <w:vertAlign w:val="subscript"/>
        </w:rPr>
        <w:t>10</w:t>
      </w:r>
      <w:r>
        <w:t xml:space="preserve"> approach.</w:t>
      </w:r>
    </w:p>
    <w:p w14:paraId="3D85D437" w14:textId="77777777" w:rsidR="00412C30" w:rsidRDefault="00412C30" w:rsidP="00412C30">
      <w:pPr>
        <w:pStyle w:val="Normal1"/>
        <w:jc w:val="left"/>
      </w:pPr>
    </w:p>
    <w:p w14:paraId="3D85D438" w14:textId="77777777" w:rsidR="00412C30" w:rsidRDefault="00412C30" w:rsidP="00412C30">
      <w:pPr>
        <w:pStyle w:val="Normal1"/>
        <w:jc w:val="left"/>
      </w:pPr>
      <w:r>
        <w:t>EPA provided IUR factors separately for lifetime exposure as an adult, and lifetime exposure beginning from birth. The values differ by a factor of 2. The unit risk factors provided in IRIS for inhalation exposure are 4.4 x 10</w:t>
      </w:r>
      <w:r>
        <w:rPr>
          <w:vertAlign w:val="superscript"/>
        </w:rPr>
        <w:t>-6</w:t>
      </w:r>
      <w:r>
        <w:t xml:space="preserve"> risk per μg/m</w:t>
      </w:r>
      <w:r>
        <w:rPr>
          <w:vertAlign w:val="superscript"/>
        </w:rPr>
        <w:t>3</w:t>
      </w:r>
      <w:r>
        <w:t xml:space="preserve"> for adult exposure, and 8.8 x 10</w:t>
      </w:r>
      <w:r>
        <w:rPr>
          <w:vertAlign w:val="superscript"/>
        </w:rPr>
        <w:t>-6</w:t>
      </w:r>
      <w:r>
        <w:t xml:space="preserve"> risk per ug/m</w:t>
      </w:r>
      <w:r>
        <w:rPr>
          <w:vertAlign w:val="superscript"/>
        </w:rPr>
        <w:t>3</w:t>
      </w:r>
      <w:r>
        <w:t xml:space="preserve"> for adult/child exposure. The Air Toxics Science Advisory Committee chose to use the adult/child IUR in developing an ambient benchmark concentration for vinyl chloride. Because DEQ decisions, including consultation with ATSAC, are the top tier in </w:t>
      </w:r>
      <w:r w:rsidR="00827053">
        <w:t>the</w:t>
      </w:r>
      <w:r>
        <w:t xml:space="preserve"> TRV selection hierarchy, we use the adult/child IUR for developing RBCs. This simplifies the development of an RBC for residential exposure, but complicates a non-residential child RBC.</w:t>
      </w:r>
    </w:p>
    <w:p w14:paraId="3D85D439" w14:textId="77777777" w:rsidR="00412C30" w:rsidRDefault="00412C30" w:rsidP="00412C30">
      <w:pPr>
        <w:pStyle w:val="Normal1"/>
        <w:jc w:val="left"/>
      </w:pPr>
    </w:p>
    <w:p w14:paraId="3D85D43A" w14:textId="77777777" w:rsidR="00412C30" w:rsidRDefault="00412C30" w:rsidP="00412C30">
      <w:pPr>
        <w:pStyle w:val="Normal1"/>
        <w:jc w:val="left"/>
      </w:pPr>
      <w:r>
        <w:t xml:space="preserve">An example is presented below for the calculation of the inhalation RBC for vinyl chloride. You can use similar concepts in a forward risk assessment. </w:t>
      </w:r>
    </w:p>
    <w:p w14:paraId="3D85D43B" w14:textId="77777777" w:rsidR="00DD272F" w:rsidRDefault="00DD272F" w:rsidP="00412C30">
      <w:pPr>
        <w:pStyle w:val="Normal1"/>
      </w:pPr>
    </w:p>
    <w:p w14:paraId="3D85D43C" w14:textId="77777777" w:rsidR="00412C30" w:rsidRDefault="00412C30" w:rsidP="00412C30">
      <w:pPr>
        <w:pStyle w:val="Normal1"/>
        <w:jc w:val="left"/>
      </w:pPr>
      <w:r>
        <w:t>For vinyl chloride, EPA concludes that because the effects of early-life exposure are qualitatively and quantitatively different from those of later exposures, it is not appropriate to prorate early-life exposures as if they were received at a proportionately lesser rate over a full lifetime. This feature of vinyl chloride toxicity must be considered in the derivation of RBCs for nonresidential exposure. It is already covered in the derivation of the residential RBC.</w:t>
      </w:r>
    </w:p>
    <w:p w14:paraId="3D85D43D" w14:textId="77777777" w:rsidR="00412C30" w:rsidRDefault="00412C30" w:rsidP="00412C30">
      <w:pPr>
        <w:pStyle w:val="Normal1"/>
      </w:pPr>
    </w:p>
    <w:p w14:paraId="3D85D43E" w14:textId="77777777" w:rsidR="00412C30" w:rsidRDefault="00412C30" w:rsidP="00412C30">
      <w:pPr>
        <w:pStyle w:val="Normal1"/>
        <w:jc w:val="left"/>
      </w:pPr>
      <w:r>
        <w:t xml:space="preserve">Following EPA's example, early-life exposure is estimated assuming a lifetime of exposure using the lower (adult) slope factor. For an exposure scenario involving both early-life and </w:t>
      </w:r>
      <w:r w:rsidR="00827053">
        <w:t>additional</w:t>
      </w:r>
      <w:r>
        <w:t xml:space="preserve"> exposure, the early-life exposure (which is a single value and is not pro-rated for reduced exposure time) is added to a child’s nonresidential exposure (which can be pro-rated). </w:t>
      </w:r>
    </w:p>
    <w:p w14:paraId="3D85D43F" w14:textId="77777777" w:rsidR="00412C30" w:rsidRDefault="00412C30" w:rsidP="00412C30">
      <w:pPr>
        <w:pStyle w:val="Normal1"/>
      </w:pPr>
    </w:p>
    <w:p w14:paraId="3D85D440" w14:textId="77777777" w:rsidR="00412C30" w:rsidRDefault="00412C30" w:rsidP="00412C30">
      <w:pPr>
        <w:pStyle w:val="Normal1"/>
        <w:jc w:val="left"/>
      </w:pPr>
      <w:r>
        <w:t xml:space="preserve">To show explicitly how early-life and adult exposure are incorporated, the following </w:t>
      </w:r>
      <w:r w:rsidR="00827053">
        <w:t xml:space="preserve">is </w:t>
      </w:r>
      <w:r w:rsidR="004B109B">
        <w:t xml:space="preserve">the </w:t>
      </w:r>
      <w:r w:rsidR="00827053">
        <w:t xml:space="preserve">general </w:t>
      </w:r>
      <w:r>
        <w:t xml:space="preserve">RBC </w:t>
      </w:r>
      <w:r w:rsidR="00827053">
        <w:t>equation</w:t>
      </w:r>
      <w:r>
        <w:t>:</w:t>
      </w:r>
    </w:p>
    <w:p w14:paraId="3D85D441" w14:textId="77777777" w:rsidR="00412C30" w:rsidRDefault="00412C30" w:rsidP="00412C30">
      <w:pPr>
        <w:pStyle w:val="Normal1"/>
      </w:pPr>
    </w:p>
    <w:tbl>
      <w:tblPr>
        <w:tblW w:w="0" w:type="auto"/>
        <w:jc w:val="center"/>
        <w:tblLayout w:type="fixed"/>
        <w:tblLook w:val="0000" w:firstRow="0" w:lastRow="0" w:firstColumn="0" w:lastColumn="0" w:noHBand="0" w:noVBand="0"/>
      </w:tblPr>
      <w:tblGrid>
        <w:gridCol w:w="8496"/>
        <w:gridCol w:w="864"/>
      </w:tblGrid>
      <w:tr w:rsidR="00DD272F" w14:paraId="3D85D444" w14:textId="77777777" w:rsidTr="00DD272F">
        <w:trPr>
          <w:cantSplit/>
          <w:jc w:val="center"/>
        </w:trPr>
        <w:tc>
          <w:tcPr>
            <w:tcW w:w="8496" w:type="dxa"/>
          </w:tcPr>
          <w:p w14:paraId="3D85D442" w14:textId="77777777" w:rsidR="00DD272F" w:rsidRDefault="004B109B" w:rsidP="00DD272F">
            <w:pPr>
              <w:pStyle w:val="Equation"/>
              <w:rPr>
                <w:b/>
              </w:rPr>
            </w:pPr>
            <w:r w:rsidRPr="00DD272F">
              <w:rPr>
                <w:b/>
                <w:position w:val="-30"/>
              </w:rPr>
              <w:object w:dxaOrig="3300" w:dyaOrig="680" w14:anchorId="3D85D53B">
                <v:shape id="_x0000_i1032" type="#_x0000_t75" style="width:163.8pt;height:34.8pt" o:ole="" fillcolor="window">
                  <v:imagedata r:id="rId57" o:title=""/>
                </v:shape>
                <o:OLEObject Type="Embed" ProgID="Equation.3" ShapeID="_x0000_i1032" DrawAspect="Content" ObjectID="_1570368279" r:id="rId58"/>
              </w:object>
            </w:r>
          </w:p>
        </w:tc>
        <w:tc>
          <w:tcPr>
            <w:tcW w:w="864" w:type="dxa"/>
          </w:tcPr>
          <w:p w14:paraId="3D85D443" w14:textId="77777777" w:rsidR="00DD272F" w:rsidRDefault="00DD272F" w:rsidP="00DD272F">
            <w:pPr>
              <w:pStyle w:val="EqnNumber"/>
              <w:spacing w:after="240"/>
            </w:pPr>
          </w:p>
        </w:tc>
      </w:tr>
    </w:tbl>
    <w:p w14:paraId="3D85D445" w14:textId="77777777" w:rsidR="00412C30" w:rsidRDefault="00412C30" w:rsidP="00412C30">
      <w:pPr>
        <w:pStyle w:val="Normal1"/>
      </w:pPr>
      <w:r>
        <w:t>Where:</w:t>
      </w:r>
    </w:p>
    <w:p w14:paraId="3D85D446" w14:textId="77777777" w:rsidR="00412C30" w:rsidRDefault="00412C30" w:rsidP="00412C30">
      <w:pPr>
        <w:pStyle w:val="Normal1"/>
      </w:pPr>
      <w:r>
        <w:t>RBC</w:t>
      </w:r>
      <w:r>
        <w:rPr>
          <w:vertAlign w:val="subscript"/>
        </w:rPr>
        <w:t>air</w:t>
      </w:r>
      <w:r>
        <w:tab/>
        <w:t>=  Risk based concentration for inhalation of air (µg/m</w:t>
      </w:r>
      <w:r>
        <w:rPr>
          <w:vertAlign w:val="superscript"/>
        </w:rPr>
        <w:t>3</w:t>
      </w:r>
      <w:r>
        <w:t>)</w:t>
      </w:r>
    </w:p>
    <w:p w14:paraId="3D85D447" w14:textId="77777777" w:rsidR="00412C30" w:rsidRDefault="00412C30" w:rsidP="00412C30">
      <w:pPr>
        <w:pStyle w:val="Normal1"/>
      </w:pPr>
      <w:r>
        <w:t>ATc</w:t>
      </w:r>
      <w:r>
        <w:tab/>
        <w:t>=  Averaging time, carcinogens (70 years)</w:t>
      </w:r>
    </w:p>
    <w:p w14:paraId="3D85D448" w14:textId="77777777" w:rsidR="004B109B" w:rsidRDefault="004B109B" w:rsidP="004B109B">
      <w:pPr>
        <w:pStyle w:val="Normal1"/>
      </w:pPr>
      <w:r>
        <w:t>ED</w:t>
      </w:r>
      <w:r>
        <w:tab/>
      </w:r>
      <w:r>
        <w:tab/>
        <w:t>=  Exposure duration (yr)</w:t>
      </w:r>
    </w:p>
    <w:p w14:paraId="3D85D449" w14:textId="77777777" w:rsidR="00412C30" w:rsidRDefault="00412C30" w:rsidP="00412C30">
      <w:pPr>
        <w:pStyle w:val="Normal1"/>
      </w:pPr>
      <w:r>
        <w:t>EF</w:t>
      </w:r>
      <w:r>
        <w:rPr>
          <w:vertAlign w:val="subscript"/>
        </w:rPr>
        <w:t>r</w:t>
      </w:r>
      <w:r>
        <w:tab/>
      </w:r>
      <w:r>
        <w:tab/>
        <w:t>=  Exposure frequency, residential (3</w:t>
      </w:r>
      <w:r w:rsidR="004B109B">
        <w:t>6</w:t>
      </w:r>
      <w:r>
        <w:t>5 days/year)</w:t>
      </w:r>
    </w:p>
    <w:p w14:paraId="3D85D44A" w14:textId="77777777" w:rsidR="00412C30" w:rsidRDefault="00412C30" w:rsidP="00412C30">
      <w:pPr>
        <w:pStyle w:val="Normal1"/>
      </w:pPr>
      <w:r w:rsidRPr="00405B77">
        <w:t>TRV</w:t>
      </w:r>
      <w:r w:rsidRPr="00405B77">
        <w:tab/>
        <w:t>=  Toxicity reference value (</w:t>
      </w:r>
      <w:r w:rsidRPr="00405B77">
        <w:rPr>
          <w:rFonts w:ascii="Calibri" w:eastAsia="Calibri" w:hAnsi="Calibri" w:cs="Calibri"/>
        </w:rPr>
        <w:t>μ</w:t>
      </w:r>
      <w:r w:rsidRPr="00405B77">
        <w:t>g/m</w:t>
      </w:r>
      <w:r w:rsidRPr="00405B77">
        <w:rPr>
          <w:vertAlign w:val="superscript"/>
        </w:rPr>
        <w:t>3</w:t>
      </w:r>
      <w:r w:rsidRPr="00405B77">
        <w:t>)</w:t>
      </w:r>
    </w:p>
    <w:p w14:paraId="3D85D44B" w14:textId="77777777" w:rsidR="00412C30" w:rsidRDefault="00412C30" w:rsidP="00412C30">
      <w:pPr>
        <w:pStyle w:val="Normal1"/>
      </w:pPr>
    </w:p>
    <w:p w14:paraId="3D85D44C" w14:textId="77777777" w:rsidR="00412C30" w:rsidRDefault="00412C30" w:rsidP="00412C30">
      <w:pPr>
        <w:pStyle w:val="Normal1"/>
      </w:pPr>
      <w:r>
        <w:t xml:space="preserve">Because DEQ followed the ATSAC recommendation to develop a vinyl chloride TRV that includes early-life exposure, for this more detailed calculation we multiplied the early-life TRV of 0.1 </w:t>
      </w:r>
      <w:r>
        <w:rPr>
          <w:rFonts w:ascii="Calibri" w:eastAsia="Calibri" w:hAnsi="Calibri" w:cs="Calibri"/>
        </w:rPr>
        <w:t>μ</w:t>
      </w:r>
      <w:r>
        <w:t>g/m</w:t>
      </w:r>
      <w:r>
        <w:rPr>
          <w:vertAlign w:val="superscript"/>
        </w:rPr>
        <w:t>3</w:t>
      </w:r>
      <w:r>
        <w:t xml:space="preserve"> by 2 to get a non-early-life TRV of 0.2 </w:t>
      </w:r>
      <w:r>
        <w:rPr>
          <w:rFonts w:ascii="Calibri" w:eastAsia="Calibri" w:hAnsi="Calibri" w:cs="Calibri"/>
        </w:rPr>
        <w:t>μ</w:t>
      </w:r>
      <w:r>
        <w:t>g/m</w:t>
      </w:r>
      <w:r>
        <w:rPr>
          <w:vertAlign w:val="superscript"/>
        </w:rPr>
        <w:t>3</w:t>
      </w:r>
      <w:r>
        <w:t>.</w:t>
      </w:r>
    </w:p>
    <w:p w14:paraId="3D85D44D" w14:textId="77777777" w:rsidR="00412C30" w:rsidRDefault="00412C30" w:rsidP="00412C30">
      <w:pPr>
        <w:pStyle w:val="Normal1"/>
      </w:pPr>
    </w:p>
    <w:p w14:paraId="3D85D44E" w14:textId="77777777" w:rsidR="00412C30" w:rsidRDefault="00827053" w:rsidP="00412C30">
      <w:pPr>
        <w:pStyle w:val="Normal1"/>
        <w:jc w:val="left"/>
      </w:pPr>
      <w:r>
        <w:t xml:space="preserve">The RBC equation was applied separately for early-life exposure, and exposure other than early-life. </w:t>
      </w:r>
      <w:r w:rsidR="00412C30">
        <w:t>Early-life exposure is assumed to be equivalent to a lifetime of adult exposure (70 years).</w:t>
      </w:r>
    </w:p>
    <w:p w14:paraId="3D85D44F" w14:textId="77777777" w:rsidR="00DD272F" w:rsidRDefault="00DD272F" w:rsidP="00412C30">
      <w:pPr>
        <w:pStyle w:val="Normal1"/>
        <w:jc w:val="left"/>
      </w:pPr>
    </w:p>
    <w:p w14:paraId="3D85D450" w14:textId="77777777" w:rsidR="00DD272F" w:rsidRDefault="004B109B" w:rsidP="00DD272F">
      <w:pPr>
        <w:pStyle w:val="Equation"/>
        <w:rPr>
          <w:b/>
        </w:rPr>
      </w:pPr>
      <w:r w:rsidRPr="007C4FE1">
        <w:rPr>
          <w:b/>
          <w:position w:val="-28"/>
        </w:rPr>
        <w:object w:dxaOrig="4300" w:dyaOrig="700" w14:anchorId="3D85D53C">
          <v:shape id="_x0000_i1033" type="#_x0000_t75" style="width:217.8pt;height:36pt" o:ole="" fillcolor="window">
            <v:imagedata r:id="rId59" o:title=""/>
          </v:shape>
          <o:OLEObject Type="Embed" ProgID="Equation.3" ShapeID="_x0000_i1033" DrawAspect="Content" ObjectID="_1570368280" r:id="rId60"/>
        </w:object>
      </w:r>
    </w:p>
    <w:p w14:paraId="3D85D451" w14:textId="77777777" w:rsidR="00DD272F" w:rsidRDefault="00DD272F" w:rsidP="00DD272F">
      <w:pPr>
        <w:pStyle w:val="Normal1"/>
        <w:jc w:val="center"/>
      </w:pPr>
    </w:p>
    <w:p w14:paraId="3D85D452" w14:textId="77777777" w:rsidR="00DD272F" w:rsidRDefault="00DD272F" w:rsidP="00DD272F">
      <w:pPr>
        <w:pStyle w:val="Normal1"/>
        <w:jc w:val="center"/>
      </w:pPr>
      <w:r>
        <w:t xml:space="preserve">= </w:t>
      </w:r>
      <w:r>
        <w:tab/>
        <w:t>0.2</w:t>
      </w:r>
      <w:r w:rsidR="004B109B">
        <w:t>0</w:t>
      </w:r>
      <w:r>
        <w:t xml:space="preserve"> </w:t>
      </w:r>
      <w:r>
        <w:rPr>
          <w:rFonts w:ascii="Times New Roman" w:hAnsi="Times New Roman"/>
        </w:rPr>
        <w:t>µ</w:t>
      </w:r>
      <w:r>
        <w:t>g/m</w:t>
      </w:r>
      <w:r>
        <w:rPr>
          <w:vertAlign w:val="superscript"/>
        </w:rPr>
        <w:t>3</w:t>
      </w:r>
    </w:p>
    <w:p w14:paraId="3D85D453" w14:textId="77777777" w:rsidR="00DD272F" w:rsidRDefault="00DD272F" w:rsidP="00412C30">
      <w:pPr>
        <w:pStyle w:val="Normal1"/>
        <w:jc w:val="left"/>
      </w:pPr>
    </w:p>
    <w:p w14:paraId="3D85D454" w14:textId="77777777" w:rsidR="00DD272F" w:rsidRDefault="00DD272F" w:rsidP="00412C30">
      <w:pPr>
        <w:pStyle w:val="Normal1"/>
        <w:jc w:val="left"/>
      </w:pPr>
    </w:p>
    <w:p w14:paraId="3D85D455" w14:textId="77777777" w:rsidR="00412C30" w:rsidRDefault="00412C30" w:rsidP="00412C30">
      <w:pPr>
        <w:pStyle w:val="Normal1"/>
      </w:pPr>
      <w:r>
        <w:t xml:space="preserve">For </w:t>
      </w:r>
      <w:r w:rsidR="00827053">
        <w:t xml:space="preserve">the other exposure to </w:t>
      </w:r>
      <w:r>
        <w:t>a nonresidential child, the RBC is:</w:t>
      </w:r>
    </w:p>
    <w:p w14:paraId="3D85D456" w14:textId="77777777" w:rsidR="00DD272F" w:rsidRDefault="00DD272F" w:rsidP="00412C30">
      <w:pPr>
        <w:pStyle w:val="Normal1"/>
        <w:jc w:val="left"/>
      </w:pPr>
    </w:p>
    <w:tbl>
      <w:tblPr>
        <w:tblW w:w="0" w:type="auto"/>
        <w:jc w:val="center"/>
        <w:tblLayout w:type="fixed"/>
        <w:tblLook w:val="0000" w:firstRow="0" w:lastRow="0" w:firstColumn="0" w:lastColumn="0" w:noHBand="0" w:noVBand="0"/>
      </w:tblPr>
      <w:tblGrid>
        <w:gridCol w:w="8496"/>
        <w:gridCol w:w="864"/>
      </w:tblGrid>
      <w:tr w:rsidR="00DD272F" w:rsidRPr="004B109B" w14:paraId="3D85D45B" w14:textId="77777777" w:rsidTr="00DD272F">
        <w:trPr>
          <w:cantSplit/>
          <w:jc w:val="center"/>
        </w:trPr>
        <w:tc>
          <w:tcPr>
            <w:tcW w:w="8496" w:type="dxa"/>
          </w:tcPr>
          <w:p w14:paraId="3D85D457" w14:textId="77777777" w:rsidR="00DD272F" w:rsidRPr="004B109B" w:rsidRDefault="00827053" w:rsidP="00DD272F">
            <w:pPr>
              <w:pStyle w:val="Equation"/>
              <w:rPr>
                <w:rFonts w:cs="Arial"/>
                <w:b/>
                <w:sz w:val="22"/>
                <w:szCs w:val="22"/>
              </w:rPr>
            </w:pPr>
            <w:r w:rsidRPr="004B109B">
              <w:rPr>
                <w:rFonts w:cs="Arial"/>
                <w:b/>
                <w:position w:val="-28"/>
                <w:sz w:val="22"/>
                <w:szCs w:val="22"/>
              </w:rPr>
              <w:object w:dxaOrig="5200" w:dyaOrig="700" w14:anchorId="3D85D53D">
                <v:shape id="_x0000_i1034" type="#_x0000_t75" style="width:259.2pt;height:36pt" o:ole="" fillcolor="window">
                  <v:imagedata r:id="rId61" o:title=""/>
                </v:shape>
                <o:OLEObject Type="Embed" ProgID="Equation.3" ShapeID="_x0000_i1034" DrawAspect="Content" ObjectID="_1570368281" r:id="rId62"/>
              </w:object>
            </w:r>
          </w:p>
          <w:p w14:paraId="3D85D458" w14:textId="77777777" w:rsidR="004B109B" w:rsidRPr="004B109B" w:rsidRDefault="004B109B" w:rsidP="00DD272F">
            <w:pPr>
              <w:pStyle w:val="Equation"/>
              <w:rPr>
                <w:rFonts w:cs="Arial"/>
                <w:sz w:val="22"/>
                <w:szCs w:val="22"/>
              </w:rPr>
            </w:pPr>
          </w:p>
          <w:p w14:paraId="3D85D459" w14:textId="77777777" w:rsidR="00DD272F" w:rsidRPr="004B109B" w:rsidRDefault="00DD272F" w:rsidP="004B109B">
            <w:pPr>
              <w:pStyle w:val="Equation"/>
              <w:rPr>
                <w:rFonts w:cs="Arial"/>
                <w:b/>
                <w:sz w:val="22"/>
                <w:szCs w:val="22"/>
              </w:rPr>
            </w:pPr>
            <w:r w:rsidRPr="004B109B">
              <w:rPr>
                <w:rFonts w:cs="Arial"/>
                <w:sz w:val="22"/>
                <w:szCs w:val="22"/>
              </w:rPr>
              <w:t xml:space="preserve">= </w:t>
            </w:r>
            <w:r w:rsidRPr="004B109B">
              <w:rPr>
                <w:rFonts w:cs="Arial"/>
                <w:sz w:val="22"/>
                <w:szCs w:val="22"/>
              </w:rPr>
              <w:tab/>
            </w:r>
            <w:r w:rsidR="004B109B">
              <w:rPr>
                <w:rFonts w:cs="Arial"/>
                <w:sz w:val="22"/>
                <w:szCs w:val="22"/>
              </w:rPr>
              <w:t>4.9</w:t>
            </w:r>
            <w:r w:rsidRPr="004B109B">
              <w:rPr>
                <w:rFonts w:cs="Arial"/>
                <w:sz w:val="22"/>
                <w:szCs w:val="22"/>
              </w:rPr>
              <w:t xml:space="preserve"> µg/m</w:t>
            </w:r>
            <w:r w:rsidRPr="004B109B">
              <w:rPr>
                <w:rFonts w:cs="Arial"/>
                <w:sz w:val="22"/>
                <w:szCs w:val="22"/>
                <w:vertAlign w:val="superscript"/>
              </w:rPr>
              <w:t>3</w:t>
            </w:r>
          </w:p>
        </w:tc>
        <w:tc>
          <w:tcPr>
            <w:tcW w:w="864" w:type="dxa"/>
          </w:tcPr>
          <w:p w14:paraId="3D85D45A" w14:textId="77777777" w:rsidR="00DD272F" w:rsidRPr="004B109B" w:rsidRDefault="00DD272F" w:rsidP="00DD272F">
            <w:pPr>
              <w:pStyle w:val="EqnNumber"/>
              <w:spacing w:after="240"/>
              <w:rPr>
                <w:rFonts w:cs="Arial"/>
                <w:sz w:val="22"/>
                <w:szCs w:val="22"/>
              </w:rPr>
            </w:pPr>
          </w:p>
        </w:tc>
      </w:tr>
    </w:tbl>
    <w:p w14:paraId="3D85D45C" w14:textId="77777777" w:rsidR="00DD272F" w:rsidRPr="004B109B" w:rsidRDefault="00DD272F" w:rsidP="00412C30">
      <w:pPr>
        <w:pStyle w:val="Normal1"/>
        <w:jc w:val="left"/>
      </w:pPr>
    </w:p>
    <w:p w14:paraId="3D85D45D" w14:textId="77777777" w:rsidR="00827053" w:rsidRDefault="00827053" w:rsidP="00412C30">
      <w:pPr>
        <w:pStyle w:val="Normal1"/>
        <w:jc w:val="left"/>
      </w:pPr>
      <w:r>
        <w:t xml:space="preserve">Because the definition of "early-life" is not clearly defined for vinyl chloride, including the full non-residential child exposure duration assumption of 12 years for this calculation may slightly overestimate risk. </w:t>
      </w:r>
    </w:p>
    <w:p w14:paraId="3D85D45E" w14:textId="77777777" w:rsidR="00827053" w:rsidRDefault="00827053" w:rsidP="00412C30">
      <w:pPr>
        <w:pStyle w:val="Normal1"/>
        <w:jc w:val="left"/>
      </w:pPr>
    </w:p>
    <w:p w14:paraId="3D85D45F" w14:textId="77777777" w:rsidR="00412C30" w:rsidRDefault="00412C30" w:rsidP="00412C30">
      <w:pPr>
        <w:pStyle w:val="Normal1"/>
        <w:jc w:val="left"/>
      </w:pPr>
      <w:r>
        <w:t>The RBC for combined exposure as a child and adult is calculated using the following relationship:</w:t>
      </w:r>
    </w:p>
    <w:p w14:paraId="3D85D460" w14:textId="77777777" w:rsidR="00412C30" w:rsidRDefault="00412C30" w:rsidP="00412C30">
      <w:pPr>
        <w:pStyle w:val="Normal1"/>
      </w:pPr>
    </w:p>
    <w:p w14:paraId="3D85D461" w14:textId="77777777" w:rsidR="004B109B" w:rsidRDefault="004B109B" w:rsidP="004B109B"/>
    <w:tbl>
      <w:tblPr>
        <w:tblW w:w="0" w:type="auto"/>
        <w:jc w:val="center"/>
        <w:tblLayout w:type="fixed"/>
        <w:tblLook w:val="0000" w:firstRow="0" w:lastRow="0" w:firstColumn="0" w:lastColumn="0" w:noHBand="0" w:noVBand="0"/>
      </w:tblPr>
      <w:tblGrid>
        <w:gridCol w:w="8496"/>
        <w:gridCol w:w="864"/>
      </w:tblGrid>
      <w:tr w:rsidR="004B109B" w14:paraId="3D85D464" w14:textId="77777777" w:rsidTr="004B109B">
        <w:trPr>
          <w:jc w:val="center"/>
        </w:trPr>
        <w:tc>
          <w:tcPr>
            <w:tcW w:w="8496" w:type="dxa"/>
          </w:tcPr>
          <w:p w14:paraId="3D85D462" w14:textId="77777777" w:rsidR="004B109B" w:rsidRDefault="00827053" w:rsidP="004B109B">
            <w:pPr>
              <w:pStyle w:val="Equation"/>
              <w:numPr>
                <w:ilvl w:val="12"/>
                <w:numId w:val="0"/>
              </w:numPr>
              <w:rPr>
                <w:sz w:val="18"/>
              </w:rPr>
            </w:pPr>
            <w:r w:rsidRPr="00827053">
              <w:rPr>
                <w:position w:val="-32"/>
                <w:sz w:val="18"/>
              </w:rPr>
              <w:object w:dxaOrig="3920" w:dyaOrig="700" w14:anchorId="3D85D53E">
                <v:shape id="_x0000_i1035" type="#_x0000_t75" style="width:193.8pt;height:33.6pt" o:ole="" fillcolor="window">
                  <v:imagedata r:id="rId63" o:title=""/>
                </v:shape>
                <o:OLEObject Type="Embed" ProgID="Equation.3" ShapeID="_x0000_i1035" DrawAspect="Content" ObjectID="_1570368282" r:id="rId64"/>
              </w:object>
            </w:r>
          </w:p>
        </w:tc>
        <w:tc>
          <w:tcPr>
            <w:tcW w:w="864" w:type="dxa"/>
          </w:tcPr>
          <w:p w14:paraId="3D85D463" w14:textId="77777777" w:rsidR="004B109B" w:rsidRDefault="004B109B" w:rsidP="004B109B">
            <w:pPr>
              <w:pStyle w:val="EqnNumber"/>
              <w:numPr>
                <w:ilvl w:val="12"/>
                <w:numId w:val="0"/>
              </w:numPr>
            </w:pPr>
          </w:p>
        </w:tc>
      </w:tr>
      <w:tr w:rsidR="004B109B" w:rsidRPr="004B109B" w14:paraId="3D85D46A" w14:textId="77777777" w:rsidTr="004B109B">
        <w:trPr>
          <w:jc w:val="center"/>
        </w:trPr>
        <w:tc>
          <w:tcPr>
            <w:tcW w:w="8496" w:type="dxa"/>
          </w:tcPr>
          <w:p w14:paraId="3D85D465" w14:textId="77777777" w:rsidR="004B109B" w:rsidRPr="004B109B" w:rsidRDefault="005E403B" w:rsidP="004B109B">
            <w:pPr>
              <w:pStyle w:val="Equation"/>
              <w:rPr>
                <w:rFonts w:cs="Arial"/>
                <w:sz w:val="22"/>
                <w:szCs w:val="22"/>
              </w:rPr>
            </w:pPr>
            <w:r w:rsidRPr="00827053">
              <w:rPr>
                <w:rFonts w:cs="Arial"/>
                <w:position w:val="-62"/>
                <w:sz w:val="22"/>
                <w:szCs w:val="22"/>
              </w:rPr>
              <w:object w:dxaOrig="3920" w:dyaOrig="999" w14:anchorId="3D85D53F">
                <v:shape id="_x0000_i1036" type="#_x0000_t75" style="width:193.8pt;height:53.4pt" o:ole="" fillcolor="window">
                  <v:imagedata r:id="rId65" o:title=""/>
                </v:shape>
                <o:OLEObject Type="Embed" ProgID="Equation.3" ShapeID="_x0000_i1036" DrawAspect="Content" ObjectID="_1570368283" r:id="rId66"/>
              </w:object>
            </w:r>
          </w:p>
          <w:p w14:paraId="3D85D466" w14:textId="77777777" w:rsidR="004B109B" w:rsidRPr="004B109B" w:rsidRDefault="005E403B" w:rsidP="004B109B">
            <w:pPr>
              <w:pStyle w:val="Equation"/>
              <w:rPr>
                <w:rFonts w:cs="Arial"/>
                <w:sz w:val="22"/>
                <w:szCs w:val="22"/>
              </w:rPr>
            </w:pPr>
            <w:r w:rsidRPr="004B109B">
              <w:rPr>
                <w:rFonts w:cs="Arial"/>
                <w:position w:val="-54"/>
                <w:sz w:val="22"/>
                <w:szCs w:val="22"/>
              </w:rPr>
              <w:object w:dxaOrig="2799" w:dyaOrig="920" w14:anchorId="3D85D540">
                <v:shape id="_x0000_i1037" type="#_x0000_t75" style="width:139.8pt;height:47.4pt" o:ole="" fillcolor="window">
                  <v:imagedata r:id="rId67" o:title=""/>
                </v:shape>
                <o:OLEObject Type="Embed" ProgID="Equation.3" ShapeID="_x0000_i1037" DrawAspect="Content" ObjectID="_1570368284" r:id="rId68"/>
              </w:object>
            </w:r>
          </w:p>
          <w:p w14:paraId="3D85D467" w14:textId="77777777" w:rsidR="004B109B" w:rsidRDefault="004B109B" w:rsidP="004B109B">
            <w:pPr>
              <w:pStyle w:val="Equation"/>
              <w:rPr>
                <w:rFonts w:cs="Arial"/>
                <w:sz w:val="22"/>
                <w:szCs w:val="22"/>
              </w:rPr>
            </w:pPr>
          </w:p>
          <w:p w14:paraId="3D85D468" w14:textId="77777777" w:rsidR="004B109B" w:rsidRPr="004B109B" w:rsidRDefault="004B109B" w:rsidP="004B109B">
            <w:pPr>
              <w:pStyle w:val="Equation"/>
              <w:rPr>
                <w:rFonts w:cs="Arial"/>
                <w:sz w:val="22"/>
                <w:szCs w:val="22"/>
              </w:rPr>
            </w:pPr>
            <w:r w:rsidRPr="004B109B">
              <w:rPr>
                <w:rFonts w:cs="Arial"/>
                <w:sz w:val="22"/>
                <w:szCs w:val="22"/>
              </w:rPr>
              <w:t>=  0.</w:t>
            </w:r>
            <w:r>
              <w:rPr>
                <w:rFonts w:cs="Arial"/>
                <w:sz w:val="22"/>
                <w:szCs w:val="22"/>
              </w:rPr>
              <w:t>19</w:t>
            </w:r>
            <w:r w:rsidRPr="004B109B">
              <w:rPr>
                <w:rFonts w:cs="Arial"/>
                <w:sz w:val="22"/>
                <w:szCs w:val="22"/>
              </w:rPr>
              <w:t xml:space="preserve"> µg/m</w:t>
            </w:r>
            <w:r w:rsidRPr="004B109B">
              <w:rPr>
                <w:rFonts w:cs="Arial"/>
                <w:sz w:val="22"/>
                <w:szCs w:val="22"/>
                <w:vertAlign w:val="superscript"/>
              </w:rPr>
              <w:t>3</w:t>
            </w:r>
          </w:p>
        </w:tc>
        <w:tc>
          <w:tcPr>
            <w:tcW w:w="864" w:type="dxa"/>
          </w:tcPr>
          <w:p w14:paraId="3D85D469" w14:textId="77777777" w:rsidR="004B109B" w:rsidRPr="004B109B" w:rsidRDefault="004B109B" w:rsidP="004B109B">
            <w:pPr>
              <w:pStyle w:val="EqnNumber"/>
              <w:rPr>
                <w:rFonts w:cs="Arial"/>
                <w:sz w:val="22"/>
                <w:szCs w:val="22"/>
              </w:rPr>
            </w:pPr>
          </w:p>
        </w:tc>
      </w:tr>
    </w:tbl>
    <w:p w14:paraId="3D85D46B" w14:textId="77777777" w:rsidR="004B109B" w:rsidRDefault="004B109B" w:rsidP="00412C30">
      <w:pPr>
        <w:pStyle w:val="Normal1"/>
      </w:pPr>
    </w:p>
    <w:p w14:paraId="3D85D46C" w14:textId="77777777" w:rsidR="00412C30" w:rsidRDefault="00412C30" w:rsidP="00412C30">
      <w:pPr>
        <w:pStyle w:val="Normal1"/>
        <w:jc w:val="left"/>
      </w:pPr>
      <w:r>
        <w:t xml:space="preserve">This same approach can be used for other scenarios in performing a risk assessment for vinyl chloride. </w:t>
      </w:r>
    </w:p>
    <w:p w14:paraId="3D85D46D" w14:textId="77777777" w:rsidR="00DD272F" w:rsidRDefault="00DD272F">
      <w:pPr>
        <w:outlineLvl w:val="9"/>
        <w:rPr>
          <w:rFonts w:ascii="Arial" w:eastAsia="Arial" w:hAnsi="Arial" w:cs="Arial"/>
          <w:color w:val="000000"/>
        </w:rPr>
      </w:pPr>
      <w:r>
        <w:br w:type="page"/>
      </w:r>
    </w:p>
    <w:p w14:paraId="3D85D46E" w14:textId="77777777" w:rsidR="00DD272F" w:rsidRDefault="00DD272F" w:rsidP="00412C30">
      <w:pPr>
        <w:pStyle w:val="Normal1"/>
        <w:jc w:val="left"/>
      </w:pPr>
    </w:p>
    <w:p w14:paraId="3D85D46F" w14:textId="77777777" w:rsidR="00DD272F" w:rsidRDefault="00DD272F" w:rsidP="00DD272F">
      <w:pPr>
        <w:pStyle w:val="Normal1"/>
        <w:jc w:val="center"/>
        <w:rPr>
          <w:b/>
        </w:rPr>
      </w:pPr>
      <w:r>
        <w:rPr>
          <w:b/>
        </w:rPr>
        <w:t>Table C-1</w:t>
      </w:r>
    </w:p>
    <w:p w14:paraId="3D85D470" w14:textId="77777777" w:rsidR="00DD272F" w:rsidRDefault="00DD272F" w:rsidP="00DD272F">
      <w:pPr>
        <w:pStyle w:val="Normal1"/>
        <w:jc w:val="center"/>
        <w:rPr>
          <w:b/>
        </w:rPr>
      </w:pPr>
      <w:r>
        <w:rPr>
          <w:b/>
        </w:rPr>
        <w:t>Air Toxics Chemicals Determined by EPA to be Carcinogens Having a</w:t>
      </w:r>
      <w:r>
        <w:rPr>
          <w:b/>
        </w:rPr>
        <w:br/>
        <w:t>Mutagenic Mode of Action</w:t>
      </w:r>
    </w:p>
    <w:p w14:paraId="3D85D471" w14:textId="77777777" w:rsidR="00DD272F" w:rsidRDefault="00DD272F" w:rsidP="00DD272F">
      <w:pPr>
        <w:pStyle w:val="Normal1"/>
        <w:jc w:val="cente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7"/>
        <w:gridCol w:w="3169"/>
      </w:tblGrid>
      <w:tr w:rsidR="00DD272F" w14:paraId="3D85D474" w14:textId="77777777" w:rsidTr="00DD272F">
        <w:tc>
          <w:tcPr>
            <w:tcW w:w="5687" w:type="dxa"/>
          </w:tcPr>
          <w:p w14:paraId="3D85D472" w14:textId="77777777" w:rsidR="00DD272F" w:rsidRDefault="00DD272F" w:rsidP="00DD272F">
            <w:pPr>
              <w:pStyle w:val="Normal1"/>
              <w:jc w:val="center"/>
              <w:rPr>
                <w:b/>
                <w:vertAlign w:val="superscript"/>
              </w:rPr>
            </w:pPr>
            <w:r>
              <w:rPr>
                <w:b/>
              </w:rPr>
              <w:t>Chemical</w:t>
            </w:r>
            <w:r>
              <w:rPr>
                <w:b/>
                <w:vertAlign w:val="superscript"/>
              </w:rPr>
              <w:t>a</w:t>
            </w:r>
          </w:p>
        </w:tc>
        <w:tc>
          <w:tcPr>
            <w:tcW w:w="3169" w:type="dxa"/>
          </w:tcPr>
          <w:p w14:paraId="3D85D473" w14:textId="77777777" w:rsidR="00DD272F" w:rsidRDefault="00DD272F" w:rsidP="00DD272F">
            <w:pPr>
              <w:pStyle w:val="Normal1"/>
              <w:jc w:val="center"/>
              <w:rPr>
                <w:b/>
              </w:rPr>
            </w:pPr>
            <w:r>
              <w:rPr>
                <w:b/>
              </w:rPr>
              <w:t>Chemical Abstract Service Registration Number</w:t>
            </w:r>
          </w:p>
        </w:tc>
      </w:tr>
      <w:tr w:rsidR="00DD272F" w14:paraId="3D85D476" w14:textId="77777777" w:rsidTr="00DD272F">
        <w:tc>
          <w:tcPr>
            <w:tcW w:w="8856" w:type="dxa"/>
            <w:gridSpan w:val="2"/>
          </w:tcPr>
          <w:p w14:paraId="3D85D475" w14:textId="77777777" w:rsidR="00DD272F" w:rsidRDefault="00DD272F" w:rsidP="00DD272F">
            <w:pPr>
              <w:pStyle w:val="Normal1"/>
              <w:jc w:val="center"/>
            </w:pPr>
          </w:p>
        </w:tc>
      </w:tr>
      <w:tr w:rsidR="00DD272F" w14:paraId="3D85D479" w14:textId="77777777" w:rsidTr="00DD272F">
        <w:tc>
          <w:tcPr>
            <w:tcW w:w="5687" w:type="dxa"/>
          </w:tcPr>
          <w:p w14:paraId="3D85D477" w14:textId="77777777" w:rsidR="00DD272F" w:rsidRDefault="00DD272F" w:rsidP="00DD272F">
            <w:pPr>
              <w:pStyle w:val="Normal1"/>
            </w:pPr>
            <w:r>
              <w:t>Acrylamide</w:t>
            </w:r>
          </w:p>
        </w:tc>
        <w:tc>
          <w:tcPr>
            <w:tcW w:w="3169" w:type="dxa"/>
          </w:tcPr>
          <w:p w14:paraId="3D85D478" w14:textId="77777777" w:rsidR="00DD272F" w:rsidRDefault="00DD272F" w:rsidP="00DD272F">
            <w:pPr>
              <w:pStyle w:val="Normal1"/>
              <w:jc w:val="center"/>
            </w:pPr>
            <w:r>
              <w:t>79-06-1</w:t>
            </w:r>
          </w:p>
        </w:tc>
      </w:tr>
      <w:tr w:rsidR="00DD272F" w14:paraId="3D85D47C" w14:textId="77777777" w:rsidTr="00DD272F">
        <w:tc>
          <w:tcPr>
            <w:tcW w:w="5687" w:type="dxa"/>
          </w:tcPr>
          <w:p w14:paraId="3D85D47A" w14:textId="77777777" w:rsidR="00DD272F" w:rsidRDefault="00DD272F" w:rsidP="00DD272F">
            <w:pPr>
              <w:pStyle w:val="Normal1"/>
            </w:pPr>
            <w:r>
              <w:t>Benzidine</w:t>
            </w:r>
          </w:p>
        </w:tc>
        <w:tc>
          <w:tcPr>
            <w:tcW w:w="3169" w:type="dxa"/>
          </w:tcPr>
          <w:p w14:paraId="3D85D47B" w14:textId="77777777" w:rsidR="00DD272F" w:rsidRDefault="00DD272F" w:rsidP="00DD272F">
            <w:pPr>
              <w:pStyle w:val="Normal1"/>
              <w:jc w:val="center"/>
            </w:pPr>
            <w:r>
              <w:t>92-87-5</w:t>
            </w:r>
          </w:p>
        </w:tc>
      </w:tr>
      <w:tr w:rsidR="00DD272F" w14:paraId="3D85D47F" w14:textId="77777777" w:rsidTr="00DD272F">
        <w:tc>
          <w:tcPr>
            <w:tcW w:w="5687" w:type="dxa"/>
          </w:tcPr>
          <w:p w14:paraId="3D85D47D" w14:textId="77777777" w:rsidR="00DD272F" w:rsidRDefault="00DD272F" w:rsidP="00DD272F">
            <w:pPr>
              <w:pStyle w:val="Normal1"/>
            </w:pPr>
            <w:r>
              <w:t>Coke Oven Emissions</w:t>
            </w:r>
          </w:p>
        </w:tc>
        <w:tc>
          <w:tcPr>
            <w:tcW w:w="3169" w:type="dxa"/>
          </w:tcPr>
          <w:p w14:paraId="3D85D47E" w14:textId="77777777" w:rsidR="00DD272F" w:rsidRDefault="00DD272F" w:rsidP="00DD272F">
            <w:pPr>
              <w:pStyle w:val="Normal1"/>
              <w:jc w:val="center"/>
            </w:pPr>
          </w:p>
        </w:tc>
      </w:tr>
      <w:tr w:rsidR="00DD272F" w14:paraId="3D85D482" w14:textId="77777777" w:rsidTr="00DD272F">
        <w:tc>
          <w:tcPr>
            <w:tcW w:w="5687" w:type="dxa"/>
          </w:tcPr>
          <w:p w14:paraId="3D85D480" w14:textId="77777777" w:rsidR="00DD272F" w:rsidRDefault="00DD272F" w:rsidP="00DD272F">
            <w:pPr>
              <w:pStyle w:val="Normal1"/>
            </w:pPr>
            <w:r>
              <w:t>1,2-Dibromo-3-chloropropane (DBCP)</w:t>
            </w:r>
          </w:p>
        </w:tc>
        <w:tc>
          <w:tcPr>
            <w:tcW w:w="3169" w:type="dxa"/>
          </w:tcPr>
          <w:p w14:paraId="3D85D481" w14:textId="77777777" w:rsidR="00DD272F" w:rsidRDefault="00DD272F" w:rsidP="00DD272F">
            <w:pPr>
              <w:pStyle w:val="Normal1"/>
              <w:jc w:val="center"/>
            </w:pPr>
            <w:r>
              <w:t>96-12-8</w:t>
            </w:r>
          </w:p>
        </w:tc>
      </w:tr>
      <w:tr w:rsidR="00DD272F" w14:paraId="3D85D485" w14:textId="77777777" w:rsidTr="00DD272F">
        <w:tc>
          <w:tcPr>
            <w:tcW w:w="5687" w:type="dxa"/>
          </w:tcPr>
          <w:p w14:paraId="3D85D483" w14:textId="77777777" w:rsidR="00DD272F" w:rsidRDefault="00DD272F" w:rsidP="00DD272F">
            <w:pPr>
              <w:pStyle w:val="Normal1"/>
            </w:pPr>
            <w:r>
              <w:t>Ethylene oxide</w:t>
            </w:r>
          </w:p>
        </w:tc>
        <w:tc>
          <w:tcPr>
            <w:tcW w:w="3169" w:type="dxa"/>
          </w:tcPr>
          <w:p w14:paraId="3D85D484" w14:textId="77777777" w:rsidR="00DD272F" w:rsidRDefault="00DD272F" w:rsidP="00DD272F">
            <w:pPr>
              <w:pStyle w:val="Normal1"/>
              <w:jc w:val="center"/>
            </w:pPr>
            <w:r>
              <w:t>75-21-8</w:t>
            </w:r>
          </w:p>
        </w:tc>
      </w:tr>
      <w:tr w:rsidR="00DD272F" w14:paraId="3D85D488" w14:textId="77777777" w:rsidTr="00DD272F">
        <w:tc>
          <w:tcPr>
            <w:tcW w:w="5687" w:type="dxa"/>
          </w:tcPr>
          <w:p w14:paraId="3D85D486" w14:textId="77777777" w:rsidR="00DD272F" w:rsidRDefault="00DD272F" w:rsidP="00DD272F">
            <w:pPr>
              <w:pStyle w:val="Normal1"/>
            </w:pPr>
            <w:r>
              <w:t>N-Nitrosodiethylamine</w:t>
            </w:r>
          </w:p>
        </w:tc>
        <w:tc>
          <w:tcPr>
            <w:tcW w:w="3169" w:type="dxa"/>
          </w:tcPr>
          <w:p w14:paraId="3D85D487" w14:textId="77777777" w:rsidR="00DD272F" w:rsidRDefault="00DD272F" w:rsidP="00DD272F">
            <w:pPr>
              <w:pStyle w:val="Normal1"/>
              <w:jc w:val="center"/>
            </w:pPr>
            <w:r>
              <w:t>55-18-5</w:t>
            </w:r>
          </w:p>
        </w:tc>
      </w:tr>
      <w:tr w:rsidR="00DD272F" w14:paraId="3D85D48B" w14:textId="77777777" w:rsidTr="00DD272F">
        <w:tc>
          <w:tcPr>
            <w:tcW w:w="5687" w:type="dxa"/>
          </w:tcPr>
          <w:p w14:paraId="3D85D489" w14:textId="77777777" w:rsidR="00DD272F" w:rsidRDefault="00DD272F" w:rsidP="00DD272F">
            <w:pPr>
              <w:pStyle w:val="Normal1"/>
            </w:pPr>
            <w:r>
              <w:t>N-Nitrosodimethylamine</w:t>
            </w:r>
          </w:p>
        </w:tc>
        <w:tc>
          <w:tcPr>
            <w:tcW w:w="3169" w:type="dxa"/>
          </w:tcPr>
          <w:p w14:paraId="3D85D48A" w14:textId="77777777" w:rsidR="00DD272F" w:rsidRDefault="00DD272F" w:rsidP="00DD272F">
            <w:pPr>
              <w:pStyle w:val="Normal1"/>
              <w:jc w:val="center"/>
            </w:pPr>
            <w:r>
              <w:t>62-75-9</w:t>
            </w:r>
          </w:p>
        </w:tc>
      </w:tr>
      <w:tr w:rsidR="00DD272F" w14:paraId="3D85D48E" w14:textId="77777777" w:rsidTr="00DD272F">
        <w:tc>
          <w:tcPr>
            <w:tcW w:w="5687" w:type="dxa"/>
          </w:tcPr>
          <w:p w14:paraId="3D85D48C" w14:textId="77777777" w:rsidR="00DD272F" w:rsidRDefault="00DD272F" w:rsidP="00DD272F">
            <w:pPr>
              <w:pStyle w:val="Normal1"/>
            </w:pPr>
            <w:r>
              <w:t>Polycyclic aromatic hydrocarbons</w:t>
            </w:r>
          </w:p>
        </w:tc>
        <w:tc>
          <w:tcPr>
            <w:tcW w:w="3169" w:type="dxa"/>
          </w:tcPr>
          <w:p w14:paraId="3D85D48D" w14:textId="77777777" w:rsidR="00DD272F" w:rsidRDefault="00DD272F" w:rsidP="00DD272F">
            <w:pPr>
              <w:pStyle w:val="Normal1"/>
              <w:jc w:val="center"/>
            </w:pPr>
          </w:p>
        </w:tc>
      </w:tr>
      <w:tr w:rsidR="00DD272F" w14:paraId="3D85D491" w14:textId="77777777" w:rsidTr="00DD272F">
        <w:tc>
          <w:tcPr>
            <w:tcW w:w="5687" w:type="dxa"/>
          </w:tcPr>
          <w:p w14:paraId="3D85D48F" w14:textId="77777777" w:rsidR="00DD272F" w:rsidRDefault="00DD272F" w:rsidP="00DD272F">
            <w:pPr>
              <w:pStyle w:val="Normal1"/>
            </w:pPr>
            <w:r>
              <w:t xml:space="preserve">     Benz[a]anthracene</w:t>
            </w:r>
            <w:r>
              <w:rPr>
                <w:vertAlign w:val="superscript"/>
              </w:rPr>
              <w:t>b</w:t>
            </w:r>
          </w:p>
        </w:tc>
        <w:tc>
          <w:tcPr>
            <w:tcW w:w="3169" w:type="dxa"/>
          </w:tcPr>
          <w:p w14:paraId="3D85D490" w14:textId="77777777" w:rsidR="00DD272F" w:rsidRDefault="00DD272F" w:rsidP="00DD272F">
            <w:pPr>
              <w:pStyle w:val="Normal1"/>
              <w:jc w:val="center"/>
            </w:pPr>
            <w:r>
              <w:t>56-55-3</w:t>
            </w:r>
          </w:p>
        </w:tc>
      </w:tr>
      <w:tr w:rsidR="00DD272F" w14:paraId="3D85D494" w14:textId="77777777" w:rsidTr="00DD272F">
        <w:tc>
          <w:tcPr>
            <w:tcW w:w="5687" w:type="dxa"/>
          </w:tcPr>
          <w:p w14:paraId="3D85D492" w14:textId="77777777" w:rsidR="00DD272F" w:rsidRDefault="00DD272F" w:rsidP="00DD272F">
            <w:pPr>
              <w:pStyle w:val="Normal1"/>
            </w:pPr>
            <w:r>
              <w:t xml:space="preserve">     Benzo[b]fluoranthene</w:t>
            </w:r>
            <w:r>
              <w:rPr>
                <w:vertAlign w:val="superscript"/>
              </w:rPr>
              <w:t>b</w:t>
            </w:r>
          </w:p>
        </w:tc>
        <w:tc>
          <w:tcPr>
            <w:tcW w:w="3169" w:type="dxa"/>
          </w:tcPr>
          <w:p w14:paraId="3D85D493" w14:textId="77777777" w:rsidR="00DD272F" w:rsidRDefault="00DD272F" w:rsidP="00DD272F">
            <w:pPr>
              <w:pStyle w:val="Normal1"/>
              <w:jc w:val="center"/>
            </w:pPr>
            <w:r>
              <w:t>205-99-2</w:t>
            </w:r>
          </w:p>
        </w:tc>
      </w:tr>
      <w:tr w:rsidR="00DD272F" w14:paraId="3D85D497" w14:textId="77777777" w:rsidTr="00DD272F">
        <w:tc>
          <w:tcPr>
            <w:tcW w:w="5687" w:type="dxa"/>
          </w:tcPr>
          <w:p w14:paraId="3D85D495" w14:textId="77777777" w:rsidR="00DD272F" w:rsidRDefault="00DD272F" w:rsidP="00DD272F">
            <w:pPr>
              <w:pStyle w:val="Normal1"/>
            </w:pPr>
            <w:r>
              <w:t xml:space="preserve">     Benzo[k]fluoranthene</w:t>
            </w:r>
            <w:r>
              <w:rPr>
                <w:vertAlign w:val="superscript"/>
              </w:rPr>
              <w:t>b</w:t>
            </w:r>
          </w:p>
        </w:tc>
        <w:tc>
          <w:tcPr>
            <w:tcW w:w="3169" w:type="dxa"/>
          </w:tcPr>
          <w:p w14:paraId="3D85D496" w14:textId="77777777" w:rsidR="00DD272F" w:rsidRDefault="00DD272F" w:rsidP="00DD272F">
            <w:pPr>
              <w:pStyle w:val="Normal1"/>
              <w:jc w:val="center"/>
            </w:pPr>
            <w:r>
              <w:t>207-08-9</w:t>
            </w:r>
          </w:p>
        </w:tc>
      </w:tr>
      <w:tr w:rsidR="00DD272F" w14:paraId="3D85D49A" w14:textId="77777777" w:rsidTr="00DD272F">
        <w:tc>
          <w:tcPr>
            <w:tcW w:w="5687" w:type="dxa"/>
          </w:tcPr>
          <w:p w14:paraId="3D85D498" w14:textId="77777777" w:rsidR="00DD272F" w:rsidRDefault="00DD272F" w:rsidP="00DD272F">
            <w:pPr>
              <w:pStyle w:val="Normal1"/>
              <w:rPr>
                <w:vertAlign w:val="superscript"/>
              </w:rPr>
            </w:pPr>
            <w:r>
              <w:t xml:space="preserve">     Benzo[a]pyrene</w:t>
            </w:r>
          </w:p>
        </w:tc>
        <w:tc>
          <w:tcPr>
            <w:tcW w:w="3169" w:type="dxa"/>
          </w:tcPr>
          <w:p w14:paraId="3D85D499" w14:textId="77777777" w:rsidR="00DD272F" w:rsidRDefault="00DD272F" w:rsidP="00DD272F">
            <w:pPr>
              <w:pStyle w:val="Normal1"/>
              <w:jc w:val="center"/>
            </w:pPr>
            <w:r>
              <w:t>50-32-8</w:t>
            </w:r>
          </w:p>
        </w:tc>
      </w:tr>
      <w:tr w:rsidR="00DD272F" w14:paraId="3D85D49D" w14:textId="77777777" w:rsidTr="00DD272F">
        <w:tc>
          <w:tcPr>
            <w:tcW w:w="5687" w:type="dxa"/>
          </w:tcPr>
          <w:p w14:paraId="3D85D49B" w14:textId="77777777" w:rsidR="00DD272F" w:rsidRDefault="00DD272F" w:rsidP="00DD272F">
            <w:pPr>
              <w:pStyle w:val="Normal1"/>
            </w:pPr>
            <w:r>
              <w:t xml:space="preserve">     Chrysene</w:t>
            </w:r>
            <w:r>
              <w:rPr>
                <w:vertAlign w:val="superscript"/>
              </w:rPr>
              <w:t>b</w:t>
            </w:r>
          </w:p>
        </w:tc>
        <w:tc>
          <w:tcPr>
            <w:tcW w:w="3169" w:type="dxa"/>
          </w:tcPr>
          <w:p w14:paraId="3D85D49C" w14:textId="77777777" w:rsidR="00DD272F" w:rsidRDefault="00DD272F" w:rsidP="00DD272F">
            <w:pPr>
              <w:pStyle w:val="Normal1"/>
              <w:jc w:val="center"/>
            </w:pPr>
            <w:r>
              <w:t>218-01-9</w:t>
            </w:r>
          </w:p>
        </w:tc>
      </w:tr>
      <w:tr w:rsidR="00DD272F" w14:paraId="3D85D4A0" w14:textId="77777777" w:rsidTr="00DD272F">
        <w:tc>
          <w:tcPr>
            <w:tcW w:w="5687" w:type="dxa"/>
          </w:tcPr>
          <w:p w14:paraId="3D85D49E" w14:textId="77777777" w:rsidR="00DD272F" w:rsidRDefault="00DD272F" w:rsidP="00DD272F">
            <w:pPr>
              <w:pStyle w:val="Normal1"/>
            </w:pPr>
            <w:r>
              <w:t xml:space="preserve">     Dibenz[a,h]anthracene</w:t>
            </w:r>
          </w:p>
        </w:tc>
        <w:tc>
          <w:tcPr>
            <w:tcW w:w="3169" w:type="dxa"/>
          </w:tcPr>
          <w:p w14:paraId="3D85D49F" w14:textId="77777777" w:rsidR="00DD272F" w:rsidRDefault="00DD272F" w:rsidP="00DD272F">
            <w:pPr>
              <w:pStyle w:val="Normal1"/>
              <w:jc w:val="center"/>
            </w:pPr>
            <w:r>
              <w:t>53-70-3</w:t>
            </w:r>
          </w:p>
        </w:tc>
      </w:tr>
      <w:tr w:rsidR="00DD272F" w14:paraId="3D85D4A3" w14:textId="77777777" w:rsidTr="00DD272F">
        <w:tc>
          <w:tcPr>
            <w:tcW w:w="5687" w:type="dxa"/>
          </w:tcPr>
          <w:p w14:paraId="3D85D4A1" w14:textId="77777777" w:rsidR="00DD272F" w:rsidRDefault="00DD272F" w:rsidP="00DD272F">
            <w:pPr>
              <w:pStyle w:val="Normal1"/>
            </w:pPr>
            <w:r>
              <w:t xml:space="preserve">     Indeno[1,2,3-cd]pyrene</w:t>
            </w:r>
            <w:r>
              <w:rPr>
                <w:vertAlign w:val="superscript"/>
              </w:rPr>
              <w:t>b</w:t>
            </w:r>
          </w:p>
        </w:tc>
        <w:tc>
          <w:tcPr>
            <w:tcW w:w="3169" w:type="dxa"/>
          </w:tcPr>
          <w:p w14:paraId="3D85D4A2" w14:textId="77777777" w:rsidR="00DD272F" w:rsidRDefault="00DD272F" w:rsidP="00DD272F">
            <w:pPr>
              <w:pStyle w:val="Normal1"/>
              <w:jc w:val="center"/>
            </w:pPr>
            <w:r>
              <w:t>193-39-5</w:t>
            </w:r>
          </w:p>
        </w:tc>
      </w:tr>
      <w:tr w:rsidR="00DD272F" w14:paraId="3D85D4A6" w14:textId="77777777" w:rsidTr="00DD272F">
        <w:tc>
          <w:tcPr>
            <w:tcW w:w="5687" w:type="dxa"/>
          </w:tcPr>
          <w:p w14:paraId="3D85D4A4" w14:textId="77777777" w:rsidR="00DD272F" w:rsidRDefault="00DD272F" w:rsidP="00DD272F">
            <w:pPr>
              <w:pStyle w:val="Normal1"/>
            </w:pPr>
            <w:r>
              <w:t>Trichloroethene</w:t>
            </w:r>
            <w:r>
              <w:rPr>
                <w:vertAlign w:val="superscript"/>
              </w:rPr>
              <w:t>c</w:t>
            </w:r>
            <w:r>
              <w:t xml:space="preserve"> (TCE)</w:t>
            </w:r>
          </w:p>
        </w:tc>
        <w:tc>
          <w:tcPr>
            <w:tcW w:w="3169" w:type="dxa"/>
          </w:tcPr>
          <w:p w14:paraId="3D85D4A5" w14:textId="77777777" w:rsidR="00DD272F" w:rsidRDefault="00DD272F" w:rsidP="00DD272F">
            <w:pPr>
              <w:pStyle w:val="Normal1"/>
              <w:jc w:val="center"/>
            </w:pPr>
            <w:r>
              <w:t>79-01-6</w:t>
            </w:r>
          </w:p>
        </w:tc>
      </w:tr>
      <w:tr w:rsidR="00DD272F" w14:paraId="3D85D4A9" w14:textId="77777777" w:rsidTr="00DD272F">
        <w:tc>
          <w:tcPr>
            <w:tcW w:w="5687" w:type="dxa"/>
          </w:tcPr>
          <w:p w14:paraId="3D85D4A7" w14:textId="77777777" w:rsidR="00DD272F" w:rsidRDefault="00DD272F" w:rsidP="00DD272F">
            <w:pPr>
              <w:pStyle w:val="Normal1"/>
            </w:pPr>
            <w:r>
              <w:t>1,2,3-Trichloropropane</w:t>
            </w:r>
          </w:p>
        </w:tc>
        <w:tc>
          <w:tcPr>
            <w:tcW w:w="3169" w:type="dxa"/>
          </w:tcPr>
          <w:p w14:paraId="3D85D4A8" w14:textId="77777777" w:rsidR="00DD272F" w:rsidRDefault="00DD272F" w:rsidP="00DD272F">
            <w:pPr>
              <w:pStyle w:val="Normal1"/>
              <w:jc w:val="center"/>
            </w:pPr>
            <w:r>
              <w:t>96-18-4</w:t>
            </w:r>
          </w:p>
        </w:tc>
      </w:tr>
      <w:tr w:rsidR="00DD272F" w14:paraId="3D85D4AC" w14:textId="77777777" w:rsidTr="00DD272F">
        <w:tc>
          <w:tcPr>
            <w:tcW w:w="5687" w:type="dxa"/>
          </w:tcPr>
          <w:p w14:paraId="3D85D4AA" w14:textId="77777777" w:rsidR="00DD272F" w:rsidRDefault="00DD272F" w:rsidP="00DD272F">
            <w:pPr>
              <w:pStyle w:val="Normal1"/>
            </w:pPr>
            <w:r>
              <w:t>Urethane (ethyl carbamate)</w:t>
            </w:r>
          </w:p>
        </w:tc>
        <w:tc>
          <w:tcPr>
            <w:tcW w:w="3169" w:type="dxa"/>
          </w:tcPr>
          <w:p w14:paraId="3D85D4AB" w14:textId="77777777" w:rsidR="00DD272F" w:rsidRDefault="00DD272F" w:rsidP="00DD272F">
            <w:pPr>
              <w:pStyle w:val="Normal1"/>
              <w:jc w:val="center"/>
            </w:pPr>
            <w:r>
              <w:t>51-79-6</w:t>
            </w:r>
          </w:p>
        </w:tc>
      </w:tr>
      <w:tr w:rsidR="00DD272F" w14:paraId="3D85D4AF" w14:textId="77777777" w:rsidTr="00DD272F">
        <w:tc>
          <w:tcPr>
            <w:tcW w:w="5687" w:type="dxa"/>
          </w:tcPr>
          <w:p w14:paraId="3D85D4AD" w14:textId="77777777" w:rsidR="00DD272F" w:rsidRDefault="00DD272F" w:rsidP="00DD272F">
            <w:pPr>
              <w:pStyle w:val="Normal1"/>
              <w:rPr>
                <w:vertAlign w:val="superscript"/>
              </w:rPr>
            </w:pPr>
            <w:r>
              <w:t>Vinyl chloride</w:t>
            </w:r>
            <w:r>
              <w:rPr>
                <w:vertAlign w:val="superscript"/>
              </w:rPr>
              <w:t>d</w:t>
            </w:r>
          </w:p>
        </w:tc>
        <w:tc>
          <w:tcPr>
            <w:tcW w:w="3169" w:type="dxa"/>
          </w:tcPr>
          <w:p w14:paraId="3D85D4AE" w14:textId="77777777" w:rsidR="00DD272F" w:rsidRDefault="00DD272F" w:rsidP="00DD272F">
            <w:pPr>
              <w:pStyle w:val="Normal1"/>
              <w:jc w:val="center"/>
            </w:pPr>
            <w:r>
              <w:t>75-01-4</w:t>
            </w:r>
          </w:p>
        </w:tc>
      </w:tr>
    </w:tbl>
    <w:p w14:paraId="3D85D4B0" w14:textId="77777777" w:rsidR="00DD272F" w:rsidRDefault="00DD272F" w:rsidP="00DD272F">
      <w:pPr>
        <w:pStyle w:val="Normal1"/>
        <w:rPr>
          <w:b/>
          <w:sz w:val="20"/>
          <w:szCs w:val="20"/>
          <w:u w:val="single"/>
        </w:rPr>
      </w:pPr>
      <w:r>
        <w:rPr>
          <w:b/>
          <w:sz w:val="20"/>
          <w:szCs w:val="20"/>
          <w:u w:val="single"/>
        </w:rPr>
        <w:t>Notes:</w:t>
      </w:r>
    </w:p>
    <w:p w14:paraId="3D85D4B1" w14:textId="77777777" w:rsidR="00DD272F" w:rsidRDefault="00DD272F" w:rsidP="00DD272F">
      <w:pPr>
        <w:pStyle w:val="Normal1"/>
        <w:rPr>
          <w:b/>
          <w:sz w:val="20"/>
          <w:szCs w:val="20"/>
          <w:u w:val="single"/>
        </w:rPr>
      </w:pPr>
    </w:p>
    <w:p w14:paraId="3D85D4B2" w14:textId="77777777" w:rsidR="00DD272F" w:rsidRDefault="00DD272F" w:rsidP="00DD272F">
      <w:pPr>
        <w:pStyle w:val="Normal1"/>
        <w:jc w:val="left"/>
        <w:rPr>
          <w:sz w:val="18"/>
          <w:szCs w:val="18"/>
        </w:rPr>
      </w:pPr>
      <w:r>
        <w:rPr>
          <w:sz w:val="18"/>
          <w:szCs w:val="18"/>
        </w:rPr>
        <w:t>a) Source: EPA 2006, and EPA Regional Screening Level table, 2017.</w:t>
      </w:r>
    </w:p>
    <w:p w14:paraId="3D85D4B3" w14:textId="77777777" w:rsidR="00DD272F" w:rsidRDefault="00DD272F" w:rsidP="00DD272F">
      <w:pPr>
        <w:pStyle w:val="Normal1"/>
        <w:jc w:val="left"/>
        <w:rPr>
          <w:sz w:val="18"/>
          <w:szCs w:val="18"/>
        </w:rPr>
      </w:pPr>
      <w:r>
        <w:rPr>
          <w:sz w:val="18"/>
          <w:szCs w:val="18"/>
        </w:rPr>
        <w:t>b) Although not explicitly included in EPA’s list, EPA states that carcinogenic PAHs with a relative potency factor relating the toxicity to the slope factor for benzo[a]pyrene should also be evaluated for early-life exposure.</w:t>
      </w:r>
    </w:p>
    <w:p w14:paraId="3D85D4B4" w14:textId="77777777" w:rsidR="00DD272F" w:rsidRDefault="00DD272F" w:rsidP="00DD272F">
      <w:pPr>
        <w:pStyle w:val="Normal1"/>
        <w:jc w:val="left"/>
        <w:rPr>
          <w:sz w:val="18"/>
          <w:szCs w:val="18"/>
        </w:rPr>
      </w:pPr>
      <w:r>
        <w:rPr>
          <w:sz w:val="18"/>
          <w:szCs w:val="18"/>
        </w:rPr>
        <w:t>c) Of the three cancer endpoints considered in the development of the inhalation unit risk (IUR) factor for TCE (kidney cancer, liver cancer, and non-Hodgkins lymphoma), EPA determined that TCE was carcinogenic by a mutagenic mode of action for kidney cancer (renal cell carcinoma), but not the other endpoints. Age-dependent adjustment factors should be used to evaluate early-life exposure to TCE for kidney cancer, but not the other endpoints.</w:t>
      </w:r>
    </w:p>
    <w:p w14:paraId="3D85D4B5" w14:textId="77777777" w:rsidR="00DD272F" w:rsidRDefault="00DD272F" w:rsidP="00DD272F">
      <w:pPr>
        <w:pStyle w:val="Normal1"/>
        <w:jc w:val="left"/>
      </w:pPr>
      <w:r>
        <w:rPr>
          <w:sz w:val="18"/>
          <w:szCs w:val="18"/>
        </w:rPr>
        <w:t>d) EPA has a specific method for evaluating early-life exposure to vinyl chloride, as presented in EPA’s Integrated Risk Information System (www.epa.gov/iris).</w:t>
      </w:r>
    </w:p>
    <w:p w14:paraId="3D85D4B6" w14:textId="77777777" w:rsidR="00DD272F" w:rsidRDefault="00DD272F" w:rsidP="00DD272F">
      <w:pPr>
        <w:pStyle w:val="Normal1"/>
        <w:jc w:val="left"/>
      </w:pPr>
      <w:r>
        <w:br w:type="page"/>
      </w:r>
    </w:p>
    <w:p w14:paraId="3D85D4B7" w14:textId="77777777" w:rsidR="00DD272F" w:rsidRDefault="00DD272F" w:rsidP="00DD272F">
      <w:pPr>
        <w:pStyle w:val="Normal1"/>
        <w:jc w:val="center"/>
        <w:rPr>
          <w:b/>
        </w:rPr>
      </w:pPr>
      <w:r>
        <w:rPr>
          <w:b/>
        </w:rPr>
        <w:t>Table C-2</w:t>
      </w:r>
    </w:p>
    <w:p w14:paraId="3D85D4B8" w14:textId="77777777" w:rsidR="00DD272F" w:rsidRDefault="00DD272F" w:rsidP="00DD272F">
      <w:pPr>
        <w:pStyle w:val="Normal1"/>
        <w:jc w:val="center"/>
        <w:rPr>
          <w:b/>
        </w:rPr>
      </w:pPr>
      <w:r>
        <w:rPr>
          <w:b/>
        </w:rPr>
        <w:t>Default Parameter Values for Early-Life Exposure</w:t>
      </w:r>
    </w:p>
    <w:p w14:paraId="3D85D4B9" w14:textId="77777777" w:rsidR="00DD272F" w:rsidRDefault="00DD272F" w:rsidP="00DD272F">
      <w:pPr>
        <w:pStyle w:val="Normal1"/>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366"/>
        <w:gridCol w:w="1922"/>
        <w:gridCol w:w="1949"/>
        <w:gridCol w:w="1351"/>
      </w:tblGrid>
      <w:tr w:rsidR="00DD272F" w14:paraId="3D85D4BF" w14:textId="77777777" w:rsidTr="00DD272F">
        <w:tc>
          <w:tcPr>
            <w:tcW w:w="2268" w:type="dxa"/>
          </w:tcPr>
          <w:p w14:paraId="3D85D4BA" w14:textId="77777777" w:rsidR="00DD272F" w:rsidRDefault="00DD272F" w:rsidP="00DD272F">
            <w:pPr>
              <w:pStyle w:val="Normal1"/>
              <w:jc w:val="center"/>
              <w:rPr>
                <w:b/>
              </w:rPr>
            </w:pPr>
            <w:r>
              <w:rPr>
                <w:b/>
              </w:rPr>
              <w:t>Parameter</w:t>
            </w:r>
          </w:p>
        </w:tc>
        <w:tc>
          <w:tcPr>
            <w:tcW w:w="1366" w:type="dxa"/>
          </w:tcPr>
          <w:p w14:paraId="3D85D4BB" w14:textId="77777777" w:rsidR="00DD272F" w:rsidRDefault="00DD272F" w:rsidP="00DD272F">
            <w:pPr>
              <w:pStyle w:val="Normal1"/>
              <w:jc w:val="center"/>
              <w:rPr>
                <w:b/>
              </w:rPr>
            </w:pPr>
            <w:r>
              <w:rPr>
                <w:b/>
              </w:rPr>
              <w:t>&lt;2 Years Old</w:t>
            </w:r>
          </w:p>
        </w:tc>
        <w:tc>
          <w:tcPr>
            <w:tcW w:w="1922" w:type="dxa"/>
          </w:tcPr>
          <w:p w14:paraId="3D85D4BC" w14:textId="77777777" w:rsidR="00DD272F" w:rsidRDefault="00DD272F" w:rsidP="00DD272F">
            <w:pPr>
              <w:pStyle w:val="Normal1"/>
              <w:jc w:val="center"/>
              <w:rPr>
                <w:b/>
              </w:rPr>
            </w:pPr>
            <w:r>
              <w:rPr>
                <w:b/>
              </w:rPr>
              <w:t>2 to &lt;6 Years Old</w:t>
            </w:r>
          </w:p>
        </w:tc>
        <w:tc>
          <w:tcPr>
            <w:tcW w:w="1949" w:type="dxa"/>
          </w:tcPr>
          <w:p w14:paraId="3D85D4BD" w14:textId="77777777" w:rsidR="00DD272F" w:rsidRDefault="00DD272F" w:rsidP="00DD272F">
            <w:pPr>
              <w:pStyle w:val="Normal1"/>
              <w:jc w:val="center"/>
              <w:rPr>
                <w:b/>
              </w:rPr>
            </w:pPr>
            <w:r>
              <w:rPr>
                <w:b/>
              </w:rPr>
              <w:t>6 to &lt;16 Years Old</w:t>
            </w:r>
          </w:p>
        </w:tc>
        <w:tc>
          <w:tcPr>
            <w:tcW w:w="1351" w:type="dxa"/>
          </w:tcPr>
          <w:p w14:paraId="3D85D4BE" w14:textId="77777777" w:rsidR="00DD272F" w:rsidRDefault="00DD272F" w:rsidP="00DD272F">
            <w:pPr>
              <w:pStyle w:val="Normal1"/>
              <w:jc w:val="center"/>
              <w:rPr>
                <w:b/>
              </w:rPr>
            </w:pPr>
            <w:r>
              <w:rPr>
                <w:b/>
              </w:rPr>
              <w:t>Adult</w:t>
            </w:r>
          </w:p>
        </w:tc>
      </w:tr>
      <w:tr w:rsidR="00DD272F" w14:paraId="3D85D4C5" w14:textId="77777777" w:rsidTr="00DD272F">
        <w:tc>
          <w:tcPr>
            <w:tcW w:w="2268" w:type="dxa"/>
            <w:tcBorders>
              <w:bottom w:val="single" w:sz="4" w:space="0" w:color="000000"/>
            </w:tcBorders>
          </w:tcPr>
          <w:p w14:paraId="3D85D4C0" w14:textId="77777777" w:rsidR="00DD272F" w:rsidRDefault="00DD272F" w:rsidP="00DD272F">
            <w:pPr>
              <w:pStyle w:val="Normal1"/>
              <w:rPr>
                <w:vertAlign w:val="superscript"/>
              </w:rPr>
            </w:pPr>
            <w:r>
              <w:t>ADAF (unitless)</w:t>
            </w:r>
            <w:r>
              <w:rPr>
                <w:vertAlign w:val="superscript"/>
              </w:rPr>
              <w:t>a</w:t>
            </w:r>
          </w:p>
        </w:tc>
        <w:tc>
          <w:tcPr>
            <w:tcW w:w="1366" w:type="dxa"/>
            <w:tcBorders>
              <w:bottom w:val="single" w:sz="4" w:space="0" w:color="000000"/>
            </w:tcBorders>
          </w:tcPr>
          <w:p w14:paraId="3D85D4C1" w14:textId="77777777" w:rsidR="00DD272F" w:rsidRDefault="00DD272F" w:rsidP="00DD272F">
            <w:pPr>
              <w:pStyle w:val="Normal1"/>
              <w:jc w:val="center"/>
            </w:pPr>
            <w:r>
              <w:t>10</w:t>
            </w:r>
          </w:p>
        </w:tc>
        <w:tc>
          <w:tcPr>
            <w:tcW w:w="1922" w:type="dxa"/>
            <w:tcBorders>
              <w:bottom w:val="single" w:sz="4" w:space="0" w:color="000000"/>
            </w:tcBorders>
          </w:tcPr>
          <w:p w14:paraId="3D85D4C2" w14:textId="77777777" w:rsidR="00DD272F" w:rsidRDefault="00DD272F" w:rsidP="00DD272F">
            <w:pPr>
              <w:pStyle w:val="Normal1"/>
              <w:jc w:val="center"/>
            </w:pPr>
            <w:r>
              <w:t>3</w:t>
            </w:r>
          </w:p>
        </w:tc>
        <w:tc>
          <w:tcPr>
            <w:tcW w:w="1949" w:type="dxa"/>
            <w:tcBorders>
              <w:bottom w:val="single" w:sz="4" w:space="0" w:color="000000"/>
            </w:tcBorders>
          </w:tcPr>
          <w:p w14:paraId="3D85D4C3" w14:textId="77777777" w:rsidR="00DD272F" w:rsidRDefault="00DD272F" w:rsidP="00DD272F">
            <w:pPr>
              <w:pStyle w:val="Normal1"/>
              <w:jc w:val="center"/>
            </w:pPr>
            <w:r>
              <w:t>3</w:t>
            </w:r>
          </w:p>
        </w:tc>
        <w:tc>
          <w:tcPr>
            <w:tcW w:w="1351" w:type="dxa"/>
            <w:tcBorders>
              <w:bottom w:val="single" w:sz="4" w:space="0" w:color="000000"/>
            </w:tcBorders>
          </w:tcPr>
          <w:p w14:paraId="3D85D4C4" w14:textId="77777777" w:rsidR="00DD272F" w:rsidRDefault="00DD272F" w:rsidP="00DD272F">
            <w:pPr>
              <w:pStyle w:val="Normal1"/>
              <w:jc w:val="center"/>
            </w:pPr>
            <w:r>
              <w:t>1</w:t>
            </w:r>
          </w:p>
        </w:tc>
      </w:tr>
      <w:tr w:rsidR="00DD272F" w14:paraId="3D85D4CB" w14:textId="77777777" w:rsidTr="00DD272F">
        <w:tc>
          <w:tcPr>
            <w:tcW w:w="2268" w:type="dxa"/>
            <w:tcBorders>
              <w:bottom w:val="nil"/>
            </w:tcBorders>
          </w:tcPr>
          <w:p w14:paraId="3D85D4C6" w14:textId="77777777" w:rsidR="00DD272F" w:rsidRDefault="00DD272F" w:rsidP="00DD272F">
            <w:pPr>
              <w:pStyle w:val="Normal1"/>
              <w:rPr>
                <w:vertAlign w:val="superscript"/>
              </w:rPr>
            </w:pPr>
            <w:r>
              <w:t>ED (yr)</w:t>
            </w:r>
            <w:r>
              <w:rPr>
                <w:vertAlign w:val="superscript"/>
              </w:rPr>
              <w:t>b</w:t>
            </w:r>
            <w:r>
              <w:t xml:space="preserve">   residential</w:t>
            </w:r>
            <w:r>
              <w:rPr>
                <w:vertAlign w:val="superscript"/>
              </w:rPr>
              <w:t>c</w:t>
            </w:r>
          </w:p>
        </w:tc>
        <w:tc>
          <w:tcPr>
            <w:tcW w:w="1366" w:type="dxa"/>
            <w:tcBorders>
              <w:bottom w:val="nil"/>
            </w:tcBorders>
          </w:tcPr>
          <w:p w14:paraId="3D85D4C7" w14:textId="77777777" w:rsidR="00DD272F" w:rsidRDefault="00DD272F" w:rsidP="00DD272F">
            <w:pPr>
              <w:pStyle w:val="Normal1"/>
              <w:jc w:val="center"/>
            </w:pPr>
            <w:r>
              <w:t>2</w:t>
            </w:r>
          </w:p>
        </w:tc>
        <w:tc>
          <w:tcPr>
            <w:tcW w:w="1922" w:type="dxa"/>
            <w:tcBorders>
              <w:bottom w:val="nil"/>
            </w:tcBorders>
          </w:tcPr>
          <w:p w14:paraId="3D85D4C8" w14:textId="77777777" w:rsidR="00DD272F" w:rsidRDefault="00DD272F" w:rsidP="00DD272F">
            <w:pPr>
              <w:pStyle w:val="Normal1"/>
              <w:jc w:val="center"/>
            </w:pPr>
            <w:r>
              <w:t>4</w:t>
            </w:r>
          </w:p>
        </w:tc>
        <w:tc>
          <w:tcPr>
            <w:tcW w:w="1949" w:type="dxa"/>
            <w:tcBorders>
              <w:bottom w:val="nil"/>
            </w:tcBorders>
          </w:tcPr>
          <w:p w14:paraId="3D85D4C9" w14:textId="77777777" w:rsidR="00DD272F" w:rsidRDefault="00DD272F" w:rsidP="00DD272F">
            <w:pPr>
              <w:pStyle w:val="Normal1"/>
              <w:jc w:val="center"/>
            </w:pPr>
            <w:r>
              <w:t>10</w:t>
            </w:r>
          </w:p>
        </w:tc>
        <w:tc>
          <w:tcPr>
            <w:tcW w:w="1351" w:type="dxa"/>
            <w:tcBorders>
              <w:bottom w:val="nil"/>
            </w:tcBorders>
          </w:tcPr>
          <w:p w14:paraId="3D85D4CA" w14:textId="77777777" w:rsidR="00DD272F" w:rsidRDefault="00DD272F" w:rsidP="00DD272F">
            <w:pPr>
              <w:pStyle w:val="Normal1"/>
              <w:jc w:val="center"/>
              <w:rPr>
                <w:vertAlign w:val="superscript"/>
              </w:rPr>
            </w:pPr>
            <w:r>
              <w:t>54</w:t>
            </w:r>
          </w:p>
        </w:tc>
      </w:tr>
      <w:tr w:rsidR="00DD272F" w14:paraId="3D85D4D1" w14:textId="77777777" w:rsidTr="00DD272F">
        <w:tc>
          <w:tcPr>
            <w:tcW w:w="2268" w:type="dxa"/>
            <w:tcBorders>
              <w:top w:val="nil"/>
            </w:tcBorders>
          </w:tcPr>
          <w:p w14:paraId="3D85D4CC" w14:textId="77777777" w:rsidR="00DD272F" w:rsidRDefault="00DD272F" w:rsidP="00DD272F">
            <w:pPr>
              <w:pStyle w:val="Normal1"/>
            </w:pPr>
            <w:r>
              <w:t xml:space="preserve">    </w:t>
            </w:r>
            <w:r w:rsidR="00554228">
              <w:t xml:space="preserve">      </w:t>
            </w:r>
            <w:r>
              <w:t xml:space="preserve"> nonesidential</w:t>
            </w:r>
            <w:r>
              <w:rPr>
                <w:vertAlign w:val="superscript"/>
              </w:rPr>
              <w:t>d</w:t>
            </w:r>
          </w:p>
        </w:tc>
        <w:tc>
          <w:tcPr>
            <w:tcW w:w="1366" w:type="dxa"/>
            <w:tcBorders>
              <w:top w:val="nil"/>
            </w:tcBorders>
          </w:tcPr>
          <w:p w14:paraId="3D85D4CD" w14:textId="77777777" w:rsidR="00DD272F" w:rsidRDefault="00DD272F" w:rsidP="00DD272F">
            <w:pPr>
              <w:pStyle w:val="Normal1"/>
              <w:jc w:val="center"/>
            </w:pPr>
            <w:r>
              <w:t>2</w:t>
            </w:r>
          </w:p>
        </w:tc>
        <w:tc>
          <w:tcPr>
            <w:tcW w:w="1922" w:type="dxa"/>
            <w:tcBorders>
              <w:top w:val="nil"/>
            </w:tcBorders>
          </w:tcPr>
          <w:p w14:paraId="3D85D4CE" w14:textId="77777777" w:rsidR="00DD272F" w:rsidRDefault="00DD272F" w:rsidP="00DD272F">
            <w:pPr>
              <w:pStyle w:val="Normal1"/>
              <w:jc w:val="center"/>
            </w:pPr>
            <w:r>
              <w:t>4</w:t>
            </w:r>
          </w:p>
        </w:tc>
        <w:tc>
          <w:tcPr>
            <w:tcW w:w="1949" w:type="dxa"/>
            <w:tcBorders>
              <w:top w:val="nil"/>
            </w:tcBorders>
          </w:tcPr>
          <w:p w14:paraId="3D85D4CF" w14:textId="77777777" w:rsidR="00DD272F" w:rsidRDefault="00DD272F" w:rsidP="00DD272F">
            <w:pPr>
              <w:pStyle w:val="Normal1"/>
              <w:jc w:val="center"/>
            </w:pPr>
            <w:r>
              <w:t>6</w:t>
            </w:r>
          </w:p>
        </w:tc>
        <w:tc>
          <w:tcPr>
            <w:tcW w:w="1351" w:type="dxa"/>
            <w:tcBorders>
              <w:top w:val="nil"/>
            </w:tcBorders>
          </w:tcPr>
          <w:p w14:paraId="3D85D4D0" w14:textId="77777777" w:rsidR="00DD272F" w:rsidRDefault="00DD272F" w:rsidP="00DD272F">
            <w:pPr>
              <w:pStyle w:val="Normal1"/>
              <w:jc w:val="center"/>
            </w:pPr>
            <w:r>
              <w:t>0</w:t>
            </w:r>
          </w:p>
        </w:tc>
      </w:tr>
      <w:tr w:rsidR="00DD272F" w14:paraId="3D85D4D7" w14:textId="77777777" w:rsidTr="00DD272F">
        <w:tc>
          <w:tcPr>
            <w:tcW w:w="2268" w:type="dxa"/>
          </w:tcPr>
          <w:p w14:paraId="3D85D4D2" w14:textId="77777777" w:rsidR="00DD272F" w:rsidRDefault="00DD272F" w:rsidP="00DD272F">
            <w:pPr>
              <w:pStyle w:val="Normal1"/>
              <w:rPr>
                <w:vertAlign w:val="superscript"/>
              </w:rPr>
            </w:pPr>
            <w:r>
              <w:t>BW (kg)</w:t>
            </w:r>
            <w:r>
              <w:rPr>
                <w:vertAlign w:val="superscript"/>
              </w:rPr>
              <w:t>b</w:t>
            </w:r>
          </w:p>
        </w:tc>
        <w:tc>
          <w:tcPr>
            <w:tcW w:w="1366" w:type="dxa"/>
          </w:tcPr>
          <w:p w14:paraId="3D85D4D3" w14:textId="77777777" w:rsidR="00DD272F" w:rsidRDefault="00DD272F" w:rsidP="00DD272F">
            <w:pPr>
              <w:pStyle w:val="Normal1"/>
              <w:jc w:val="center"/>
            </w:pPr>
            <w:r>
              <w:t>15</w:t>
            </w:r>
          </w:p>
        </w:tc>
        <w:tc>
          <w:tcPr>
            <w:tcW w:w="1922" w:type="dxa"/>
          </w:tcPr>
          <w:p w14:paraId="3D85D4D4" w14:textId="77777777" w:rsidR="00DD272F" w:rsidRDefault="00DD272F" w:rsidP="00DD272F">
            <w:pPr>
              <w:pStyle w:val="Normal1"/>
              <w:jc w:val="center"/>
            </w:pPr>
            <w:r>
              <w:t>15</w:t>
            </w:r>
          </w:p>
        </w:tc>
        <w:tc>
          <w:tcPr>
            <w:tcW w:w="1949" w:type="dxa"/>
          </w:tcPr>
          <w:p w14:paraId="3D85D4D5" w14:textId="77777777" w:rsidR="00DD272F" w:rsidRDefault="00DD272F" w:rsidP="00DD272F">
            <w:pPr>
              <w:pStyle w:val="Normal1"/>
              <w:jc w:val="center"/>
            </w:pPr>
            <w:r>
              <w:t>80</w:t>
            </w:r>
          </w:p>
        </w:tc>
        <w:tc>
          <w:tcPr>
            <w:tcW w:w="1351" w:type="dxa"/>
          </w:tcPr>
          <w:p w14:paraId="3D85D4D6" w14:textId="77777777" w:rsidR="00DD272F" w:rsidRDefault="00DD272F" w:rsidP="00DD272F">
            <w:pPr>
              <w:pStyle w:val="Normal1"/>
              <w:jc w:val="center"/>
            </w:pPr>
            <w:r>
              <w:t>80</w:t>
            </w:r>
          </w:p>
        </w:tc>
      </w:tr>
      <w:tr w:rsidR="00DD272F" w14:paraId="3D85D4DD" w14:textId="77777777" w:rsidTr="00DD272F">
        <w:tc>
          <w:tcPr>
            <w:tcW w:w="2268" w:type="dxa"/>
          </w:tcPr>
          <w:p w14:paraId="3D85D4D8" w14:textId="77777777" w:rsidR="00DD272F" w:rsidRDefault="00DD272F" w:rsidP="00DD272F">
            <w:pPr>
              <w:pStyle w:val="Normal1"/>
              <w:rPr>
                <w:vertAlign w:val="superscript"/>
              </w:rPr>
            </w:pPr>
            <w:r>
              <w:t>IRS (mg/d)</w:t>
            </w:r>
            <w:r>
              <w:rPr>
                <w:vertAlign w:val="superscript"/>
              </w:rPr>
              <w:t>b</w:t>
            </w:r>
          </w:p>
        </w:tc>
        <w:tc>
          <w:tcPr>
            <w:tcW w:w="1366" w:type="dxa"/>
          </w:tcPr>
          <w:p w14:paraId="3D85D4D9" w14:textId="77777777" w:rsidR="00DD272F" w:rsidRDefault="00DD272F" w:rsidP="00DD272F">
            <w:pPr>
              <w:pStyle w:val="Normal1"/>
              <w:jc w:val="center"/>
            </w:pPr>
            <w:r>
              <w:t>200</w:t>
            </w:r>
          </w:p>
        </w:tc>
        <w:tc>
          <w:tcPr>
            <w:tcW w:w="1922" w:type="dxa"/>
          </w:tcPr>
          <w:p w14:paraId="3D85D4DA" w14:textId="77777777" w:rsidR="00DD272F" w:rsidRDefault="00DD272F" w:rsidP="00DD272F">
            <w:pPr>
              <w:pStyle w:val="Normal1"/>
              <w:jc w:val="center"/>
            </w:pPr>
            <w:r>
              <w:t>200</w:t>
            </w:r>
          </w:p>
        </w:tc>
        <w:tc>
          <w:tcPr>
            <w:tcW w:w="1949" w:type="dxa"/>
          </w:tcPr>
          <w:p w14:paraId="3D85D4DB" w14:textId="77777777" w:rsidR="00DD272F" w:rsidRDefault="00DD272F" w:rsidP="00DD272F">
            <w:pPr>
              <w:pStyle w:val="Normal1"/>
              <w:jc w:val="center"/>
            </w:pPr>
            <w:r>
              <w:t>100</w:t>
            </w:r>
          </w:p>
        </w:tc>
        <w:tc>
          <w:tcPr>
            <w:tcW w:w="1351" w:type="dxa"/>
          </w:tcPr>
          <w:p w14:paraId="3D85D4DC" w14:textId="77777777" w:rsidR="00DD272F" w:rsidRDefault="00DD272F" w:rsidP="00DD272F">
            <w:pPr>
              <w:pStyle w:val="Normal1"/>
              <w:jc w:val="center"/>
            </w:pPr>
            <w:r>
              <w:t>100</w:t>
            </w:r>
          </w:p>
        </w:tc>
      </w:tr>
      <w:tr w:rsidR="00DD272F" w14:paraId="3D85D4E3" w14:textId="77777777" w:rsidTr="00DD272F">
        <w:tc>
          <w:tcPr>
            <w:tcW w:w="2268" w:type="dxa"/>
          </w:tcPr>
          <w:p w14:paraId="3D85D4DE" w14:textId="77777777" w:rsidR="00DD272F" w:rsidRDefault="00DD272F" w:rsidP="00DD272F">
            <w:pPr>
              <w:pStyle w:val="Normal1"/>
              <w:tabs>
                <w:tab w:val="left" w:pos="900"/>
                <w:tab w:val="left" w:pos="1440"/>
                <w:tab w:val="left" w:pos="1800"/>
                <w:tab w:val="left" w:pos="9360"/>
              </w:tabs>
              <w:rPr>
                <w:vertAlign w:val="superscript"/>
              </w:rPr>
            </w:pPr>
            <w:r>
              <w:t>IRW (L/d)</w:t>
            </w:r>
            <w:r>
              <w:rPr>
                <w:vertAlign w:val="superscript"/>
              </w:rPr>
              <w:t>b</w:t>
            </w:r>
          </w:p>
        </w:tc>
        <w:tc>
          <w:tcPr>
            <w:tcW w:w="1366" w:type="dxa"/>
          </w:tcPr>
          <w:p w14:paraId="3D85D4DF" w14:textId="77777777" w:rsidR="00DD272F" w:rsidRDefault="00DD272F" w:rsidP="00DD272F">
            <w:pPr>
              <w:pStyle w:val="Normal1"/>
              <w:jc w:val="center"/>
            </w:pPr>
            <w:r>
              <w:t>0.78</w:t>
            </w:r>
          </w:p>
        </w:tc>
        <w:tc>
          <w:tcPr>
            <w:tcW w:w="1922" w:type="dxa"/>
          </w:tcPr>
          <w:p w14:paraId="3D85D4E0" w14:textId="77777777" w:rsidR="00DD272F" w:rsidRDefault="00DD272F" w:rsidP="00DD272F">
            <w:pPr>
              <w:pStyle w:val="Normal1"/>
              <w:jc w:val="center"/>
            </w:pPr>
            <w:r>
              <w:t>0.78</w:t>
            </w:r>
          </w:p>
        </w:tc>
        <w:tc>
          <w:tcPr>
            <w:tcW w:w="1949" w:type="dxa"/>
          </w:tcPr>
          <w:p w14:paraId="3D85D4E1" w14:textId="77777777" w:rsidR="00DD272F" w:rsidRDefault="00DD272F" w:rsidP="00DD272F">
            <w:pPr>
              <w:pStyle w:val="Normal1"/>
              <w:jc w:val="center"/>
            </w:pPr>
            <w:r>
              <w:t>2.5</w:t>
            </w:r>
          </w:p>
        </w:tc>
        <w:tc>
          <w:tcPr>
            <w:tcW w:w="1351" w:type="dxa"/>
          </w:tcPr>
          <w:p w14:paraId="3D85D4E2" w14:textId="77777777" w:rsidR="00DD272F" w:rsidRDefault="00DD272F" w:rsidP="00DD272F">
            <w:pPr>
              <w:pStyle w:val="Normal1"/>
              <w:jc w:val="center"/>
            </w:pPr>
            <w:r>
              <w:t>2.5</w:t>
            </w:r>
          </w:p>
        </w:tc>
      </w:tr>
      <w:tr w:rsidR="00DD272F" w14:paraId="3D85D4E9" w14:textId="77777777" w:rsidTr="00DD272F">
        <w:tc>
          <w:tcPr>
            <w:tcW w:w="2268" w:type="dxa"/>
          </w:tcPr>
          <w:p w14:paraId="3D85D4E4" w14:textId="77777777" w:rsidR="00DD272F" w:rsidRDefault="00DD272F" w:rsidP="00DD272F">
            <w:pPr>
              <w:pStyle w:val="Normal1"/>
              <w:rPr>
                <w:vertAlign w:val="superscript"/>
              </w:rPr>
            </w:pPr>
            <w:r>
              <w:t>AF (mg/cm</w:t>
            </w:r>
            <w:r>
              <w:rPr>
                <w:vertAlign w:val="superscript"/>
              </w:rPr>
              <w:t>2</w:t>
            </w:r>
            <w:r>
              <w:rPr>
                <w:rFonts w:ascii="Arial Unicode MS" w:eastAsia="Arial Unicode MS" w:hAnsi="Arial Unicode MS" w:cs="Arial Unicode MS"/>
              </w:rPr>
              <w:t>⋅event)</w:t>
            </w:r>
          </w:p>
        </w:tc>
        <w:tc>
          <w:tcPr>
            <w:tcW w:w="1366" w:type="dxa"/>
          </w:tcPr>
          <w:p w14:paraId="3D85D4E5" w14:textId="77777777" w:rsidR="00DD272F" w:rsidRDefault="00DD272F" w:rsidP="00DD272F">
            <w:pPr>
              <w:pStyle w:val="Normal1"/>
              <w:jc w:val="center"/>
            </w:pPr>
            <w:r>
              <w:t>0.2</w:t>
            </w:r>
          </w:p>
        </w:tc>
        <w:tc>
          <w:tcPr>
            <w:tcW w:w="1922" w:type="dxa"/>
          </w:tcPr>
          <w:p w14:paraId="3D85D4E6" w14:textId="77777777" w:rsidR="00DD272F" w:rsidRDefault="00DD272F" w:rsidP="00DD272F">
            <w:pPr>
              <w:pStyle w:val="Normal1"/>
              <w:jc w:val="center"/>
            </w:pPr>
            <w:r>
              <w:t>0.2</w:t>
            </w:r>
          </w:p>
        </w:tc>
        <w:tc>
          <w:tcPr>
            <w:tcW w:w="1949" w:type="dxa"/>
          </w:tcPr>
          <w:p w14:paraId="3D85D4E7" w14:textId="77777777" w:rsidR="00DD272F" w:rsidRDefault="00DD272F" w:rsidP="00DD272F">
            <w:pPr>
              <w:pStyle w:val="Normal1"/>
              <w:jc w:val="center"/>
            </w:pPr>
            <w:r>
              <w:t>0.07</w:t>
            </w:r>
          </w:p>
        </w:tc>
        <w:tc>
          <w:tcPr>
            <w:tcW w:w="1351" w:type="dxa"/>
          </w:tcPr>
          <w:p w14:paraId="3D85D4E8" w14:textId="77777777" w:rsidR="00DD272F" w:rsidRDefault="00DD272F" w:rsidP="00DD272F">
            <w:pPr>
              <w:pStyle w:val="Normal1"/>
              <w:jc w:val="center"/>
            </w:pPr>
            <w:r>
              <w:t>0.07</w:t>
            </w:r>
          </w:p>
        </w:tc>
      </w:tr>
      <w:tr w:rsidR="00DD272F" w14:paraId="3D85D4EF" w14:textId="77777777" w:rsidTr="00DD272F">
        <w:tc>
          <w:tcPr>
            <w:tcW w:w="2268" w:type="dxa"/>
          </w:tcPr>
          <w:p w14:paraId="3D85D4EA" w14:textId="77777777" w:rsidR="00DD272F" w:rsidRDefault="00DD272F" w:rsidP="00DD272F">
            <w:pPr>
              <w:pStyle w:val="Normal1"/>
              <w:rPr>
                <w:vertAlign w:val="superscript"/>
              </w:rPr>
            </w:pPr>
            <w:r>
              <w:t>SA (cm</w:t>
            </w:r>
            <w:r>
              <w:rPr>
                <w:vertAlign w:val="superscript"/>
              </w:rPr>
              <w:t>2</w:t>
            </w:r>
            <w:r>
              <w:t>)</w:t>
            </w:r>
            <w:r>
              <w:rPr>
                <w:vertAlign w:val="superscript"/>
              </w:rPr>
              <w:t>b</w:t>
            </w:r>
          </w:p>
        </w:tc>
        <w:tc>
          <w:tcPr>
            <w:tcW w:w="1366" w:type="dxa"/>
          </w:tcPr>
          <w:p w14:paraId="3D85D4EB" w14:textId="77777777" w:rsidR="00DD272F" w:rsidRDefault="00DD272F" w:rsidP="00DD272F">
            <w:pPr>
              <w:pStyle w:val="Normal1"/>
              <w:jc w:val="center"/>
            </w:pPr>
            <w:r>
              <w:t>2,690</w:t>
            </w:r>
          </w:p>
        </w:tc>
        <w:tc>
          <w:tcPr>
            <w:tcW w:w="1922" w:type="dxa"/>
          </w:tcPr>
          <w:p w14:paraId="3D85D4EC" w14:textId="77777777" w:rsidR="00DD272F" w:rsidRDefault="00DD272F" w:rsidP="00DD272F">
            <w:pPr>
              <w:pStyle w:val="Normal1"/>
              <w:jc w:val="center"/>
            </w:pPr>
            <w:r>
              <w:t>2,690</w:t>
            </w:r>
          </w:p>
        </w:tc>
        <w:tc>
          <w:tcPr>
            <w:tcW w:w="1949" w:type="dxa"/>
          </w:tcPr>
          <w:p w14:paraId="3D85D4ED" w14:textId="77777777" w:rsidR="00DD272F" w:rsidRDefault="00DD272F" w:rsidP="00DD272F">
            <w:pPr>
              <w:pStyle w:val="Normal1"/>
              <w:jc w:val="center"/>
            </w:pPr>
            <w:r>
              <w:t>6,032</w:t>
            </w:r>
          </w:p>
        </w:tc>
        <w:tc>
          <w:tcPr>
            <w:tcW w:w="1351" w:type="dxa"/>
          </w:tcPr>
          <w:p w14:paraId="3D85D4EE" w14:textId="77777777" w:rsidR="00DD272F" w:rsidRDefault="00DD272F" w:rsidP="00DD272F">
            <w:pPr>
              <w:pStyle w:val="Normal1"/>
              <w:jc w:val="center"/>
            </w:pPr>
            <w:r>
              <w:t>6,032</w:t>
            </w:r>
          </w:p>
        </w:tc>
      </w:tr>
      <w:tr w:rsidR="00DD272F" w14:paraId="3D85D4F5" w14:textId="77777777" w:rsidTr="00DD272F">
        <w:tc>
          <w:tcPr>
            <w:tcW w:w="2268" w:type="dxa"/>
          </w:tcPr>
          <w:p w14:paraId="3D85D4F0" w14:textId="77777777" w:rsidR="00DD272F" w:rsidRDefault="00DD272F" w:rsidP="00DD272F">
            <w:pPr>
              <w:pStyle w:val="Normal1"/>
              <w:rPr>
                <w:vertAlign w:val="superscript"/>
              </w:rPr>
            </w:pPr>
            <w:r>
              <w:t>IRA (m</w:t>
            </w:r>
            <w:r>
              <w:rPr>
                <w:vertAlign w:val="superscript"/>
              </w:rPr>
              <w:t>3</w:t>
            </w:r>
            <w:r>
              <w:t>/d)</w:t>
            </w:r>
            <w:r>
              <w:rPr>
                <w:vertAlign w:val="superscript"/>
              </w:rPr>
              <w:t>b</w:t>
            </w:r>
          </w:p>
        </w:tc>
        <w:tc>
          <w:tcPr>
            <w:tcW w:w="1366" w:type="dxa"/>
          </w:tcPr>
          <w:p w14:paraId="3D85D4F1" w14:textId="77777777" w:rsidR="00DD272F" w:rsidRDefault="00DD272F" w:rsidP="00DD272F">
            <w:pPr>
              <w:pStyle w:val="Normal1"/>
              <w:jc w:val="center"/>
            </w:pPr>
            <w:r>
              <w:t>10</w:t>
            </w:r>
          </w:p>
        </w:tc>
        <w:tc>
          <w:tcPr>
            <w:tcW w:w="1922" w:type="dxa"/>
          </w:tcPr>
          <w:p w14:paraId="3D85D4F2" w14:textId="77777777" w:rsidR="00DD272F" w:rsidRDefault="00DD272F" w:rsidP="00DD272F">
            <w:pPr>
              <w:pStyle w:val="Normal1"/>
              <w:jc w:val="center"/>
            </w:pPr>
            <w:r>
              <w:t>10</w:t>
            </w:r>
          </w:p>
        </w:tc>
        <w:tc>
          <w:tcPr>
            <w:tcW w:w="1949" w:type="dxa"/>
          </w:tcPr>
          <w:p w14:paraId="3D85D4F3" w14:textId="77777777" w:rsidR="00DD272F" w:rsidRDefault="00DD272F" w:rsidP="00DD272F">
            <w:pPr>
              <w:pStyle w:val="Normal1"/>
              <w:jc w:val="center"/>
            </w:pPr>
            <w:r>
              <w:t>20</w:t>
            </w:r>
          </w:p>
        </w:tc>
        <w:tc>
          <w:tcPr>
            <w:tcW w:w="1351" w:type="dxa"/>
          </w:tcPr>
          <w:p w14:paraId="3D85D4F4" w14:textId="77777777" w:rsidR="00DD272F" w:rsidRDefault="00DD272F" w:rsidP="00DD272F">
            <w:pPr>
              <w:pStyle w:val="Normal1"/>
              <w:jc w:val="center"/>
            </w:pPr>
            <w:r>
              <w:t>20</w:t>
            </w:r>
          </w:p>
        </w:tc>
      </w:tr>
    </w:tbl>
    <w:p w14:paraId="3D85D4F6" w14:textId="77777777" w:rsidR="00DD272F" w:rsidRDefault="00DD272F" w:rsidP="00DD272F">
      <w:pPr>
        <w:pStyle w:val="Normal1"/>
      </w:pPr>
    </w:p>
    <w:p w14:paraId="3D85D4F7" w14:textId="77777777" w:rsidR="00DD272F" w:rsidRDefault="00DD272F" w:rsidP="00DD272F">
      <w:pPr>
        <w:pStyle w:val="Normal1"/>
        <w:jc w:val="left"/>
        <w:rPr>
          <w:b/>
          <w:sz w:val="20"/>
          <w:szCs w:val="20"/>
          <w:u w:val="single"/>
        </w:rPr>
      </w:pPr>
      <w:r>
        <w:rPr>
          <w:b/>
          <w:sz w:val="20"/>
          <w:szCs w:val="20"/>
          <w:u w:val="single"/>
        </w:rPr>
        <w:t>Notes:</w:t>
      </w:r>
    </w:p>
    <w:p w14:paraId="3D85D4F8" w14:textId="77777777" w:rsidR="00DD272F" w:rsidRDefault="00DD272F" w:rsidP="00DD272F">
      <w:pPr>
        <w:pStyle w:val="Normal1"/>
        <w:jc w:val="left"/>
        <w:rPr>
          <w:b/>
          <w:sz w:val="20"/>
          <w:szCs w:val="20"/>
          <w:u w:val="single"/>
        </w:rPr>
      </w:pPr>
    </w:p>
    <w:p w14:paraId="3D85D4F9" w14:textId="77777777" w:rsidR="00DD272F" w:rsidRDefault="00DD272F" w:rsidP="00713CB5">
      <w:pPr>
        <w:pStyle w:val="Normal1"/>
        <w:widowControl/>
        <w:numPr>
          <w:ilvl w:val="0"/>
          <w:numId w:val="17"/>
        </w:numPr>
        <w:jc w:val="left"/>
        <w:rPr>
          <w:sz w:val="20"/>
          <w:szCs w:val="20"/>
        </w:rPr>
      </w:pPr>
      <w:r>
        <w:rPr>
          <w:sz w:val="20"/>
          <w:szCs w:val="20"/>
        </w:rPr>
        <w:t>Age-dependent adjustment factor (ADAF) values taken from EPA 2005b.</w:t>
      </w:r>
    </w:p>
    <w:p w14:paraId="3D85D4FA" w14:textId="77777777" w:rsidR="00DD272F" w:rsidRDefault="00DD272F" w:rsidP="00713CB5">
      <w:pPr>
        <w:pStyle w:val="Normal1"/>
        <w:widowControl/>
        <w:numPr>
          <w:ilvl w:val="0"/>
          <w:numId w:val="17"/>
        </w:numPr>
        <w:jc w:val="left"/>
        <w:rPr>
          <w:sz w:val="20"/>
          <w:szCs w:val="20"/>
        </w:rPr>
      </w:pPr>
      <w:r>
        <w:rPr>
          <w:sz w:val="20"/>
          <w:szCs w:val="20"/>
        </w:rPr>
        <w:t xml:space="preserve">Exposure values taken from </w:t>
      </w:r>
      <w:r>
        <w:rPr>
          <w:i/>
          <w:sz w:val="20"/>
          <w:szCs w:val="20"/>
        </w:rPr>
        <w:t>Exposure Factors Handbook</w:t>
      </w:r>
      <w:r>
        <w:rPr>
          <w:sz w:val="20"/>
          <w:szCs w:val="20"/>
        </w:rPr>
        <w:t xml:space="preserve"> (EPA 2011), </w:t>
      </w:r>
      <w:r>
        <w:rPr>
          <w:i/>
          <w:sz w:val="20"/>
          <w:szCs w:val="20"/>
        </w:rPr>
        <w:t xml:space="preserve">Risk Assessment Guidance for Superfund </w:t>
      </w:r>
      <w:r>
        <w:rPr>
          <w:sz w:val="20"/>
          <w:szCs w:val="20"/>
        </w:rPr>
        <w:t>(EPA 1989), and EPA Regional Screening Levels (EPA 2017).</w:t>
      </w:r>
      <w:r>
        <w:rPr>
          <w:sz w:val="20"/>
          <w:szCs w:val="20"/>
        </w:rPr>
        <w:br/>
        <w:t>ED = exposure duration</w:t>
      </w:r>
      <w:r>
        <w:rPr>
          <w:sz w:val="20"/>
          <w:szCs w:val="20"/>
        </w:rPr>
        <w:tab/>
      </w:r>
      <w:r>
        <w:rPr>
          <w:sz w:val="20"/>
          <w:szCs w:val="20"/>
        </w:rPr>
        <w:tab/>
        <w:t>BW = body weight</w:t>
      </w:r>
      <w:r>
        <w:rPr>
          <w:sz w:val="20"/>
          <w:szCs w:val="20"/>
        </w:rPr>
        <w:br/>
        <w:t>IRS = ingestion rate, soil</w:t>
      </w:r>
      <w:r>
        <w:rPr>
          <w:sz w:val="20"/>
          <w:szCs w:val="20"/>
        </w:rPr>
        <w:tab/>
        <w:t>IRW = ingestion rate, water</w:t>
      </w:r>
      <w:r>
        <w:rPr>
          <w:sz w:val="20"/>
          <w:szCs w:val="20"/>
        </w:rPr>
        <w:br/>
        <w:t>AF = adherence factor</w:t>
      </w:r>
      <w:r>
        <w:rPr>
          <w:sz w:val="20"/>
          <w:szCs w:val="20"/>
        </w:rPr>
        <w:tab/>
      </w:r>
      <w:r>
        <w:rPr>
          <w:sz w:val="20"/>
          <w:szCs w:val="20"/>
        </w:rPr>
        <w:tab/>
        <w:t>SA = skin surface area</w:t>
      </w:r>
      <w:r>
        <w:rPr>
          <w:sz w:val="20"/>
          <w:szCs w:val="20"/>
        </w:rPr>
        <w:br/>
        <w:t>IRA = inhalation rate, air</w:t>
      </w:r>
    </w:p>
    <w:p w14:paraId="3D85D4FB" w14:textId="77777777" w:rsidR="00DD272F" w:rsidRDefault="00DD272F" w:rsidP="00713CB5">
      <w:pPr>
        <w:pStyle w:val="Normal1"/>
        <w:widowControl/>
        <w:numPr>
          <w:ilvl w:val="0"/>
          <w:numId w:val="17"/>
        </w:numPr>
        <w:jc w:val="left"/>
        <w:rPr>
          <w:sz w:val="20"/>
          <w:szCs w:val="20"/>
        </w:rPr>
      </w:pPr>
      <w:r>
        <w:rPr>
          <w:sz w:val="20"/>
          <w:szCs w:val="20"/>
        </w:rPr>
        <w:t>The standard residential default exposure duration is 70 years.</w:t>
      </w:r>
    </w:p>
    <w:p w14:paraId="3D85D4FC" w14:textId="77777777" w:rsidR="00DD272F" w:rsidRDefault="00DD272F" w:rsidP="00713CB5">
      <w:pPr>
        <w:pStyle w:val="Normal1"/>
        <w:widowControl/>
        <w:numPr>
          <w:ilvl w:val="0"/>
          <w:numId w:val="17"/>
        </w:numPr>
        <w:jc w:val="left"/>
        <w:rPr>
          <w:sz w:val="20"/>
          <w:szCs w:val="20"/>
        </w:rPr>
      </w:pPr>
      <w:r>
        <w:rPr>
          <w:sz w:val="20"/>
          <w:szCs w:val="20"/>
        </w:rPr>
        <w:t>The nonresidential default exposure duration is 12 years, infancy through elementary school.</w:t>
      </w:r>
    </w:p>
    <w:p w14:paraId="3D85D4FD" w14:textId="77777777" w:rsidR="00DD272F" w:rsidRDefault="00DD272F" w:rsidP="00412C30">
      <w:pPr>
        <w:pStyle w:val="Normal1"/>
        <w:jc w:val="left"/>
      </w:pPr>
    </w:p>
    <w:p w14:paraId="3D85D4FE" w14:textId="77777777" w:rsidR="00412C30" w:rsidRDefault="00412C30" w:rsidP="00412C30">
      <w:pPr>
        <w:pStyle w:val="Normal1"/>
        <w:jc w:val="left"/>
      </w:pPr>
    </w:p>
    <w:p w14:paraId="3D85D4FF" w14:textId="77777777" w:rsidR="00412C30" w:rsidRDefault="00412C30" w:rsidP="006716C2">
      <w:pPr>
        <w:pStyle w:val="Normal1"/>
      </w:pPr>
    </w:p>
    <w:sectPr w:rsidR="00412C30" w:rsidSect="005D4872">
      <w:headerReference w:type="default" r:id="rId69"/>
      <w:pgSz w:w="12240" w:h="15840"/>
      <w:pgMar w:top="1080" w:right="1080" w:bottom="1080" w:left="1080" w:header="576" w:footer="576" w:gutter="0"/>
      <w:cols w:space="36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5D543" w14:textId="77777777" w:rsidR="003C6ED1" w:rsidRDefault="003C6ED1" w:rsidP="00120A5B">
      <w:r>
        <w:separator/>
      </w:r>
    </w:p>
  </w:endnote>
  <w:endnote w:type="continuationSeparator" w:id="0">
    <w:p w14:paraId="3D85D544" w14:textId="77777777" w:rsidR="003C6ED1" w:rsidRDefault="003C6ED1" w:rsidP="0012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mbria"/>
    <w:panose1 w:val="00000000000000000000"/>
    <w:charset w:val="00"/>
    <w:family w:val="swiss"/>
    <w:notTrueType/>
    <w:pitch w:val="variable"/>
    <w:sig w:usb0="00000003" w:usb1="00000000" w:usb2="00000000" w:usb3="00000000" w:csb0="00000001" w:csb1="00000000"/>
  </w:font>
  <w:font w:name="News Gothic MT">
    <w:altName w:val="Segoe Script"/>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7266"/>
      <w:docPartObj>
        <w:docPartGallery w:val="Page Numbers (Bottom of Page)"/>
        <w:docPartUnique/>
      </w:docPartObj>
    </w:sdtPr>
    <w:sdtEndPr/>
    <w:sdtContent>
      <w:p w14:paraId="3D85D547" w14:textId="77777777" w:rsidR="003C6ED1" w:rsidRDefault="003C6ED1" w:rsidP="00120A5B">
        <w:pPr>
          <w:pStyle w:val="Footer"/>
        </w:pPr>
        <w:r w:rsidRPr="00892F77">
          <w:rPr>
            <w:rFonts w:ascii="Arial" w:hAnsi="Arial" w:cs="Arial"/>
            <w:sz w:val="20"/>
            <w:szCs w:val="20"/>
          </w:rPr>
          <w:t>State of Oregon Depa</w:t>
        </w:r>
        <w:r>
          <w:rPr>
            <w:rFonts w:ascii="Arial" w:hAnsi="Arial" w:cs="Arial"/>
            <w:sz w:val="20"/>
            <w:szCs w:val="20"/>
          </w:rPr>
          <w:t>rtment of Environmental Quality</w:t>
        </w:r>
        <w:r w:rsidRPr="00892F77">
          <w:rPr>
            <w:rFonts w:ascii="Arial" w:hAnsi="Arial" w:cs="Arial"/>
            <w:sz w:val="20"/>
            <w:szCs w:val="20"/>
          </w:rPr>
          <w:t xml:space="preserve"> </w:t>
        </w:r>
        <w:r w:rsidRPr="00892F77">
          <w:rPr>
            <w:rFonts w:ascii="Arial" w:hAnsi="Arial" w:cs="Arial"/>
          </w:rPr>
          <w:ptab w:relativeTo="margin" w:alignment="right" w:leader="none"/>
        </w:r>
        <w:r w:rsidRPr="00892F77">
          <w:rPr>
            <w:rFonts w:ascii="Arial" w:hAnsi="Arial" w:cs="Arial"/>
          </w:rPr>
          <w:fldChar w:fldCharType="begin"/>
        </w:r>
        <w:r w:rsidRPr="00892F77">
          <w:rPr>
            <w:rFonts w:ascii="Arial" w:hAnsi="Arial" w:cs="Arial"/>
          </w:rPr>
          <w:instrText xml:space="preserve"> PAGE   \* MERGEFORMAT </w:instrText>
        </w:r>
        <w:r w:rsidRPr="00892F77">
          <w:rPr>
            <w:rFonts w:ascii="Arial" w:hAnsi="Arial" w:cs="Arial"/>
          </w:rPr>
          <w:fldChar w:fldCharType="separate"/>
        </w:r>
        <w:r w:rsidR="00D05E23">
          <w:rPr>
            <w:rFonts w:ascii="Arial" w:hAnsi="Arial" w:cs="Arial"/>
            <w:noProof/>
          </w:rPr>
          <w:t>v</w:t>
        </w:r>
        <w:r w:rsidRPr="00892F77">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7239"/>
      <w:docPartObj>
        <w:docPartGallery w:val="Page Numbers (Bottom of Page)"/>
        <w:docPartUnique/>
      </w:docPartObj>
    </w:sdtPr>
    <w:sdtEndPr/>
    <w:sdtContent>
      <w:p w14:paraId="3D85D548" w14:textId="77777777" w:rsidR="003C6ED1" w:rsidRDefault="003C6ED1" w:rsidP="00120A5B">
        <w:pPr>
          <w:pStyle w:val="Footer"/>
        </w:pPr>
        <w:r>
          <w:t xml:space="preserve">Oregon Department of Environmental Quality </w:t>
        </w:r>
        <w:r>
          <w:ptab w:relativeTo="margin" w:alignment="right" w:leader="none"/>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165348"/>
      <w:docPartObj>
        <w:docPartGallery w:val="Page Numbers (Bottom of Page)"/>
        <w:docPartUnique/>
      </w:docPartObj>
    </w:sdtPr>
    <w:sdtEndPr/>
    <w:sdtContent>
      <w:p w14:paraId="3D85D54A" w14:textId="77777777" w:rsidR="003C6ED1" w:rsidRDefault="003C6ED1" w:rsidP="00120A5B">
        <w:pPr>
          <w:pStyle w:val="Footer"/>
        </w:pPr>
        <w:r w:rsidRPr="00892F77">
          <w:rPr>
            <w:rFonts w:ascii="Arial" w:hAnsi="Arial" w:cs="Arial"/>
            <w:sz w:val="20"/>
            <w:szCs w:val="20"/>
          </w:rPr>
          <w:t xml:space="preserve">State of Oregon Department of Environmental Quality </w:t>
        </w:r>
        <w:r w:rsidRPr="00892F77">
          <w:rPr>
            <w:rFonts w:ascii="Arial" w:hAnsi="Arial" w:cs="Arial"/>
          </w:rPr>
          <w:ptab w:relativeTo="margin" w:alignment="right" w:leader="none"/>
        </w:r>
        <w:r w:rsidRPr="00892F77">
          <w:rPr>
            <w:rFonts w:ascii="Arial" w:hAnsi="Arial" w:cs="Arial"/>
          </w:rPr>
          <w:fldChar w:fldCharType="begin"/>
        </w:r>
        <w:r w:rsidRPr="00892F77">
          <w:rPr>
            <w:rFonts w:ascii="Arial" w:hAnsi="Arial" w:cs="Arial"/>
          </w:rPr>
          <w:instrText xml:space="preserve"> PAGE   \* MERGEFORMAT </w:instrText>
        </w:r>
        <w:r w:rsidRPr="00892F77">
          <w:rPr>
            <w:rFonts w:ascii="Arial" w:hAnsi="Arial" w:cs="Arial"/>
          </w:rPr>
          <w:fldChar w:fldCharType="separate"/>
        </w:r>
        <w:r w:rsidR="008C7A5C">
          <w:rPr>
            <w:rFonts w:ascii="Arial" w:hAnsi="Arial" w:cs="Arial"/>
            <w:noProof/>
          </w:rPr>
          <w:t>ii</w:t>
        </w:r>
        <w:r w:rsidRPr="00892F77">
          <w:rPr>
            <w:rFonts w:ascii="Arial" w:hAnsi="Arial" w:cs="Arial"/>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D54E" w14:textId="77777777" w:rsidR="003C6ED1" w:rsidRPr="00DC5352" w:rsidRDefault="003C6ED1" w:rsidP="00120A5B">
    <w:pPr>
      <w:pStyle w:val="Footer"/>
      <w:rPr>
        <w:rFonts w:ascii="Arial" w:hAnsi="Arial" w:cs="Arial"/>
        <w:sz w:val="20"/>
        <w:szCs w:val="20"/>
      </w:rPr>
    </w:pPr>
    <w:r w:rsidRPr="00DC5352">
      <w:rPr>
        <w:rFonts w:ascii="Arial" w:hAnsi="Arial" w:cs="Arial"/>
        <w:sz w:val="20"/>
        <w:szCs w:val="20"/>
      </w:rPr>
      <w:t>State of Oregon Depar</w:t>
    </w:r>
    <w:r>
      <w:rPr>
        <w:rFonts w:ascii="Arial" w:hAnsi="Arial" w:cs="Arial"/>
        <w:sz w:val="20"/>
        <w:szCs w:val="20"/>
      </w:rPr>
      <w:t>tment of Environmental Quality</w:t>
    </w:r>
    <w:r w:rsidRPr="00DC5352">
      <w:rPr>
        <w:rFonts w:ascii="Arial" w:hAnsi="Arial" w:cs="Arial"/>
        <w:sz w:val="20"/>
        <w:szCs w:val="20"/>
      </w:rPr>
      <w:ptab w:relativeTo="margin" w:alignment="right" w:leader="none"/>
    </w:r>
    <w:r w:rsidRPr="00DC5352">
      <w:rPr>
        <w:rFonts w:ascii="Arial" w:hAnsi="Arial" w:cs="Arial"/>
        <w:sz w:val="20"/>
        <w:szCs w:val="20"/>
      </w:rPr>
      <w:fldChar w:fldCharType="begin"/>
    </w:r>
    <w:r w:rsidRPr="00DC5352">
      <w:rPr>
        <w:rFonts w:ascii="Arial" w:hAnsi="Arial" w:cs="Arial"/>
        <w:sz w:val="20"/>
        <w:szCs w:val="20"/>
      </w:rPr>
      <w:instrText xml:space="preserve"> PAGE   \* MERGEFORMAT </w:instrText>
    </w:r>
    <w:r w:rsidRPr="00DC5352">
      <w:rPr>
        <w:rFonts w:ascii="Arial" w:hAnsi="Arial" w:cs="Arial"/>
        <w:sz w:val="20"/>
        <w:szCs w:val="20"/>
      </w:rPr>
      <w:fldChar w:fldCharType="separate"/>
    </w:r>
    <w:r w:rsidR="00D05E23">
      <w:rPr>
        <w:rFonts w:ascii="Arial" w:hAnsi="Arial" w:cs="Arial"/>
        <w:noProof/>
        <w:sz w:val="20"/>
        <w:szCs w:val="20"/>
      </w:rPr>
      <w:t>16</w:t>
    </w:r>
    <w:r w:rsidRPr="00DC5352">
      <w:rPr>
        <w:rFonts w:ascii="Arial" w:hAnsi="Arial" w:cs="Arial"/>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D54F" w14:textId="77777777" w:rsidR="003C6ED1" w:rsidRPr="00DC5352" w:rsidRDefault="003C6ED1" w:rsidP="00120A5B">
    <w:pPr>
      <w:pStyle w:val="Footer"/>
      <w:rPr>
        <w:rFonts w:ascii="Arial" w:hAnsi="Arial" w:cs="Arial"/>
        <w:sz w:val="20"/>
        <w:szCs w:val="20"/>
      </w:rPr>
    </w:pPr>
    <w:r w:rsidRPr="00DC5352">
      <w:rPr>
        <w:rFonts w:ascii="Arial" w:hAnsi="Arial" w:cs="Arial"/>
        <w:sz w:val="20"/>
        <w:szCs w:val="20"/>
      </w:rPr>
      <w:t>State of Oregon Depar</w:t>
    </w:r>
    <w:r>
      <w:rPr>
        <w:rFonts w:ascii="Arial" w:hAnsi="Arial" w:cs="Arial"/>
        <w:sz w:val="20"/>
        <w:szCs w:val="20"/>
      </w:rPr>
      <w:t>tment of Environmental Quality</w:t>
    </w:r>
    <w:r w:rsidRPr="00DC5352">
      <w:rPr>
        <w:rFonts w:ascii="Arial" w:hAnsi="Arial" w:cs="Arial"/>
        <w:sz w:val="20"/>
        <w:szCs w:val="20"/>
      </w:rPr>
      <w:ptab w:relativeTo="margin" w:alignment="right" w:leader="none"/>
    </w:r>
    <w:r w:rsidRPr="00DC5352">
      <w:rPr>
        <w:rFonts w:ascii="Arial" w:hAnsi="Arial" w:cs="Arial"/>
        <w:sz w:val="20"/>
        <w:szCs w:val="20"/>
      </w:rPr>
      <w:fldChar w:fldCharType="begin"/>
    </w:r>
    <w:r w:rsidRPr="00DC5352">
      <w:rPr>
        <w:rFonts w:ascii="Arial" w:hAnsi="Arial" w:cs="Arial"/>
        <w:sz w:val="20"/>
        <w:szCs w:val="20"/>
      </w:rPr>
      <w:instrText xml:space="preserve"> PAGE   \* MERGEFORMAT </w:instrText>
    </w:r>
    <w:r w:rsidRPr="00DC5352">
      <w:rPr>
        <w:rFonts w:ascii="Arial" w:hAnsi="Arial" w:cs="Arial"/>
        <w:sz w:val="20"/>
        <w:szCs w:val="20"/>
      </w:rPr>
      <w:fldChar w:fldCharType="separate"/>
    </w:r>
    <w:r w:rsidR="00D05E23">
      <w:rPr>
        <w:rFonts w:ascii="Arial" w:hAnsi="Arial" w:cs="Arial"/>
        <w:noProof/>
        <w:sz w:val="20"/>
        <w:szCs w:val="20"/>
      </w:rPr>
      <w:t>41</w:t>
    </w:r>
    <w:r w:rsidRPr="00DC5352">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5D541" w14:textId="77777777" w:rsidR="003C6ED1" w:rsidRDefault="003C6ED1" w:rsidP="00120A5B">
      <w:r>
        <w:separator/>
      </w:r>
    </w:p>
  </w:footnote>
  <w:footnote w:type="continuationSeparator" w:id="0">
    <w:p w14:paraId="3D85D542" w14:textId="77777777" w:rsidR="003C6ED1" w:rsidRDefault="003C6ED1" w:rsidP="00120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D545" w14:textId="77777777" w:rsidR="003C6ED1" w:rsidRDefault="003C6ED1" w:rsidP="00120A5B">
    <w:r>
      <w:br w:type="column"/>
    </w:r>
  </w:p>
  <w:p w14:paraId="3D85D546" w14:textId="77777777" w:rsidR="003C6ED1" w:rsidRDefault="003C6ED1" w:rsidP="00120A5B">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D549" w14:textId="77777777" w:rsidR="003C6ED1" w:rsidRPr="00C827DA" w:rsidRDefault="003C6ED1" w:rsidP="00120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D54B" w14:textId="77777777" w:rsidR="003C6ED1" w:rsidRPr="008629E8" w:rsidRDefault="003C6ED1" w:rsidP="00892F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D54C" w14:textId="77777777" w:rsidR="003C6ED1" w:rsidRPr="00556C1A" w:rsidRDefault="003C6ED1" w:rsidP="005D4872">
    <w:pPr>
      <w:rPr>
        <w:rFonts w:ascii="Arial" w:hAnsi="Arial" w:cs="Arial"/>
        <w:sz w:val="20"/>
        <w:szCs w:val="20"/>
      </w:rPr>
    </w:pPr>
    <w:r>
      <w:rPr>
        <w:rFonts w:ascii="Arial" w:hAnsi="Arial" w:cs="Arial"/>
        <w:sz w:val="20"/>
        <w:szCs w:val="20"/>
      </w:rPr>
      <w:t>DRAFT Recommended Procedures for Conducting Air Toxics Health Risk Assessments</w:t>
    </w:r>
  </w:p>
  <w:p w14:paraId="3D85D54D" w14:textId="77777777" w:rsidR="003C6ED1" w:rsidRPr="00C827DA" w:rsidRDefault="003C6ED1" w:rsidP="00120A5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D550" w14:textId="77777777" w:rsidR="003C6ED1" w:rsidRPr="00556C1A" w:rsidRDefault="003C6ED1" w:rsidP="00120A5B">
    <w:pPr>
      <w:rPr>
        <w:rFonts w:ascii="Arial" w:hAnsi="Arial" w:cs="Arial"/>
        <w:sz w:val="20"/>
        <w:szCs w:val="20"/>
      </w:rPr>
    </w:pPr>
    <w:r>
      <w:rPr>
        <w:rFonts w:ascii="Arial" w:hAnsi="Arial" w:cs="Arial"/>
        <w:sz w:val="20"/>
        <w:szCs w:val="20"/>
      </w:rPr>
      <w:t>DRAFT Recommended Procedures for Conducting Air Toxics Health Risk Assessments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F024A"/>
    <w:multiLevelType w:val="multilevel"/>
    <w:tmpl w:val="E7CC1E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7752281"/>
    <w:multiLevelType w:val="multilevel"/>
    <w:tmpl w:val="CC72DAE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B14773C"/>
    <w:multiLevelType w:val="multilevel"/>
    <w:tmpl w:val="2D2A1E9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1E364053"/>
    <w:multiLevelType w:val="multilevel"/>
    <w:tmpl w:val="CEBECB6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14C28C2"/>
    <w:multiLevelType w:val="multilevel"/>
    <w:tmpl w:val="96C820D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B232145"/>
    <w:multiLevelType w:val="hybridMultilevel"/>
    <w:tmpl w:val="23C0E432"/>
    <w:lvl w:ilvl="0" w:tplc="7D1076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54F00"/>
    <w:multiLevelType w:val="multilevel"/>
    <w:tmpl w:val="CCCC640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8" w15:restartNumberingAfterBreak="0">
    <w:nsid w:val="364F378C"/>
    <w:multiLevelType w:val="multilevel"/>
    <w:tmpl w:val="8DC0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D208BA"/>
    <w:multiLevelType w:val="multilevel"/>
    <w:tmpl w:val="03A4FFD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42AE40F2"/>
    <w:multiLevelType w:val="hybridMultilevel"/>
    <w:tmpl w:val="5D642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C96123"/>
    <w:multiLevelType w:val="multilevel"/>
    <w:tmpl w:val="8F4016CC"/>
    <w:lvl w:ilvl="0">
      <w:start w:val="1"/>
      <w:numFmt w:val="bullet"/>
      <w:lvlText w:val="●"/>
      <w:lvlJc w:val="left"/>
      <w:pPr>
        <w:ind w:left="360" w:hanging="360"/>
      </w:pPr>
      <w:rPr>
        <w:rFonts w:ascii="Arial" w:eastAsia="Arial" w:hAnsi="Arial" w:cs="Arial"/>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2" w15:restartNumberingAfterBreak="0">
    <w:nsid w:val="525719AB"/>
    <w:multiLevelType w:val="multilevel"/>
    <w:tmpl w:val="E11A5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4941F0"/>
    <w:multiLevelType w:val="multilevel"/>
    <w:tmpl w:val="CBD413D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581B4F37"/>
    <w:multiLevelType w:val="multilevel"/>
    <w:tmpl w:val="7A081FBA"/>
    <w:lvl w:ilvl="0">
      <w:start w:val="1"/>
      <w:numFmt w:val="bullet"/>
      <w:lvlText w:val="●"/>
      <w:lvlJc w:val="left"/>
      <w:pPr>
        <w:ind w:left="-360" w:hanging="360"/>
      </w:pPr>
      <w:rPr>
        <w:rFonts w:ascii="Arial" w:eastAsia="Arial" w:hAnsi="Arial" w:cs="Arial"/>
        <w:sz w:val="20"/>
        <w:szCs w:val="20"/>
      </w:rPr>
    </w:lvl>
    <w:lvl w:ilvl="1">
      <w:start w:val="1"/>
      <w:numFmt w:val="bullet"/>
      <w:lvlText w:val="o"/>
      <w:lvlJc w:val="left"/>
      <w:pPr>
        <w:ind w:left="360" w:hanging="360"/>
      </w:pPr>
      <w:rPr>
        <w:rFonts w:ascii="Arial" w:eastAsia="Arial" w:hAnsi="Arial" w:cs="Arial"/>
        <w:sz w:val="20"/>
        <w:szCs w:val="20"/>
      </w:rPr>
    </w:lvl>
    <w:lvl w:ilvl="2">
      <w:start w:val="1"/>
      <w:numFmt w:val="bullet"/>
      <w:lvlText w:val="▪"/>
      <w:lvlJc w:val="left"/>
      <w:pPr>
        <w:ind w:left="1080" w:hanging="360"/>
      </w:pPr>
      <w:rPr>
        <w:rFonts w:ascii="Arial" w:eastAsia="Arial" w:hAnsi="Arial" w:cs="Arial"/>
        <w:sz w:val="20"/>
        <w:szCs w:val="20"/>
      </w:rPr>
    </w:lvl>
    <w:lvl w:ilvl="3">
      <w:start w:val="1"/>
      <w:numFmt w:val="bullet"/>
      <w:lvlText w:val="▪"/>
      <w:lvlJc w:val="left"/>
      <w:pPr>
        <w:ind w:left="1800" w:hanging="360"/>
      </w:pPr>
      <w:rPr>
        <w:rFonts w:ascii="Arial" w:eastAsia="Arial" w:hAnsi="Arial" w:cs="Arial"/>
        <w:sz w:val="20"/>
        <w:szCs w:val="20"/>
      </w:rPr>
    </w:lvl>
    <w:lvl w:ilvl="4">
      <w:start w:val="1"/>
      <w:numFmt w:val="bullet"/>
      <w:lvlText w:val="▪"/>
      <w:lvlJc w:val="left"/>
      <w:pPr>
        <w:ind w:left="2520" w:hanging="360"/>
      </w:pPr>
      <w:rPr>
        <w:rFonts w:ascii="Arial" w:eastAsia="Arial" w:hAnsi="Arial" w:cs="Arial"/>
        <w:sz w:val="20"/>
        <w:szCs w:val="20"/>
      </w:rPr>
    </w:lvl>
    <w:lvl w:ilvl="5">
      <w:start w:val="1"/>
      <w:numFmt w:val="bullet"/>
      <w:lvlText w:val="▪"/>
      <w:lvlJc w:val="left"/>
      <w:pPr>
        <w:ind w:left="3240" w:hanging="360"/>
      </w:pPr>
      <w:rPr>
        <w:rFonts w:ascii="Arial" w:eastAsia="Arial" w:hAnsi="Arial" w:cs="Arial"/>
        <w:sz w:val="20"/>
        <w:szCs w:val="20"/>
      </w:rPr>
    </w:lvl>
    <w:lvl w:ilvl="6">
      <w:start w:val="1"/>
      <w:numFmt w:val="bullet"/>
      <w:lvlText w:val="▪"/>
      <w:lvlJc w:val="left"/>
      <w:pPr>
        <w:ind w:left="3960" w:hanging="360"/>
      </w:pPr>
      <w:rPr>
        <w:rFonts w:ascii="Arial" w:eastAsia="Arial" w:hAnsi="Arial" w:cs="Arial"/>
        <w:sz w:val="20"/>
        <w:szCs w:val="20"/>
      </w:rPr>
    </w:lvl>
    <w:lvl w:ilvl="7">
      <w:start w:val="1"/>
      <w:numFmt w:val="bullet"/>
      <w:lvlText w:val="▪"/>
      <w:lvlJc w:val="left"/>
      <w:pPr>
        <w:ind w:left="4680" w:hanging="360"/>
      </w:pPr>
      <w:rPr>
        <w:rFonts w:ascii="Arial" w:eastAsia="Arial" w:hAnsi="Arial" w:cs="Arial"/>
        <w:sz w:val="20"/>
        <w:szCs w:val="20"/>
      </w:rPr>
    </w:lvl>
    <w:lvl w:ilvl="8">
      <w:start w:val="1"/>
      <w:numFmt w:val="bullet"/>
      <w:lvlText w:val="▪"/>
      <w:lvlJc w:val="left"/>
      <w:pPr>
        <w:ind w:left="5400" w:hanging="360"/>
      </w:pPr>
      <w:rPr>
        <w:rFonts w:ascii="Arial" w:eastAsia="Arial" w:hAnsi="Arial" w:cs="Arial"/>
        <w:sz w:val="20"/>
        <w:szCs w:val="20"/>
      </w:rPr>
    </w:lvl>
  </w:abstractNum>
  <w:abstractNum w:abstractNumId="15" w15:restartNumberingAfterBreak="0">
    <w:nsid w:val="5C784346"/>
    <w:multiLevelType w:val="multilevel"/>
    <w:tmpl w:val="1C72820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6" w15:restartNumberingAfterBreak="0">
    <w:nsid w:val="5D4D2FB8"/>
    <w:multiLevelType w:val="multilevel"/>
    <w:tmpl w:val="A92C7B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732A754F"/>
    <w:multiLevelType w:val="multilevel"/>
    <w:tmpl w:val="3690BE3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76E50F05"/>
    <w:multiLevelType w:val="multilevel"/>
    <w:tmpl w:val="ACF0EC8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7"/>
  </w:num>
  <w:num w:numId="4">
    <w:abstractNumId w:val="13"/>
  </w:num>
  <w:num w:numId="5">
    <w:abstractNumId w:val="15"/>
  </w:num>
  <w:num w:numId="6">
    <w:abstractNumId w:val="2"/>
  </w:num>
  <w:num w:numId="7">
    <w:abstractNumId w:val="14"/>
  </w:num>
  <w:num w:numId="8">
    <w:abstractNumId w:val="11"/>
  </w:num>
  <w:num w:numId="9">
    <w:abstractNumId w:val="0"/>
  </w:num>
  <w:num w:numId="10">
    <w:abstractNumId w:val="3"/>
  </w:num>
  <w:num w:numId="11">
    <w:abstractNumId w:val="9"/>
  </w:num>
  <w:num w:numId="12">
    <w:abstractNumId w:val="1"/>
  </w:num>
  <w:num w:numId="13">
    <w:abstractNumId w:val="16"/>
  </w:num>
  <w:num w:numId="14">
    <w:abstractNumId w:val="8"/>
  </w:num>
  <w:num w:numId="15">
    <w:abstractNumId w:val="12"/>
  </w:num>
  <w:num w:numId="16">
    <w:abstractNumId w:val="17"/>
  </w:num>
  <w:num w:numId="17">
    <w:abstractNumId w:val="18"/>
  </w:num>
  <w:num w:numId="18">
    <w:abstractNumId w:val="6"/>
  </w:num>
  <w:num w:numId="1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embedSystemFonts/>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10"/>
  <w:displayHorizontalDrawingGridEvery w:val="0"/>
  <w:displayVerticalDrawingGridEvery w:val="0"/>
  <w:noPunctuationKerning/>
  <w:characterSpacingControl w:val="doNotCompress"/>
  <w:hdrShapeDefaults>
    <o:shapedefaults v:ext="edit" spidmax="59393">
      <o:colormenu v:ext="edit"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62"/>
    <w:rsid w:val="00031A6A"/>
    <w:rsid w:val="00082C9E"/>
    <w:rsid w:val="0008582C"/>
    <w:rsid w:val="00090B8A"/>
    <w:rsid w:val="000E528E"/>
    <w:rsid w:val="0010235F"/>
    <w:rsid w:val="0010271E"/>
    <w:rsid w:val="00120A5B"/>
    <w:rsid w:val="00132029"/>
    <w:rsid w:val="00132E23"/>
    <w:rsid w:val="00137EF1"/>
    <w:rsid w:val="00182B54"/>
    <w:rsid w:val="001870D8"/>
    <w:rsid w:val="002051DB"/>
    <w:rsid w:val="002121BC"/>
    <w:rsid w:val="00221547"/>
    <w:rsid w:val="002457EC"/>
    <w:rsid w:val="00253FFC"/>
    <w:rsid w:val="00256BFA"/>
    <w:rsid w:val="002E13C0"/>
    <w:rsid w:val="002E351C"/>
    <w:rsid w:val="003352F8"/>
    <w:rsid w:val="003A42D0"/>
    <w:rsid w:val="003A72AC"/>
    <w:rsid w:val="003B0C3B"/>
    <w:rsid w:val="003C6ED1"/>
    <w:rsid w:val="003F7E1D"/>
    <w:rsid w:val="00405B77"/>
    <w:rsid w:val="00412C30"/>
    <w:rsid w:val="00435AA9"/>
    <w:rsid w:val="004418F2"/>
    <w:rsid w:val="004712B1"/>
    <w:rsid w:val="00487636"/>
    <w:rsid w:val="004911B8"/>
    <w:rsid w:val="004A72C0"/>
    <w:rsid w:val="004A7D2F"/>
    <w:rsid w:val="004B05D9"/>
    <w:rsid w:val="004B109B"/>
    <w:rsid w:val="004B6AD3"/>
    <w:rsid w:val="004D46A4"/>
    <w:rsid w:val="00514370"/>
    <w:rsid w:val="005266EF"/>
    <w:rsid w:val="00544C5D"/>
    <w:rsid w:val="00554228"/>
    <w:rsid w:val="00556C1A"/>
    <w:rsid w:val="00562904"/>
    <w:rsid w:val="005975F5"/>
    <w:rsid w:val="005D4872"/>
    <w:rsid w:val="005E403B"/>
    <w:rsid w:val="005F216F"/>
    <w:rsid w:val="00601786"/>
    <w:rsid w:val="00607B7E"/>
    <w:rsid w:val="00653E04"/>
    <w:rsid w:val="006716C2"/>
    <w:rsid w:val="0068645C"/>
    <w:rsid w:val="006A1CE1"/>
    <w:rsid w:val="006A7528"/>
    <w:rsid w:val="006F72F3"/>
    <w:rsid w:val="00713CB5"/>
    <w:rsid w:val="00731A1D"/>
    <w:rsid w:val="007525E6"/>
    <w:rsid w:val="0076000E"/>
    <w:rsid w:val="007614C7"/>
    <w:rsid w:val="007855D0"/>
    <w:rsid w:val="007930AA"/>
    <w:rsid w:val="00794FBB"/>
    <w:rsid w:val="007C3A20"/>
    <w:rsid w:val="007C4001"/>
    <w:rsid w:val="007C7C5A"/>
    <w:rsid w:val="00823882"/>
    <w:rsid w:val="00827053"/>
    <w:rsid w:val="00832402"/>
    <w:rsid w:val="0084322B"/>
    <w:rsid w:val="008629E8"/>
    <w:rsid w:val="00890AB1"/>
    <w:rsid w:val="00892F77"/>
    <w:rsid w:val="008A5A92"/>
    <w:rsid w:val="008C7A5C"/>
    <w:rsid w:val="008D54F0"/>
    <w:rsid w:val="008E760A"/>
    <w:rsid w:val="008F0F3B"/>
    <w:rsid w:val="0090018D"/>
    <w:rsid w:val="00923502"/>
    <w:rsid w:val="00931AFF"/>
    <w:rsid w:val="0094135C"/>
    <w:rsid w:val="00957C55"/>
    <w:rsid w:val="00981065"/>
    <w:rsid w:val="00985D5C"/>
    <w:rsid w:val="00994DF2"/>
    <w:rsid w:val="009B117D"/>
    <w:rsid w:val="009B2AED"/>
    <w:rsid w:val="009B2F54"/>
    <w:rsid w:val="009C1D8E"/>
    <w:rsid w:val="00A13D1B"/>
    <w:rsid w:val="00A37F3E"/>
    <w:rsid w:val="00AB5133"/>
    <w:rsid w:val="00AD6B35"/>
    <w:rsid w:val="00AE3CA8"/>
    <w:rsid w:val="00B0686D"/>
    <w:rsid w:val="00B15FAA"/>
    <w:rsid w:val="00B2390F"/>
    <w:rsid w:val="00B57428"/>
    <w:rsid w:val="00BC2730"/>
    <w:rsid w:val="00BD4F28"/>
    <w:rsid w:val="00BF1719"/>
    <w:rsid w:val="00C03582"/>
    <w:rsid w:val="00C4680B"/>
    <w:rsid w:val="00C827DA"/>
    <w:rsid w:val="00C84287"/>
    <w:rsid w:val="00C86E22"/>
    <w:rsid w:val="00CC1862"/>
    <w:rsid w:val="00D05E23"/>
    <w:rsid w:val="00D357EA"/>
    <w:rsid w:val="00D41332"/>
    <w:rsid w:val="00D7694C"/>
    <w:rsid w:val="00DC10AF"/>
    <w:rsid w:val="00DC5352"/>
    <w:rsid w:val="00DD272F"/>
    <w:rsid w:val="00DD45A1"/>
    <w:rsid w:val="00DD6715"/>
    <w:rsid w:val="00DE397E"/>
    <w:rsid w:val="00DF15A7"/>
    <w:rsid w:val="00E10347"/>
    <w:rsid w:val="00E103E8"/>
    <w:rsid w:val="00E220C0"/>
    <w:rsid w:val="00E508A7"/>
    <w:rsid w:val="00E8654A"/>
    <w:rsid w:val="00EA26CB"/>
    <w:rsid w:val="00F013F3"/>
    <w:rsid w:val="00F410F1"/>
    <w:rsid w:val="00F9728F"/>
    <w:rsid w:val="00FF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colormenu v:ext="edit" strokecolor="black"/>
    </o:shapedefaults>
    <o:shapelayout v:ext="edit">
      <o:idmap v:ext="edit" data="1"/>
    </o:shapelayout>
  </w:shapeDefaults>
  <w:decimalSymbol w:val="."/>
  <w:listSeparator w:val=","/>
  <w14:docId w14:val="3D85CAB9"/>
  <w15:docId w15:val="{8F9276F4-D37C-405A-847C-1D438CFD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A5B"/>
    <w:pPr>
      <w:outlineLvl w:val="3"/>
    </w:pPr>
    <w:rPr>
      <w:rFonts w:ascii="Times New Roman" w:hAnsi="Times New Roman"/>
      <w:sz w:val="22"/>
      <w:szCs w:val="22"/>
    </w:rPr>
  </w:style>
  <w:style w:type="paragraph" w:styleId="Heading1">
    <w:name w:val="heading 1"/>
    <w:basedOn w:val="Normal"/>
    <w:next w:val="Normal"/>
    <w:link w:val="Heading1Char"/>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nhideWhenUsed/>
    <w:qFormat/>
    <w:rsid w:val="00823882"/>
    <w:pPr>
      <w:numPr>
        <w:ilvl w:val="2"/>
      </w:numPr>
      <w:spacing w:before="240" w:after="60"/>
      <w:ind w:left="576" w:hanging="576"/>
      <w:outlineLvl w:val="2"/>
    </w:pPr>
    <w:rPr>
      <w:sz w:val="24"/>
      <w:szCs w:val="24"/>
    </w:rPr>
  </w:style>
  <w:style w:type="paragraph" w:styleId="Heading4">
    <w:name w:val="heading 4"/>
    <w:aliases w:val="h4"/>
    <w:basedOn w:val="Normal"/>
    <w:next w:val="Normal"/>
    <w:link w:val="Heading4Char"/>
    <w:unhideWhenUsed/>
    <w:qFormat/>
    <w:rsid w:val="00823882"/>
    <w:rPr>
      <w:rFonts w:ascii="Arial" w:hAnsi="Arial" w:cs="Arial"/>
      <w:b/>
    </w:rPr>
  </w:style>
  <w:style w:type="paragraph" w:styleId="Heading5">
    <w:name w:val="heading 5"/>
    <w:basedOn w:val="Normal"/>
    <w:next w:val="Normal"/>
    <w:link w:val="Heading5Char"/>
    <w:unhideWhenUsed/>
    <w:qFormat/>
    <w:rsid w:val="00DC5352"/>
    <w:pPr>
      <w:outlineLvl w:val="4"/>
    </w:pPr>
    <w:rPr>
      <w:rFonts w:ascii="Arial" w:hAnsi="Arial" w:cs="Arial"/>
    </w:rPr>
  </w:style>
  <w:style w:type="paragraph" w:styleId="Heading6">
    <w:name w:val="heading 6"/>
    <w:basedOn w:val="Normal"/>
    <w:next w:val="Normal"/>
    <w:link w:val="Heading6Char"/>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nhideWhenUsed/>
    <w:qFormat/>
    <w:rsid w:val="0082388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823882"/>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82388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35F"/>
    <w:rPr>
      <w:rFonts w:ascii="Arial" w:hAnsi="Arial"/>
      <w:b/>
      <w:sz w:val="60"/>
      <w:szCs w:val="44"/>
    </w:rPr>
  </w:style>
  <w:style w:type="paragraph" w:customStyle="1" w:styleId="DEQTEXTforFACTSHEET">
    <w:name w:val="(DEQ)TEXT for FACT SHEET"/>
    <w:basedOn w:val="Normal"/>
    <w:rsid w:val="00823882"/>
    <w:rPr>
      <w:sz w:val="20"/>
    </w:rPr>
  </w:style>
  <w:style w:type="character" w:customStyle="1" w:styleId="Heading2Char">
    <w:name w:val="Heading 2 Char"/>
    <w:basedOn w:val="DefaultParagraphFont"/>
    <w:link w:val="Heading2"/>
    <w:rsid w:val="00823882"/>
    <w:rPr>
      <w:rFonts w:ascii="Arial" w:hAnsi="Arial" w:cs="Arial"/>
      <w:b/>
      <w:sz w:val="36"/>
      <w:szCs w:val="36"/>
    </w:rPr>
  </w:style>
  <w:style w:type="character" w:customStyle="1" w:styleId="Heading3Char">
    <w:name w:val="Heading 3 Char"/>
    <w:basedOn w:val="DefaultParagraphFont"/>
    <w:link w:val="Heading3"/>
    <w:rsid w:val="00823882"/>
    <w:rPr>
      <w:rFonts w:ascii="Arial" w:hAnsi="Arial" w:cs="Arial"/>
      <w:b/>
      <w:sz w:val="24"/>
      <w:szCs w:val="24"/>
    </w:rPr>
  </w:style>
  <w:style w:type="character" w:customStyle="1" w:styleId="Heading4Char">
    <w:name w:val="Heading 4 Char"/>
    <w:aliases w:val="h4 Char"/>
    <w:basedOn w:val="DefaultParagraphFont"/>
    <w:link w:val="Heading4"/>
    <w:rsid w:val="00823882"/>
    <w:rPr>
      <w:rFonts w:ascii="Arial" w:hAnsi="Arial" w:cs="Arial"/>
      <w:b/>
      <w:sz w:val="22"/>
      <w:szCs w:val="22"/>
    </w:rPr>
  </w:style>
  <w:style w:type="character" w:customStyle="1" w:styleId="Heading5Char">
    <w:name w:val="Heading 5 Char"/>
    <w:basedOn w:val="DefaultParagraphFont"/>
    <w:link w:val="Heading5"/>
    <w:rsid w:val="00DC5352"/>
    <w:rPr>
      <w:rFonts w:ascii="Arial" w:hAnsi="Arial" w:cs="Arial"/>
      <w:sz w:val="22"/>
      <w:szCs w:val="22"/>
    </w:rPr>
  </w:style>
  <w:style w:type="character" w:customStyle="1" w:styleId="Heading6Char">
    <w:name w:val="Heading 6 Char"/>
    <w:basedOn w:val="DefaultParagraphFont"/>
    <w:link w:val="Heading6"/>
    <w:rsid w:val="00DC5352"/>
    <w:rPr>
      <w:rFonts w:ascii="Arial" w:eastAsiaTheme="majorEastAsia" w:hAnsi="Arial" w:cs="Arial"/>
      <w:i/>
      <w:iCs/>
      <w:sz w:val="22"/>
      <w:szCs w:val="22"/>
    </w:rPr>
  </w:style>
  <w:style w:type="character" w:customStyle="1" w:styleId="Heading7Char">
    <w:name w:val="Heading 7 Char"/>
    <w:basedOn w:val="DefaultParagraphFont"/>
    <w:link w:val="Heading7"/>
    <w:rsid w:val="0082388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rsid w:val="00823882"/>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rsid w:val="00823882"/>
    <w:rPr>
      <w:rFonts w:asciiTheme="majorHAnsi" w:eastAsiaTheme="majorEastAsia" w:hAnsiTheme="majorHAnsi" w:cstheme="majorBidi"/>
      <w:i/>
      <w:iCs/>
      <w:color w:val="404040" w:themeColor="text1" w:themeTint="BF"/>
      <w:szCs w:val="22"/>
    </w:rPr>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823882"/>
    <w:pPr>
      <w:tabs>
        <w:tab w:val="center" w:pos="4320"/>
        <w:tab w:val="right" w:pos="8640"/>
      </w:tabs>
    </w:pPr>
  </w:style>
  <w:style w:type="character" w:customStyle="1" w:styleId="HeaderChar">
    <w:name w:val="Header Char"/>
    <w:basedOn w:val="DefaultParagraphFont"/>
    <w:link w:val="Header"/>
    <w:uiPriority w:val="99"/>
    <w:rsid w:val="009B2F54"/>
    <w:rPr>
      <w:rFonts w:ascii="Times New Roman" w:hAnsi="Times New Roman"/>
      <w:sz w:val="22"/>
      <w:szCs w:val="22"/>
    </w:r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customStyle="1" w:styleId="FooterChar">
    <w:name w:val="Footer Char"/>
    <w:basedOn w:val="DefaultParagraphFont"/>
    <w:link w:val="Footer"/>
    <w:uiPriority w:val="99"/>
    <w:rsid w:val="00823882"/>
    <w:rPr>
      <w:sz w:val="24"/>
    </w:r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Caption">
    <w:name w:val="caption"/>
    <w:basedOn w:val="DEQTEXTforFACTSHEET"/>
    <w:next w:val="Normal"/>
    <w:unhideWhenUsed/>
    <w:qFormat/>
    <w:rsid w:val="003A42D0"/>
    <w:rPr>
      <w:rFonts w:ascii="Arial" w:hAnsi="Arial" w:cs="Arial"/>
      <w:b/>
      <w:szCs w:val="18"/>
    </w:rPr>
  </w:style>
  <w:style w:type="paragraph" w:styleId="DocumentMap">
    <w:name w:val="Document Map"/>
    <w:basedOn w:val="Normal"/>
    <w:link w:val="DocumentMapChar"/>
    <w:semiHidden/>
    <w:rsid w:val="00823882"/>
    <w:pPr>
      <w:shd w:val="clear" w:color="auto" w:fill="000080"/>
    </w:pPr>
    <w:rPr>
      <w:rFonts w:ascii="Tahoma" w:hAnsi="Tahoma"/>
    </w:rPr>
  </w:style>
  <w:style w:type="character" w:customStyle="1" w:styleId="DocumentMapChar">
    <w:name w:val="Document Map Char"/>
    <w:basedOn w:val="DefaultParagraphFont"/>
    <w:link w:val="DocumentMap"/>
    <w:semiHidden/>
    <w:rsid w:val="0010235F"/>
    <w:rPr>
      <w:rFonts w:ascii="Tahoma" w:hAnsi="Tahoma"/>
      <w:sz w:val="22"/>
      <w:szCs w:val="22"/>
      <w:shd w:val="clear" w:color="auto" w:fill="000080"/>
    </w:rPr>
  </w:style>
  <w:style w:type="character" w:styleId="PageNumber">
    <w:name w:val="page number"/>
    <w:basedOn w:val="DefaultParagraphFont"/>
    <w:rsid w:val="00823882"/>
  </w:style>
  <w:style w:type="paragraph" w:styleId="TOC2">
    <w:name w:val="toc 2"/>
    <w:basedOn w:val="Normal"/>
    <w:next w:val="Normal"/>
    <w:autoRedefine/>
    <w:uiPriority w:val="39"/>
    <w:unhideWhenUsed/>
    <w:rsid w:val="00AD6B35"/>
    <w:pPr>
      <w:tabs>
        <w:tab w:val="right" w:leader="dot" w:pos="9270"/>
      </w:tabs>
      <w:spacing w:before="120"/>
      <w:ind w:left="245"/>
    </w:pPr>
    <w:rPr>
      <w:b/>
      <w:noProof/>
      <w:sz w:val="20"/>
    </w:rPr>
  </w:style>
  <w:style w:type="paragraph" w:styleId="TOC1">
    <w:name w:val="toc 1"/>
    <w:basedOn w:val="Normal"/>
    <w:next w:val="Normal"/>
    <w:autoRedefine/>
    <w:uiPriority w:val="39"/>
    <w:unhideWhenUsed/>
    <w:rsid w:val="00253FFC"/>
    <w:pPr>
      <w:tabs>
        <w:tab w:val="left" w:pos="480"/>
        <w:tab w:val="right" w:leader="dot" w:pos="9270"/>
      </w:tabs>
      <w:spacing w:before="120"/>
      <w:ind w:right="1530"/>
    </w:pPr>
    <w:rPr>
      <w:rFonts w:ascii="Arial" w:hAnsi="Arial" w:cs="Arial"/>
      <w:caps/>
      <w:noProof/>
    </w:r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table" w:styleId="TableGrid">
    <w:name w:val="Table Grid"/>
    <w:basedOn w:val="TableNormal"/>
    <w:uiPriority w:val="59"/>
    <w:rsid w:val="00823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DEQREPORTTITLE"/>
    <w:next w:val="Normal"/>
    <w:link w:val="TitleChar"/>
    <w:qFormat/>
    <w:rsid w:val="00823882"/>
  </w:style>
  <w:style w:type="character" w:customStyle="1" w:styleId="TitleChar">
    <w:name w:val="Title Char"/>
    <w:basedOn w:val="DefaultParagraphFont"/>
    <w:link w:val="Title"/>
    <w:rsid w:val="00823882"/>
    <w:rPr>
      <w:rFonts w:ascii="Arial" w:eastAsia="Times New Roman" w:hAnsi="Arial"/>
      <w:b/>
      <w:bCs/>
      <w:iCs/>
      <w:sz w:val="60"/>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qFormat/>
    <w:rsid w:val="0090018D"/>
    <w:pPr>
      <w:ind w:left="720"/>
      <w:contextualSpacing/>
    </w:pPr>
    <w:rPr>
      <w:rFonts w:ascii="Arial" w:hAnsi="Arial" w:cs="Arial"/>
    </w:rPr>
  </w:style>
  <w:style w:type="paragraph" w:customStyle="1" w:styleId="Normal1">
    <w:name w:val="Normal1"/>
    <w:rsid w:val="0084322B"/>
    <w:pPr>
      <w:widowControl w:val="0"/>
      <w:pBdr>
        <w:top w:val="nil"/>
        <w:left w:val="nil"/>
        <w:bottom w:val="nil"/>
        <w:right w:val="nil"/>
        <w:between w:val="nil"/>
      </w:pBdr>
      <w:tabs>
        <w:tab w:val="left" w:pos="360"/>
      </w:tabs>
      <w:jc w:val="both"/>
    </w:pPr>
    <w:rPr>
      <w:rFonts w:ascii="Arial" w:eastAsia="Arial" w:hAnsi="Arial" w:cs="Arial"/>
      <w:color w:val="000000"/>
      <w:sz w:val="22"/>
      <w:szCs w:val="22"/>
    </w:rPr>
  </w:style>
  <w:style w:type="paragraph" w:styleId="NoSpacing">
    <w:name w:val="No Spacing"/>
    <w:uiPriority w:val="1"/>
    <w:qFormat/>
    <w:rsid w:val="006716C2"/>
    <w:pPr>
      <w:outlineLvl w:val="3"/>
    </w:pPr>
    <w:rPr>
      <w:rFonts w:ascii="Times New Roman" w:hAnsi="Times New Roman"/>
      <w:sz w:val="22"/>
      <w:szCs w:val="22"/>
    </w:rPr>
  </w:style>
  <w:style w:type="paragraph" w:customStyle="1" w:styleId="Equation">
    <w:name w:val="Equation"/>
    <w:basedOn w:val="Normal"/>
    <w:rsid w:val="00DD272F"/>
    <w:pPr>
      <w:spacing w:before="120" w:after="120"/>
      <w:jc w:val="center"/>
      <w:outlineLvl w:val="9"/>
    </w:pPr>
    <w:rPr>
      <w:rFonts w:ascii="Arial" w:eastAsia="Times New Roman" w:hAnsi="Arial"/>
      <w:sz w:val="20"/>
      <w:szCs w:val="20"/>
    </w:rPr>
  </w:style>
  <w:style w:type="paragraph" w:customStyle="1" w:styleId="EqnNumber">
    <w:name w:val="Eqn Number"/>
    <w:basedOn w:val="BodyText"/>
    <w:rsid w:val="00DD272F"/>
    <w:pPr>
      <w:spacing w:before="240"/>
      <w:jc w:val="center"/>
      <w:outlineLvl w:val="9"/>
    </w:pPr>
    <w:rPr>
      <w:rFonts w:ascii="Arial" w:eastAsia="Times New Roman" w:hAnsi="Arial"/>
      <w:sz w:val="18"/>
      <w:szCs w:val="20"/>
    </w:rPr>
  </w:style>
  <w:style w:type="paragraph" w:styleId="BodyText">
    <w:name w:val="Body Text"/>
    <w:aliases w:val="bt"/>
    <w:basedOn w:val="Normal"/>
    <w:link w:val="BodyTextChar"/>
    <w:unhideWhenUsed/>
    <w:rsid w:val="00DD272F"/>
    <w:pPr>
      <w:spacing w:after="120"/>
    </w:pPr>
  </w:style>
  <w:style w:type="character" w:customStyle="1" w:styleId="BodyTextChar">
    <w:name w:val="Body Text Char"/>
    <w:aliases w:val="bt Char"/>
    <w:basedOn w:val="DefaultParagraphFont"/>
    <w:link w:val="BodyText"/>
    <w:rsid w:val="00DD272F"/>
    <w:rPr>
      <w:rFonts w:ascii="Times New Roman" w:hAnsi="Times New Roman"/>
      <w:sz w:val="22"/>
      <w:szCs w:val="22"/>
    </w:rPr>
  </w:style>
  <w:style w:type="character" w:customStyle="1" w:styleId="FootnoteTextChar">
    <w:name w:val="Footnote Text Char"/>
    <w:basedOn w:val="DefaultParagraphFont"/>
    <w:link w:val="FootnoteText"/>
    <w:semiHidden/>
    <w:rsid w:val="0010235F"/>
    <w:rPr>
      <w:rFonts w:ascii="Arial" w:eastAsia="Times New Roman" w:hAnsi="Arial" w:cs="Arial"/>
      <w:sz w:val="24"/>
      <w:szCs w:val="24"/>
    </w:rPr>
  </w:style>
  <w:style w:type="paragraph" w:styleId="FootnoteText">
    <w:name w:val="footnote text"/>
    <w:basedOn w:val="Normal"/>
    <w:link w:val="FootnoteTextChar"/>
    <w:semiHidden/>
    <w:rsid w:val="0010235F"/>
    <w:pPr>
      <w:widowControl w:val="0"/>
      <w:tabs>
        <w:tab w:val="left" w:pos="360"/>
      </w:tabs>
      <w:jc w:val="both"/>
      <w:outlineLvl w:val="9"/>
    </w:pPr>
    <w:rPr>
      <w:rFonts w:ascii="Arial" w:eastAsia="Times New Roman" w:hAnsi="Arial" w:cs="Arial"/>
      <w:sz w:val="24"/>
      <w:szCs w:val="24"/>
    </w:rPr>
  </w:style>
  <w:style w:type="character" w:styleId="LineNumber">
    <w:name w:val="line number"/>
    <w:basedOn w:val="DefaultParagraphFont"/>
    <w:rsid w:val="0010235F"/>
    <w:rPr>
      <w:rFonts w:ascii="Antique Olive" w:hAnsi="Antique Olive"/>
      <w:sz w:val="16"/>
      <w:szCs w:val="16"/>
    </w:rPr>
  </w:style>
  <w:style w:type="character" w:customStyle="1" w:styleId="EndnoteTextChar">
    <w:name w:val="Endnote Text Char"/>
    <w:basedOn w:val="DefaultParagraphFont"/>
    <w:link w:val="EndnoteText"/>
    <w:semiHidden/>
    <w:rsid w:val="0010235F"/>
    <w:rPr>
      <w:rFonts w:ascii="Arial" w:eastAsia="Times New Roman" w:hAnsi="Arial" w:cs="Arial"/>
    </w:rPr>
  </w:style>
  <w:style w:type="paragraph" w:styleId="EndnoteText">
    <w:name w:val="endnote text"/>
    <w:basedOn w:val="Normal"/>
    <w:link w:val="EndnoteTextChar"/>
    <w:semiHidden/>
    <w:rsid w:val="0010235F"/>
    <w:pPr>
      <w:widowControl w:val="0"/>
      <w:tabs>
        <w:tab w:val="left" w:pos="360"/>
      </w:tabs>
      <w:jc w:val="both"/>
      <w:outlineLvl w:val="9"/>
    </w:pPr>
    <w:rPr>
      <w:rFonts w:ascii="Arial" w:eastAsia="Times New Roman" w:hAnsi="Arial" w:cs="Arial"/>
      <w:sz w:val="20"/>
      <w:szCs w:val="20"/>
    </w:rPr>
  </w:style>
  <w:style w:type="paragraph" w:styleId="BodyText2">
    <w:name w:val="Body Text 2"/>
    <w:basedOn w:val="Normal"/>
    <w:link w:val="BodyText2Char"/>
    <w:rsid w:val="0010235F"/>
    <w:pPr>
      <w:widowControl w:val="0"/>
      <w:tabs>
        <w:tab w:val="left" w:pos="360"/>
      </w:tabs>
      <w:spacing w:line="320" w:lineRule="atLeast"/>
      <w:jc w:val="both"/>
      <w:outlineLvl w:val="9"/>
    </w:pPr>
    <w:rPr>
      <w:rFonts w:ascii="Arial" w:eastAsia="Times New Roman" w:hAnsi="Arial" w:cs="Arial"/>
      <w:sz w:val="24"/>
      <w:szCs w:val="24"/>
    </w:rPr>
  </w:style>
  <w:style w:type="character" w:customStyle="1" w:styleId="BodyText2Char">
    <w:name w:val="Body Text 2 Char"/>
    <w:basedOn w:val="DefaultParagraphFont"/>
    <w:link w:val="BodyText2"/>
    <w:rsid w:val="0010235F"/>
    <w:rPr>
      <w:rFonts w:ascii="Arial" w:eastAsia="Times New Roman" w:hAnsi="Arial" w:cs="Arial"/>
      <w:sz w:val="24"/>
      <w:szCs w:val="24"/>
    </w:rPr>
  </w:style>
  <w:style w:type="paragraph" w:styleId="BodyTextIndent">
    <w:name w:val="Body Text Indent"/>
    <w:basedOn w:val="Normal"/>
    <w:link w:val="BodyTextIndentChar"/>
    <w:rsid w:val="0010235F"/>
    <w:pPr>
      <w:widowControl w:val="0"/>
      <w:tabs>
        <w:tab w:val="left" w:pos="360"/>
        <w:tab w:val="left" w:pos="720"/>
        <w:tab w:val="left" w:pos="1440"/>
        <w:tab w:val="left" w:pos="1872"/>
        <w:tab w:val="left" w:pos="2160"/>
        <w:tab w:val="left" w:pos="2880"/>
        <w:tab w:val="left" w:pos="9396"/>
      </w:tabs>
      <w:spacing w:before="60" w:after="60"/>
      <w:ind w:left="1440"/>
      <w:jc w:val="both"/>
      <w:outlineLvl w:val="9"/>
    </w:pPr>
    <w:rPr>
      <w:rFonts w:ascii="Arial" w:eastAsia="Times New Roman" w:hAnsi="Arial" w:cs="Arial"/>
    </w:rPr>
  </w:style>
  <w:style w:type="character" w:customStyle="1" w:styleId="BodyTextIndentChar">
    <w:name w:val="Body Text Indent Char"/>
    <w:basedOn w:val="DefaultParagraphFont"/>
    <w:link w:val="BodyTextIndent"/>
    <w:rsid w:val="0010235F"/>
    <w:rPr>
      <w:rFonts w:ascii="Arial" w:eastAsia="Times New Roman" w:hAnsi="Arial" w:cs="Arial"/>
      <w:sz w:val="22"/>
      <w:szCs w:val="22"/>
    </w:rPr>
  </w:style>
  <w:style w:type="paragraph" w:styleId="BodyTextIndent2">
    <w:name w:val="Body Text Indent 2"/>
    <w:basedOn w:val="Normal"/>
    <w:link w:val="BodyTextIndent2Char"/>
    <w:rsid w:val="0010235F"/>
    <w:pPr>
      <w:widowControl w:val="0"/>
      <w:tabs>
        <w:tab w:val="left" w:pos="360"/>
        <w:tab w:val="left" w:pos="720"/>
        <w:tab w:val="left" w:pos="1440"/>
        <w:tab w:val="left" w:pos="2160"/>
        <w:tab w:val="left" w:pos="2880"/>
        <w:tab w:val="left" w:pos="9396"/>
      </w:tabs>
      <w:spacing w:before="60" w:after="60"/>
      <w:ind w:left="2160"/>
      <w:jc w:val="both"/>
      <w:outlineLvl w:val="9"/>
    </w:pPr>
    <w:rPr>
      <w:rFonts w:ascii="Arial" w:eastAsia="Times New Roman" w:hAnsi="Arial" w:cs="Arial"/>
    </w:rPr>
  </w:style>
  <w:style w:type="character" w:customStyle="1" w:styleId="BodyTextIndent2Char">
    <w:name w:val="Body Text Indent 2 Char"/>
    <w:basedOn w:val="DefaultParagraphFont"/>
    <w:link w:val="BodyTextIndent2"/>
    <w:rsid w:val="0010235F"/>
    <w:rPr>
      <w:rFonts w:ascii="Arial" w:eastAsia="Times New Roman" w:hAnsi="Arial" w:cs="Arial"/>
      <w:sz w:val="22"/>
      <w:szCs w:val="22"/>
    </w:rPr>
  </w:style>
  <w:style w:type="paragraph" w:styleId="BodyTextIndent3">
    <w:name w:val="Body Text Indent 3"/>
    <w:basedOn w:val="Normal"/>
    <w:link w:val="BodyTextIndent3Char"/>
    <w:rsid w:val="0010235F"/>
    <w:pPr>
      <w:widowControl w:val="0"/>
      <w:tabs>
        <w:tab w:val="left" w:pos="360"/>
        <w:tab w:val="left" w:pos="720"/>
        <w:tab w:val="left" w:pos="1440"/>
        <w:tab w:val="left" w:pos="2160"/>
        <w:tab w:val="left" w:pos="2880"/>
        <w:tab w:val="left" w:pos="9396"/>
      </w:tabs>
      <w:spacing w:before="60" w:after="60"/>
      <w:ind w:left="72"/>
      <w:jc w:val="both"/>
      <w:outlineLvl w:val="9"/>
    </w:pPr>
    <w:rPr>
      <w:rFonts w:ascii="Arial" w:eastAsia="Times New Roman" w:hAnsi="Arial" w:cs="Arial"/>
    </w:rPr>
  </w:style>
  <w:style w:type="character" w:customStyle="1" w:styleId="BodyTextIndent3Char">
    <w:name w:val="Body Text Indent 3 Char"/>
    <w:basedOn w:val="DefaultParagraphFont"/>
    <w:link w:val="BodyTextIndent3"/>
    <w:rsid w:val="0010235F"/>
    <w:rPr>
      <w:rFonts w:ascii="Arial" w:eastAsia="Times New Roman" w:hAnsi="Arial" w:cs="Arial"/>
      <w:sz w:val="22"/>
      <w:szCs w:val="22"/>
    </w:rPr>
  </w:style>
  <w:style w:type="paragraph" w:styleId="BodyText3">
    <w:name w:val="Body Text 3"/>
    <w:basedOn w:val="Normal"/>
    <w:link w:val="BodyText3Char"/>
    <w:rsid w:val="0010235F"/>
    <w:pPr>
      <w:widowControl w:val="0"/>
      <w:numPr>
        <w:ilvl w:val="12"/>
      </w:numPr>
      <w:tabs>
        <w:tab w:val="left" w:pos="360"/>
      </w:tabs>
      <w:spacing w:before="40" w:after="40"/>
      <w:jc w:val="both"/>
      <w:outlineLvl w:val="9"/>
    </w:pPr>
    <w:rPr>
      <w:rFonts w:ascii="Arial" w:eastAsia="Times New Roman" w:hAnsi="Arial" w:cs="Arial"/>
      <w:sz w:val="20"/>
      <w:szCs w:val="20"/>
    </w:rPr>
  </w:style>
  <w:style w:type="character" w:customStyle="1" w:styleId="BodyText3Char">
    <w:name w:val="Body Text 3 Char"/>
    <w:basedOn w:val="DefaultParagraphFont"/>
    <w:link w:val="BodyText3"/>
    <w:rsid w:val="0010235F"/>
    <w:rPr>
      <w:rFonts w:ascii="Arial" w:eastAsia="Times New Roman" w:hAnsi="Arial" w:cs="Arial"/>
    </w:rPr>
  </w:style>
  <w:style w:type="paragraph" w:styleId="BlockText">
    <w:name w:val="Block Text"/>
    <w:basedOn w:val="Normal"/>
    <w:rsid w:val="0010235F"/>
    <w:pPr>
      <w:widowControl w:val="0"/>
      <w:tabs>
        <w:tab w:val="left" w:pos="360"/>
      </w:tabs>
      <w:ind w:left="1080" w:right="1440"/>
      <w:jc w:val="both"/>
      <w:outlineLvl w:val="9"/>
    </w:pPr>
    <w:rPr>
      <w:rFonts w:ascii="Arial" w:eastAsia="Times New Roman" w:hAnsi="Arial" w:cs="Arial"/>
    </w:rPr>
  </w:style>
  <w:style w:type="paragraph" w:styleId="TOC4">
    <w:name w:val="toc 4"/>
    <w:basedOn w:val="Normal"/>
    <w:next w:val="Normal"/>
    <w:autoRedefine/>
    <w:uiPriority w:val="39"/>
    <w:rsid w:val="0010235F"/>
    <w:pPr>
      <w:widowControl w:val="0"/>
      <w:tabs>
        <w:tab w:val="left" w:pos="360"/>
        <w:tab w:val="left" w:pos="1800"/>
        <w:tab w:val="left" w:pos="2700"/>
        <w:tab w:val="right" w:leader="dot" w:pos="9350"/>
      </w:tabs>
      <w:ind w:left="1800"/>
      <w:jc w:val="both"/>
      <w:outlineLvl w:val="9"/>
    </w:pPr>
    <w:rPr>
      <w:rFonts w:ascii="Arial" w:eastAsia="Times New Roman" w:hAnsi="Arial" w:cs="Arial"/>
      <w:noProof/>
      <w:sz w:val="20"/>
      <w:szCs w:val="20"/>
    </w:rPr>
  </w:style>
  <w:style w:type="paragraph" w:styleId="TOC5">
    <w:name w:val="toc 5"/>
    <w:basedOn w:val="Normal"/>
    <w:next w:val="Normal"/>
    <w:autoRedefine/>
    <w:uiPriority w:val="39"/>
    <w:rsid w:val="0010235F"/>
    <w:pPr>
      <w:widowControl w:val="0"/>
      <w:tabs>
        <w:tab w:val="left" w:pos="3780"/>
        <w:tab w:val="right" w:leader="dot" w:pos="9350"/>
      </w:tabs>
      <w:ind w:left="2700"/>
      <w:outlineLvl w:val="9"/>
    </w:pPr>
    <w:rPr>
      <w:rFonts w:ascii="Arial" w:eastAsia="Times New Roman" w:hAnsi="Arial" w:cs="Arial"/>
      <w:noProof/>
      <w:sz w:val="20"/>
      <w:szCs w:val="20"/>
    </w:rPr>
  </w:style>
  <w:style w:type="paragraph" w:customStyle="1" w:styleId="References">
    <w:name w:val="References"/>
    <w:basedOn w:val="Normal"/>
    <w:rsid w:val="0010235F"/>
    <w:pPr>
      <w:widowControl w:val="0"/>
      <w:numPr>
        <w:ilvl w:val="12"/>
      </w:numPr>
      <w:tabs>
        <w:tab w:val="left" w:pos="360"/>
      </w:tabs>
      <w:spacing w:after="120"/>
      <w:ind w:left="360" w:hanging="360"/>
      <w:jc w:val="both"/>
      <w:outlineLvl w:val="9"/>
    </w:pPr>
    <w:rPr>
      <w:rFonts w:ascii="News Gothic MT" w:eastAsia="Times New Roman" w:hAnsi="News Gothic MT" w:cs="Arial"/>
      <w:sz w:val="20"/>
      <w:szCs w:val="20"/>
    </w:rPr>
  </w:style>
  <w:style w:type="paragraph" w:styleId="ListNumber4">
    <w:name w:val="List Number 4"/>
    <w:basedOn w:val="Normal"/>
    <w:rsid w:val="0010235F"/>
    <w:pPr>
      <w:widowControl w:val="0"/>
      <w:tabs>
        <w:tab w:val="left" w:pos="360"/>
        <w:tab w:val="num" w:pos="1440"/>
      </w:tabs>
      <w:ind w:left="1440" w:hanging="360"/>
      <w:jc w:val="both"/>
      <w:outlineLvl w:val="9"/>
    </w:pPr>
    <w:rPr>
      <w:rFonts w:ascii="Arial" w:eastAsia="Times New Roman" w:hAnsi="Arial" w:cs="Arial"/>
    </w:rPr>
  </w:style>
  <w:style w:type="paragraph" w:styleId="Subtitle">
    <w:name w:val="Subtitle"/>
    <w:basedOn w:val="Normal"/>
    <w:link w:val="SubtitleChar"/>
    <w:qFormat/>
    <w:rsid w:val="0010235F"/>
    <w:pPr>
      <w:widowControl w:val="0"/>
      <w:outlineLvl w:val="9"/>
    </w:pPr>
    <w:rPr>
      <w:rFonts w:ascii="News Gothic MT" w:eastAsia="Times New Roman" w:hAnsi="News Gothic MT" w:cs="Arial"/>
      <w:sz w:val="28"/>
      <w:szCs w:val="28"/>
    </w:rPr>
  </w:style>
  <w:style w:type="character" w:customStyle="1" w:styleId="SubtitleChar">
    <w:name w:val="Subtitle Char"/>
    <w:basedOn w:val="DefaultParagraphFont"/>
    <w:link w:val="Subtitle"/>
    <w:rsid w:val="0010235F"/>
    <w:rPr>
      <w:rFonts w:ascii="News Gothic MT" w:eastAsia="Times New Roman" w:hAnsi="News Gothic MT" w:cs="Arial"/>
      <w:sz w:val="28"/>
      <w:szCs w:val="28"/>
    </w:rPr>
  </w:style>
  <w:style w:type="character" w:customStyle="1" w:styleId="CommentTextChar">
    <w:name w:val="Comment Text Char"/>
    <w:basedOn w:val="DefaultParagraphFont"/>
    <w:link w:val="CommentText"/>
    <w:semiHidden/>
    <w:rsid w:val="0010235F"/>
    <w:rPr>
      <w:rFonts w:ascii="Arial" w:eastAsia="Times New Roman" w:hAnsi="Arial" w:cs="Arial"/>
      <w:sz w:val="18"/>
      <w:szCs w:val="18"/>
    </w:rPr>
  </w:style>
  <w:style w:type="paragraph" w:styleId="CommentText">
    <w:name w:val="annotation text"/>
    <w:basedOn w:val="Normal"/>
    <w:link w:val="CommentTextChar"/>
    <w:semiHidden/>
    <w:rsid w:val="0010235F"/>
    <w:pPr>
      <w:keepLines/>
      <w:tabs>
        <w:tab w:val="left" w:pos="187"/>
      </w:tabs>
      <w:spacing w:after="120" w:line="220" w:lineRule="exact"/>
      <w:ind w:left="187" w:hanging="187"/>
      <w:outlineLvl w:val="9"/>
    </w:pPr>
    <w:rPr>
      <w:rFonts w:ascii="Arial" w:eastAsia="Times New Roman" w:hAnsi="Arial" w:cs="Arial"/>
      <w:sz w:val="18"/>
      <w:szCs w:val="18"/>
    </w:rPr>
  </w:style>
  <w:style w:type="paragraph" w:styleId="ListBullet">
    <w:name w:val="List Bullet"/>
    <w:basedOn w:val="List"/>
    <w:rsid w:val="0010235F"/>
    <w:pPr>
      <w:spacing w:after="120" w:line="360" w:lineRule="auto"/>
      <w:ind w:left="1440"/>
    </w:pPr>
    <w:rPr>
      <w:rFonts w:ascii="Arial" w:hAnsi="Arial" w:cs="Arial"/>
    </w:rPr>
  </w:style>
  <w:style w:type="paragraph" w:styleId="List">
    <w:name w:val="List"/>
    <w:basedOn w:val="Normal"/>
    <w:rsid w:val="0010235F"/>
    <w:pPr>
      <w:ind w:left="360" w:hanging="360"/>
      <w:outlineLvl w:val="9"/>
    </w:pPr>
    <w:rPr>
      <w:rFonts w:eastAsia="Times New Roman"/>
      <w:sz w:val="24"/>
      <w:szCs w:val="24"/>
    </w:rPr>
  </w:style>
  <w:style w:type="paragraph" w:customStyle="1" w:styleId="Style1">
    <w:name w:val="Style1"/>
    <w:basedOn w:val="Heading1"/>
    <w:rsid w:val="0010235F"/>
    <w:pPr>
      <w:keepLines/>
      <w:widowControl w:val="0"/>
      <w:pBdr>
        <w:bottom w:val="single" w:sz="6" w:space="3" w:color="auto"/>
      </w:pBdr>
      <w:tabs>
        <w:tab w:val="left" w:pos="360"/>
      </w:tabs>
      <w:spacing w:before="360" w:line="320" w:lineRule="atLeast"/>
      <w:ind w:left="0" w:firstLine="0"/>
      <w:jc w:val="both"/>
    </w:pPr>
    <w:rPr>
      <w:rFonts w:eastAsia="Times New Roman" w:cs="Arial"/>
      <w:b w:val="0"/>
      <w:bCs/>
      <w:caps/>
      <w:kern w:val="28"/>
      <w:sz w:val="22"/>
      <w:szCs w:val="22"/>
    </w:rPr>
  </w:style>
  <w:style w:type="paragraph" w:customStyle="1" w:styleId="Table">
    <w:name w:val="Table"/>
    <w:basedOn w:val="Normal"/>
    <w:rsid w:val="0010235F"/>
    <w:pPr>
      <w:keepNext/>
      <w:spacing w:before="120" w:after="120"/>
      <w:jc w:val="center"/>
      <w:outlineLvl w:val="9"/>
    </w:pPr>
    <w:rPr>
      <w:rFonts w:ascii="Arial" w:eastAsia="Times New Roman" w:hAnsi="Arial"/>
      <w:b/>
      <w:sz w:val="20"/>
      <w:szCs w:val="20"/>
    </w:rPr>
  </w:style>
  <w:style w:type="character" w:customStyle="1" w:styleId="CommentSubjectChar">
    <w:name w:val="Comment Subject Char"/>
    <w:basedOn w:val="CommentTextChar"/>
    <w:link w:val="CommentSubject"/>
    <w:semiHidden/>
    <w:rsid w:val="0010235F"/>
    <w:rPr>
      <w:rFonts w:ascii="Arial" w:eastAsia="Times New Roman" w:hAnsi="Arial" w:cs="Arial"/>
      <w:b/>
      <w:bCs/>
      <w:sz w:val="18"/>
      <w:szCs w:val="18"/>
    </w:rPr>
  </w:style>
  <w:style w:type="paragraph" w:styleId="CommentSubject">
    <w:name w:val="annotation subject"/>
    <w:basedOn w:val="CommentText"/>
    <w:next w:val="CommentText"/>
    <w:link w:val="CommentSubjectChar"/>
    <w:semiHidden/>
    <w:rsid w:val="0010235F"/>
    <w:pPr>
      <w:keepLines w:val="0"/>
      <w:widowControl w:val="0"/>
      <w:tabs>
        <w:tab w:val="clear" w:pos="187"/>
        <w:tab w:val="left" w:pos="360"/>
      </w:tabs>
      <w:spacing w:after="0" w:line="360" w:lineRule="auto"/>
      <w:ind w:left="0" w:firstLine="0"/>
      <w:jc w:val="both"/>
    </w:pPr>
    <w:rPr>
      <w:b/>
      <w:bCs/>
      <w:sz w:val="20"/>
      <w:szCs w:val="20"/>
    </w:rPr>
  </w:style>
  <w:style w:type="character" w:customStyle="1" w:styleId="CommentSubjectChar1">
    <w:name w:val="Comment Subject Char1"/>
    <w:basedOn w:val="CommentTextChar"/>
    <w:uiPriority w:val="99"/>
    <w:semiHidden/>
    <w:rsid w:val="0010235F"/>
    <w:rPr>
      <w:rFonts w:ascii="Arial" w:eastAsia="Times New Roman" w:hAnsi="Arial" w:cs="Arial"/>
      <w:b/>
      <w:bCs/>
      <w:sz w:val="18"/>
      <w:szCs w:val="18"/>
    </w:rPr>
  </w:style>
  <w:style w:type="paragraph" w:customStyle="1" w:styleId="Figure">
    <w:name w:val="Figure"/>
    <w:basedOn w:val="Normal"/>
    <w:rsid w:val="0010235F"/>
    <w:pPr>
      <w:spacing w:before="120" w:after="240"/>
      <w:jc w:val="center"/>
      <w:outlineLvl w:val="9"/>
    </w:pPr>
    <w:rPr>
      <w:rFonts w:ascii="Arial" w:eastAsia="Times New Roman" w:hAnsi="Arial"/>
      <w:b/>
      <w:sz w:val="20"/>
      <w:szCs w:val="20"/>
    </w:rPr>
  </w:style>
  <w:style w:type="paragraph" w:styleId="ListBullet2">
    <w:name w:val="List Bullet 2"/>
    <w:basedOn w:val="Normal"/>
    <w:rsid w:val="0010235F"/>
    <w:pPr>
      <w:tabs>
        <w:tab w:val="left" w:pos="360"/>
        <w:tab w:val="num" w:pos="720"/>
      </w:tabs>
      <w:spacing w:after="240"/>
      <w:ind w:left="720" w:right="360" w:hanging="360"/>
      <w:jc w:val="both"/>
      <w:outlineLvl w:val="9"/>
    </w:pPr>
    <w:rPr>
      <w:rFonts w:eastAsia="Times New Roman"/>
      <w:sz w:val="24"/>
      <w:szCs w:val="20"/>
    </w:rPr>
  </w:style>
  <w:style w:type="paragraph" w:styleId="ListContinue2">
    <w:name w:val="List Continue 2"/>
    <w:basedOn w:val="Normal"/>
    <w:rsid w:val="0010235F"/>
    <w:pPr>
      <w:spacing w:after="120"/>
      <w:ind w:left="720"/>
      <w:outlineLvl w:val="9"/>
    </w:pPr>
    <w:rPr>
      <w:rFonts w:eastAsia="Times New Roman"/>
      <w:sz w:val="20"/>
      <w:szCs w:val="20"/>
    </w:rPr>
  </w:style>
  <w:style w:type="character" w:styleId="FollowedHyperlink">
    <w:name w:val="FollowedHyperlink"/>
    <w:basedOn w:val="DefaultParagraphFont"/>
    <w:rsid w:val="0010235F"/>
    <w:rPr>
      <w:color w:val="800080"/>
      <w:u w:val="single"/>
    </w:rPr>
  </w:style>
  <w:style w:type="paragraph" w:customStyle="1" w:styleId="BoxText">
    <w:name w:val="Box Text"/>
    <w:basedOn w:val="Normal"/>
    <w:rsid w:val="0010235F"/>
    <w:pPr>
      <w:spacing w:before="60" w:after="60"/>
      <w:ind w:left="187" w:right="187"/>
      <w:jc w:val="both"/>
      <w:outlineLvl w:val="9"/>
    </w:pPr>
    <w:rPr>
      <w:rFonts w:ascii="Arial" w:eastAsia="Times New Roman" w:hAnsi="Arial"/>
      <w:sz w:val="20"/>
      <w:szCs w:val="20"/>
    </w:rPr>
  </w:style>
  <w:style w:type="paragraph" w:customStyle="1" w:styleId="Picture">
    <w:name w:val="Picture"/>
    <w:basedOn w:val="BodyText"/>
    <w:rsid w:val="0010235F"/>
    <w:pPr>
      <w:spacing w:before="240" w:after="240"/>
      <w:jc w:val="center"/>
      <w:outlineLvl w:val="9"/>
    </w:pPr>
    <w:rPr>
      <w:rFonts w:eastAsia="Times New Roman"/>
      <w:noProof/>
      <w:sz w:val="24"/>
      <w:szCs w:val="20"/>
    </w:rPr>
  </w:style>
  <w:style w:type="paragraph" w:styleId="ListBullet3">
    <w:name w:val="List Bullet 3"/>
    <w:basedOn w:val="Normal"/>
    <w:rsid w:val="0010235F"/>
    <w:pPr>
      <w:tabs>
        <w:tab w:val="num" w:pos="360"/>
      </w:tabs>
      <w:spacing w:after="120"/>
      <w:ind w:left="360" w:right="360" w:hanging="360"/>
      <w:jc w:val="both"/>
      <w:outlineLvl w:val="9"/>
    </w:pPr>
    <w:rPr>
      <w:rFonts w:eastAsia="Times New Roman"/>
      <w:sz w:val="24"/>
      <w:szCs w:val="20"/>
    </w:rPr>
  </w:style>
  <w:style w:type="paragraph" w:customStyle="1" w:styleId="ListBullet1">
    <w:name w:val="List Bullet 1"/>
    <w:basedOn w:val="ListBullet"/>
    <w:rsid w:val="0010235F"/>
    <w:pPr>
      <w:tabs>
        <w:tab w:val="num" w:pos="360"/>
      </w:tabs>
      <w:spacing w:line="240" w:lineRule="auto"/>
      <w:ind w:left="720" w:right="360"/>
      <w:jc w:val="both"/>
    </w:pPr>
    <w:rPr>
      <w:rFonts w:ascii="Times New Roman" w:hAnsi="Times New Roman" w:cs="Times New Roman"/>
    </w:rPr>
  </w:style>
  <w:style w:type="paragraph" w:styleId="EnvelopeReturn">
    <w:name w:val="envelope return"/>
    <w:basedOn w:val="Normal"/>
    <w:rsid w:val="0010235F"/>
    <w:pPr>
      <w:outlineLvl w:val="9"/>
    </w:pPr>
    <w:rPr>
      <w:rFonts w:ascii="Arial" w:eastAsia="Times New Roman" w:hAnsi="Arial"/>
      <w:color w:val="FF0000"/>
      <w:sz w:val="24"/>
      <w:szCs w:val="20"/>
    </w:rPr>
  </w:style>
  <w:style w:type="paragraph" w:styleId="NormalWeb">
    <w:name w:val="Normal (Web)"/>
    <w:basedOn w:val="Normal"/>
    <w:rsid w:val="0010235F"/>
    <w:pPr>
      <w:spacing w:before="100" w:beforeAutospacing="1" w:after="100" w:afterAutospacing="1"/>
      <w:outlineLvl w:val="9"/>
    </w:pPr>
    <w:rPr>
      <w:rFonts w:eastAsia="Times New Roman"/>
      <w:sz w:val="24"/>
      <w:szCs w:val="24"/>
    </w:rPr>
  </w:style>
  <w:style w:type="paragraph" w:customStyle="1" w:styleId="StyleEqnNumberBefore6ptAfter12pt">
    <w:name w:val="Style Eqn Number + Before:  6 pt After:  12 pt"/>
    <w:basedOn w:val="EqnNumber"/>
    <w:rsid w:val="0010235F"/>
    <w:pPr>
      <w:spacing w:before="0" w:after="0"/>
    </w:pPr>
    <w:rPr>
      <w:sz w:val="20"/>
    </w:rPr>
  </w:style>
  <w:style w:type="paragraph" w:customStyle="1" w:styleId="CM36">
    <w:name w:val="CM36"/>
    <w:basedOn w:val="Normal"/>
    <w:next w:val="Normal"/>
    <w:rsid w:val="0010235F"/>
    <w:pPr>
      <w:autoSpaceDE w:val="0"/>
      <w:autoSpaceDN w:val="0"/>
      <w:adjustRightInd w:val="0"/>
      <w:spacing w:after="275"/>
      <w:outlineLvl w:val="9"/>
    </w:pPr>
    <w:rPr>
      <w:rFonts w:eastAsia="Times New Roman"/>
      <w:sz w:val="24"/>
      <w:szCs w:val="24"/>
    </w:rPr>
  </w:style>
  <w:style w:type="paragraph" w:customStyle="1" w:styleId="Default">
    <w:name w:val="Default"/>
    <w:rsid w:val="0010235F"/>
    <w:pPr>
      <w:autoSpaceDE w:val="0"/>
      <w:autoSpaceDN w:val="0"/>
      <w:adjustRightInd w:val="0"/>
    </w:pPr>
    <w:rPr>
      <w:rFonts w:ascii="Arial" w:eastAsia="Times New Roman" w:hAnsi="Arial" w:cs="Arial"/>
      <w:color w:val="000000"/>
      <w:sz w:val="24"/>
      <w:szCs w:val="24"/>
    </w:rPr>
  </w:style>
  <w:style w:type="paragraph" w:customStyle="1" w:styleId="Subtitle2">
    <w:name w:val="Subtitle2"/>
    <w:basedOn w:val="Normal"/>
    <w:rsid w:val="0010235F"/>
    <w:pPr>
      <w:jc w:val="center"/>
      <w:outlineLvl w:val="9"/>
    </w:pPr>
    <w:rPr>
      <w:rFonts w:ascii="Arial" w:eastAsia="Times New Roman" w:hAnsi="Arial"/>
      <w:sz w:val="32"/>
      <w:szCs w:val="24"/>
    </w:rPr>
  </w:style>
  <w:style w:type="paragraph" w:customStyle="1" w:styleId="Subtitle3">
    <w:name w:val="Subtitle3"/>
    <w:basedOn w:val="Normal"/>
    <w:rsid w:val="0010235F"/>
    <w:pPr>
      <w:jc w:val="center"/>
      <w:outlineLvl w:val="9"/>
    </w:pPr>
    <w:rPr>
      <w:rFonts w:ascii="Arial" w:eastAsia="Times New Roman" w:hAnsi="Arial"/>
      <w:sz w:val="24"/>
      <w:szCs w:val="24"/>
    </w:rPr>
  </w:style>
  <w:style w:type="paragraph" w:styleId="Closing">
    <w:name w:val="Closing"/>
    <w:basedOn w:val="Normal"/>
    <w:next w:val="Normal"/>
    <w:link w:val="ClosingChar"/>
    <w:rsid w:val="0010235F"/>
    <w:pPr>
      <w:tabs>
        <w:tab w:val="left" w:pos="5760"/>
        <w:tab w:val="left" w:pos="6480"/>
        <w:tab w:val="right" w:pos="9360"/>
      </w:tabs>
      <w:outlineLvl w:val="9"/>
    </w:pPr>
    <w:rPr>
      <w:rFonts w:ascii="Arial" w:eastAsia="Times New Roman" w:hAnsi="Arial"/>
      <w:szCs w:val="20"/>
    </w:rPr>
  </w:style>
  <w:style w:type="character" w:customStyle="1" w:styleId="ClosingChar">
    <w:name w:val="Closing Char"/>
    <w:basedOn w:val="DefaultParagraphFont"/>
    <w:link w:val="Closing"/>
    <w:rsid w:val="0010235F"/>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664">
      <w:bodyDiv w:val="1"/>
      <w:marLeft w:val="0"/>
      <w:marRight w:val="0"/>
      <w:marTop w:val="0"/>
      <w:marBottom w:val="0"/>
      <w:divBdr>
        <w:top w:val="none" w:sz="0" w:space="0" w:color="auto"/>
        <w:left w:val="none" w:sz="0" w:space="0" w:color="auto"/>
        <w:bottom w:val="none" w:sz="0" w:space="0" w:color="auto"/>
        <w:right w:val="none" w:sz="0" w:space="0" w:color="auto"/>
      </w:divBdr>
    </w:div>
    <w:div w:id="928277178">
      <w:bodyDiv w:val="1"/>
      <w:marLeft w:val="0"/>
      <w:marRight w:val="0"/>
      <w:marTop w:val="0"/>
      <w:marBottom w:val="0"/>
      <w:divBdr>
        <w:top w:val="none" w:sz="0" w:space="0" w:color="auto"/>
        <w:left w:val="none" w:sz="0" w:space="0" w:color="auto"/>
        <w:bottom w:val="none" w:sz="0" w:space="0" w:color="auto"/>
        <w:right w:val="none" w:sz="0" w:space="0" w:color="auto"/>
      </w:divBdr>
    </w:div>
    <w:div w:id="956640515">
      <w:bodyDiv w:val="1"/>
      <w:marLeft w:val="0"/>
      <w:marRight w:val="0"/>
      <w:marTop w:val="0"/>
      <w:marBottom w:val="0"/>
      <w:divBdr>
        <w:top w:val="none" w:sz="0" w:space="0" w:color="auto"/>
        <w:left w:val="none" w:sz="0" w:space="0" w:color="auto"/>
        <w:bottom w:val="none" w:sz="0" w:space="0" w:color="auto"/>
        <w:right w:val="none" w:sz="0" w:space="0" w:color="auto"/>
      </w:divBdr>
    </w:div>
    <w:div w:id="967786050">
      <w:bodyDiv w:val="1"/>
      <w:marLeft w:val="0"/>
      <w:marRight w:val="0"/>
      <w:marTop w:val="0"/>
      <w:marBottom w:val="0"/>
      <w:divBdr>
        <w:top w:val="none" w:sz="0" w:space="0" w:color="auto"/>
        <w:left w:val="none" w:sz="0" w:space="0" w:color="auto"/>
        <w:bottom w:val="none" w:sz="0" w:space="0" w:color="auto"/>
        <w:right w:val="none" w:sz="0" w:space="0" w:color="auto"/>
      </w:divBdr>
    </w:div>
    <w:div w:id="113745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image" Target="media/image5.png"/><Relationship Id="rId39" Type="http://schemas.openxmlformats.org/officeDocument/2006/relationships/footer" Target="footer4.xml"/><Relationship Id="rId21" Type="http://schemas.openxmlformats.org/officeDocument/2006/relationships/header" Target="header2.xml"/><Relationship Id="rId34" Type="http://schemas.openxmlformats.org/officeDocument/2006/relationships/hyperlink" Target="http://cfpub.epa.gov/ncea/cfm/recordisplay.cfm?deid=15263" TargetMode="External"/><Relationship Id="rId42" Type="http://schemas.openxmlformats.org/officeDocument/2006/relationships/hyperlink" Target="http://www.hhpprtv.ornl.gov" TargetMode="External"/><Relationship Id="rId47" Type="http://schemas.openxmlformats.org/officeDocument/2006/relationships/image" Target="media/image14.wmf"/><Relationship Id="rId50" Type="http://schemas.openxmlformats.org/officeDocument/2006/relationships/oleObject" Target="embeddings/oleObject4.bin"/><Relationship Id="rId55" Type="http://schemas.openxmlformats.org/officeDocument/2006/relationships/image" Target="media/image18.wmf"/><Relationship Id="rId63" Type="http://schemas.openxmlformats.org/officeDocument/2006/relationships/image" Target="media/image22.wmf"/><Relationship Id="rId68" Type="http://schemas.openxmlformats.org/officeDocument/2006/relationships/oleObject" Target="embeddings/oleObject13.bin"/><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pca.state.mn.us/air/aera-guide" TargetMode="External"/><Relationship Id="rId40" Type="http://schemas.openxmlformats.org/officeDocument/2006/relationships/footer" Target="footer5.xml"/><Relationship Id="rId45" Type="http://schemas.openxmlformats.org/officeDocument/2006/relationships/image" Target="media/image13.wmf"/><Relationship Id="rId53" Type="http://schemas.openxmlformats.org/officeDocument/2006/relationships/image" Target="media/image17.wmf"/><Relationship Id="rId58" Type="http://schemas.openxmlformats.org/officeDocument/2006/relationships/oleObject" Target="embeddings/oleObject8.bin"/><Relationship Id="rId66" Type="http://schemas.openxmlformats.org/officeDocument/2006/relationships/oleObject" Target="embeddings/oleObject12.bin"/><Relationship Id="rId5" Type="http://schemas.openxmlformats.org/officeDocument/2006/relationships/numbering" Target="numbering.xml"/><Relationship Id="rId15" Type="http://schemas.openxmlformats.org/officeDocument/2006/relationships/hyperlink" Target="file:///\\deq000\Templates\General\www.oregon.gov\DEQ" TargetMode="External"/><Relationship Id="rId23" Type="http://schemas.openxmlformats.org/officeDocument/2006/relationships/header" Target="header3.xml"/><Relationship Id="rId28" Type="http://schemas.openxmlformats.org/officeDocument/2006/relationships/image" Target="media/image7.png"/><Relationship Id="rId36" Type="http://schemas.openxmlformats.org/officeDocument/2006/relationships/hyperlink" Target="https://www.epa.gov/risk/regional-screening-levels-rsls" TargetMode="External"/><Relationship Id="rId49" Type="http://schemas.openxmlformats.org/officeDocument/2006/relationships/image" Target="media/image15.wmf"/><Relationship Id="rId57" Type="http://schemas.openxmlformats.org/officeDocument/2006/relationships/image" Target="media/image19.wmf"/><Relationship Id="rId61" Type="http://schemas.openxmlformats.org/officeDocument/2006/relationships/image" Target="media/image21.wmf"/><Relationship Id="rId10" Type="http://schemas.openxmlformats.org/officeDocument/2006/relationships/endnotes" Target="endnotes.xml"/><Relationship Id="rId19" Type="http://schemas.openxmlformats.org/officeDocument/2006/relationships/hyperlink" Target="http://www.oregon.gov/deq" TargetMode="External"/><Relationship Id="rId31" Type="http://schemas.openxmlformats.org/officeDocument/2006/relationships/image" Target="media/image10.png"/><Relationship Id="rId44" Type="http://schemas.openxmlformats.org/officeDocument/2006/relationships/hyperlink" Target="http://www.oehha.ca.gov" TargetMode="External"/><Relationship Id="rId52" Type="http://schemas.openxmlformats.org/officeDocument/2006/relationships/oleObject" Target="embeddings/oleObject5.bin"/><Relationship Id="rId60" Type="http://schemas.openxmlformats.org/officeDocument/2006/relationships/oleObject" Target="embeddings/oleObject9.bin"/><Relationship Id="rId65" Type="http://schemas.openxmlformats.org/officeDocument/2006/relationships/image" Target="media/image2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eq000\Templates\General\www.oregon.gov\DEQ" TargetMode="External"/><Relationship Id="rId22" Type="http://schemas.openxmlformats.org/officeDocument/2006/relationships/footer" Target="footer3.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cfpub.epa.gov/ncea/cfm/recordisplay.cfm?deid=15263" TargetMode="External"/><Relationship Id="rId43" Type="http://schemas.openxmlformats.org/officeDocument/2006/relationships/hyperlink" Target="http://www.atsdr.cdc.gov" TargetMode="External"/><Relationship Id="rId48" Type="http://schemas.openxmlformats.org/officeDocument/2006/relationships/oleObject" Target="embeddings/oleObject3.bin"/><Relationship Id="rId56" Type="http://schemas.openxmlformats.org/officeDocument/2006/relationships/oleObject" Target="embeddings/oleObject7.bin"/><Relationship Id="rId64" Type="http://schemas.openxmlformats.org/officeDocument/2006/relationships/oleObject" Target="embeddings/oleObject11.bin"/><Relationship Id="rId69"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image" Target="media/image16.wmf"/><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header" Target="header4.xml"/><Relationship Id="rId46" Type="http://schemas.openxmlformats.org/officeDocument/2006/relationships/oleObject" Target="embeddings/oleObject2.bin"/><Relationship Id="rId59" Type="http://schemas.openxmlformats.org/officeDocument/2006/relationships/image" Target="media/image20.wmf"/><Relationship Id="rId67" Type="http://schemas.openxmlformats.org/officeDocument/2006/relationships/image" Target="media/image24.wmf"/><Relationship Id="rId20" Type="http://schemas.openxmlformats.org/officeDocument/2006/relationships/hyperlink" Target="mailto:deqinfo@deq.state.or.us" TargetMode="External"/><Relationship Id="rId41" Type="http://schemas.openxmlformats.org/officeDocument/2006/relationships/hyperlink" Target="http://www.epa.gov/iris" TargetMode="External"/><Relationship Id="rId54" Type="http://schemas.openxmlformats.org/officeDocument/2006/relationships/oleObject" Target="embeddings/oleObject6.bin"/><Relationship Id="rId62" Type="http://schemas.openxmlformats.org/officeDocument/2006/relationships/oleObject" Target="embeddings/oleObject10.bin"/><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8BC4595577B740A0AADFF53B2ED06D" ma:contentTypeVersion="" ma:contentTypeDescription="Create a new document." ma:contentTypeScope="" ma:versionID="6122509f10bb36fa499ad2de70e9911c">
  <xsd:schema xmlns:xsd="http://www.w3.org/2001/XMLSchema" xmlns:xs="http://www.w3.org/2001/XMLSchema" xmlns:p="http://schemas.microsoft.com/office/2006/metadata/properties" xmlns:ns2="$ListId:docs;" xmlns:ns3="6d74fd01-c718-46ca-b310-3e8220f1f5ad" targetNamespace="http://schemas.microsoft.com/office/2006/metadata/properties" ma:root="true" ma:fieldsID="1b1201fad258ee0696801e572b4d6a12" ns2:_="" ns3:_="">
    <xsd:import namespace="$ListId:docs;"/>
    <xsd:import namespace="6d74fd01-c718-46ca-b310-3e8220f1f5ad"/>
    <xsd:element name="properties">
      <xsd:complexType>
        <xsd:sequence>
          <xsd:element name="documentManagement">
            <xsd:complexType>
              <xsd:all>
                <xsd:element ref="ns2:Topic" minOccurs="0"/>
                <xsd:element ref="ns3: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6d74fd01-c718-46ca-b310-3e8220f1f5ad" elementFormDefault="qualified">
    <xsd:import namespace="http://schemas.microsoft.com/office/2006/documentManagement/types"/>
    <xsd:import namespace="http://schemas.microsoft.com/office/infopath/2007/PartnerControls"/>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ubtopic xmlns="6d74fd01-c718-46ca-b310-3e8220f1f5ad">Final Documents</Subtopic>
    <Topic xmlns="$ListId:docs;">D -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2.xml><?xml version="1.0" encoding="utf-8"?>
<ds:datastoreItem xmlns:ds="http://schemas.openxmlformats.org/officeDocument/2006/customXml" ds:itemID="{6F3648EB-08CA-4588-AB5B-84707DAB7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6d74fd01-c718-46ca-b310-3e8220f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636E6-A2DF-4DBC-8AA5-46F850A65DCA}">
  <ds:schemaRefs>
    <ds:schemaRef ds:uri="http://purl.org/dc/elements/1.1/"/>
    <ds:schemaRef ds:uri="http://www.w3.org/XML/1998/namespace"/>
    <ds:schemaRef ds:uri="$ListId:doc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6d74fd01-c718-46ca-b310-3e8220f1f5a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E89659F-FB65-41D5-B6B6-8750C4AB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15533</Words>
  <Characters>88543</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Draft Recommended Procedures for Conducting ATHRA</vt:lpstr>
    </vt:vector>
  </TitlesOfParts>
  <Company>State of Oregon Department of Environmental Quality</Company>
  <LinksUpToDate>false</LinksUpToDate>
  <CharactersWithSpaces>103869</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Recommended Procedures for Conducting ATHRA</dc:title>
  <dc:creator>mthomps</dc:creator>
  <cp:lastModifiedBy>INAHARA Jill</cp:lastModifiedBy>
  <cp:revision>2</cp:revision>
  <cp:lastPrinted>2017-10-18T00:24:00Z</cp:lastPrinted>
  <dcterms:created xsi:type="dcterms:W3CDTF">2017-10-24T23:36:00Z</dcterms:created>
  <dcterms:modified xsi:type="dcterms:W3CDTF">2017-10-24T23:36:00Z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0x010100BE8BC4595577B740A0AADFF53B2ED06D</vt:lpwstr>
  </property>
</Properties>
</file>