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2"/>
        <w:gridCol w:w="8018"/>
      </w:tblGrid>
      <w:tr w:rsidR="00D36756" w:rsidRPr="00BA522A" w:rsidTr="00172DE7">
        <w:trPr>
          <w:trHeight w:val="153"/>
        </w:trPr>
        <w:tc>
          <w:tcPr>
            <w:tcW w:w="1356" w:type="dxa"/>
            <w:vMerge w:val="restart"/>
          </w:tcPr>
          <w:p w:rsidR="00D36756" w:rsidRPr="00BA522A" w:rsidRDefault="00CC388D" w:rsidP="00A95B68">
            <w:pPr>
              <w:pStyle w:val="Title"/>
              <w:rPr>
                <w:rFonts w:ascii="Times New Roman" w:hAnsi="Times New Roman" w:cs="Times New Roman"/>
              </w:rPr>
            </w:pPr>
            <w:r w:rsidRPr="00BA522A">
              <w:rPr>
                <w:rFonts w:ascii="Times New Roman" w:hAnsi="Times New Roman" w:cs="Times New Roman"/>
                <w:noProof/>
                <w:lang w:val="en-ZW" w:eastAsia="en-ZW"/>
              </w:rPr>
              <w:drawing>
                <wp:inline distT="0" distB="0" distL="0" distR="0" wp14:anchorId="07C9F9ED" wp14:editId="6A85A42E">
                  <wp:extent cx="482301" cy="1097280"/>
                  <wp:effectExtent l="0" t="0" r="0" b="0"/>
                  <wp:docPr id="1" name="Picture 0" descr="LogoColor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lorRegular.jpg"/>
                          <pic:cNvPicPr/>
                        </pic:nvPicPr>
                        <pic:blipFill>
                          <a:blip r:embed="rId11" cstate="print"/>
                          <a:stretch>
                            <a:fillRect/>
                          </a:stretch>
                        </pic:blipFill>
                        <pic:spPr>
                          <a:xfrm>
                            <a:off x="0" y="0"/>
                            <a:ext cx="482301" cy="1097280"/>
                          </a:xfrm>
                          <a:prstGeom prst="rect">
                            <a:avLst/>
                          </a:prstGeom>
                        </pic:spPr>
                      </pic:pic>
                    </a:graphicData>
                  </a:graphic>
                </wp:inline>
              </w:drawing>
            </w:r>
          </w:p>
        </w:tc>
        <w:tc>
          <w:tcPr>
            <w:tcW w:w="8220" w:type="dxa"/>
          </w:tcPr>
          <w:p w:rsidR="00D36756" w:rsidRPr="00BA522A" w:rsidRDefault="00172DE7" w:rsidP="00A95B68">
            <w:pPr>
              <w:pStyle w:val="Title"/>
              <w:rPr>
                <w:sz w:val="20"/>
                <w:szCs w:val="20"/>
              </w:rPr>
            </w:pPr>
            <w:r w:rsidRPr="00BA522A">
              <w:rPr>
                <w:sz w:val="20"/>
                <w:szCs w:val="20"/>
              </w:rPr>
              <w:t>State of Oregon Department of Environmental Quality</w:t>
            </w:r>
          </w:p>
        </w:tc>
      </w:tr>
      <w:tr w:rsidR="00D36756" w:rsidRPr="00BA522A" w:rsidTr="00AB2DB6">
        <w:trPr>
          <w:trHeight w:val="495"/>
        </w:trPr>
        <w:tc>
          <w:tcPr>
            <w:tcW w:w="1356" w:type="dxa"/>
            <w:vMerge/>
          </w:tcPr>
          <w:p w:rsidR="00D36756" w:rsidRPr="00BA522A" w:rsidRDefault="00D36756" w:rsidP="00A95B68">
            <w:pPr>
              <w:pStyle w:val="Title"/>
              <w:rPr>
                <w:rFonts w:ascii="Times New Roman" w:hAnsi="Times New Roman" w:cs="Times New Roman"/>
                <w:noProof/>
              </w:rPr>
            </w:pPr>
          </w:p>
        </w:tc>
        <w:tc>
          <w:tcPr>
            <w:tcW w:w="8220" w:type="dxa"/>
          </w:tcPr>
          <w:p w:rsidR="00CC0019" w:rsidRDefault="00ED0EE6" w:rsidP="00B065BE">
            <w:pPr>
              <w:pStyle w:val="Subtitle"/>
              <w:rPr>
                <w:sz w:val="40"/>
                <w:szCs w:val="40"/>
              </w:rPr>
            </w:pPr>
            <w:r>
              <w:rPr>
                <w:sz w:val="40"/>
                <w:szCs w:val="40"/>
              </w:rPr>
              <w:t>Low Emission</w:t>
            </w:r>
            <w:r w:rsidR="00CC0019">
              <w:rPr>
                <w:sz w:val="40"/>
                <w:szCs w:val="40"/>
              </w:rPr>
              <w:t>s</w:t>
            </w:r>
            <w:r>
              <w:rPr>
                <w:sz w:val="40"/>
                <w:szCs w:val="40"/>
              </w:rPr>
              <w:t xml:space="preserve"> Vehicle</w:t>
            </w:r>
            <w:r w:rsidR="00CC0019">
              <w:rPr>
                <w:sz w:val="40"/>
                <w:szCs w:val="40"/>
              </w:rPr>
              <w:t>s 2018</w:t>
            </w:r>
            <w:r>
              <w:rPr>
                <w:sz w:val="40"/>
                <w:szCs w:val="40"/>
              </w:rPr>
              <w:t xml:space="preserve"> </w:t>
            </w:r>
          </w:p>
          <w:p w:rsidR="00D36756" w:rsidRPr="00BA522A" w:rsidRDefault="00ED0EE6" w:rsidP="00B065BE">
            <w:pPr>
              <w:pStyle w:val="Subtitle"/>
              <w:rPr>
                <w:sz w:val="40"/>
                <w:szCs w:val="40"/>
              </w:rPr>
            </w:pPr>
            <w:bookmarkStart w:id="0" w:name="_GoBack"/>
            <w:bookmarkEnd w:id="0"/>
            <w:r>
              <w:rPr>
                <w:sz w:val="40"/>
                <w:szCs w:val="40"/>
              </w:rPr>
              <w:t xml:space="preserve">Rules - </w:t>
            </w:r>
            <w:r w:rsidR="00B065BE">
              <w:rPr>
                <w:sz w:val="40"/>
                <w:szCs w:val="40"/>
              </w:rPr>
              <w:t>Overview</w:t>
            </w:r>
          </w:p>
        </w:tc>
      </w:tr>
      <w:tr w:rsidR="009B7A85" w:rsidRPr="00BA522A" w:rsidTr="00AB2DB6">
        <w:trPr>
          <w:trHeight w:val="864"/>
        </w:trPr>
        <w:tc>
          <w:tcPr>
            <w:tcW w:w="1356" w:type="dxa"/>
            <w:vMerge/>
          </w:tcPr>
          <w:p w:rsidR="009B7A85" w:rsidRPr="00BA522A" w:rsidRDefault="009B7A85" w:rsidP="00A95B68">
            <w:pPr>
              <w:pStyle w:val="Title"/>
              <w:rPr>
                <w:rFonts w:ascii="Times New Roman" w:hAnsi="Times New Roman" w:cs="Times New Roman"/>
                <w:noProof/>
              </w:rPr>
            </w:pPr>
          </w:p>
        </w:tc>
        <w:tc>
          <w:tcPr>
            <w:tcW w:w="8220" w:type="dxa"/>
          </w:tcPr>
          <w:p w:rsidR="00BA522A" w:rsidRPr="00BA522A" w:rsidRDefault="00BA522A" w:rsidP="00BA522A">
            <w:r w:rsidRPr="00BA522A">
              <w:t>Contact: Rachel Sakata</w:t>
            </w:r>
          </w:p>
          <w:p w:rsidR="00BA522A" w:rsidRPr="00BA522A" w:rsidRDefault="00CC0019" w:rsidP="00BA522A">
            <w:hyperlink r:id="rId12" w:history="1">
              <w:r w:rsidR="00E12BC0" w:rsidRPr="00F561A1">
                <w:rPr>
                  <w:rStyle w:val="Hyperlink"/>
                </w:rPr>
                <w:t>Sakata.rachel@deq.state.or.us</w:t>
              </w:r>
            </w:hyperlink>
            <w:r w:rsidR="00E12BC0">
              <w:t xml:space="preserve"> </w:t>
            </w:r>
          </w:p>
          <w:p w:rsidR="00BA522A" w:rsidRPr="00BA522A" w:rsidRDefault="00BA522A" w:rsidP="00BA522A">
            <w:r w:rsidRPr="00BA522A">
              <w:t>700 NE Multnomah St, Suite 600</w:t>
            </w:r>
          </w:p>
          <w:p w:rsidR="00AB2DB6" w:rsidRPr="00BA522A" w:rsidRDefault="00BA522A" w:rsidP="00BA522A">
            <w:pPr>
              <w:rPr>
                <w:b/>
              </w:rPr>
            </w:pPr>
            <w:r w:rsidRPr="00BA522A">
              <w:t>Portland, OR 97232</w:t>
            </w:r>
          </w:p>
        </w:tc>
      </w:tr>
    </w:tbl>
    <w:p w:rsidR="00BA522A" w:rsidRPr="00BA522A" w:rsidRDefault="00BA522A" w:rsidP="00A95B68">
      <w:pPr>
        <w:pStyle w:val="Heading1"/>
        <w:rPr>
          <w:rFonts w:ascii="Times New Roman" w:hAnsi="Times New Roman" w:cs="Times New Roman"/>
        </w:rPr>
      </w:pPr>
      <w:bookmarkStart w:id="1" w:name="bmRegOffice"/>
      <w:bookmarkEnd w:id="1"/>
    </w:p>
    <w:p w:rsidR="00BA522A" w:rsidRPr="00E12BC0" w:rsidRDefault="00DC4A05" w:rsidP="00BA522A">
      <w:pPr>
        <w:rPr>
          <w:rFonts w:ascii="Arial" w:hAnsi="Arial" w:cs="Arial"/>
          <w:b/>
          <w:sz w:val="32"/>
        </w:rPr>
      </w:pPr>
      <w:r w:rsidRPr="00E12BC0">
        <w:rPr>
          <w:rFonts w:ascii="Arial" w:hAnsi="Arial" w:cs="Arial"/>
          <w:b/>
          <w:sz w:val="28"/>
        </w:rPr>
        <w:t>Overview</w:t>
      </w:r>
      <w:r w:rsidRPr="00E12BC0">
        <w:rPr>
          <w:rFonts w:ascii="Arial" w:hAnsi="Arial" w:cs="Arial"/>
          <w:b/>
          <w:sz w:val="32"/>
        </w:rPr>
        <w:t xml:space="preserve"> </w:t>
      </w:r>
    </w:p>
    <w:p w:rsidR="00BA522A" w:rsidRDefault="00BA522A" w:rsidP="00BA522A"/>
    <w:p w:rsidR="00B065BE" w:rsidRPr="00E12BC0" w:rsidRDefault="00B065BE" w:rsidP="00465CBC">
      <w:pPr>
        <w:pStyle w:val="Default"/>
      </w:pPr>
      <w:r w:rsidRPr="00E12BC0">
        <w:t xml:space="preserve">Under </w:t>
      </w:r>
      <w:r w:rsidR="00534FBA" w:rsidRPr="00E12BC0">
        <w:t xml:space="preserve">Section 177 of </w:t>
      </w:r>
      <w:r w:rsidRPr="00E12BC0">
        <w:t xml:space="preserve">the </w:t>
      </w:r>
      <w:r w:rsidR="00684095" w:rsidRPr="00E12BC0">
        <w:t xml:space="preserve">U.S. </w:t>
      </w:r>
      <w:r w:rsidRPr="00E12BC0">
        <w:t xml:space="preserve">Clean Air Act, states that choose to </w:t>
      </w:r>
      <w:r w:rsidR="00684095" w:rsidRPr="00E12BC0">
        <w:t xml:space="preserve">require more stringent </w:t>
      </w:r>
      <w:r w:rsidRPr="00E12BC0">
        <w:t xml:space="preserve">emission limits than </w:t>
      </w:r>
      <w:r w:rsidR="00684095" w:rsidRPr="00E12BC0">
        <w:t xml:space="preserve">the </w:t>
      </w:r>
      <w:r w:rsidRPr="00E12BC0">
        <w:t xml:space="preserve">federal standards for new vehicles </w:t>
      </w:r>
      <w:r w:rsidR="00684095" w:rsidRPr="00E12BC0">
        <w:t xml:space="preserve">can only </w:t>
      </w:r>
      <w:r w:rsidRPr="00E12BC0">
        <w:t xml:space="preserve">adopt California’s vehicle emission standards. </w:t>
      </w:r>
      <w:r w:rsidR="000E1196" w:rsidRPr="00E12BC0">
        <w:t xml:space="preserve">Oregon </w:t>
      </w:r>
      <w:r w:rsidR="00465CBC" w:rsidRPr="00E12BC0">
        <w:t xml:space="preserve">is one of </w:t>
      </w:r>
      <w:r w:rsidR="00C976E3" w:rsidRPr="00E12BC0">
        <w:t>thirteen</w:t>
      </w:r>
      <w:r w:rsidR="00465CBC" w:rsidRPr="00E12BC0">
        <w:t xml:space="preserve"> </w:t>
      </w:r>
      <w:r w:rsidR="00534FBA" w:rsidRPr="00E12BC0">
        <w:t xml:space="preserve">“Section 177” </w:t>
      </w:r>
      <w:r w:rsidR="00465CBC" w:rsidRPr="00E12BC0">
        <w:t>states that have</w:t>
      </w:r>
      <w:r w:rsidR="000E1196" w:rsidRPr="00E12BC0">
        <w:t xml:space="preserve"> opted-in to California’s </w:t>
      </w:r>
      <w:r w:rsidR="00465CBC" w:rsidRPr="00E12BC0">
        <w:t xml:space="preserve">low emission vehicle </w:t>
      </w:r>
      <w:r w:rsidR="000E1196" w:rsidRPr="00E12BC0">
        <w:t xml:space="preserve">standards. </w:t>
      </w:r>
      <w:r w:rsidRPr="00E12BC0">
        <w:t>The Oregon Environmental Quality Commission first adopted California’s emission standards for light-duty vehicles in late 2005. These rules reduce emissions of greenhouse gases, ozone-forming compounds and air toxics</w:t>
      </w:r>
      <w:r w:rsidR="00684095" w:rsidRPr="00E12BC0">
        <w:t xml:space="preserve"> from cars and light trucks</w:t>
      </w:r>
      <w:r w:rsidR="00465CBC" w:rsidRPr="00E12BC0">
        <w:t xml:space="preserve">. California’s regulations also provide </w:t>
      </w:r>
      <w:r w:rsidR="00684095" w:rsidRPr="00E12BC0">
        <w:t>Z</w:t>
      </w:r>
      <w:r w:rsidR="00465CBC" w:rsidRPr="00E12BC0">
        <w:t>ero-</w:t>
      </w:r>
      <w:r w:rsidR="00684095" w:rsidRPr="00E12BC0">
        <w:t>E</w:t>
      </w:r>
      <w:r w:rsidR="00465CBC" w:rsidRPr="00E12BC0">
        <w:t xml:space="preserve">mission </w:t>
      </w:r>
      <w:r w:rsidR="00684095" w:rsidRPr="00E12BC0">
        <w:t>V</w:t>
      </w:r>
      <w:r w:rsidR="00465CBC" w:rsidRPr="00E12BC0">
        <w:t>ehicle requirements</w:t>
      </w:r>
      <w:r w:rsidR="00835EA7" w:rsidRPr="00E12BC0">
        <w:t>, known as the ZEV program</w:t>
      </w:r>
      <w:r w:rsidR="00684095" w:rsidRPr="00E12BC0">
        <w:t xml:space="preserve">, which </w:t>
      </w:r>
      <w:proofErr w:type="gramStart"/>
      <w:r w:rsidR="00684095" w:rsidRPr="00E12BC0">
        <w:t>are nested</w:t>
      </w:r>
      <w:proofErr w:type="gramEnd"/>
      <w:r w:rsidR="00684095" w:rsidRPr="00E12BC0">
        <w:t xml:space="preserve"> inside of the LEV requirements</w:t>
      </w:r>
      <w:r w:rsidR="00465CBC" w:rsidRPr="00E12BC0">
        <w:t>. These regulations mandate the development and commercial-scale production of pollution-free vehicles</w:t>
      </w:r>
      <w:r w:rsidR="00684095" w:rsidRPr="00E12BC0">
        <w:t xml:space="preserve"> by automakers</w:t>
      </w:r>
      <w:r w:rsidR="00465CBC" w:rsidRPr="00E12BC0">
        <w:t>.</w:t>
      </w:r>
    </w:p>
    <w:p w:rsidR="00835EA7" w:rsidRDefault="00835EA7" w:rsidP="00465CBC">
      <w:pPr>
        <w:pStyle w:val="Default"/>
        <w:rPr>
          <w:sz w:val="23"/>
          <w:szCs w:val="23"/>
        </w:rPr>
      </w:pPr>
    </w:p>
    <w:p w:rsidR="00DC4A05" w:rsidRPr="00E12BC0" w:rsidRDefault="00DC4A05" w:rsidP="00DC4A05">
      <w:pPr>
        <w:rPr>
          <w:rFonts w:ascii="Arial" w:hAnsi="Arial" w:cs="Arial"/>
          <w:b/>
          <w:sz w:val="28"/>
        </w:rPr>
      </w:pPr>
      <w:r w:rsidRPr="00E12BC0">
        <w:rPr>
          <w:rFonts w:ascii="Arial" w:hAnsi="Arial" w:cs="Arial"/>
          <w:b/>
          <w:sz w:val="28"/>
        </w:rPr>
        <w:t>Background</w:t>
      </w:r>
    </w:p>
    <w:p w:rsidR="00DC4A05" w:rsidRPr="00DC4A05" w:rsidRDefault="00DC4A05" w:rsidP="00DC4A05">
      <w:pPr>
        <w:rPr>
          <w:b/>
          <w:sz w:val="28"/>
        </w:rPr>
      </w:pPr>
    </w:p>
    <w:p w:rsidR="00835EA7" w:rsidRPr="00E12BC0" w:rsidRDefault="00835EA7" w:rsidP="00835EA7">
      <w:pPr>
        <w:pStyle w:val="Default"/>
      </w:pPr>
      <w:r w:rsidRPr="00E12BC0">
        <w:t xml:space="preserve">The </w:t>
      </w:r>
      <w:r w:rsidR="00DC4A05" w:rsidRPr="00E12BC0">
        <w:t xml:space="preserve">California </w:t>
      </w:r>
      <w:r w:rsidRPr="00E12BC0">
        <w:t>Air Resources Board (</w:t>
      </w:r>
      <w:r w:rsidR="00DC4A05" w:rsidRPr="00E12BC0">
        <w:t>C</w:t>
      </w:r>
      <w:r w:rsidRPr="00E12BC0">
        <w:t xml:space="preserve">ARB) adopted the first LEV regulations in 1990, requiring automobile manufacturers to introduce progressively cleaner light- and medium-duty vehicles with more durable emission controls from 1994 through 2003. By adopting these regulations, </w:t>
      </w:r>
      <w:r w:rsidR="00DC4A05" w:rsidRPr="00E12BC0">
        <w:t>C</w:t>
      </w:r>
      <w:r w:rsidRPr="00E12BC0">
        <w:t xml:space="preserve">ARB established the most stringent exhaust regulations ever for light- and medium-duty vehicles. The </w:t>
      </w:r>
      <w:proofErr w:type="gramStart"/>
      <w:r w:rsidRPr="00E12BC0">
        <w:t>regulations,</w:t>
      </w:r>
      <w:proofErr w:type="gramEnd"/>
      <w:r w:rsidRPr="00E12BC0">
        <w:t xml:space="preserve"> now referred to as the “LEV I” regulations included three primary elements: </w:t>
      </w:r>
    </w:p>
    <w:p w:rsidR="00835EA7" w:rsidRPr="00E12BC0" w:rsidRDefault="00835EA7" w:rsidP="005F2744">
      <w:pPr>
        <w:pStyle w:val="Default"/>
        <w:numPr>
          <w:ilvl w:val="0"/>
          <w:numId w:val="3"/>
        </w:numPr>
      </w:pPr>
      <w:r w:rsidRPr="00E12BC0">
        <w:t xml:space="preserve">tiers of exhaust emission standards for increasingly more stringent categories of low-emission vehicles, </w:t>
      </w:r>
    </w:p>
    <w:p w:rsidR="00835EA7" w:rsidRPr="00E12BC0" w:rsidRDefault="00835EA7" w:rsidP="005F2744">
      <w:pPr>
        <w:pStyle w:val="Default"/>
        <w:numPr>
          <w:ilvl w:val="0"/>
          <w:numId w:val="3"/>
        </w:numPr>
      </w:pPr>
      <w:r w:rsidRPr="00E12BC0">
        <w:t xml:space="preserve">a mechanism requiring each manufacturer to phase-in a progressively cleaner mix of vehicles from year to year with the option of credit banking and trading, and </w:t>
      </w:r>
    </w:p>
    <w:p w:rsidR="00835EA7" w:rsidRPr="00E12BC0" w:rsidRDefault="00835EA7" w:rsidP="005F2744">
      <w:pPr>
        <w:pStyle w:val="Default"/>
        <w:numPr>
          <w:ilvl w:val="0"/>
          <w:numId w:val="3"/>
        </w:numPr>
      </w:pPr>
      <w:r w:rsidRPr="00E12BC0">
        <w:t xml:space="preserve">a requirement that a specified percentage of passenger cars and lighter light-duty trucks be zero-emission vehicles (ZEVs), vehicles with no exhaust or evaporative emissions. </w:t>
      </w:r>
    </w:p>
    <w:p w:rsidR="00835EA7" w:rsidRPr="00E12BC0" w:rsidRDefault="00835EA7" w:rsidP="00835EA7">
      <w:pPr>
        <w:pStyle w:val="Default"/>
      </w:pPr>
    </w:p>
    <w:p w:rsidR="00835EA7" w:rsidRPr="00E12BC0" w:rsidRDefault="00835EA7" w:rsidP="00835EA7">
      <w:pPr>
        <w:rPr>
          <w:sz w:val="24"/>
          <w:szCs w:val="24"/>
        </w:rPr>
      </w:pPr>
      <w:r w:rsidRPr="00E12BC0">
        <w:rPr>
          <w:sz w:val="24"/>
          <w:szCs w:val="24"/>
        </w:rPr>
        <w:t xml:space="preserve">In </w:t>
      </w:r>
      <w:r w:rsidR="00CF32A1" w:rsidRPr="00E12BC0">
        <w:rPr>
          <w:sz w:val="24"/>
          <w:szCs w:val="24"/>
        </w:rPr>
        <w:t>1999</w:t>
      </w:r>
      <w:r w:rsidR="004431C6" w:rsidRPr="00E12BC0">
        <w:rPr>
          <w:sz w:val="24"/>
          <w:szCs w:val="24"/>
        </w:rPr>
        <w:t>,</w:t>
      </w:r>
      <w:r w:rsidRPr="00E12BC0">
        <w:rPr>
          <w:sz w:val="24"/>
          <w:szCs w:val="24"/>
        </w:rPr>
        <w:t xml:space="preserve"> </w:t>
      </w:r>
      <w:r w:rsidR="00EE7EF5" w:rsidRPr="00E12BC0">
        <w:rPr>
          <w:sz w:val="24"/>
          <w:szCs w:val="24"/>
        </w:rPr>
        <w:t>CARB</w:t>
      </w:r>
      <w:r w:rsidRPr="00E12BC0">
        <w:rPr>
          <w:sz w:val="24"/>
          <w:szCs w:val="24"/>
        </w:rPr>
        <w:t xml:space="preserve"> developed the LEV II program </w:t>
      </w:r>
      <w:proofErr w:type="gramStart"/>
      <w:r w:rsidRPr="00E12BC0">
        <w:rPr>
          <w:sz w:val="24"/>
          <w:szCs w:val="24"/>
        </w:rPr>
        <w:t>to further reduce</w:t>
      </w:r>
      <w:proofErr w:type="gramEnd"/>
      <w:r w:rsidRPr="00E12BC0">
        <w:rPr>
          <w:sz w:val="24"/>
          <w:szCs w:val="24"/>
        </w:rPr>
        <w:t xml:space="preserve"> exhaust emissions </w:t>
      </w:r>
      <w:r w:rsidR="0031717F" w:rsidRPr="00E12BC0">
        <w:rPr>
          <w:sz w:val="24"/>
          <w:szCs w:val="24"/>
        </w:rPr>
        <w:t xml:space="preserve">including requirements for </w:t>
      </w:r>
      <w:r w:rsidR="00CF32A1" w:rsidRPr="00E12BC0">
        <w:rPr>
          <w:sz w:val="24"/>
          <w:szCs w:val="24"/>
        </w:rPr>
        <w:t>2004 through 2010</w:t>
      </w:r>
      <w:r w:rsidRPr="00E12BC0">
        <w:rPr>
          <w:sz w:val="24"/>
          <w:szCs w:val="24"/>
        </w:rPr>
        <w:t xml:space="preserve"> model year phase-in requirements for passenger cars, light-duty trucks, and medium-duty vehicles.</w:t>
      </w:r>
      <w:r w:rsidR="00EE7EF5" w:rsidRPr="00E12BC0">
        <w:rPr>
          <w:sz w:val="24"/>
          <w:szCs w:val="24"/>
        </w:rPr>
        <w:t xml:space="preserve"> </w:t>
      </w:r>
      <w:r w:rsidR="00474286" w:rsidRPr="00E12BC0">
        <w:rPr>
          <w:sz w:val="24"/>
          <w:szCs w:val="24"/>
        </w:rPr>
        <w:t xml:space="preserve">In 2004, CARB adopted the </w:t>
      </w:r>
      <w:proofErr w:type="spellStart"/>
      <w:r w:rsidR="00474286" w:rsidRPr="00E12BC0">
        <w:rPr>
          <w:sz w:val="24"/>
          <w:szCs w:val="24"/>
        </w:rPr>
        <w:t>Pavley</w:t>
      </w:r>
      <w:proofErr w:type="spellEnd"/>
      <w:r w:rsidR="00474286" w:rsidRPr="00E12BC0">
        <w:rPr>
          <w:sz w:val="24"/>
          <w:szCs w:val="24"/>
        </w:rPr>
        <w:t xml:space="preserve"> regulations, which reduced greenhouse gas emissions from new passenger vehicles for model years 2009 and 2016. </w:t>
      </w:r>
    </w:p>
    <w:p w:rsidR="00686F10" w:rsidRPr="00E12BC0" w:rsidRDefault="00686F10" w:rsidP="00835EA7">
      <w:pPr>
        <w:rPr>
          <w:sz w:val="24"/>
          <w:szCs w:val="24"/>
        </w:rPr>
      </w:pPr>
    </w:p>
    <w:p w:rsidR="00EE7EF5" w:rsidRPr="00E12BC0" w:rsidRDefault="00BA4A66" w:rsidP="00835EA7">
      <w:pPr>
        <w:rPr>
          <w:sz w:val="24"/>
          <w:szCs w:val="24"/>
        </w:rPr>
      </w:pPr>
      <w:r w:rsidRPr="00E12BC0">
        <w:rPr>
          <w:sz w:val="24"/>
          <w:szCs w:val="24"/>
        </w:rPr>
        <w:t xml:space="preserve">The ZEV program </w:t>
      </w:r>
      <w:proofErr w:type="gramStart"/>
      <w:r w:rsidRPr="00E12BC0">
        <w:rPr>
          <w:sz w:val="24"/>
          <w:szCs w:val="24"/>
        </w:rPr>
        <w:t>has been modified</w:t>
      </w:r>
      <w:proofErr w:type="gramEnd"/>
      <w:r w:rsidRPr="00E12BC0">
        <w:rPr>
          <w:sz w:val="24"/>
          <w:szCs w:val="24"/>
        </w:rPr>
        <w:t xml:space="preserve"> four times</w:t>
      </w:r>
      <w:r w:rsidR="00327B63" w:rsidRPr="00E12BC0">
        <w:rPr>
          <w:sz w:val="24"/>
          <w:szCs w:val="24"/>
        </w:rPr>
        <w:t xml:space="preserve"> </w:t>
      </w:r>
      <w:r w:rsidRPr="00E12BC0">
        <w:rPr>
          <w:sz w:val="24"/>
          <w:szCs w:val="24"/>
        </w:rPr>
        <w:t xml:space="preserve">– in 1996, 1998, 2001, 2003, and 2008.  While the program requirements </w:t>
      </w:r>
      <w:proofErr w:type="gramStart"/>
      <w:r w:rsidRPr="00E12BC0">
        <w:rPr>
          <w:sz w:val="24"/>
          <w:szCs w:val="24"/>
        </w:rPr>
        <w:t>were changed</w:t>
      </w:r>
      <w:proofErr w:type="gramEnd"/>
      <w:r w:rsidRPr="00E12BC0">
        <w:rPr>
          <w:sz w:val="24"/>
          <w:szCs w:val="24"/>
        </w:rPr>
        <w:t xml:space="preserve"> to reflect the status of technology, the original objective </w:t>
      </w:r>
      <w:r w:rsidRPr="00E12BC0">
        <w:rPr>
          <w:sz w:val="24"/>
          <w:szCs w:val="24"/>
        </w:rPr>
        <w:lastRenderedPageBreak/>
        <w:t xml:space="preserve">of </w:t>
      </w:r>
      <w:r w:rsidR="00327B63" w:rsidRPr="00E12BC0">
        <w:rPr>
          <w:sz w:val="24"/>
          <w:szCs w:val="24"/>
        </w:rPr>
        <w:t>commercializing ZEV technologies and requiring the development and placement of ZEVs in states remained</w:t>
      </w:r>
      <w:r w:rsidRPr="00E12BC0">
        <w:rPr>
          <w:sz w:val="24"/>
          <w:szCs w:val="24"/>
        </w:rPr>
        <w:t>.</w:t>
      </w:r>
    </w:p>
    <w:p w:rsidR="00BA4A66" w:rsidRPr="00E12BC0" w:rsidRDefault="00BA4A66" w:rsidP="00835EA7">
      <w:pPr>
        <w:rPr>
          <w:sz w:val="24"/>
          <w:szCs w:val="24"/>
        </w:rPr>
      </w:pPr>
    </w:p>
    <w:p w:rsidR="00835EA7" w:rsidRPr="00E12BC0" w:rsidRDefault="00EE7EF5" w:rsidP="00835EA7">
      <w:pPr>
        <w:pStyle w:val="Default"/>
      </w:pPr>
      <w:r w:rsidRPr="00E12BC0">
        <w:t>In 2012, CARB developed the Advanced Clean Cars (ACC) program</w:t>
      </w:r>
      <w:r w:rsidR="00003543" w:rsidRPr="00E12BC0">
        <w:t>, which combined updates to the ZEV program and introduced the LEV III program</w:t>
      </w:r>
      <w:r w:rsidRPr="00E12BC0">
        <w:t xml:space="preserve">. The ACC program </w:t>
      </w:r>
      <w:r w:rsidR="009839A8" w:rsidRPr="00E12BC0">
        <w:t>required</w:t>
      </w:r>
      <w:r w:rsidRPr="00E12BC0">
        <w:t xml:space="preserve"> further reduction of smog-causing pollutants and GHG emissions.</w:t>
      </w:r>
      <w:r w:rsidR="00003543" w:rsidRPr="00E12BC0">
        <w:t xml:space="preserve"> This</w:t>
      </w:r>
      <w:r w:rsidRPr="00E12BC0">
        <w:t xml:space="preserve"> </w:t>
      </w:r>
      <w:r w:rsidR="00003543" w:rsidRPr="00E12BC0">
        <w:t xml:space="preserve">included increased ZEV requirements through 2025 model year for various size auto manufacturers (ZEV program), and light duty GHG and criteria pollutant emission standards for model years 2015 through 2025 (LEV III program). </w:t>
      </w:r>
    </w:p>
    <w:p w:rsidR="00835EA7" w:rsidRPr="00E12BC0" w:rsidRDefault="00835EA7" w:rsidP="00465CBC">
      <w:pPr>
        <w:pStyle w:val="Default"/>
      </w:pPr>
    </w:p>
    <w:p w:rsidR="009B48A1" w:rsidRPr="00E12BC0" w:rsidRDefault="00D12F78" w:rsidP="00A544A1">
      <w:pPr>
        <w:pStyle w:val="Default"/>
      </w:pPr>
      <w:r w:rsidRPr="00E12BC0">
        <w:t xml:space="preserve">Subsequent to the adoption of the ACC program, </w:t>
      </w:r>
      <w:r w:rsidR="004D2454" w:rsidRPr="00E12BC0">
        <w:t xml:space="preserve">the </w:t>
      </w:r>
      <w:r w:rsidRPr="00E12BC0">
        <w:t xml:space="preserve">U.S. EPA finalized its federal Tier 3 program designed to reduce criteria pollutants from light-duty vehicles from model years 2017 through 2025. The Tier 3 program essentially mirrors California’s LEV III criteria pollutant program in both structure and requirements and </w:t>
      </w:r>
      <w:proofErr w:type="gramStart"/>
      <w:r w:rsidRPr="00E12BC0">
        <w:t>was developed</w:t>
      </w:r>
      <w:proofErr w:type="gramEnd"/>
      <w:r w:rsidRPr="00E12BC0">
        <w:t xml:space="preserve"> in a cooperative effort with CARB. </w:t>
      </w:r>
    </w:p>
    <w:p w:rsidR="009B48A1" w:rsidRPr="00E12BC0" w:rsidRDefault="009B48A1" w:rsidP="00A544A1">
      <w:pPr>
        <w:pStyle w:val="Default"/>
      </w:pPr>
    </w:p>
    <w:p w:rsidR="00A544A1" w:rsidRPr="00E12BC0" w:rsidRDefault="0031717F" w:rsidP="00A544A1">
      <w:pPr>
        <w:pStyle w:val="Default"/>
      </w:pPr>
      <w:r w:rsidRPr="00E12BC0">
        <w:t>CARB</w:t>
      </w:r>
      <w:r w:rsidR="00A544A1" w:rsidRPr="00E12BC0">
        <w:t>, EPA, U.S. Department of Transportation</w:t>
      </w:r>
      <w:r w:rsidR="009B48A1" w:rsidRPr="00E12BC0">
        <w:t xml:space="preserve"> (NHTSA)</w:t>
      </w:r>
      <w:r w:rsidR="00A544A1" w:rsidRPr="00E12BC0">
        <w:t xml:space="preserve"> and auto manufacturers</w:t>
      </w:r>
      <w:r w:rsidR="009B48A1" w:rsidRPr="00E12BC0">
        <w:t xml:space="preserve"> also</w:t>
      </w:r>
      <w:r w:rsidR="00A544A1" w:rsidRPr="00E12BC0">
        <w:t xml:space="preserve"> negotiated additional emission limits that further decreased greenhouse gases and cut traditional pollutants from new vehicles by substantial amounts. The coordinated requirements </w:t>
      </w:r>
      <w:proofErr w:type="gramStart"/>
      <w:r w:rsidR="00A544A1" w:rsidRPr="00E12BC0">
        <w:t>were phased</w:t>
      </w:r>
      <w:proofErr w:type="gramEnd"/>
      <w:r w:rsidR="00A544A1" w:rsidRPr="00E12BC0">
        <w:t xml:space="preserve"> in starting in 2017 </w:t>
      </w:r>
      <w:r w:rsidR="00465CBC" w:rsidRPr="00E12BC0">
        <w:t>and continue</w:t>
      </w:r>
      <w:r w:rsidR="00A544A1" w:rsidRPr="00E12BC0">
        <w:t xml:space="preserve"> through 2025. </w:t>
      </w:r>
      <w:r w:rsidR="004A5CCA" w:rsidRPr="00E12BC0">
        <w:t xml:space="preserve">California </w:t>
      </w:r>
      <w:r w:rsidR="00FE4C4F" w:rsidRPr="00E12BC0">
        <w:t xml:space="preserve">adopted the so-called “deemed to comply” option, which allows compliance with U.S. EPA’s regulations as an alternative to complying with California’s regulations for these model years. </w:t>
      </w:r>
      <w:r w:rsidR="004A5CCA" w:rsidRPr="00E12BC0">
        <w:t xml:space="preserve">This allowed </w:t>
      </w:r>
      <w:proofErr w:type="gramStart"/>
      <w:r w:rsidR="004A5CCA" w:rsidRPr="00E12BC0">
        <w:t>auto makers</w:t>
      </w:r>
      <w:proofErr w:type="gramEnd"/>
      <w:r w:rsidR="004A5CCA" w:rsidRPr="00E12BC0">
        <w:t xml:space="preserve"> to manufacture only one type of car to meet both the California and federal emission standards. </w:t>
      </w:r>
    </w:p>
    <w:p w:rsidR="004A5CCA" w:rsidRPr="00E12BC0" w:rsidRDefault="004A5CCA" w:rsidP="00A544A1">
      <w:pPr>
        <w:pStyle w:val="Default"/>
      </w:pPr>
    </w:p>
    <w:p w:rsidR="004A5CCA" w:rsidRPr="00E12BC0" w:rsidRDefault="004A5CCA" w:rsidP="00A544A1">
      <w:pPr>
        <w:pStyle w:val="Default"/>
      </w:pPr>
      <w:r w:rsidRPr="00E12BC0">
        <w:t xml:space="preserve">In August 2018, EPA issued a </w:t>
      </w:r>
      <w:r w:rsidR="006A4DF1" w:rsidRPr="00E12BC0">
        <w:t>notice of proposed rulemaking</w:t>
      </w:r>
      <w:r w:rsidRPr="00E12BC0">
        <w:t xml:space="preserve"> indicating it would freeze the GHG </w:t>
      </w:r>
      <w:r w:rsidR="006A4DF1" w:rsidRPr="00E12BC0">
        <w:t xml:space="preserve">vehicle emission </w:t>
      </w:r>
      <w:r w:rsidRPr="00E12BC0">
        <w:t xml:space="preserve">standards to 2020 levels.  </w:t>
      </w:r>
      <w:r w:rsidR="002D68B0" w:rsidRPr="00E12BC0">
        <w:t>Although</w:t>
      </w:r>
      <w:r w:rsidRPr="00E12BC0">
        <w:t xml:space="preserve"> the federal rule is not final, California has issued a proposed r</w:t>
      </w:r>
      <w:r w:rsidR="00D92984" w:rsidRPr="00E12BC0">
        <w:t>evision</w:t>
      </w:r>
      <w:r w:rsidRPr="00E12BC0">
        <w:t xml:space="preserve"> </w:t>
      </w:r>
      <w:r w:rsidR="00D92984" w:rsidRPr="00E12BC0">
        <w:t xml:space="preserve">to its LEV III GHG </w:t>
      </w:r>
      <w:r w:rsidR="002D68B0" w:rsidRPr="00E12BC0">
        <w:t>standards</w:t>
      </w:r>
      <w:r w:rsidR="006A4DF1" w:rsidRPr="00E12BC0">
        <w:t xml:space="preserve"> to clarify that the “deemed to comply” option is available only if the currently adopted federal greenhouse ga</w:t>
      </w:r>
      <w:r w:rsidR="002D68B0" w:rsidRPr="00E12BC0">
        <w:t>s regulations remain in effect</w:t>
      </w:r>
      <w:r w:rsidRPr="00E12BC0">
        <w:t xml:space="preserve">.  </w:t>
      </w:r>
    </w:p>
    <w:p w:rsidR="00A544A1" w:rsidRDefault="00A544A1" w:rsidP="00BA522A">
      <w:pPr>
        <w:autoSpaceDE w:val="0"/>
        <w:autoSpaceDN w:val="0"/>
        <w:adjustRightInd w:val="0"/>
        <w:rPr>
          <w:b/>
          <w:bCs/>
          <w:color w:val="000000"/>
          <w:sz w:val="24"/>
        </w:rPr>
      </w:pPr>
    </w:p>
    <w:p w:rsidR="00BA522A" w:rsidRPr="00E12BC0" w:rsidRDefault="00BA6D6F" w:rsidP="00D14654">
      <w:pPr>
        <w:rPr>
          <w:rFonts w:ascii="Arial" w:hAnsi="Arial" w:cs="Arial"/>
          <w:b/>
          <w:sz w:val="28"/>
        </w:rPr>
      </w:pPr>
      <w:r w:rsidRPr="00E12BC0">
        <w:rPr>
          <w:rFonts w:ascii="Arial" w:hAnsi="Arial" w:cs="Arial"/>
          <w:b/>
          <w:sz w:val="28"/>
        </w:rPr>
        <w:t xml:space="preserve">Summary of </w:t>
      </w:r>
      <w:r w:rsidR="00162FD0" w:rsidRPr="00E12BC0">
        <w:rPr>
          <w:rFonts w:ascii="Arial" w:hAnsi="Arial" w:cs="Arial"/>
          <w:b/>
          <w:sz w:val="28"/>
        </w:rPr>
        <w:t xml:space="preserve">DEQ’s </w:t>
      </w:r>
      <w:r w:rsidR="00816DFE" w:rsidRPr="00E12BC0">
        <w:rPr>
          <w:rFonts w:ascii="Arial" w:hAnsi="Arial" w:cs="Arial"/>
          <w:b/>
          <w:sz w:val="28"/>
        </w:rPr>
        <w:t xml:space="preserve">Rule </w:t>
      </w:r>
      <w:r w:rsidRPr="00E12BC0">
        <w:rPr>
          <w:rFonts w:ascii="Arial" w:hAnsi="Arial" w:cs="Arial"/>
          <w:b/>
          <w:sz w:val="28"/>
        </w:rPr>
        <w:t xml:space="preserve">Revisions </w:t>
      </w:r>
      <w:r w:rsidR="00162FD0" w:rsidRPr="00E12BC0">
        <w:rPr>
          <w:rFonts w:ascii="Arial" w:hAnsi="Arial" w:cs="Arial"/>
          <w:b/>
          <w:sz w:val="28"/>
        </w:rPr>
        <w:t>(incorporation by reference)</w:t>
      </w:r>
    </w:p>
    <w:p w:rsidR="00E12BC0" w:rsidRPr="00E12BC0" w:rsidRDefault="00E12BC0" w:rsidP="00D14654">
      <w:pPr>
        <w:rPr>
          <w:rFonts w:ascii="Arial" w:hAnsi="Arial" w:cs="Arial"/>
          <w:b/>
          <w:sz w:val="28"/>
        </w:rPr>
      </w:pPr>
    </w:p>
    <w:p w:rsidR="00D14654" w:rsidRPr="00E61CA9" w:rsidRDefault="00D14654" w:rsidP="00BA522A">
      <w:pPr>
        <w:autoSpaceDE w:val="0"/>
        <w:autoSpaceDN w:val="0"/>
        <w:adjustRightInd w:val="0"/>
        <w:rPr>
          <w:sz w:val="23"/>
          <w:szCs w:val="23"/>
        </w:rPr>
      </w:pPr>
      <w:r w:rsidRPr="00E61CA9">
        <w:rPr>
          <w:sz w:val="23"/>
          <w:szCs w:val="23"/>
        </w:rPr>
        <w:t>DEQ last updated its Low Emission Vehicle rules in 2013.  Since then, California has revised its low emission vehicle and Zero Emission Vehicle program rules.  Oregon must incorporate California’s rules “identically” to maintain co</w:t>
      </w:r>
      <w:r w:rsidR="008D2CE7">
        <w:rPr>
          <w:sz w:val="23"/>
          <w:szCs w:val="23"/>
        </w:rPr>
        <w:t>nformity</w:t>
      </w:r>
      <w:r w:rsidRPr="00E61CA9">
        <w:rPr>
          <w:sz w:val="23"/>
          <w:szCs w:val="23"/>
        </w:rPr>
        <w:t xml:space="preserve"> with the California program</w:t>
      </w:r>
      <w:r w:rsidR="008D2CE7">
        <w:rPr>
          <w:sz w:val="23"/>
          <w:szCs w:val="23"/>
        </w:rPr>
        <w:t xml:space="preserve"> and remain in compliance with federal law</w:t>
      </w:r>
      <w:r w:rsidRPr="00E61CA9">
        <w:rPr>
          <w:sz w:val="23"/>
          <w:szCs w:val="23"/>
        </w:rPr>
        <w:t xml:space="preserve">. </w:t>
      </w:r>
      <w:r w:rsidR="008D2CE7">
        <w:rPr>
          <w:sz w:val="23"/>
          <w:szCs w:val="23"/>
        </w:rPr>
        <w:t xml:space="preserve">In order to remain identical, </w:t>
      </w:r>
      <w:r w:rsidRPr="00E61CA9">
        <w:rPr>
          <w:sz w:val="23"/>
          <w:szCs w:val="23"/>
        </w:rPr>
        <w:t>DEQ must adopt the following California rules:</w:t>
      </w:r>
    </w:p>
    <w:p w:rsidR="00D14654" w:rsidRPr="00E61CA9" w:rsidRDefault="00D14654" w:rsidP="00BA522A">
      <w:pPr>
        <w:autoSpaceDE w:val="0"/>
        <w:autoSpaceDN w:val="0"/>
        <w:adjustRightInd w:val="0"/>
        <w:rPr>
          <w:sz w:val="23"/>
          <w:szCs w:val="23"/>
        </w:rPr>
      </w:pPr>
    </w:p>
    <w:p w:rsidR="00E61CA9" w:rsidRPr="00E12BC0" w:rsidRDefault="00835EA7" w:rsidP="00BA522A">
      <w:pPr>
        <w:autoSpaceDE w:val="0"/>
        <w:autoSpaceDN w:val="0"/>
        <w:adjustRightInd w:val="0"/>
        <w:rPr>
          <w:rFonts w:ascii="Arial" w:hAnsi="Arial" w:cs="Arial"/>
          <w:b/>
          <w:sz w:val="24"/>
          <w:szCs w:val="23"/>
        </w:rPr>
      </w:pPr>
      <w:r w:rsidRPr="00E12BC0">
        <w:rPr>
          <w:rFonts w:ascii="Arial" w:hAnsi="Arial" w:cs="Arial"/>
          <w:b/>
          <w:sz w:val="24"/>
          <w:szCs w:val="23"/>
        </w:rPr>
        <w:t>Zero Emission Vehicle Rules</w:t>
      </w:r>
      <w:r w:rsidR="00E61CA9" w:rsidRPr="00E12BC0">
        <w:rPr>
          <w:rFonts w:ascii="Arial" w:hAnsi="Arial" w:cs="Arial"/>
          <w:b/>
          <w:sz w:val="24"/>
          <w:szCs w:val="23"/>
        </w:rPr>
        <w:t xml:space="preserve"> – 2013</w:t>
      </w:r>
    </w:p>
    <w:p w:rsidR="00BA6D6F" w:rsidRPr="00E12BC0" w:rsidRDefault="00BA6D6F" w:rsidP="00BA522A">
      <w:pPr>
        <w:autoSpaceDE w:val="0"/>
        <w:autoSpaceDN w:val="0"/>
        <w:adjustRightInd w:val="0"/>
        <w:rPr>
          <w:b/>
          <w:sz w:val="24"/>
          <w:szCs w:val="23"/>
        </w:rPr>
      </w:pPr>
    </w:p>
    <w:p w:rsidR="0003219F" w:rsidRPr="00E12BC0" w:rsidRDefault="00426CA0" w:rsidP="00E61CA9">
      <w:pPr>
        <w:autoSpaceDE w:val="0"/>
        <w:autoSpaceDN w:val="0"/>
        <w:adjustRightInd w:val="0"/>
        <w:rPr>
          <w:sz w:val="24"/>
          <w:szCs w:val="24"/>
        </w:rPr>
      </w:pPr>
      <w:r w:rsidRPr="00E12BC0">
        <w:rPr>
          <w:sz w:val="24"/>
          <w:szCs w:val="24"/>
        </w:rPr>
        <w:t xml:space="preserve">The 2013 ZEV rule update included </w:t>
      </w:r>
      <w:r w:rsidR="00E61CA9" w:rsidRPr="00E12BC0">
        <w:rPr>
          <w:sz w:val="24"/>
          <w:szCs w:val="24"/>
        </w:rPr>
        <w:t>minor amendments to m</w:t>
      </w:r>
      <w:r w:rsidRPr="00E12BC0">
        <w:rPr>
          <w:sz w:val="24"/>
          <w:szCs w:val="24"/>
        </w:rPr>
        <w:t xml:space="preserve">odify </w:t>
      </w:r>
      <w:r w:rsidR="007830C9" w:rsidRPr="00E12BC0">
        <w:rPr>
          <w:sz w:val="24"/>
          <w:szCs w:val="24"/>
        </w:rPr>
        <w:t xml:space="preserve">the 2012 </w:t>
      </w:r>
      <w:r w:rsidRPr="00E12BC0">
        <w:rPr>
          <w:sz w:val="24"/>
          <w:szCs w:val="24"/>
        </w:rPr>
        <w:t>ZEV regulations</w:t>
      </w:r>
      <w:r w:rsidR="00534FBA" w:rsidRPr="00E12BC0">
        <w:rPr>
          <w:sz w:val="24"/>
          <w:szCs w:val="24"/>
        </w:rPr>
        <w:t xml:space="preserve">. </w:t>
      </w:r>
      <w:r w:rsidRPr="00E12BC0">
        <w:rPr>
          <w:sz w:val="24"/>
          <w:szCs w:val="24"/>
        </w:rPr>
        <w:t xml:space="preserve">The 2013 ZEV </w:t>
      </w:r>
      <w:proofErr w:type="gramStart"/>
      <w:r w:rsidRPr="00E12BC0">
        <w:rPr>
          <w:sz w:val="24"/>
          <w:szCs w:val="24"/>
        </w:rPr>
        <w:t>rules basically</w:t>
      </w:r>
      <w:proofErr w:type="gramEnd"/>
      <w:r w:rsidRPr="00E12BC0">
        <w:rPr>
          <w:sz w:val="24"/>
          <w:szCs w:val="24"/>
        </w:rPr>
        <w:t xml:space="preserve"> put into effect an </w:t>
      </w:r>
      <w:r w:rsidR="00E61CA9" w:rsidRPr="00E12BC0">
        <w:rPr>
          <w:sz w:val="24"/>
          <w:szCs w:val="24"/>
        </w:rPr>
        <w:t xml:space="preserve">agreement between the </w:t>
      </w:r>
      <w:r w:rsidR="009B48A1" w:rsidRPr="00E12BC0">
        <w:rPr>
          <w:sz w:val="24"/>
          <w:szCs w:val="24"/>
        </w:rPr>
        <w:t xml:space="preserve">nine </w:t>
      </w:r>
      <w:r w:rsidR="00E61CA9" w:rsidRPr="00E12BC0">
        <w:rPr>
          <w:sz w:val="24"/>
          <w:szCs w:val="24"/>
        </w:rPr>
        <w:t>Section 177</w:t>
      </w:r>
      <w:r w:rsidR="009B48A1" w:rsidRPr="00E12BC0">
        <w:rPr>
          <w:sz w:val="24"/>
          <w:szCs w:val="24"/>
        </w:rPr>
        <w:t xml:space="preserve"> ZEV </w:t>
      </w:r>
      <w:r w:rsidR="00E61CA9" w:rsidRPr="00E12BC0">
        <w:rPr>
          <w:sz w:val="24"/>
          <w:szCs w:val="24"/>
        </w:rPr>
        <w:t>states and regulated manufacturers</w:t>
      </w:r>
      <w:r w:rsidRPr="00E12BC0">
        <w:rPr>
          <w:sz w:val="24"/>
          <w:szCs w:val="24"/>
        </w:rPr>
        <w:t xml:space="preserve"> regarding the optional Section 177 state compliance path</w:t>
      </w:r>
      <w:r w:rsidR="00534FBA" w:rsidRPr="00E12BC0">
        <w:rPr>
          <w:sz w:val="24"/>
          <w:szCs w:val="24"/>
        </w:rPr>
        <w:t>. The optional compliance path</w:t>
      </w:r>
      <w:r w:rsidR="00E61CA9" w:rsidRPr="00E12BC0">
        <w:rPr>
          <w:sz w:val="24"/>
          <w:szCs w:val="24"/>
        </w:rPr>
        <w:t xml:space="preserve">, </w:t>
      </w:r>
      <w:r w:rsidR="0003219F" w:rsidRPr="00E12BC0">
        <w:rPr>
          <w:sz w:val="24"/>
          <w:szCs w:val="24"/>
        </w:rPr>
        <w:t>allowed manufacturers to obtain ZEV credits for ZEVs and transitional zero emission vehicles (TZEVs) placed in car share programs</w:t>
      </w:r>
      <w:r w:rsidR="0067769C" w:rsidRPr="00E12BC0">
        <w:rPr>
          <w:sz w:val="24"/>
          <w:szCs w:val="24"/>
        </w:rPr>
        <w:t>; these credits could be used to meet a portion of their ZEV requirement.  The other option allowed for</w:t>
      </w:r>
      <w:r w:rsidR="0003219F" w:rsidRPr="00E12BC0">
        <w:rPr>
          <w:sz w:val="24"/>
          <w:szCs w:val="24"/>
        </w:rPr>
        <w:t xml:space="preserve"> trading and </w:t>
      </w:r>
      <w:r w:rsidR="0003219F" w:rsidRPr="00E12BC0">
        <w:rPr>
          <w:sz w:val="24"/>
          <w:szCs w:val="24"/>
        </w:rPr>
        <w:lastRenderedPageBreak/>
        <w:t xml:space="preserve">transferring 2012-2017 model year ZEV and TZEV credits within and between regional pools. </w:t>
      </w:r>
      <w:r w:rsidR="0067769C" w:rsidRPr="00E12BC0">
        <w:rPr>
          <w:sz w:val="24"/>
          <w:szCs w:val="24"/>
        </w:rPr>
        <w:t>I</w:t>
      </w:r>
      <w:r w:rsidR="0003219F" w:rsidRPr="00E12BC0">
        <w:rPr>
          <w:sz w:val="24"/>
          <w:szCs w:val="24"/>
        </w:rPr>
        <w:t>t allowed a manufacturer to use 2012 through 2015 model year credits to meet a 2015 model year obligation</w:t>
      </w:r>
      <w:r w:rsidR="0067769C" w:rsidRPr="00E12BC0">
        <w:rPr>
          <w:sz w:val="24"/>
          <w:szCs w:val="24"/>
        </w:rPr>
        <w:t>, whereas previously a manufacturer would have only been able to pool 2015 model year credits to meet a 2015 model year obligation</w:t>
      </w:r>
      <w:r w:rsidR="0003219F" w:rsidRPr="00E12BC0">
        <w:rPr>
          <w:sz w:val="24"/>
          <w:szCs w:val="24"/>
        </w:rPr>
        <w:t xml:space="preserve">. </w:t>
      </w:r>
    </w:p>
    <w:p w:rsidR="009B48A1" w:rsidRPr="00E12BC0" w:rsidRDefault="009B48A1" w:rsidP="00E61CA9">
      <w:pPr>
        <w:autoSpaceDE w:val="0"/>
        <w:autoSpaceDN w:val="0"/>
        <w:adjustRightInd w:val="0"/>
        <w:rPr>
          <w:sz w:val="24"/>
          <w:szCs w:val="24"/>
        </w:rPr>
      </w:pPr>
    </w:p>
    <w:p w:rsidR="00E61CA9" w:rsidRPr="00E12BC0" w:rsidRDefault="00534FBA" w:rsidP="00E61CA9">
      <w:pPr>
        <w:autoSpaceDE w:val="0"/>
        <w:autoSpaceDN w:val="0"/>
        <w:adjustRightInd w:val="0"/>
        <w:rPr>
          <w:sz w:val="24"/>
          <w:szCs w:val="24"/>
        </w:rPr>
      </w:pPr>
      <w:r w:rsidRPr="00E12BC0">
        <w:rPr>
          <w:sz w:val="24"/>
          <w:szCs w:val="24"/>
        </w:rPr>
        <w:t xml:space="preserve">The rule also </w:t>
      </w:r>
      <w:r w:rsidR="00E61CA9" w:rsidRPr="00E12BC0">
        <w:rPr>
          <w:sz w:val="24"/>
          <w:szCs w:val="24"/>
        </w:rPr>
        <w:t>add</w:t>
      </w:r>
      <w:r w:rsidR="00426CA0" w:rsidRPr="00E12BC0">
        <w:rPr>
          <w:sz w:val="24"/>
          <w:szCs w:val="24"/>
        </w:rPr>
        <w:t>ed</w:t>
      </w:r>
      <w:r w:rsidR="00E61CA9" w:rsidRPr="00E12BC0">
        <w:rPr>
          <w:sz w:val="24"/>
          <w:szCs w:val="24"/>
        </w:rPr>
        <w:t xml:space="preserve"> provisions to ensure ZEVs are delivered for sale in California every </w:t>
      </w:r>
      <w:r w:rsidR="00426CA0" w:rsidRPr="00E12BC0">
        <w:rPr>
          <w:sz w:val="24"/>
          <w:szCs w:val="24"/>
        </w:rPr>
        <w:t xml:space="preserve">year, </w:t>
      </w:r>
      <w:r w:rsidR="003E69CC" w:rsidRPr="00E12BC0">
        <w:rPr>
          <w:sz w:val="24"/>
          <w:szCs w:val="24"/>
        </w:rPr>
        <w:t>modified the fast refueling provisions to ensure that credits received from battery swapping are based on real-world use</w:t>
      </w:r>
      <w:r w:rsidR="00E61CA9" w:rsidRPr="00E12BC0">
        <w:rPr>
          <w:sz w:val="24"/>
          <w:szCs w:val="24"/>
        </w:rPr>
        <w:t xml:space="preserve">, and </w:t>
      </w:r>
      <w:r w:rsidR="00426CA0" w:rsidRPr="00E12BC0">
        <w:rPr>
          <w:sz w:val="24"/>
          <w:szCs w:val="24"/>
        </w:rPr>
        <w:t>corrected grammatical errors and clarified</w:t>
      </w:r>
      <w:r w:rsidR="00E61CA9" w:rsidRPr="00E12BC0">
        <w:rPr>
          <w:sz w:val="24"/>
          <w:szCs w:val="24"/>
        </w:rPr>
        <w:t xml:space="preserve"> language where needed</w:t>
      </w:r>
      <w:r w:rsidR="00426CA0" w:rsidRPr="00E12BC0">
        <w:rPr>
          <w:sz w:val="24"/>
          <w:szCs w:val="24"/>
        </w:rPr>
        <w:t xml:space="preserve">. </w:t>
      </w:r>
    </w:p>
    <w:p w:rsidR="00426CA0" w:rsidRDefault="00426CA0" w:rsidP="00E61CA9">
      <w:pPr>
        <w:autoSpaceDE w:val="0"/>
        <w:autoSpaceDN w:val="0"/>
        <w:adjustRightInd w:val="0"/>
        <w:rPr>
          <w:sz w:val="23"/>
          <w:szCs w:val="23"/>
        </w:rPr>
      </w:pPr>
    </w:p>
    <w:p w:rsidR="00426CA0" w:rsidRPr="00E12BC0" w:rsidRDefault="00426CA0" w:rsidP="00E61CA9">
      <w:pPr>
        <w:autoSpaceDE w:val="0"/>
        <w:autoSpaceDN w:val="0"/>
        <w:adjustRightInd w:val="0"/>
        <w:rPr>
          <w:rFonts w:ascii="Arial" w:hAnsi="Arial" w:cs="Arial"/>
          <w:b/>
          <w:sz w:val="24"/>
          <w:szCs w:val="23"/>
        </w:rPr>
      </w:pPr>
      <w:r w:rsidRPr="00E12BC0">
        <w:rPr>
          <w:rFonts w:ascii="Arial" w:hAnsi="Arial" w:cs="Arial"/>
          <w:b/>
          <w:sz w:val="24"/>
          <w:szCs w:val="23"/>
        </w:rPr>
        <w:t>Z</w:t>
      </w:r>
      <w:r w:rsidR="00D14C00" w:rsidRPr="00E12BC0">
        <w:rPr>
          <w:rFonts w:ascii="Arial" w:hAnsi="Arial" w:cs="Arial"/>
          <w:b/>
          <w:sz w:val="24"/>
          <w:szCs w:val="23"/>
        </w:rPr>
        <w:t xml:space="preserve">ero </w:t>
      </w:r>
      <w:r w:rsidRPr="00E12BC0">
        <w:rPr>
          <w:rFonts w:ascii="Arial" w:hAnsi="Arial" w:cs="Arial"/>
          <w:b/>
          <w:sz w:val="24"/>
          <w:szCs w:val="23"/>
        </w:rPr>
        <w:t>E</w:t>
      </w:r>
      <w:r w:rsidR="00D14C00" w:rsidRPr="00E12BC0">
        <w:rPr>
          <w:rFonts w:ascii="Arial" w:hAnsi="Arial" w:cs="Arial"/>
          <w:b/>
          <w:sz w:val="24"/>
          <w:szCs w:val="23"/>
        </w:rPr>
        <w:t xml:space="preserve">mission </w:t>
      </w:r>
      <w:r w:rsidRPr="00E12BC0">
        <w:rPr>
          <w:rFonts w:ascii="Arial" w:hAnsi="Arial" w:cs="Arial"/>
          <w:b/>
          <w:sz w:val="24"/>
          <w:szCs w:val="23"/>
        </w:rPr>
        <w:t>V</w:t>
      </w:r>
      <w:r w:rsidR="00D14C00" w:rsidRPr="00E12BC0">
        <w:rPr>
          <w:rFonts w:ascii="Arial" w:hAnsi="Arial" w:cs="Arial"/>
          <w:b/>
          <w:sz w:val="24"/>
          <w:szCs w:val="23"/>
        </w:rPr>
        <w:t>ehicle R</w:t>
      </w:r>
      <w:r w:rsidRPr="00E12BC0">
        <w:rPr>
          <w:rFonts w:ascii="Arial" w:hAnsi="Arial" w:cs="Arial"/>
          <w:b/>
          <w:sz w:val="24"/>
          <w:szCs w:val="23"/>
        </w:rPr>
        <w:t>ules</w:t>
      </w:r>
      <w:r w:rsidR="00835EA7" w:rsidRPr="00E12BC0">
        <w:rPr>
          <w:rFonts w:ascii="Arial" w:hAnsi="Arial" w:cs="Arial"/>
          <w:b/>
          <w:sz w:val="24"/>
          <w:szCs w:val="23"/>
        </w:rPr>
        <w:t xml:space="preserve"> - 2014</w:t>
      </w:r>
    </w:p>
    <w:p w:rsidR="00D14654" w:rsidRPr="00D14654" w:rsidRDefault="00D14654" w:rsidP="00BA522A">
      <w:pPr>
        <w:autoSpaceDE w:val="0"/>
        <w:autoSpaceDN w:val="0"/>
        <w:adjustRightInd w:val="0"/>
      </w:pPr>
    </w:p>
    <w:p w:rsidR="00D14654" w:rsidRDefault="00955C84" w:rsidP="00B10C79">
      <w:pPr>
        <w:pStyle w:val="Heading1"/>
        <w:rPr>
          <w:rFonts w:ascii="Times New Roman" w:eastAsia="Calibri" w:hAnsi="Times New Roman" w:cs="Times New Roman"/>
          <w:b w:val="0"/>
          <w:spacing w:val="0"/>
          <w:sz w:val="23"/>
          <w:szCs w:val="23"/>
        </w:rPr>
      </w:pPr>
      <w:r>
        <w:rPr>
          <w:rFonts w:ascii="Times New Roman" w:eastAsia="Calibri" w:hAnsi="Times New Roman" w:cs="Times New Roman"/>
          <w:b w:val="0"/>
          <w:spacing w:val="0"/>
          <w:sz w:val="23"/>
          <w:szCs w:val="23"/>
        </w:rPr>
        <w:t xml:space="preserve">The ZEV 2014 rules primarily focused on modifications for the </w:t>
      </w:r>
      <w:r w:rsidR="008664D6">
        <w:rPr>
          <w:rFonts w:ascii="Times New Roman" w:eastAsia="Calibri" w:hAnsi="Times New Roman" w:cs="Times New Roman"/>
          <w:b w:val="0"/>
          <w:spacing w:val="0"/>
          <w:sz w:val="23"/>
          <w:szCs w:val="23"/>
        </w:rPr>
        <w:t>intermediate volume manufacturers</w:t>
      </w:r>
      <w:r>
        <w:rPr>
          <w:rFonts w:ascii="Times New Roman" w:eastAsia="Calibri" w:hAnsi="Times New Roman" w:cs="Times New Roman"/>
          <w:b w:val="0"/>
          <w:spacing w:val="0"/>
          <w:sz w:val="23"/>
          <w:szCs w:val="23"/>
        </w:rPr>
        <w:t>, since they we</w:t>
      </w:r>
      <w:r w:rsidR="008664D6" w:rsidRPr="008664D6">
        <w:rPr>
          <w:rFonts w:ascii="Times New Roman" w:eastAsia="Calibri" w:hAnsi="Times New Roman" w:cs="Times New Roman"/>
          <w:b w:val="0"/>
          <w:spacing w:val="0"/>
          <w:sz w:val="23"/>
          <w:szCs w:val="23"/>
        </w:rPr>
        <w:t>re now co</w:t>
      </w:r>
      <w:r w:rsidR="008664D6">
        <w:rPr>
          <w:rFonts w:ascii="Times New Roman" w:eastAsia="Calibri" w:hAnsi="Times New Roman" w:cs="Times New Roman"/>
          <w:b w:val="0"/>
          <w:spacing w:val="0"/>
          <w:sz w:val="23"/>
          <w:szCs w:val="23"/>
        </w:rPr>
        <w:t xml:space="preserve">mpeting and </w:t>
      </w:r>
      <w:proofErr w:type="gramStart"/>
      <w:r>
        <w:rPr>
          <w:rFonts w:ascii="Times New Roman" w:eastAsia="Calibri" w:hAnsi="Times New Roman" w:cs="Times New Roman"/>
          <w:b w:val="0"/>
          <w:spacing w:val="0"/>
          <w:sz w:val="23"/>
          <w:szCs w:val="23"/>
        </w:rPr>
        <w:t>would be</w:t>
      </w:r>
      <w:r w:rsidR="008664D6">
        <w:rPr>
          <w:rFonts w:ascii="Times New Roman" w:eastAsia="Calibri" w:hAnsi="Times New Roman" w:cs="Times New Roman"/>
          <w:b w:val="0"/>
          <w:spacing w:val="0"/>
          <w:sz w:val="23"/>
          <w:szCs w:val="23"/>
        </w:rPr>
        <w:t xml:space="preserve"> classified</w:t>
      </w:r>
      <w:proofErr w:type="gramEnd"/>
      <w:r w:rsidR="008664D6">
        <w:rPr>
          <w:rFonts w:ascii="Times New Roman" w:eastAsia="Calibri" w:hAnsi="Times New Roman" w:cs="Times New Roman"/>
          <w:b w:val="0"/>
          <w:spacing w:val="0"/>
          <w:sz w:val="23"/>
          <w:szCs w:val="23"/>
        </w:rPr>
        <w:t xml:space="preserve"> as large volume manufacturers beginning with the 2018 model year. </w:t>
      </w:r>
      <w:r w:rsidR="00BE2343">
        <w:rPr>
          <w:rFonts w:ascii="Times New Roman" w:eastAsia="Calibri" w:hAnsi="Times New Roman" w:cs="Times New Roman"/>
          <w:b w:val="0"/>
          <w:spacing w:val="0"/>
          <w:sz w:val="23"/>
          <w:szCs w:val="23"/>
        </w:rPr>
        <w:t>The rules provide</w:t>
      </w:r>
      <w:r w:rsidR="004D2454">
        <w:rPr>
          <w:rFonts w:ascii="Times New Roman" w:eastAsia="Calibri" w:hAnsi="Times New Roman" w:cs="Times New Roman"/>
          <w:b w:val="0"/>
          <w:spacing w:val="0"/>
          <w:sz w:val="23"/>
          <w:szCs w:val="23"/>
        </w:rPr>
        <w:t>d</w:t>
      </w:r>
      <w:r w:rsidR="00BE2343">
        <w:rPr>
          <w:rFonts w:ascii="Times New Roman" w:eastAsia="Calibri" w:hAnsi="Times New Roman" w:cs="Times New Roman"/>
          <w:b w:val="0"/>
          <w:spacing w:val="0"/>
          <w:sz w:val="23"/>
          <w:szCs w:val="23"/>
        </w:rPr>
        <w:t xml:space="preserve"> flexibilities for intermediate volume manufacturers through:</w:t>
      </w:r>
    </w:p>
    <w:p w:rsidR="00BE2343" w:rsidRPr="003E0F60" w:rsidRDefault="003E0F60" w:rsidP="005F2744">
      <w:pPr>
        <w:pStyle w:val="Default"/>
        <w:numPr>
          <w:ilvl w:val="0"/>
          <w:numId w:val="1"/>
        </w:numPr>
        <w:rPr>
          <w:color w:val="auto"/>
          <w:sz w:val="23"/>
          <w:szCs w:val="23"/>
        </w:rPr>
      </w:pPr>
      <w:r w:rsidRPr="003E0F60">
        <w:rPr>
          <w:color w:val="auto"/>
          <w:sz w:val="23"/>
          <w:szCs w:val="23"/>
        </w:rPr>
        <w:t>Providing</w:t>
      </w:r>
      <w:r w:rsidR="00BE2343" w:rsidRPr="003E0F60">
        <w:rPr>
          <w:color w:val="auto"/>
          <w:sz w:val="23"/>
          <w:szCs w:val="23"/>
        </w:rPr>
        <w:t xml:space="preserve"> </w:t>
      </w:r>
      <w:r w:rsidRPr="003E0F60">
        <w:rPr>
          <w:color w:val="auto"/>
          <w:sz w:val="23"/>
          <w:szCs w:val="23"/>
        </w:rPr>
        <w:t>intermediate volume manufacturers (</w:t>
      </w:r>
      <w:r w:rsidR="00BE2343" w:rsidRPr="003E0F60">
        <w:rPr>
          <w:color w:val="auto"/>
          <w:sz w:val="23"/>
          <w:szCs w:val="23"/>
        </w:rPr>
        <w:t>IVMs</w:t>
      </w:r>
      <w:r w:rsidRPr="003E0F60">
        <w:rPr>
          <w:color w:val="auto"/>
          <w:sz w:val="23"/>
          <w:szCs w:val="23"/>
        </w:rPr>
        <w:t>)</w:t>
      </w:r>
      <w:r w:rsidR="00BE2343" w:rsidRPr="003E0F60">
        <w:rPr>
          <w:color w:val="auto"/>
          <w:sz w:val="23"/>
          <w:szCs w:val="23"/>
        </w:rPr>
        <w:t xml:space="preserve"> transitioning to </w:t>
      </w:r>
      <w:r w:rsidRPr="003E0F60">
        <w:rPr>
          <w:color w:val="auto"/>
          <w:sz w:val="23"/>
          <w:szCs w:val="23"/>
        </w:rPr>
        <w:t>large vehicle manufacturer (</w:t>
      </w:r>
      <w:r w:rsidR="00BE2343" w:rsidRPr="003E0F60">
        <w:rPr>
          <w:color w:val="auto"/>
          <w:sz w:val="23"/>
          <w:szCs w:val="23"/>
        </w:rPr>
        <w:t>LVM</w:t>
      </w:r>
      <w:r w:rsidRPr="003E0F60">
        <w:rPr>
          <w:color w:val="auto"/>
          <w:sz w:val="23"/>
          <w:szCs w:val="23"/>
        </w:rPr>
        <w:t>)</w:t>
      </w:r>
      <w:r w:rsidR="00BE2343" w:rsidRPr="003E0F60">
        <w:rPr>
          <w:color w:val="auto"/>
          <w:sz w:val="23"/>
          <w:szCs w:val="23"/>
        </w:rPr>
        <w:t xml:space="preserve"> status additional time before having to deliver advanced technology vehicles</w:t>
      </w:r>
      <w:r w:rsidRPr="003E0F60">
        <w:rPr>
          <w:color w:val="auto"/>
          <w:sz w:val="23"/>
          <w:szCs w:val="23"/>
        </w:rPr>
        <w:t>;</w:t>
      </w:r>
      <w:r w:rsidR="00BE2343" w:rsidRPr="003E0F60">
        <w:rPr>
          <w:color w:val="auto"/>
          <w:sz w:val="23"/>
          <w:szCs w:val="23"/>
        </w:rPr>
        <w:t xml:space="preserve"> </w:t>
      </w:r>
    </w:p>
    <w:p w:rsidR="00BE2343" w:rsidRPr="003E0F60" w:rsidRDefault="00BE2343" w:rsidP="005F2744">
      <w:pPr>
        <w:pStyle w:val="Default"/>
        <w:numPr>
          <w:ilvl w:val="0"/>
          <w:numId w:val="1"/>
        </w:numPr>
        <w:rPr>
          <w:color w:val="auto"/>
          <w:sz w:val="23"/>
          <w:szCs w:val="23"/>
        </w:rPr>
      </w:pPr>
      <w:r w:rsidRPr="003E0F60">
        <w:rPr>
          <w:color w:val="auto"/>
          <w:sz w:val="23"/>
          <w:szCs w:val="23"/>
        </w:rPr>
        <w:t>Modify</w:t>
      </w:r>
      <w:r w:rsidR="003E0F60" w:rsidRPr="003E0F60">
        <w:rPr>
          <w:color w:val="auto"/>
          <w:sz w:val="23"/>
          <w:szCs w:val="23"/>
        </w:rPr>
        <w:t>ing</w:t>
      </w:r>
      <w:r w:rsidRPr="003E0F60">
        <w:rPr>
          <w:color w:val="auto"/>
          <w:sz w:val="23"/>
          <w:szCs w:val="23"/>
        </w:rPr>
        <w:t xml:space="preserve"> the IVM definition to add a global revenue test, </w:t>
      </w:r>
      <w:r w:rsidR="003E0F60" w:rsidRPr="003E0F60">
        <w:rPr>
          <w:color w:val="auto"/>
          <w:sz w:val="23"/>
          <w:szCs w:val="23"/>
        </w:rPr>
        <w:t>to help</w:t>
      </w:r>
      <w:r w:rsidRPr="003E0F60">
        <w:rPr>
          <w:color w:val="auto"/>
          <w:sz w:val="23"/>
          <w:szCs w:val="23"/>
        </w:rPr>
        <w:t xml:space="preserve"> assess a manufacturer’s ability to bring advanced technology vehicles to market</w:t>
      </w:r>
      <w:r w:rsidR="003E0F60">
        <w:rPr>
          <w:color w:val="auto"/>
          <w:sz w:val="23"/>
          <w:szCs w:val="23"/>
        </w:rPr>
        <w:t>;</w:t>
      </w:r>
    </w:p>
    <w:p w:rsidR="00BE2343" w:rsidRPr="003E0F60" w:rsidRDefault="003E0F60" w:rsidP="005F2744">
      <w:pPr>
        <w:pStyle w:val="Default"/>
        <w:numPr>
          <w:ilvl w:val="0"/>
          <w:numId w:val="1"/>
        </w:numPr>
        <w:rPr>
          <w:color w:val="auto"/>
          <w:sz w:val="23"/>
          <w:szCs w:val="23"/>
        </w:rPr>
      </w:pPr>
      <w:r w:rsidRPr="003E0F60">
        <w:rPr>
          <w:color w:val="auto"/>
          <w:sz w:val="23"/>
          <w:szCs w:val="23"/>
        </w:rPr>
        <w:t>L</w:t>
      </w:r>
      <w:r w:rsidR="00BE2343" w:rsidRPr="003E0F60">
        <w:rPr>
          <w:color w:val="auto"/>
          <w:sz w:val="23"/>
          <w:szCs w:val="23"/>
        </w:rPr>
        <w:t>ower</w:t>
      </w:r>
      <w:r w:rsidRPr="003E0F60">
        <w:rPr>
          <w:color w:val="auto"/>
          <w:sz w:val="23"/>
          <w:szCs w:val="23"/>
        </w:rPr>
        <w:t>ing</w:t>
      </w:r>
      <w:r w:rsidR="00BE2343" w:rsidRPr="003E0F60">
        <w:rPr>
          <w:color w:val="auto"/>
          <w:sz w:val="23"/>
          <w:szCs w:val="23"/>
        </w:rPr>
        <w:t xml:space="preserve"> the percent</w:t>
      </w:r>
      <w:r>
        <w:rPr>
          <w:color w:val="auto"/>
          <w:sz w:val="23"/>
          <w:szCs w:val="23"/>
        </w:rPr>
        <w:t xml:space="preserve"> of ZEVs that IVMs must produce;</w:t>
      </w:r>
      <w:r w:rsidR="00BE2343" w:rsidRPr="003E0F60">
        <w:rPr>
          <w:color w:val="auto"/>
          <w:sz w:val="23"/>
          <w:szCs w:val="23"/>
        </w:rPr>
        <w:t xml:space="preserve"> </w:t>
      </w:r>
    </w:p>
    <w:p w:rsidR="00BE2343" w:rsidRPr="003E0F60" w:rsidRDefault="003E0F60" w:rsidP="005F2744">
      <w:pPr>
        <w:pStyle w:val="Default"/>
        <w:numPr>
          <w:ilvl w:val="0"/>
          <w:numId w:val="1"/>
        </w:numPr>
        <w:rPr>
          <w:color w:val="auto"/>
          <w:sz w:val="23"/>
          <w:szCs w:val="23"/>
        </w:rPr>
      </w:pPr>
      <w:r w:rsidRPr="003E0F60">
        <w:rPr>
          <w:color w:val="auto"/>
          <w:sz w:val="23"/>
          <w:szCs w:val="23"/>
        </w:rPr>
        <w:t>Providing</w:t>
      </w:r>
      <w:r w:rsidR="00BE2343" w:rsidRPr="003E0F60">
        <w:rPr>
          <w:color w:val="auto"/>
          <w:sz w:val="23"/>
          <w:szCs w:val="23"/>
        </w:rPr>
        <w:t xml:space="preserve"> a pathway for IVMs to pool compliance obligations in Section 177 states, and </w:t>
      </w:r>
    </w:p>
    <w:p w:rsidR="00BE2343" w:rsidRPr="003E0F60" w:rsidRDefault="003E0F60" w:rsidP="005F2744">
      <w:pPr>
        <w:pStyle w:val="Default"/>
        <w:numPr>
          <w:ilvl w:val="0"/>
          <w:numId w:val="1"/>
        </w:numPr>
        <w:rPr>
          <w:color w:val="auto"/>
          <w:sz w:val="23"/>
          <w:szCs w:val="23"/>
        </w:rPr>
      </w:pPr>
      <w:r w:rsidRPr="003E0F60">
        <w:rPr>
          <w:color w:val="auto"/>
          <w:sz w:val="23"/>
          <w:szCs w:val="23"/>
        </w:rPr>
        <w:t>A</w:t>
      </w:r>
      <w:r w:rsidR="00BE2343" w:rsidRPr="003E0F60">
        <w:rPr>
          <w:color w:val="auto"/>
          <w:sz w:val="23"/>
          <w:szCs w:val="23"/>
        </w:rPr>
        <w:t>llow</w:t>
      </w:r>
      <w:r w:rsidRPr="003E0F60">
        <w:rPr>
          <w:color w:val="auto"/>
          <w:sz w:val="23"/>
          <w:szCs w:val="23"/>
        </w:rPr>
        <w:t>ing</w:t>
      </w:r>
      <w:r w:rsidR="00BE2343" w:rsidRPr="003E0F60">
        <w:rPr>
          <w:color w:val="auto"/>
          <w:sz w:val="23"/>
          <w:szCs w:val="23"/>
        </w:rPr>
        <w:t xml:space="preserve"> </w:t>
      </w:r>
      <w:r w:rsidR="004D2454">
        <w:rPr>
          <w:color w:val="auto"/>
          <w:sz w:val="23"/>
          <w:szCs w:val="23"/>
        </w:rPr>
        <w:t>IVMs three years (as opposed to one year)</w:t>
      </w:r>
      <w:r w:rsidR="00BE2343" w:rsidRPr="003E0F60">
        <w:rPr>
          <w:color w:val="auto"/>
          <w:sz w:val="23"/>
          <w:szCs w:val="23"/>
        </w:rPr>
        <w:t xml:space="preserve"> to make up ZEV credit deficits</w:t>
      </w:r>
      <w:r>
        <w:rPr>
          <w:color w:val="auto"/>
          <w:sz w:val="23"/>
          <w:szCs w:val="23"/>
        </w:rPr>
        <w:t>.</w:t>
      </w:r>
    </w:p>
    <w:p w:rsidR="00D14654" w:rsidRDefault="00D14654" w:rsidP="00B10C79">
      <w:pPr>
        <w:pStyle w:val="Heading1"/>
        <w:rPr>
          <w:rFonts w:ascii="Times New Roman" w:hAnsi="Times New Roman" w:cs="Times New Roman"/>
        </w:rPr>
      </w:pPr>
    </w:p>
    <w:p w:rsidR="00D14654" w:rsidRPr="00E12BC0" w:rsidRDefault="00BE2343" w:rsidP="00BE2343">
      <w:pPr>
        <w:autoSpaceDE w:val="0"/>
        <w:autoSpaceDN w:val="0"/>
        <w:adjustRightInd w:val="0"/>
        <w:rPr>
          <w:rFonts w:ascii="Arial" w:hAnsi="Arial" w:cs="Arial"/>
          <w:b/>
          <w:sz w:val="24"/>
          <w:szCs w:val="23"/>
        </w:rPr>
      </w:pPr>
      <w:r w:rsidRPr="00E12BC0">
        <w:rPr>
          <w:rFonts w:ascii="Arial" w:hAnsi="Arial" w:cs="Arial"/>
          <w:b/>
          <w:sz w:val="24"/>
          <w:szCs w:val="23"/>
        </w:rPr>
        <w:t>LEV II</w:t>
      </w:r>
      <w:r w:rsidR="00C77DA8" w:rsidRPr="00E12BC0">
        <w:rPr>
          <w:rFonts w:ascii="Arial" w:hAnsi="Arial" w:cs="Arial"/>
          <w:b/>
          <w:sz w:val="24"/>
          <w:szCs w:val="23"/>
        </w:rPr>
        <w:t>I</w:t>
      </w:r>
      <w:r w:rsidRPr="00E12BC0">
        <w:rPr>
          <w:rFonts w:ascii="Arial" w:hAnsi="Arial" w:cs="Arial"/>
          <w:b/>
          <w:sz w:val="24"/>
          <w:szCs w:val="23"/>
        </w:rPr>
        <w:t xml:space="preserve"> rules</w:t>
      </w:r>
      <w:r w:rsidR="00835EA7" w:rsidRPr="00E12BC0">
        <w:rPr>
          <w:rFonts w:ascii="Arial" w:hAnsi="Arial" w:cs="Arial"/>
          <w:b/>
          <w:sz w:val="24"/>
          <w:szCs w:val="23"/>
        </w:rPr>
        <w:t xml:space="preserve"> - 2014</w:t>
      </w:r>
    </w:p>
    <w:p w:rsidR="00BE2343" w:rsidRDefault="00BE2343" w:rsidP="00BE2343">
      <w:pPr>
        <w:pStyle w:val="NoSpacing"/>
      </w:pPr>
    </w:p>
    <w:p w:rsidR="00C509DA" w:rsidRPr="00E12BC0" w:rsidRDefault="004D2454" w:rsidP="00C509DA">
      <w:pPr>
        <w:pStyle w:val="Default"/>
        <w:rPr>
          <w:szCs w:val="23"/>
        </w:rPr>
      </w:pPr>
      <w:r w:rsidRPr="00E12BC0">
        <w:rPr>
          <w:szCs w:val="23"/>
        </w:rPr>
        <w:t xml:space="preserve">When </w:t>
      </w:r>
      <w:r w:rsidR="00C509DA" w:rsidRPr="00E12BC0">
        <w:rPr>
          <w:szCs w:val="23"/>
        </w:rPr>
        <w:t xml:space="preserve">EPA finalized the federal Tier 3 program </w:t>
      </w:r>
      <w:r w:rsidRPr="00E12BC0">
        <w:rPr>
          <w:szCs w:val="23"/>
        </w:rPr>
        <w:t xml:space="preserve">in </w:t>
      </w:r>
      <w:r w:rsidR="009B48A1" w:rsidRPr="00E12BC0">
        <w:rPr>
          <w:szCs w:val="23"/>
        </w:rPr>
        <w:t>2012</w:t>
      </w:r>
      <w:r w:rsidRPr="00E12BC0">
        <w:rPr>
          <w:szCs w:val="23"/>
        </w:rPr>
        <w:t xml:space="preserve">, CARB needed to update its rules to align </w:t>
      </w:r>
      <w:r w:rsidR="00CC0F78" w:rsidRPr="00E12BC0">
        <w:rPr>
          <w:szCs w:val="23"/>
        </w:rPr>
        <w:t xml:space="preserve">some of the more stringent federal requirements with its program. </w:t>
      </w:r>
      <w:r w:rsidRPr="00E12BC0">
        <w:rPr>
          <w:szCs w:val="23"/>
        </w:rPr>
        <w:t xml:space="preserve"> </w:t>
      </w:r>
      <w:r w:rsidR="00CC0F78" w:rsidRPr="00E12BC0">
        <w:rPr>
          <w:szCs w:val="23"/>
        </w:rPr>
        <w:t>This rule incorporated those updates including</w:t>
      </w:r>
      <w:r w:rsidR="00C509DA" w:rsidRPr="00E12BC0">
        <w:rPr>
          <w:szCs w:val="23"/>
        </w:rPr>
        <w:t>:</w:t>
      </w:r>
    </w:p>
    <w:p w:rsidR="00C509DA" w:rsidRPr="00E12BC0" w:rsidRDefault="00C509DA" w:rsidP="00C509DA">
      <w:pPr>
        <w:pStyle w:val="Default"/>
        <w:rPr>
          <w:szCs w:val="23"/>
        </w:rPr>
      </w:pPr>
    </w:p>
    <w:p w:rsidR="00C509DA" w:rsidRPr="00E12BC0" w:rsidRDefault="00CC0F78" w:rsidP="005F2744">
      <w:pPr>
        <w:pStyle w:val="Default"/>
        <w:numPr>
          <w:ilvl w:val="0"/>
          <w:numId w:val="2"/>
        </w:numPr>
        <w:rPr>
          <w:szCs w:val="23"/>
        </w:rPr>
      </w:pPr>
      <w:r w:rsidRPr="00E12BC0">
        <w:rPr>
          <w:szCs w:val="23"/>
        </w:rPr>
        <w:t>Updating</w:t>
      </w:r>
      <w:r w:rsidR="00C509DA" w:rsidRPr="00E12BC0">
        <w:rPr>
          <w:szCs w:val="23"/>
        </w:rPr>
        <w:t xml:space="preserve"> </w:t>
      </w:r>
      <w:r w:rsidR="00C77DA8" w:rsidRPr="00E12BC0">
        <w:rPr>
          <w:szCs w:val="23"/>
        </w:rPr>
        <w:t>California’s test procedures to be consistent with EPA’s updates to the test procedures in the Federal Tier 3 regulation. California’s rules extensive</w:t>
      </w:r>
      <w:r w:rsidR="003E0F60" w:rsidRPr="00E12BC0">
        <w:rPr>
          <w:szCs w:val="23"/>
        </w:rPr>
        <w:t>ly</w:t>
      </w:r>
      <w:r w:rsidR="00C77DA8" w:rsidRPr="00E12BC0">
        <w:rPr>
          <w:szCs w:val="23"/>
        </w:rPr>
        <w:t xml:space="preserve"> reference</w:t>
      </w:r>
      <w:r w:rsidRPr="00E12BC0">
        <w:rPr>
          <w:szCs w:val="23"/>
        </w:rPr>
        <w:t>d</w:t>
      </w:r>
      <w:r w:rsidR="00C77DA8" w:rsidRPr="00E12BC0">
        <w:rPr>
          <w:szCs w:val="23"/>
        </w:rPr>
        <w:t xml:space="preserve"> the CFR, to assure that manufacturers can use the same test procedures to certify both their federal and California vehicles. Overall, this ha</w:t>
      </w:r>
      <w:r w:rsidRPr="00E12BC0">
        <w:rPr>
          <w:szCs w:val="23"/>
        </w:rPr>
        <w:t>d</w:t>
      </w:r>
      <w:r w:rsidR="00C77DA8" w:rsidRPr="00E12BC0">
        <w:rPr>
          <w:szCs w:val="23"/>
        </w:rPr>
        <w:t xml:space="preserve"> the effect of helping to streamline certification procedures for manufacturers.  </w:t>
      </w:r>
    </w:p>
    <w:p w:rsidR="00C509DA" w:rsidRPr="00E12BC0" w:rsidRDefault="00C509DA" w:rsidP="005F2744">
      <w:pPr>
        <w:pStyle w:val="ListParagraph"/>
        <w:numPr>
          <w:ilvl w:val="0"/>
          <w:numId w:val="2"/>
        </w:numPr>
        <w:autoSpaceDE w:val="0"/>
        <w:autoSpaceDN w:val="0"/>
        <w:adjustRightInd w:val="0"/>
        <w:contextualSpacing/>
        <w:rPr>
          <w:color w:val="000000"/>
          <w:sz w:val="24"/>
          <w:szCs w:val="23"/>
        </w:rPr>
      </w:pPr>
      <w:r w:rsidRPr="00E12BC0">
        <w:rPr>
          <w:color w:val="000000"/>
          <w:sz w:val="24"/>
          <w:szCs w:val="23"/>
        </w:rPr>
        <w:t xml:space="preserve">Revisions to the manufacturer reporting procedures for their advanced technology vehicles to include Battery Electric Vehicles and Plug-In Electric Vehicles. </w:t>
      </w:r>
    </w:p>
    <w:p w:rsidR="00C509DA" w:rsidRPr="00E12BC0" w:rsidRDefault="00C509DA" w:rsidP="005F2744">
      <w:pPr>
        <w:pStyle w:val="ListParagraph"/>
        <w:numPr>
          <w:ilvl w:val="0"/>
          <w:numId w:val="2"/>
        </w:numPr>
        <w:autoSpaceDE w:val="0"/>
        <w:autoSpaceDN w:val="0"/>
        <w:adjustRightInd w:val="0"/>
        <w:contextualSpacing/>
        <w:rPr>
          <w:color w:val="000000"/>
          <w:sz w:val="24"/>
          <w:szCs w:val="23"/>
        </w:rPr>
      </w:pPr>
      <w:r w:rsidRPr="00E12BC0">
        <w:rPr>
          <w:color w:val="000000"/>
          <w:sz w:val="24"/>
          <w:szCs w:val="23"/>
        </w:rPr>
        <w:t xml:space="preserve">Modifications to the California Environmental Performance Label scores to incorporate the LEV III emission categories. </w:t>
      </w:r>
    </w:p>
    <w:p w:rsidR="00C509DA" w:rsidRPr="00E12BC0" w:rsidRDefault="00C509DA" w:rsidP="005F2744">
      <w:pPr>
        <w:pStyle w:val="Default"/>
        <w:numPr>
          <w:ilvl w:val="0"/>
          <w:numId w:val="2"/>
        </w:numPr>
        <w:rPr>
          <w:szCs w:val="23"/>
        </w:rPr>
      </w:pPr>
      <w:r w:rsidRPr="00E12BC0">
        <w:rPr>
          <w:szCs w:val="23"/>
        </w:rPr>
        <w:t>Modifications to the Hybrid Electric Vehicle Test Procedures to accommodate “real world” plug-in hybri</w:t>
      </w:r>
      <w:r w:rsidR="003E0F60" w:rsidRPr="00E12BC0">
        <w:rPr>
          <w:szCs w:val="23"/>
        </w:rPr>
        <w:t>d electric vehicles</w:t>
      </w:r>
      <w:r w:rsidRPr="00E12BC0">
        <w:rPr>
          <w:szCs w:val="23"/>
        </w:rPr>
        <w:t xml:space="preserve">. </w:t>
      </w:r>
      <w:r w:rsidR="00CC0F78" w:rsidRPr="00E12BC0">
        <w:rPr>
          <w:szCs w:val="23"/>
        </w:rPr>
        <w:t>Current PHEV configurations</w:t>
      </w:r>
      <w:r w:rsidRPr="00E12BC0">
        <w:rPr>
          <w:szCs w:val="23"/>
        </w:rPr>
        <w:t xml:space="preserve"> </w:t>
      </w:r>
      <w:r w:rsidR="00CC0F78" w:rsidRPr="00E12BC0">
        <w:rPr>
          <w:szCs w:val="23"/>
        </w:rPr>
        <w:t>were</w:t>
      </w:r>
      <w:r w:rsidRPr="00E12BC0">
        <w:rPr>
          <w:szCs w:val="23"/>
        </w:rPr>
        <w:t xml:space="preserve"> difficult </w:t>
      </w:r>
      <w:r w:rsidR="00CC0F78" w:rsidRPr="00E12BC0">
        <w:rPr>
          <w:szCs w:val="23"/>
        </w:rPr>
        <w:t xml:space="preserve">for manufacturers </w:t>
      </w:r>
      <w:r w:rsidRPr="00E12BC0">
        <w:rPr>
          <w:szCs w:val="23"/>
        </w:rPr>
        <w:t xml:space="preserve">to test using the existing test procedures. </w:t>
      </w:r>
    </w:p>
    <w:p w:rsidR="003E0F60" w:rsidRPr="00E12BC0" w:rsidRDefault="003E0F60" w:rsidP="005F2744">
      <w:pPr>
        <w:pStyle w:val="Default"/>
        <w:numPr>
          <w:ilvl w:val="0"/>
          <w:numId w:val="2"/>
        </w:numPr>
        <w:rPr>
          <w:szCs w:val="23"/>
        </w:rPr>
      </w:pPr>
      <w:r w:rsidRPr="00E12BC0">
        <w:rPr>
          <w:szCs w:val="23"/>
        </w:rPr>
        <w:t>Additional compliance flexibility for manufacturers.</w:t>
      </w:r>
    </w:p>
    <w:p w:rsidR="00C509DA" w:rsidRDefault="00C509DA" w:rsidP="00C509DA">
      <w:pPr>
        <w:rPr>
          <w:sz w:val="23"/>
          <w:szCs w:val="23"/>
        </w:rPr>
      </w:pPr>
    </w:p>
    <w:p w:rsidR="00C509DA" w:rsidRDefault="00C509DA" w:rsidP="00C509DA">
      <w:pPr>
        <w:pStyle w:val="Default"/>
        <w:rPr>
          <w:sz w:val="23"/>
          <w:szCs w:val="23"/>
        </w:rPr>
      </w:pPr>
    </w:p>
    <w:p w:rsidR="00C509DA" w:rsidRPr="00E12BC0" w:rsidRDefault="00253513" w:rsidP="00BE2343">
      <w:pPr>
        <w:pStyle w:val="NoSpacing"/>
        <w:rPr>
          <w:rFonts w:ascii="Arial" w:hAnsi="Arial" w:cs="Arial"/>
          <w:b/>
          <w:color w:val="000000"/>
          <w:sz w:val="24"/>
          <w:szCs w:val="23"/>
        </w:rPr>
      </w:pPr>
      <w:r w:rsidRPr="00E12BC0">
        <w:rPr>
          <w:rFonts w:ascii="Arial" w:hAnsi="Arial" w:cs="Arial"/>
          <w:b/>
          <w:color w:val="000000"/>
          <w:sz w:val="24"/>
          <w:szCs w:val="23"/>
        </w:rPr>
        <w:t xml:space="preserve">GHG Phase 1 rules </w:t>
      </w:r>
      <w:r w:rsidR="00162FD0" w:rsidRPr="00E12BC0">
        <w:rPr>
          <w:rFonts w:ascii="Arial" w:hAnsi="Arial" w:cs="Arial"/>
          <w:b/>
          <w:color w:val="000000"/>
          <w:sz w:val="24"/>
          <w:szCs w:val="23"/>
        </w:rPr>
        <w:t>–</w:t>
      </w:r>
      <w:r w:rsidRPr="00E12BC0">
        <w:rPr>
          <w:rFonts w:ascii="Arial" w:hAnsi="Arial" w:cs="Arial"/>
          <w:b/>
          <w:color w:val="000000"/>
          <w:sz w:val="24"/>
          <w:szCs w:val="23"/>
        </w:rPr>
        <w:t xml:space="preserve"> 2014</w:t>
      </w:r>
    </w:p>
    <w:p w:rsidR="00162FD0" w:rsidRPr="00CC0F78" w:rsidRDefault="00162FD0" w:rsidP="00BE2343">
      <w:pPr>
        <w:pStyle w:val="NoSpacing"/>
        <w:rPr>
          <w:rFonts w:ascii="Times New Roman" w:hAnsi="Times New Roman"/>
          <w:color w:val="000000"/>
          <w:sz w:val="23"/>
          <w:szCs w:val="23"/>
          <w:u w:val="single"/>
        </w:rPr>
      </w:pPr>
    </w:p>
    <w:p w:rsidR="00AC59CF" w:rsidRPr="00E12BC0" w:rsidRDefault="00EA6F74" w:rsidP="00AC59CF">
      <w:pPr>
        <w:pStyle w:val="Default"/>
        <w:rPr>
          <w:szCs w:val="23"/>
        </w:rPr>
      </w:pPr>
      <w:r w:rsidRPr="00E12BC0">
        <w:rPr>
          <w:szCs w:val="23"/>
        </w:rPr>
        <w:t xml:space="preserve">These rules aligned California’s GHG emissions standards and test procedures with those of the U.S. Phase </w:t>
      </w:r>
      <w:proofErr w:type="gramStart"/>
      <w:r w:rsidRPr="00E12BC0">
        <w:rPr>
          <w:szCs w:val="23"/>
        </w:rPr>
        <w:t>1</w:t>
      </w:r>
      <w:proofErr w:type="gramEnd"/>
      <w:r w:rsidRPr="00E12BC0">
        <w:rPr>
          <w:szCs w:val="23"/>
        </w:rPr>
        <w:t xml:space="preserve"> GHG regulations.  I</w:t>
      </w:r>
      <w:r w:rsidR="00AC59CF" w:rsidRPr="00E12BC0">
        <w:rPr>
          <w:szCs w:val="23"/>
        </w:rPr>
        <w:t>n 2011, the U.S. Environmental Protection Agency (U.S. EPA) and the U.S. Department of Transportation’s National Highway Traffic Safety Administration (NHTSA) jointly adopted GHG emission standards and fuel economy standards for medium- and heavy-duty engines and vehicles, informally known as the “U.S. Phase 1” GHG regulations or federal Phase 1 pr</w:t>
      </w:r>
      <w:r w:rsidRPr="00E12BC0">
        <w:rPr>
          <w:szCs w:val="23"/>
        </w:rPr>
        <w:t>ogram. The program, which phased</w:t>
      </w:r>
      <w:r w:rsidR="00AC59CF" w:rsidRPr="00E12BC0">
        <w:rPr>
          <w:szCs w:val="23"/>
        </w:rPr>
        <w:t xml:space="preserve"> in between model years (MY) 2014 and 2019, establishe</w:t>
      </w:r>
      <w:r w:rsidRPr="00E12BC0">
        <w:rPr>
          <w:szCs w:val="23"/>
        </w:rPr>
        <w:t>d</w:t>
      </w:r>
      <w:r w:rsidR="00AC59CF" w:rsidRPr="00E12BC0">
        <w:rPr>
          <w:szCs w:val="23"/>
        </w:rPr>
        <w:t xml:space="preserve"> the first ever national GHG emission standards for medium- and heavy-duty engines and vehicles with gross vehicle weight rating (GVWR) over 8,500 pounds. </w:t>
      </w:r>
      <w:r w:rsidR="00B443EB" w:rsidRPr="00E12BC0">
        <w:rPr>
          <w:szCs w:val="23"/>
        </w:rPr>
        <w:t xml:space="preserve"> CARB’s GHG Phase 1 rule updated its rules to match the federal rules and provided </w:t>
      </w:r>
      <w:r w:rsidR="00AC59CF" w:rsidRPr="00E12BC0">
        <w:rPr>
          <w:szCs w:val="23"/>
        </w:rPr>
        <w:t>nationwide consistency for engine and v</w:t>
      </w:r>
      <w:r w:rsidR="00B443EB" w:rsidRPr="00E12BC0">
        <w:rPr>
          <w:szCs w:val="23"/>
        </w:rPr>
        <w:t>ehicle manufacturers</w:t>
      </w:r>
      <w:r w:rsidR="00AC59CF" w:rsidRPr="00E12BC0">
        <w:rPr>
          <w:szCs w:val="23"/>
        </w:rPr>
        <w:t xml:space="preserve">. </w:t>
      </w:r>
      <w:r w:rsidR="00B443EB" w:rsidRPr="00E12BC0">
        <w:rPr>
          <w:szCs w:val="23"/>
        </w:rPr>
        <w:t>Changes to the rules included:</w:t>
      </w:r>
    </w:p>
    <w:p w:rsidR="00AA0D25" w:rsidRPr="00E12BC0" w:rsidRDefault="00AA0D25" w:rsidP="00AC59CF">
      <w:pPr>
        <w:pStyle w:val="Default"/>
        <w:rPr>
          <w:szCs w:val="23"/>
        </w:rPr>
      </w:pPr>
    </w:p>
    <w:p w:rsidR="00B42F1E" w:rsidRPr="00E12BC0" w:rsidRDefault="00B42F1E" w:rsidP="005F2744">
      <w:pPr>
        <w:pStyle w:val="Default"/>
        <w:numPr>
          <w:ilvl w:val="0"/>
          <w:numId w:val="4"/>
        </w:numPr>
        <w:rPr>
          <w:szCs w:val="23"/>
        </w:rPr>
      </w:pPr>
      <w:r w:rsidRPr="00E12BC0">
        <w:rPr>
          <w:szCs w:val="23"/>
        </w:rPr>
        <w:t>Amending existing regulations to establish GHG standards applicable to new California medium-duty engines</w:t>
      </w:r>
      <w:r w:rsidR="00183985" w:rsidRPr="00E12BC0">
        <w:rPr>
          <w:szCs w:val="23"/>
        </w:rPr>
        <w:t xml:space="preserve"> to harmonize with the existing federal GHG emission standards (Phase</w:t>
      </w:r>
      <w:r w:rsidR="00E26D3C" w:rsidRPr="00E12BC0">
        <w:rPr>
          <w:szCs w:val="23"/>
        </w:rPr>
        <w:t xml:space="preserve"> 1 GHG Regulations) for medium</w:t>
      </w:r>
      <w:r w:rsidR="00183985" w:rsidRPr="00E12BC0">
        <w:rPr>
          <w:szCs w:val="23"/>
        </w:rPr>
        <w:t>-duty engines and vehicles</w:t>
      </w:r>
      <w:r w:rsidRPr="00E12BC0">
        <w:rPr>
          <w:szCs w:val="23"/>
        </w:rPr>
        <w:t>.</w:t>
      </w:r>
    </w:p>
    <w:p w:rsidR="00AC59CF" w:rsidRPr="00E12BC0" w:rsidRDefault="00AC59CF" w:rsidP="005F2744">
      <w:pPr>
        <w:pStyle w:val="Default"/>
        <w:numPr>
          <w:ilvl w:val="0"/>
          <w:numId w:val="4"/>
        </w:numPr>
        <w:rPr>
          <w:szCs w:val="23"/>
        </w:rPr>
      </w:pPr>
      <w:r w:rsidRPr="00E12BC0">
        <w:rPr>
          <w:szCs w:val="23"/>
        </w:rPr>
        <w:t>Other clarifying edits to the rules</w:t>
      </w:r>
    </w:p>
    <w:p w:rsidR="00BE2343" w:rsidRDefault="00BE2343" w:rsidP="00BE2343">
      <w:pPr>
        <w:pStyle w:val="NoSpacing"/>
      </w:pPr>
    </w:p>
    <w:p w:rsidR="00B443EB" w:rsidRDefault="00B443EB" w:rsidP="00BE2343">
      <w:pPr>
        <w:pStyle w:val="NoSpacing"/>
      </w:pPr>
    </w:p>
    <w:p w:rsidR="00BE2343" w:rsidRPr="00E12BC0" w:rsidRDefault="00AC59CF" w:rsidP="00BE2343">
      <w:pPr>
        <w:pStyle w:val="NoSpacing"/>
        <w:rPr>
          <w:rFonts w:ascii="Arial" w:hAnsi="Arial" w:cs="Arial"/>
          <w:b/>
          <w:color w:val="000000"/>
          <w:sz w:val="24"/>
          <w:szCs w:val="23"/>
        </w:rPr>
      </w:pPr>
      <w:r w:rsidRPr="00E12BC0">
        <w:rPr>
          <w:rFonts w:ascii="Arial" w:hAnsi="Arial" w:cs="Arial"/>
          <w:b/>
          <w:color w:val="000000"/>
          <w:sz w:val="24"/>
          <w:szCs w:val="23"/>
        </w:rPr>
        <w:t>OBD II rules</w:t>
      </w:r>
      <w:r w:rsidR="00253513" w:rsidRPr="00E12BC0">
        <w:rPr>
          <w:rFonts w:ascii="Arial" w:hAnsi="Arial" w:cs="Arial"/>
          <w:b/>
          <w:color w:val="000000"/>
          <w:sz w:val="24"/>
          <w:szCs w:val="23"/>
        </w:rPr>
        <w:t xml:space="preserve"> </w:t>
      </w:r>
      <w:r w:rsidR="00162FD0" w:rsidRPr="00E12BC0">
        <w:rPr>
          <w:rFonts w:ascii="Arial" w:hAnsi="Arial" w:cs="Arial"/>
          <w:b/>
          <w:color w:val="000000"/>
          <w:sz w:val="24"/>
          <w:szCs w:val="23"/>
        </w:rPr>
        <w:t>–</w:t>
      </w:r>
      <w:r w:rsidR="00253513" w:rsidRPr="00E12BC0">
        <w:rPr>
          <w:rFonts w:ascii="Arial" w:hAnsi="Arial" w:cs="Arial"/>
          <w:b/>
          <w:color w:val="000000"/>
          <w:sz w:val="24"/>
          <w:szCs w:val="23"/>
        </w:rPr>
        <w:t xml:space="preserve"> 2015</w:t>
      </w:r>
    </w:p>
    <w:p w:rsidR="00162FD0" w:rsidRPr="00253513" w:rsidRDefault="00162FD0" w:rsidP="00BE2343">
      <w:pPr>
        <w:pStyle w:val="NoSpacing"/>
        <w:rPr>
          <w:rFonts w:ascii="Times New Roman" w:hAnsi="Times New Roman"/>
          <w:color w:val="000000"/>
          <w:sz w:val="23"/>
          <w:szCs w:val="23"/>
        </w:rPr>
      </w:pPr>
    </w:p>
    <w:p w:rsidR="00AC59CF" w:rsidRPr="00E12BC0" w:rsidRDefault="00FF2A72" w:rsidP="00AC59CF">
      <w:pPr>
        <w:pStyle w:val="NoSpacing"/>
        <w:rPr>
          <w:rFonts w:ascii="Times New Roman" w:hAnsi="Times New Roman"/>
          <w:color w:val="000000"/>
          <w:sz w:val="24"/>
          <w:szCs w:val="24"/>
        </w:rPr>
      </w:pPr>
      <w:r w:rsidRPr="00E12BC0">
        <w:rPr>
          <w:rFonts w:ascii="Times New Roman" w:hAnsi="Times New Roman"/>
          <w:color w:val="000000"/>
          <w:sz w:val="24"/>
          <w:szCs w:val="24"/>
        </w:rPr>
        <w:t xml:space="preserve">The 2015 amendments to the OBD II requirements updated </w:t>
      </w:r>
      <w:r w:rsidR="00AC59CF" w:rsidRPr="00E12BC0">
        <w:rPr>
          <w:rFonts w:ascii="Times New Roman" w:hAnsi="Times New Roman"/>
          <w:color w:val="000000"/>
          <w:sz w:val="24"/>
          <w:szCs w:val="24"/>
        </w:rPr>
        <w:t xml:space="preserve">California’s </w:t>
      </w:r>
      <w:r w:rsidRPr="00E12BC0">
        <w:rPr>
          <w:rFonts w:ascii="Times New Roman" w:hAnsi="Times New Roman"/>
          <w:color w:val="000000"/>
          <w:sz w:val="24"/>
          <w:szCs w:val="24"/>
        </w:rPr>
        <w:t xml:space="preserve">program to match the federal OBD requirements.  At the time, California’s </w:t>
      </w:r>
      <w:r w:rsidR="00AC59CF" w:rsidRPr="00E12BC0">
        <w:rPr>
          <w:rFonts w:ascii="Times New Roman" w:hAnsi="Times New Roman"/>
          <w:color w:val="000000"/>
          <w:sz w:val="24"/>
          <w:szCs w:val="24"/>
        </w:rPr>
        <w:t>OBD II regulation</w:t>
      </w:r>
      <w:r w:rsidRPr="00E12BC0">
        <w:rPr>
          <w:rFonts w:ascii="Times New Roman" w:hAnsi="Times New Roman"/>
          <w:color w:val="000000"/>
          <w:sz w:val="24"/>
          <w:szCs w:val="24"/>
        </w:rPr>
        <w:t>s</w:t>
      </w:r>
      <w:r w:rsidR="00AC59CF" w:rsidRPr="00E12BC0">
        <w:rPr>
          <w:rFonts w:ascii="Times New Roman" w:hAnsi="Times New Roman"/>
          <w:color w:val="000000"/>
          <w:sz w:val="24"/>
          <w:szCs w:val="24"/>
        </w:rPr>
        <w:t xml:space="preserve"> esta</w:t>
      </w:r>
      <w:r w:rsidRPr="00E12BC0">
        <w:rPr>
          <w:rFonts w:ascii="Times New Roman" w:hAnsi="Times New Roman"/>
          <w:color w:val="000000"/>
          <w:sz w:val="24"/>
          <w:szCs w:val="24"/>
        </w:rPr>
        <w:t>blished</w:t>
      </w:r>
      <w:r w:rsidR="00AC59CF" w:rsidRPr="00E12BC0">
        <w:rPr>
          <w:rFonts w:ascii="Times New Roman" w:hAnsi="Times New Roman"/>
          <w:color w:val="000000"/>
          <w:sz w:val="24"/>
          <w:szCs w:val="24"/>
        </w:rPr>
        <w:t xml:space="preserve"> requirements applicable to </w:t>
      </w:r>
      <w:proofErr w:type="gramStart"/>
      <w:r w:rsidR="00AC59CF" w:rsidRPr="00E12BC0">
        <w:rPr>
          <w:rFonts w:ascii="Times New Roman" w:hAnsi="Times New Roman"/>
          <w:color w:val="000000"/>
          <w:sz w:val="24"/>
          <w:szCs w:val="24"/>
        </w:rPr>
        <w:t xml:space="preserve">2013 and subsequent model year vehicles and engines while the amended federal OBD regulation </w:t>
      </w:r>
      <w:r w:rsidRPr="00E12BC0">
        <w:rPr>
          <w:rFonts w:ascii="Times New Roman" w:hAnsi="Times New Roman"/>
          <w:color w:val="000000"/>
          <w:sz w:val="24"/>
          <w:szCs w:val="24"/>
        </w:rPr>
        <w:t>applied</w:t>
      </w:r>
      <w:r w:rsidR="00AC59CF" w:rsidRPr="00E12BC0">
        <w:rPr>
          <w:rFonts w:ascii="Times New Roman" w:hAnsi="Times New Roman"/>
          <w:color w:val="000000"/>
          <w:sz w:val="24"/>
          <w:szCs w:val="24"/>
        </w:rPr>
        <w:t xml:space="preserve"> to 2017 and subsequent model year vehicles</w:t>
      </w:r>
      <w:proofErr w:type="gramEnd"/>
      <w:r w:rsidR="00AC59CF" w:rsidRPr="00E12BC0">
        <w:rPr>
          <w:rFonts w:ascii="Times New Roman" w:hAnsi="Times New Roman"/>
          <w:color w:val="000000"/>
          <w:sz w:val="24"/>
          <w:szCs w:val="24"/>
        </w:rPr>
        <w:t xml:space="preserve"> and engines. The 2015 amendments </w:t>
      </w:r>
      <w:r w:rsidRPr="00E12BC0">
        <w:rPr>
          <w:rFonts w:ascii="Times New Roman" w:hAnsi="Times New Roman"/>
          <w:color w:val="000000"/>
          <w:sz w:val="24"/>
          <w:szCs w:val="24"/>
        </w:rPr>
        <w:t xml:space="preserve">ensured California’s OBD II requirements were at least as stringent as the federal OBD requirements. </w:t>
      </w:r>
      <w:r w:rsidR="00AC59CF" w:rsidRPr="00E12BC0">
        <w:rPr>
          <w:rFonts w:ascii="Times New Roman" w:hAnsi="Times New Roman"/>
          <w:color w:val="000000"/>
          <w:sz w:val="24"/>
          <w:szCs w:val="24"/>
        </w:rPr>
        <w:t xml:space="preserve">The amendments also incorporate some new requirements that </w:t>
      </w:r>
      <w:proofErr w:type="gramStart"/>
      <w:r w:rsidR="00AC59CF" w:rsidRPr="00E12BC0">
        <w:rPr>
          <w:rFonts w:ascii="Times New Roman" w:hAnsi="Times New Roman"/>
          <w:color w:val="000000"/>
          <w:sz w:val="24"/>
          <w:szCs w:val="24"/>
        </w:rPr>
        <w:t>were adopted</w:t>
      </w:r>
      <w:proofErr w:type="gramEnd"/>
      <w:r w:rsidR="00AC59CF" w:rsidRPr="00E12BC0">
        <w:rPr>
          <w:rFonts w:ascii="Times New Roman" w:hAnsi="Times New Roman"/>
          <w:color w:val="000000"/>
          <w:sz w:val="24"/>
          <w:szCs w:val="24"/>
        </w:rPr>
        <w:t xml:space="preserve"> in EPA’s Tier 3 regulation</w:t>
      </w:r>
      <w:r w:rsidRPr="00E12BC0">
        <w:rPr>
          <w:rFonts w:ascii="Times New Roman" w:hAnsi="Times New Roman"/>
          <w:color w:val="000000"/>
          <w:sz w:val="24"/>
          <w:szCs w:val="24"/>
        </w:rPr>
        <w:t xml:space="preserve"> from </w:t>
      </w:r>
      <w:r w:rsidR="009B48A1" w:rsidRPr="00E12BC0">
        <w:rPr>
          <w:rFonts w:ascii="Times New Roman" w:hAnsi="Times New Roman"/>
          <w:color w:val="000000"/>
          <w:sz w:val="24"/>
          <w:szCs w:val="24"/>
        </w:rPr>
        <w:t>2012</w:t>
      </w:r>
      <w:r w:rsidR="00AC59CF" w:rsidRPr="00E12BC0">
        <w:rPr>
          <w:rFonts w:ascii="Times New Roman" w:hAnsi="Times New Roman"/>
          <w:color w:val="000000"/>
          <w:sz w:val="24"/>
          <w:szCs w:val="24"/>
        </w:rPr>
        <w:t>.</w:t>
      </w:r>
    </w:p>
    <w:p w:rsidR="000D357C" w:rsidRPr="00E12BC0" w:rsidRDefault="000D357C" w:rsidP="00AC59CF">
      <w:pPr>
        <w:pStyle w:val="NoSpacing"/>
        <w:rPr>
          <w:rFonts w:ascii="Times New Roman" w:hAnsi="Times New Roman"/>
          <w:color w:val="000000"/>
          <w:sz w:val="24"/>
          <w:szCs w:val="24"/>
        </w:rPr>
      </w:pPr>
    </w:p>
    <w:p w:rsidR="000D357C" w:rsidRPr="00E12BC0" w:rsidRDefault="00B16BAD" w:rsidP="00AC59CF">
      <w:pPr>
        <w:pStyle w:val="NoSpacing"/>
        <w:rPr>
          <w:rFonts w:ascii="Times New Roman" w:hAnsi="Times New Roman"/>
          <w:color w:val="000000"/>
          <w:sz w:val="24"/>
          <w:szCs w:val="24"/>
        </w:rPr>
      </w:pPr>
      <w:r w:rsidRPr="00E12BC0">
        <w:rPr>
          <w:rFonts w:ascii="Times New Roman" w:hAnsi="Times New Roman"/>
          <w:color w:val="000000"/>
          <w:sz w:val="24"/>
          <w:szCs w:val="24"/>
        </w:rPr>
        <w:t xml:space="preserve">The </w:t>
      </w:r>
      <w:r w:rsidR="000D357C" w:rsidRPr="00E12BC0">
        <w:rPr>
          <w:rFonts w:ascii="Times New Roman" w:hAnsi="Times New Roman"/>
          <w:color w:val="000000"/>
          <w:sz w:val="24"/>
          <w:szCs w:val="24"/>
        </w:rPr>
        <w:t>changes include</w:t>
      </w:r>
      <w:r w:rsidRPr="00E12BC0">
        <w:rPr>
          <w:rFonts w:ascii="Times New Roman" w:hAnsi="Times New Roman"/>
          <w:color w:val="000000"/>
          <w:sz w:val="24"/>
          <w:szCs w:val="24"/>
        </w:rPr>
        <w:t>d</w:t>
      </w:r>
      <w:r w:rsidR="000D357C" w:rsidRPr="00E12BC0">
        <w:rPr>
          <w:rFonts w:ascii="Times New Roman" w:hAnsi="Times New Roman"/>
          <w:color w:val="000000"/>
          <w:sz w:val="24"/>
          <w:szCs w:val="24"/>
        </w:rPr>
        <w:t>:</w:t>
      </w:r>
    </w:p>
    <w:p w:rsidR="00B16BAD" w:rsidRPr="00E12BC0" w:rsidRDefault="000D357C" w:rsidP="005F2744">
      <w:pPr>
        <w:pStyle w:val="Default"/>
        <w:numPr>
          <w:ilvl w:val="0"/>
          <w:numId w:val="5"/>
        </w:numPr>
      </w:pPr>
      <w:r w:rsidRPr="00E12BC0">
        <w:t xml:space="preserve">Adding LEV III emission malfunction thresholds for emission threshold monitors </w:t>
      </w:r>
    </w:p>
    <w:p w:rsidR="00B16BAD" w:rsidRPr="00E12BC0" w:rsidRDefault="000D357C" w:rsidP="005F2744">
      <w:pPr>
        <w:pStyle w:val="Default"/>
        <w:numPr>
          <w:ilvl w:val="0"/>
          <w:numId w:val="5"/>
        </w:numPr>
      </w:pPr>
      <w:r w:rsidRPr="00E12BC0">
        <w:t xml:space="preserve">Revising the air-fuel ratio cylinder imbalance monitor monitoring requirements and standardization requirements </w:t>
      </w:r>
    </w:p>
    <w:p w:rsidR="00B16BAD" w:rsidRPr="00E12BC0" w:rsidRDefault="000D357C" w:rsidP="005F2744">
      <w:pPr>
        <w:pStyle w:val="Default"/>
        <w:numPr>
          <w:ilvl w:val="0"/>
          <w:numId w:val="5"/>
        </w:numPr>
      </w:pPr>
      <w:r w:rsidRPr="00E12BC0">
        <w:t xml:space="preserve">Clarifying monitoring requirements for hybrid vehicles </w:t>
      </w:r>
    </w:p>
    <w:p w:rsidR="00B16BAD" w:rsidRPr="00E12BC0" w:rsidRDefault="000D357C" w:rsidP="005F2744">
      <w:pPr>
        <w:pStyle w:val="Default"/>
        <w:numPr>
          <w:ilvl w:val="0"/>
          <w:numId w:val="5"/>
        </w:numPr>
      </w:pPr>
      <w:r w:rsidRPr="00E12BC0">
        <w:t xml:space="preserve">Revising the gasoline misfire monitoring requirements for plug-in hybrid electric vehicles </w:t>
      </w:r>
    </w:p>
    <w:p w:rsidR="00B16BAD" w:rsidRPr="00E12BC0" w:rsidRDefault="000D357C" w:rsidP="005F2744">
      <w:pPr>
        <w:pStyle w:val="Default"/>
        <w:numPr>
          <w:ilvl w:val="0"/>
          <w:numId w:val="5"/>
        </w:numPr>
      </w:pPr>
      <w:r w:rsidRPr="00E12BC0">
        <w:t xml:space="preserve">Revising the evaporative system monitoring requirements for turbocharged vehicles with high load lines </w:t>
      </w:r>
    </w:p>
    <w:p w:rsidR="00B16BAD" w:rsidRPr="00E12BC0" w:rsidRDefault="000D357C" w:rsidP="005F2744">
      <w:pPr>
        <w:pStyle w:val="Default"/>
        <w:numPr>
          <w:ilvl w:val="0"/>
          <w:numId w:val="5"/>
        </w:numPr>
      </w:pPr>
      <w:r w:rsidRPr="00E12BC0">
        <w:t xml:space="preserve">Revising the crankcase ventilation monitoring requirements </w:t>
      </w:r>
    </w:p>
    <w:p w:rsidR="00B16BAD" w:rsidRPr="00E12BC0" w:rsidRDefault="000D357C" w:rsidP="005F2744">
      <w:pPr>
        <w:pStyle w:val="Default"/>
        <w:numPr>
          <w:ilvl w:val="0"/>
          <w:numId w:val="5"/>
        </w:numPr>
      </w:pPr>
      <w:r w:rsidRPr="00E12BC0">
        <w:t xml:space="preserve">Revising the light-duty diesel monitoring requirements to align with medium-duty diesel requirements, including full-range misfire monitoring </w:t>
      </w:r>
    </w:p>
    <w:p w:rsidR="00B16BAD" w:rsidRPr="00E12BC0" w:rsidRDefault="000D357C" w:rsidP="005F2744">
      <w:pPr>
        <w:pStyle w:val="Default"/>
        <w:numPr>
          <w:ilvl w:val="0"/>
          <w:numId w:val="5"/>
        </w:numPr>
      </w:pPr>
      <w:r w:rsidRPr="00E12BC0">
        <w:t xml:space="preserve">Adding allowances for exemptions to selective catalytic reduction (SCR) system low reductant and wrong reductant monitoring for vehicles with inducement systems </w:t>
      </w:r>
    </w:p>
    <w:p w:rsidR="00B16BAD" w:rsidRPr="00E12BC0" w:rsidRDefault="000D357C" w:rsidP="005F2744">
      <w:pPr>
        <w:pStyle w:val="Default"/>
        <w:numPr>
          <w:ilvl w:val="0"/>
          <w:numId w:val="5"/>
        </w:numPr>
      </w:pPr>
      <w:r w:rsidRPr="00E12BC0">
        <w:lastRenderedPageBreak/>
        <w:t xml:space="preserve">Revising the requirements to allow for exemption from illuminating the MIL for certain components that activate emissions-neutral default actions when they fail </w:t>
      </w:r>
    </w:p>
    <w:p w:rsidR="00B16BAD" w:rsidRPr="00E12BC0" w:rsidRDefault="000D357C" w:rsidP="005F2744">
      <w:pPr>
        <w:pStyle w:val="Default"/>
        <w:numPr>
          <w:ilvl w:val="0"/>
          <w:numId w:val="5"/>
        </w:numPr>
      </w:pPr>
      <w:r w:rsidRPr="00E12BC0">
        <w:t xml:space="preserve">Revising the requirements to allow for exemption from monitoring for certain components used only for safety purposes </w:t>
      </w:r>
    </w:p>
    <w:p w:rsidR="00B16BAD" w:rsidRPr="00E12BC0" w:rsidRDefault="000D357C" w:rsidP="005F2744">
      <w:pPr>
        <w:pStyle w:val="Default"/>
        <w:numPr>
          <w:ilvl w:val="0"/>
          <w:numId w:val="5"/>
        </w:numPr>
      </w:pPr>
      <w:r w:rsidRPr="00E12BC0">
        <w:t xml:space="preserve">Adding a definition for smart device and clarifying the monitoring requirements for smart devices </w:t>
      </w:r>
    </w:p>
    <w:p w:rsidR="00B16BAD" w:rsidRPr="00E12BC0" w:rsidRDefault="000D357C" w:rsidP="005F2744">
      <w:pPr>
        <w:pStyle w:val="Default"/>
        <w:numPr>
          <w:ilvl w:val="0"/>
          <w:numId w:val="5"/>
        </w:numPr>
      </w:pPr>
      <w:r w:rsidRPr="00E12BC0">
        <w:t xml:space="preserve">Adding specific test-out requirements that would allow exemption from monitoring of components that do not have a significant impact on emissions and are not used as part of a diagnostic strategy </w:t>
      </w:r>
    </w:p>
    <w:p w:rsidR="00B16BAD" w:rsidRPr="00E12BC0" w:rsidRDefault="000D357C" w:rsidP="005F2744">
      <w:pPr>
        <w:pStyle w:val="Default"/>
        <w:numPr>
          <w:ilvl w:val="0"/>
          <w:numId w:val="5"/>
        </w:numPr>
      </w:pPr>
      <w:r w:rsidRPr="00E12BC0">
        <w:t xml:space="preserve">Adding new data stream parameters required to be reported by the OBD II system for CO2 technology performance, PEMS data collection, and other purposes </w:t>
      </w:r>
    </w:p>
    <w:p w:rsidR="000D357C" w:rsidRPr="00E12BC0" w:rsidRDefault="000D357C" w:rsidP="005F2744">
      <w:pPr>
        <w:pStyle w:val="Default"/>
        <w:numPr>
          <w:ilvl w:val="0"/>
          <w:numId w:val="5"/>
        </w:numPr>
      </w:pPr>
      <w:r w:rsidRPr="00E12BC0">
        <w:t xml:space="preserve">Revising the mandatory recall provisions in the OBD II enforcement regulation, including changes related to the gasoline air-fuel ratio cylinder imbalance monitor and changes related to light-duty diesel vehicles </w:t>
      </w:r>
    </w:p>
    <w:p w:rsidR="000D357C" w:rsidRPr="00E12BC0" w:rsidRDefault="000D357C" w:rsidP="000D357C">
      <w:pPr>
        <w:pStyle w:val="Default"/>
      </w:pPr>
    </w:p>
    <w:p w:rsidR="000D357C" w:rsidRPr="00E12BC0" w:rsidRDefault="00A3784F" w:rsidP="000D357C">
      <w:pPr>
        <w:pStyle w:val="Default"/>
      </w:pPr>
      <w:r w:rsidRPr="00E12BC0">
        <w:t>The rules included</w:t>
      </w:r>
      <w:r w:rsidR="000D357C" w:rsidRPr="00E12BC0">
        <w:t xml:space="preserve"> amendments to the OBD II enforcement regulation (section 1968.5) to align with </w:t>
      </w:r>
      <w:r w:rsidRPr="00E12BC0">
        <w:t>the</w:t>
      </w:r>
      <w:r w:rsidR="000D357C" w:rsidRPr="00E12BC0">
        <w:t xml:space="preserve"> changes to the OBD II regulation. </w:t>
      </w:r>
      <w:r w:rsidRPr="00E12BC0">
        <w:t>It</w:t>
      </w:r>
      <w:r w:rsidR="000D357C" w:rsidRPr="00E12BC0">
        <w:t xml:space="preserve"> include</w:t>
      </w:r>
      <w:r w:rsidRPr="00E12BC0">
        <w:t>d</w:t>
      </w:r>
      <w:r w:rsidR="000D357C" w:rsidRPr="00E12BC0">
        <w:t xml:space="preserve"> relaxations to the mandatory recall interim thresholds for the gasoline air-fuel </w:t>
      </w:r>
      <w:proofErr w:type="gramStart"/>
      <w:r w:rsidR="000D357C" w:rsidRPr="00E12BC0">
        <w:t>ratio cylinder imbalance monitor</w:t>
      </w:r>
      <w:proofErr w:type="gramEnd"/>
      <w:r w:rsidR="000D357C" w:rsidRPr="00E12BC0">
        <w:t>, changes to the mandatory recall provisions for gasoline and diesel misfire monitors, and changes to the mandatory recall provisions for light-duty diesel vehicles.</w:t>
      </w:r>
    </w:p>
    <w:p w:rsidR="007D4023" w:rsidRDefault="007D4023" w:rsidP="000D357C">
      <w:pPr>
        <w:pStyle w:val="Default"/>
        <w:rPr>
          <w:sz w:val="23"/>
          <w:szCs w:val="23"/>
        </w:rPr>
      </w:pPr>
    </w:p>
    <w:p w:rsidR="007D4023" w:rsidRPr="00E12BC0" w:rsidRDefault="006F2A2B" w:rsidP="000D357C">
      <w:pPr>
        <w:pStyle w:val="Default"/>
        <w:rPr>
          <w:rFonts w:ascii="Arial" w:hAnsi="Arial" w:cs="Arial"/>
          <w:b/>
        </w:rPr>
      </w:pPr>
      <w:r w:rsidRPr="00E12BC0">
        <w:rPr>
          <w:rFonts w:ascii="Arial" w:hAnsi="Arial" w:cs="Arial"/>
          <w:b/>
        </w:rPr>
        <w:t>LEV III GHG</w:t>
      </w:r>
      <w:r w:rsidR="00BB0A0A" w:rsidRPr="00E12BC0">
        <w:rPr>
          <w:rFonts w:ascii="Arial" w:hAnsi="Arial" w:cs="Arial"/>
          <w:b/>
        </w:rPr>
        <w:t xml:space="preserve"> rules – 2018 </w:t>
      </w:r>
    </w:p>
    <w:p w:rsidR="00BB0A0A" w:rsidRDefault="00BB0A0A" w:rsidP="000D357C">
      <w:pPr>
        <w:pStyle w:val="Default"/>
        <w:rPr>
          <w:sz w:val="23"/>
          <w:szCs w:val="23"/>
        </w:rPr>
      </w:pPr>
    </w:p>
    <w:p w:rsidR="006F2A2B" w:rsidRPr="00E12BC0" w:rsidRDefault="006F2A2B" w:rsidP="006F2A2B">
      <w:pPr>
        <w:pStyle w:val="Default"/>
        <w:rPr>
          <w:szCs w:val="23"/>
        </w:rPr>
      </w:pPr>
      <w:r w:rsidRPr="00E12BC0">
        <w:rPr>
          <w:szCs w:val="23"/>
        </w:rPr>
        <w:t xml:space="preserve">In August 2018, </w:t>
      </w:r>
      <w:r w:rsidR="008B0634" w:rsidRPr="00E12BC0">
        <w:rPr>
          <w:szCs w:val="23"/>
        </w:rPr>
        <w:t>California</w:t>
      </w:r>
      <w:r w:rsidRPr="00E12BC0">
        <w:rPr>
          <w:szCs w:val="23"/>
        </w:rPr>
        <w:t xml:space="preserve"> </w:t>
      </w:r>
      <w:r w:rsidR="003A3FAB" w:rsidRPr="00E12BC0">
        <w:rPr>
          <w:szCs w:val="23"/>
        </w:rPr>
        <w:t>proposed</w:t>
      </w:r>
      <w:r w:rsidR="000C142D" w:rsidRPr="00E12BC0">
        <w:rPr>
          <w:szCs w:val="23"/>
        </w:rPr>
        <w:t xml:space="preserve"> amendments to its</w:t>
      </w:r>
      <w:r w:rsidRPr="00E12BC0">
        <w:rPr>
          <w:szCs w:val="23"/>
        </w:rPr>
        <w:t xml:space="preserve"> LEV III GHG standards </w:t>
      </w:r>
      <w:r w:rsidR="000C142D" w:rsidRPr="00E12BC0">
        <w:rPr>
          <w:szCs w:val="23"/>
        </w:rPr>
        <w:t xml:space="preserve">that will </w:t>
      </w:r>
      <w:r w:rsidR="003F7141" w:rsidRPr="00E12BC0">
        <w:rPr>
          <w:szCs w:val="23"/>
        </w:rPr>
        <w:t xml:space="preserve">modify its </w:t>
      </w:r>
      <w:r w:rsidR="00F146B5" w:rsidRPr="00E12BC0">
        <w:rPr>
          <w:szCs w:val="23"/>
        </w:rPr>
        <w:t>“deemed to comply” option, which allows compliance with U.S. EPA’s regulations as an alternative to complying with Cal</w:t>
      </w:r>
      <w:r w:rsidR="003F7141" w:rsidRPr="00E12BC0">
        <w:rPr>
          <w:szCs w:val="23"/>
        </w:rPr>
        <w:t xml:space="preserve">ifornia’s regulations for specific </w:t>
      </w:r>
      <w:r w:rsidR="00F146B5" w:rsidRPr="00E12BC0">
        <w:rPr>
          <w:szCs w:val="23"/>
        </w:rPr>
        <w:t>model years.</w:t>
      </w:r>
      <w:r w:rsidR="003F7141" w:rsidRPr="00E12BC0">
        <w:rPr>
          <w:szCs w:val="23"/>
        </w:rPr>
        <w:t xml:space="preserve"> Specifically, the rule</w:t>
      </w:r>
      <w:r w:rsidR="000C142D" w:rsidRPr="00E12BC0">
        <w:rPr>
          <w:szCs w:val="23"/>
        </w:rPr>
        <w:t xml:space="preserve"> amendment</w:t>
      </w:r>
      <w:r w:rsidR="003F7141" w:rsidRPr="00E12BC0">
        <w:rPr>
          <w:szCs w:val="23"/>
        </w:rPr>
        <w:t xml:space="preserve"> clarifies</w:t>
      </w:r>
      <w:r w:rsidRPr="00E12BC0">
        <w:rPr>
          <w:szCs w:val="23"/>
        </w:rPr>
        <w:t xml:space="preserve"> that the “deemed to comply” option is available only if the currently adopted federal greenhouse gas regulations remain in effect</w:t>
      </w:r>
      <w:r w:rsidR="003F7141" w:rsidRPr="00E12BC0">
        <w:rPr>
          <w:szCs w:val="23"/>
        </w:rPr>
        <w:t xml:space="preserve"> for model years 2021 through 2025</w:t>
      </w:r>
      <w:r w:rsidRPr="00E12BC0">
        <w:rPr>
          <w:szCs w:val="23"/>
        </w:rPr>
        <w:t xml:space="preserve">.  </w:t>
      </w:r>
    </w:p>
    <w:p w:rsidR="00BE2343" w:rsidRDefault="00BE2343" w:rsidP="00BE2343">
      <w:pPr>
        <w:pStyle w:val="NoSpacing"/>
      </w:pPr>
    </w:p>
    <w:p w:rsidR="00E12BC0" w:rsidRDefault="00162FD0" w:rsidP="00BE2343">
      <w:pPr>
        <w:pStyle w:val="NoSpacing"/>
        <w:rPr>
          <w:rFonts w:ascii="Arial" w:hAnsi="Arial" w:cs="Arial"/>
          <w:b/>
          <w:sz w:val="28"/>
          <w:szCs w:val="28"/>
        </w:rPr>
      </w:pPr>
      <w:r w:rsidRPr="00E12BC0">
        <w:rPr>
          <w:rFonts w:ascii="Arial" w:hAnsi="Arial" w:cs="Arial"/>
          <w:b/>
          <w:sz w:val="28"/>
          <w:szCs w:val="28"/>
        </w:rPr>
        <w:t>Specific Rule Changes by Reference</w:t>
      </w:r>
    </w:p>
    <w:p w:rsidR="00BE2343" w:rsidRPr="00E12BC0" w:rsidRDefault="00162FD0" w:rsidP="00BE2343">
      <w:pPr>
        <w:pStyle w:val="NoSpacing"/>
        <w:rPr>
          <w:rFonts w:ascii="Arial" w:hAnsi="Arial" w:cs="Arial"/>
          <w:b/>
          <w:sz w:val="28"/>
          <w:szCs w:val="28"/>
        </w:rPr>
      </w:pPr>
      <w:r w:rsidRPr="00E12BC0">
        <w:rPr>
          <w:rFonts w:ascii="Arial" w:hAnsi="Arial" w:cs="Arial"/>
          <w:b/>
          <w:sz w:val="28"/>
          <w:szCs w:val="28"/>
        </w:rPr>
        <w:t xml:space="preserve"> </w:t>
      </w:r>
    </w:p>
    <w:p w:rsidR="00BE2343" w:rsidRDefault="00C827B6" w:rsidP="00BE2343">
      <w:pPr>
        <w:pStyle w:val="NoSpacing"/>
        <w:rPr>
          <w:rFonts w:ascii="Times New Roman" w:hAnsi="Times New Roman"/>
        </w:rPr>
      </w:pPr>
      <w:r w:rsidRPr="00E12BC0">
        <w:rPr>
          <w:rFonts w:ascii="Times New Roman" w:hAnsi="Times New Roman"/>
          <w:sz w:val="24"/>
        </w:rPr>
        <w:t xml:space="preserve">This table shows the most recent updates to the California Code of Regulations (CCR) Title 13, based on the most recent rulemaking.  Previous CCR Title 13 Section changes in earlier rules (e.g. LEV III in 2015) are not listed, as they were later updated by </w:t>
      </w:r>
      <w:proofErr w:type="gramStart"/>
      <w:r w:rsidRPr="00E12BC0">
        <w:rPr>
          <w:rFonts w:ascii="Times New Roman" w:hAnsi="Times New Roman"/>
          <w:sz w:val="24"/>
        </w:rPr>
        <w:t>more recent rules</w:t>
      </w:r>
      <w:proofErr w:type="gramEnd"/>
      <w:r w:rsidRPr="00E12BC0">
        <w:rPr>
          <w:rFonts w:ascii="Times New Roman" w:hAnsi="Times New Roman"/>
          <w:sz w:val="24"/>
        </w:rPr>
        <w:t xml:space="preserve"> (e.g. ZEV updates in 2016).</w:t>
      </w:r>
      <w:r w:rsidR="001B6E6E" w:rsidRPr="00E12BC0">
        <w:rPr>
          <w:rFonts w:ascii="Times New Roman" w:hAnsi="Times New Roman"/>
          <w:sz w:val="24"/>
        </w:rPr>
        <w:t xml:space="preserve">  The rules are not a comprehensive list of all the California rules adopted, but only reflect those that are adopted by reference in Oregon and will be subsequently updated </w:t>
      </w:r>
      <w:proofErr w:type="gramStart"/>
      <w:r w:rsidR="001B6E6E" w:rsidRPr="00E12BC0">
        <w:rPr>
          <w:rFonts w:ascii="Times New Roman" w:hAnsi="Times New Roman"/>
          <w:sz w:val="24"/>
        </w:rPr>
        <w:t>as a result</w:t>
      </w:r>
      <w:proofErr w:type="gramEnd"/>
      <w:r w:rsidR="001B6E6E" w:rsidRPr="00E12BC0">
        <w:rPr>
          <w:rFonts w:ascii="Times New Roman" w:hAnsi="Times New Roman"/>
          <w:sz w:val="24"/>
        </w:rPr>
        <w:t xml:space="preserve"> of DEQ’s proposed rules.</w:t>
      </w:r>
      <w:r w:rsidR="001B6E6E">
        <w:rPr>
          <w:rFonts w:ascii="Times New Roman" w:hAnsi="Times New Roman"/>
        </w:rPr>
        <w:t xml:space="preserve"> </w:t>
      </w:r>
    </w:p>
    <w:p w:rsidR="00C827B6" w:rsidRPr="00C827B6" w:rsidRDefault="00C827B6" w:rsidP="00BE2343">
      <w:pPr>
        <w:pStyle w:val="NoSpacing"/>
        <w:rPr>
          <w:rFonts w:ascii="Times New Roman" w:hAnsi="Times New Roman"/>
        </w:rPr>
      </w:pPr>
    </w:p>
    <w:tbl>
      <w:tblPr>
        <w:tblStyle w:val="TableGrid"/>
        <w:tblW w:w="0" w:type="auto"/>
        <w:tblLook w:val="04A0" w:firstRow="1" w:lastRow="0" w:firstColumn="1" w:lastColumn="0" w:noHBand="0" w:noVBand="1"/>
      </w:tblPr>
      <w:tblGrid>
        <w:gridCol w:w="4675"/>
        <w:gridCol w:w="4675"/>
      </w:tblGrid>
      <w:tr w:rsidR="007D4023" w:rsidTr="00E12BC0">
        <w:tc>
          <w:tcPr>
            <w:tcW w:w="4675" w:type="dxa"/>
            <w:shd w:val="clear" w:color="auto" w:fill="C2D69B" w:themeFill="accent3" w:themeFillTint="99"/>
          </w:tcPr>
          <w:p w:rsidR="007D4023" w:rsidRPr="00E12BC0" w:rsidRDefault="007D4023" w:rsidP="00F91E6C">
            <w:pPr>
              <w:rPr>
                <w:rFonts w:ascii="Arial" w:hAnsi="Arial" w:cs="Arial"/>
                <w:b/>
                <w:sz w:val="24"/>
              </w:rPr>
            </w:pPr>
            <w:r w:rsidRPr="00E12BC0">
              <w:rPr>
                <w:rFonts w:ascii="Arial" w:hAnsi="Arial" w:cs="Arial"/>
                <w:b/>
                <w:sz w:val="24"/>
              </w:rPr>
              <w:t>CARB Rulemaking</w:t>
            </w:r>
          </w:p>
        </w:tc>
        <w:tc>
          <w:tcPr>
            <w:tcW w:w="4675" w:type="dxa"/>
            <w:shd w:val="clear" w:color="auto" w:fill="C2D69B" w:themeFill="accent3" w:themeFillTint="99"/>
          </w:tcPr>
          <w:p w:rsidR="007D4023" w:rsidRPr="00E12BC0" w:rsidRDefault="007D4023" w:rsidP="00C827B6">
            <w:pPr>
              <w:rPr>
                <w:rFonts w:ascii="Arial" w:hAnsi="Arial" w:cs="Arial"/>
                <w:b/>
                <w:sz w:val="24"/>
              </w:rPr>
            </w:pPr>
            <w:r w:rsidRPr="00E12BC0">
              <w:rPr>
                <w:rFonts w:ascii="Arial" w:hAnsi="Arial" w:cs="Arial"/>
                <w:b/>
                <w:sz w:val="24"/>
              </w:rPr>
              <w:t xml:space="preserve">CCR Title 13, Section </w:t>
            </w:r>
          </w:p>
        </w:tc>
      </w:tr>
      <w:tr w:rsidR="007D4023" w:rsidTr="00F91E6C">
        <w:tc>
          <w:tcPr>
            <w:tcW w:w="4675" w:type="dxa"/>
            <w:vMerge w:val="restart"/>
          </w:tcPr>
          <w:p w:rsidR="007D4023" w:rsidRDefault="007D4023" w:rsidP="00F91E6C">
            <w:r>
              <w:t>LEV III (effective 10/8/15)</w:t>
            </w:r>
          </w:p>
        </w:tc>
        <w:tc>
          <w:tcPr>
            <w:tcW w:w="4675" w:type="dxa"/>
          </w:tcPr>
          <w:p w:rsidR="007D4023" w:rsidRDefault="007D4023" w:rsidP="00F91E6C">
            <w:r>
              <w:t>1961.2</w:t>
            </w:r>
          </w:p>
        </w:tc>
      </w:tr>
      <w:tr w:rsidR="007D4023" w:rsidTr="00F91E6C">
        <w:tc>
          <w:tcPr>
            <w:tcW w:w="4675" w:type="dxa"/>
            <w:vMerge/>
          </w:tcPr>
          <w:p w:rsidR="007D4023" w:rsidRDefault="007D4023" w:rsidP="00F91E6C"/>
        </w:tc>
        <w:tc>
          <w:tcPr>
            <w:tcW w:w="4675" w:type="dxa"/>
          </w:tcPr>
          <w:p w:rsidR="007D4023" w:rsidRDefault="007D4023" w:rsidP="00F91E6C">
            <w:r>
              <w:t>1965</w:t>
            </w:r>
          </w:p>
        </w:tc>
      </w:tr>
      <w:tr w:rsidR="007D4023" w:rsidTr="00F91E6C">
        <w:tc>
          <w:tcPr>
            <w:tcW w:w="4675" w:type="dxa"/>
            <w:vMerge/>
          </w:tcPr>
          <w:p w:rsidR="007D4023" w:rsidRDefault="007D4023" w:rsidP="00F91E6C"/>
        </w:tc>
        <w:tc>
          <w:tcPr>
            <w:tcW w:w="4675" w:type="dxa"/>
          </w:tcPr>
          <w:p w:rsidR="007D4023" w:rsidRDefault="007D4023" w:rsidP="00F91E6C">
            <w:r>
              <w:t>1976</w:t>
            </w:r>
          </w:p>
        </w:tc>
      </w:tr>
      <w:tr w:rsidR="007D4023" w:rsidTr="00F91E6C">
        <w:tc>
          <w:tcPr>
            <w:tcW w:w="4675" w:type="dxa"/>
            <w:vMerge/>
          </w:tcPr>
          <w:p w:rsidR="007D4023" w:rsidRDefault="007D4023" w:rsidP="00F91E6C"/>
        </w:tc>
        <w:tc>
          <w:tcPr>
            <w:tcW w:w="4675" w:type="dxa"/>
          </w:tcPr>
          <w:p w:rsidR="007D4023" w:rsidRDefault="007D4023" w:rsidP="00F91E6C">
            <w:r>
              <w:t>1978</w:t>
            </w:r>
          </w:p>
        </w:tc>
      </w:tr>
      <w:tr w:rsidR="007D4023" w:rsidTr="00F91E6C">
        <w:tc>
          <w:tcPr>
            <w:tcW w:w="4675" w:type="dxa"/>
            <w:vMerge w:val="restart"/>
          </w:tcPr>
          <w:p w:rsidR="007D4023" w:rsidRDefault="007D4023" w:rsidP="00F91E6C">
            <w:r>
              <w:t>HD GHG Phase 1 (effective 12/5/14)</w:t>
            </w:r>
          </w:p>
        </w:tc>
        <w:tc>
          <w:tcPr>
            <w:tcW w:w="4675" w:type="dxa"/>
          </w:tcPr>
          <w:p w:rsidR="007D4023" w:rsidRDefault="007D4023" w:rsidP="00F91E6C">
            <w:r>
              <w:t>1956.8 (h)</w:t>
            </w:r>
          </w:p>
        </w:tc>
      </w:tr>
      <w:tr w:rsidR="007D4023" w:rsidTr="00F91E6C">
        <w:tc>
          <w:tcPr>
            <w:tcW w:w="4675" w:type="dxa"/>
            <w:vMerge/>
          </w:tcPr>
          <w:p w:rsidR="007D4023" w:rsidRDefault="007D4023" w:rsidP="00F91E6C"/>
        </w:tc>
        <w:tc>
          <w:tcPr>
            <w:tcW w:w="4675" w:type="dxa"/>
          </w:tcPr>
          <w:p w:rsidR="007D4023" w:rsidRDefault="007D4023" w:rsidP="00F91E6C">
            <w:r>
              <w:t>2037</w:t>
            </w:r>
          </w:p>
        </w:tc>
      </w:tr>
      <w:tr w:rsidR="007D4023" w:rsidTr="00F91E6C">
        <w:tc>
          <w:tcPr>
            <w:tcW w:w="4675" w:type="dxa"/>
            <w:vMerge/>
          </w:tcPr>
          <w:p w:rsidR="007D4023" w:rsidRDefault="007D4023" w:rsidP="00F91E6C"/>
        </w:tc>
        <w:tc>
          <w:tcPr>
            <w:tcW w:w="4675" w:type="dxa"/>
          </w:tcPr>
          <w:p w:rsidR="007D4023" w:rsidRDefault="007D4023" w:rsidP="00F91E6C">
            <w:r>
              <w:t>2112</w:t>
            </w:r>
          </w:p>
        </w:tc>
      </w:tr>
      <w:tr w:rsidR="007D4023" w:rsidTr="00F91E6C">
        <w:tc>
          <w:tcPr>
            <w:tcW w:w="4675" w:type="dxa"/>
            <w:vMerge/>
          </w:tcPr>
          <w:p w:rsidR="007D4023" w:rsidRDefault="007D4023" w:rsidP="00F91E6C"/>
        </w:tc>
        <w:tc>
          <w:tcPr>
            <w:tcW w:w="4675" w:type="dxa"/>
          </w:tcPr>
          <w:p w:rsidR="007D4023" w:rsidRDefault="007D4023" w:rsidP="00F91E6C">
            <w:r>
              <w:t>2147</w:t>
            </w:r>
          </w:p>
        </w:tc>
      </w:tr>
      <w:tr w:rsidR="007D4023" w:rsidTr="00F91E6C">
        <w:tc>
          <w:tcPr>
            <w:tcW w:w="4675" w:type="dxa"/>
            <w:vMerge w:val="restart"/>
          </w:tcPr>
          <w:p w:rsidR="007D4023" w:rsidRDefault="007D4023" w:rsidP="00F91E6C">
            <w:r>
              <w:t>OBD II (effective 7/25/16)</w:t>
            </w:r>
          </w:p>
        </w:tc>
        <w:tc>
          <w:tcPr>
            <w:tcW w:w="4675" w:type="dxa"/>
          </w:tcPr>
          <w:p w:rsidR="007D4023" w:rsidRDefault="007D4023" w:rsidP="00F91E6C">
            <w:r>
              <w:t>1900</w:t>
            </w:r>
          </w:p>
        </w:tc>
      </w:tr>
      <w:tr w:rsidR="007D4023" w:rsidTr="00F91E6C">
        <w:tc>
          <w:tcPr>
            <w:tcW w:w="4675" w:type="dxa"/>
            <w:vMerge/>
          </w:tcPr>
          <w:p w:rsidR="007D4023" w:rsidRDefault="007D4023" w:rsidP="00F91E6C"/>
        </w:tc>
        <w:tc>
          <w:tcPr>
            <w:tcW w:w="4675" w:type="dxa"/>
          </w:tcPr>
          <w:p w:rsidR="007D4023" w:rsidRDefault="007D4023" w:rsidP="00F91E6C">
            <w:r>
              <w:t>1968.2</w:t>
            </w:r>
          </w:p>
        </w:tc>
      </w:tr>
      <w:tr w:rsidR="007D4023" w:rsidTr="00F91E6C">
        <w:tc>
          <w:tcPr>
            <w:tcW w:w="4675" w:type="dxa"/>
            <w:vMerge/>
          </w:tcPr>
          <w:p w:rsidR="007D4023" w:rsidRDefault="007D4023" w:rsidP="00F91E6C"/>
        </w:tc>
        <w:tc>
          <w:tcPr>
            <w:tcW w:w="4675" w:type="dxa"/>
          </w:tcPr>
          <w:p w:rsidR="007D4023" w:rsidRDefault="007D4023" w:rsidP="00F91E6C">
            <w:r>
              <w:t>1968.5</w:t>
            </w:r>
          </w:p>
        </w:tc>
      </w:tr>
      <w:tr w:rsidR="007D4023" w:rsidTr="00F91E6C">
        <w:tc>
          <w:tcPr>
            <w:tcW w:w="4675" w:type="dxa"/>
            <w:vMerge w:val="restart"/>
          </w:tcPr>
          <w:p w:rsidR="007D4023" w:rsidRDefault="007D4023" w:rsidP="00F91E6C">
            <w:r>
              <w:t>ZEV updates (effective 7/10/14 and 1/1/16)</w:t>
            </w:r>
          </w:p>
        </w:tc>
        <w:tc>
          <w:tcPr>
            <w:tcW w:w="4675" w:type="dxa"/>
          </w:tcPr>
          <w:p w:rsidR="007D4023" w:rsidRDefault="007D4023" w:rsidP="00F91E6C">
            <w:r>
              <w:t>1962.1</w:t>
            </w:r>
          </w:p>
        </w:tc>
      </w:tr>
      <w:tr w:rsidR="007D4023" w:rsidTr="00F91E6C">
        <w:tc>
          <w:tcPr>
            <w:tcW w:w="4675" w:type="dxa"/>
            <w:vMerge/>
          </w:tcPr>
          <w:p w:rsidR="007D4023" w:rsidRDefault="007D4023" w:rsidP="00F91E6C"/>
        </w:tc>
        <w:tc>
          <w:tcPr>
            <w:tcW w:w="4675" w:type="dxa"/>
          </w:tcPr>
          <w:p w:rsidR="007D4023" w:rsidRDefault="007D4023" w:rsidP="00F91E6C">
            <w:r>
              <w:t>1962.2</w:t>
            </w:r>
          </w:p>
        </w:tc>
      </w:tr>
      <w:tr w:rsidR="00197B11" w:rsidTr="00F91E6C">
        <w:tc>
          <w:tcPr>
            <w:tcW w:w="4675" w:type="dxa"/>
            <w:vMerge w:val="restart"/>
          </w:tcPr>
          <w:p w:rsidR="00197B11" w:rsidRDefault="00197B11" w:rsidP="00F91E6C">
            <w:r>
              <w:t>LEV III GHG (proposed 8//7/18)</w:t>
            </w:r>
          </w:p>
        </w:tc>
        <w:tc>
          <w:tcPr>
            <w:tcW w:w="4675" w:type="dxa"/>
          </w:tcPr>
          <w:p w:rsidR="00197B11" w:rsidRDefault="00197B11" w:rsidP="00F91E6C">
            <w:r>
              <w:t>1961.2</w:t>
            </w:r>
          </w:p>
        </w:tc>
      </w:tr>
      <w:tr w:rsidR="00197B11" w:rsidTr="00F91E6C">
        <w:tc>
          <w:tcPr>
            <w:tcW w:w="4675" w:type="dxa"/>
            <w:vMerge/>
          </w:tcPr>
          <w:p w:rsidR="00197B11" w:rsidRDefault="00197B11" w:rsidP="00F91E6C"/>
        </w:tc>
        <w:tc>
          <w:tcPr>
            <w:tcW w:w="4675" w:type="dxa"/>
          </w:tcPr>
          <w:p w:rsidR="00197B11" w:rsidRDefault="00197B11" w:rsidP="00F91E6C">
            <w:r>
              <w:t>1961.3</w:t>
            </w:r>
          </w:p>
        </w:tc>
      </w:tr>
    </w:tbl>
    <w:p w:rsidR="00162FD0" w:rsidRPr="00BE2343" w:rsidRDefault="00162FD0" w:rsidP="00BE2343">
      <w:pPr>
        <w:pStyle w:val="NoSpacing"/>
      </w:pPr>
    </w:p>
    <w:p w:rsidR="00B10C79" w:rsidRPr="00E12BC0" w:rsidRDefault="00390400" w:rsidP="00B10C79">
      <w:pPr>
        <w:pStyle w:val="Heading1"/>
      </w:pPr>
      <w:r w:rsidRPr="00E12BC0">
        <w:t>Alternative formats</w:t>
      </w:r>
      <w:r w:rsidR="00B10C79" w:rsidRPr="00E12BC0">
        <w:t xml:space="preserve"> </w:t>
      </w:r>
    </w:p>
    <w:p w:rsidR="00B10C79" w:rsidRPr="00BA522A" w:rsidRDefault="00B10C79" w:rsidP="00B10C79">
      <w:r w:rsidRPr="00BA522A">
        <w:t xml:space="preserve">Documents </w:t>
      </w:r>
      <w:proofErr w:type="gramStart"/>
      <w:r w:rsidRPr="00BA522A">
        <w:t>can be provided</w:t>
      </w:r>
      <w:proofErr w:type="gramEnd"/>
      <w:r w:rsidRPr="00BA522A">
        <w:t xml:space="preserve"> upon request in an alternate format for individuals with disabilities or in a language other than English for people with limited English skills. To request a document in another format or language, call DEQ in Portland at 503-229-5696, or toll-free in Oregon at 1-800-452-4011, ext. 5696; or email </w:t>
      </w:r>
      <w:hyperlink r:id="rId13" w:history="1">
        <w:r w:rsidRPr="00BA522A">
          <w:rPr>
            <w:rStyle w:val="Hyperlink"/>
          </w:rPr>
          <w:t>deqinfo@deq.state.or.us</w:t>
        </w:r>
      </w:hyperlink>
      <w:r w:rsidRPr="00BA522A">
        <w:t>.</w:t>
      </w:r>
    </w:p>
    <w:p w:rsidR="00B10C79" w:rsidRPr="00BA522A" w:rsidRDefault="00B10C79" w:rsidP="00A95B68"/>
    <w:sectPr w:rsidR="00B10C79" w:rsidRPr="00BA522A" w:rsidSect="00D36756">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62EA" w:rsidRDefault="005862EA" w:rsidP="00A95B68">
      <w:r>
        <w:separator/>
      </w:r>
    </w:p>
  </w:endnote>
  <w:endnote w:type="continuationSeparator" w:id="0">
    <w:p w:rsidR="005862EA" w:rsidRDefault="005862EA" w:rsidP="00A95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GEEK F+ Helvetica">
    <w:altName w:val="Arial"/>
    <w:panose1 w:val="00000000000000000000"/>
    <w:charset w:val="00"/>
    <w:family w:val="swiss"/>
    <w:notTrueType/>
    <w:pitch w:val="default"/>
    <w:sig w:usb0="00000003" w:usb1="00000000" w:usb2="00000000" w:usb3="00000000" w:csb0="00000001" w:csb1="00000000"/>
  </w:font>
  <w:font w:name="IILIMB+TimesNewRoman,Bold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080" w:type="dxa"/>
      <w:tblInd w:w="-342" w:type="dxa"/>
      <w:tblBorders>
        <w:top w:val="none" w:sz="0" w:space="0" w:color="auto"/>
        <w:left w:val="none" w:sz="0" w:space="0" w:color="auto"/>
        <w:bottom w:val="none" w:sz="0" w:space="0" w:color="auto"/>
        <w:right w:val="none" w:sz="0" w:space="0" w:color="auto"/>
        <w:insideH w:val="single" w:sz="18" w:space="0" w:color="009999"/>
        <w:insideV w:val="none" w:sz="0" w:space="0" w:color="auto"/>
      </w:tblBorders>
      <w:tblLook w:val="0600" w:firstRow="0" w:lastRow="0" w:firstColumn="0" w:lastColumn="0" w:noHBand="1" w:noVBand="1"/>
    </w:tblPr>
    <w:tblGrid>
      <w:gridCol w:w="6840"/>
      <w:gridCol w:w="3240"/>
    </w:tblGrid>
    <w:tr w:rsidR="00D36756" w:rsidTr="00BA522A">
      <w:tc>
        <w:tcPr>
          <w:tcW w:w="10080" w:type="dxa"/>
          <w:gridSpan w:val="2"/>
        </w:tcPr>
        <w:p w:rsidR="00D36756" w:rsidRDefault="00D36756" w:rsidP="00A95B68">
          <w:pPr>
            <w:pStyle w:val="Footer"/>
          </w:pPr>
        </w:p>
      </w:tc>
    </w:tr>
    <w:tr w:rsidR="00D36756" w:rsidTr="00BA522A">
      <w:tc>
        <w:tcPr>
          <w:tcW w:w="6840" w:type="dxa"/>
        </w:tcPr>
        <w:p w:rsidR="00D36756" w:rsidRDefault="00B065BE" w:rsidP="00B065BE">
          <w:pPr>
            <w:pStyle w:val="Footer"/>
          </w:pPr>
          <w:r>
            <w:t>Low Emission Vehicle Rules - Background</w:t>
          </w:r>
          <w:r w:rsidR="00BA522A">
            <w:t>, Advisory Committee Document</w:t>
          </w:r>
        </w:p>
      </w:tc>
      <w:tc>
        <w:tcPr>
          <w:tcW w:w="3240" w:type="dxa"/>
        </w:tcPr>
        <w:p w:rsidR="00D36756" w:rsidRDefault="009F5BA2" w:rsidP="00172DE7">
          <w:pPr>
            <w:pStyle w:val="Footer"/>
            <w:jc w:val="right"/>
          </w:pPr>
          <w:r>
            <w:fldChar w:fldCharType="begin"/>
          </w:r>
          <w:r w:rsidR="00CC388D">
            <w:instrText xml:space="preserve"> PAGE   \* MERGEFORMAT </w:instrText>
          </w:r>
          <w:r>
            <w:fldChar w:fldCharType="separate"/>
          </w:r>
          <w:r w:rsidR="00CC0019">
            <w:rPr>
              <w:noProof/>
            </w:rPr>
            <w:t>2</w:t>
          </w:r>
          <w:r>
            <w:fldChar w:fldCharType="end"/>
          </w:r>
        </w:p>
      </w:tc>
    </w:tr>
  </w:tbl>
  <w:p w:rsidR="00BB18FD" w:rsidRDefault="00BB18FD" w:rsidP="00A95B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62EA" w:rsidRDefault="005862EA" w:rsidP="00A95B68">
      <w:r>
        <w:separator/>
      </w:r>
    </w:p>
  </w:footnote>
  <w:footnote w:type="continuationSeparator" w:id="0">
    <w:p w:rsidR="005862EA" w:rsidRDefault="005862EA" w:rsidP="00A95B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7E5D10"/>
    <w:multiLevelType w:val="hybridMultilevel"/>
    <w:tmpl w:val="13529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8E04B7"/>
    <w:multiLevelType w:val="hybridMultilevel"/>
    <w:tmpl w:val="30F21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C863FF"/>
    <w:multiLevelType w:val="hybridMultilevel"/>
    <w:tmpl w:val="EB7EC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ED52FB"/>
    <w:multiLevelType w:val="hybridMultilevel"/>
    <w:tmpl w:val="C5D4F390"/>
    <w:lvl w:ilvl="0" w:tplc="D9EA6D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46537C"/>
    <w:multiLevelType w:val="hybridMultilevel"/>
    <w:tmpl w:val="26808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630"/>
    <w:rsid w:val="00003543"/>
    <w:rsid w:val="000165EB"/>
    <w:rsid w:val="0003219F"/>
    <w:rsid w:val="00045512"/>
    <w:rsid w:val="00064630"/>
    <w:rsid w:val="000A6CF1"/>
    <w:rsid w:val="000C142D"/>
    <w:rsid w:val="000C796A"/>
    <w:rsid w:val="000D357C"/>
    <w:rsid w:val="000E1196"/>
    <w:rsid w:val="00116ECA"/>
    <w:rsid w:val="00162FD0"/>
    <w:rsid w:val="00172DE7"/>
    <w:rsid w:val="00183985"/>
    <w:rsid w:val="00197B11"/>
    <w:rsid w:val="001B3AE2"/>
    <w:rsid w:val="001B6E6E"/>
    <w:rsid w:val="001E4260"/>
    <w:rsid w:val="00253513"/>
    <w:rsid w:val="00276F28"/>
    <w:rsid w:val="002D0379"/>
    <w:rsid w:val="002D68B0"/>
    <w:rsid w:val="0031717F"/>
    <w:rsid w:val="00327B63"/>
    <w:rsid w:val="00345CDC"/>
    <w:rsid w:val="00367805"/>
    <w:rsid w:val="00390400"/>
    <w:rsid w:val="003A3FAB"/>
    <w:rsid w:val="003C3F49"/>
    <w:rsid w:val="003E030A"/>
    <w:rsid w:val="003E0F60"/>
    <w:rsid w:val="003E69CC"/>
    <w:rsid w:val="003F7141"/>
    <w:rsid w:val="00407754"/>
    <w:rsid w:val="00411638"/>
    <w:rsid w:val="00426CA0"/>
    <w:rsid w:val="004431C6"/>
    <w:rsid w:val="00460463"/>
    <w:rsid w:val="00465CBC"/>
    <w:rsid w:val="00474286"/>
    <w:rsid w:val="004A5CCA"/>
    <w:rsid w:val="004B49BA"/>
    <w:rsid w:val="004C786B"/>
    <w:rsid w:val="004D2454"/>
    <w:rsid w:val="004E1629"/>
    <w:rsid w:val="00502B55"/>
    <w:rsid w:val="00521033"/>
    <w:rsid w:val="00534FBA"/>
    <w:rsid w:val="00554E3B"/>
    <w:rsid w:val="0058162D"/>
    <w:rsid w:val="005862EA"/>
    <w:rsid w:val="005A1EB5"/>
    <w:rsid w:val="005F2744"/>
    <w:rsid w:val="005F501F"/>
    <w:rsid w:val="0067769C"/>
    <w:rsid w:val="00684095"/>
    <w:rsid w:val="00686F10"/>
    <w:rsid w:val="006A4DF1"/>
    <w:rsid w:val="006F2A2B"/>
    <w:rsid w:val="007178EF"/>
    <w:rsid w:val="00735096"/>
    <w:rsid w:val="007830C9"/>
    <w:rsid w:val="007D4023"/>
    <w:rsid w:val="00816DFE"/>
    <w:rsid w:val="00835EA7"/>
    <w:rsid w:val="008654CF"/>
    <w:rsid w:val="008664D6"/>
    <w:rsid w:val="008B0634"/>
    <w:rsid w:val="008D2CE7"/>
    <w:rsid w:val="00912ACC"/>
    <w:rsid w:val="00937E4D"/>
    <w:rsid w:val="00955C84"/>
    <w:rsid w:val="009622E6"/>
    <w:rsid w:val="009628DB"/>
    <w:rsid w:val="00962AD2"/>
    <w:rsid w:val="009839A8"/>
    <w:rsid w:val="00984115"/>
    <w:rsid w:val="00993082"/>
    <w:rsid w:val="009B48A1"/>
    <w:rsid w:val="009B7A85"/>
    <w:rsid w:val="009D70D8"/>
    <w:rsid w:val="009E03E8"/>
    <w:rsid w:val="009F5BA2"/>
    <w:rsid w:val="00A07FEE"/>
    <w:rsid w:val="00A3784F"/>
    <w:rsid w:val="00A423EE"/>
    <w:rsid w:val="00A544A1"/>
    <w:rsid w:val="00A76808"/>
    <w:rsid w:val="00A85F33"/>
    <w:rsid w:val="00A95B68"/>
    <w:rsid w:val="00AA0D25"/>
    <w:rsid w:val="00AB2DB6"/>
    <w:rsid w:val="00AC59CF"/>
    <w:rsid w:val="00B065BE"/>
    <w:rsid w:val="00B10C79"/>
    <w:rsid w:val="00B16BAD"/>
    <w:rsid w:val="00B42F1E"/>
    <w:rsid w:val="00B443EB"/>
    <w:rsid w:val="00BA4A66"/>
    <w:rsid w:val="00BA522A"/>
    <w:rsid w:val="00BA6D6F"/>
    <w:rsid w:val="00BB0A0A"/>
    <w:rsid w:val="00BB18FD"/>
    <w:rsid w:val="00BB7EDC"/>
    <w:rsid w:val="00BE2343"/>
    <w:rsid w:val="00C37A93"/>
    <w:rsid w:val="00C43D2D"/>
    <w:rsid w:val="00C509DA"/>
    <w:rsid w:val="00C565AC"/>
    <w:rsid w:val="00C77DA8"/>
    <w:rsid w:val="00C827B6"/>
    <w:rsid w:val="00C976E3"/>
    <w:rsid w:val="00CA7CA2"/>
    <w:rsid w:val="00CC0019"/>
    <w:rsid w:val="00CC0F78"/>
    <w:rsid w:val="00CC388D"/>
    <w:rsid w:val="00CF32A1"/>
    <w:rsid w:val="00D12F78"/>
    <w:rsid w:val="00D13D14"/>
    <w:rsid w:val="00D14147"/>
    <w:rsid w:val="00D14654"/>
    <w:rsid w:val="00D14C00"/>
    <w:rsid w:val="00D30026"/>
    <w:rsid w:val="00D36756"/>
    <w:rsid w:val="00D408A7"/>
    <w:rsid w:val="00D445A9"/>
    <w:rsid w:val="00D50057"/>
    <w:rsid w:val="00D67238"/>
    <w:rsid w:val="00D674D7"/>
    <w:rsid w:val="00D83706"/>
    <w:rsid w:val="00D92984"/>
    <w:rsid w:val="00DC4A05"/>
    <w:rsid w:val="00E006EA"/>
    <w:rsid w:val="00E12BC0"/>
    <w:rsid w:val="00E26D3C"/>
    <w:rsid w:val="00E411D5"/>
    <w:rsid w:val="00E61CA9"/>
    <w:rsid w:val="00EA6F74"/>
    <w:rsid w:val="00ED0EE6"/>
    <w:rsid w:val="00EE7EF5"/>
    <w:rsid w:val="00EF2D83"/>
    <w:rsid w:val="00F04FC0"/>
    <w:rsid w:val="00F146B5"/>
    <w:rsid w:val="00F22CDD"/>
    <w:rsid w:val="00F83E61"/>
    <w:rsid w:val="00F84B40"/>
    <w:rsid w:val="00F91E6C"/>
    <w:rsid w:val="00FC5313"/>
    <w:rsid w:val="00FE4C4F"/>
    <w:rsid w:val="00FF2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8B12A8"/>
  <w15:docId w15:val="{A32243DB-8C9E-453C-AE62-9DE8FBA38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B68"/>
    <w:rPr>
      <w:rFonts w:ascii="Times New Roman" w:hAnsi="Times New Roman"/>
      <w:sz w:val="22"/>
      <w:szCs w:val="22"/>
    </w:rPr>
  </w:style>
  <w:style w:type="paragraph" w:styleId="Heading1">
    <w:name w:val="heading 1"/>
    <w:basedOn w:val="Normal"/>
    <w:next w:val="Normal"/>
    <w:qFormat/>
    <w:rsid w:val="009B7A85"/>
    <w:pPr>
      <w:keepNext/>
      <w:tabs>
        <w:tab w:val="left" w:pos="-1440"/>
        <w:tab w:val="left" w:pos="-720"/>
      </w:tabs>
      <w:suppressAutoHyphens/>
      <w:spacing w:after="240"/>
      <w:contextualSpacing/>
      <w:outlineLvl w:val="0"/>
    </w:pPr>
    <w:rPr>
      <w:rFonts w:ascii="Arial" w:eastAsia="Times New Roman" w:hAnsi="Arial" w:cs="Arial"/>
      <w:b/>
      <w:spacing w:val="-3"/>
      <w:sz w:val="28"/>
      <w:szCs w:val="28"/>
    </w:rPr>
  </w:style>
  <w:style w:type="paragraph" w:styleId="Heading2">
    <w:name w:val="heading 2"/>
    <w:basedOn w:val="Normal"/>
    <w:next w:val="Normal"/>
    <w:qFormat/>
    <w:rsid w:val="00460463"/>
    <w:pPr>
      <w:keepNext/>
      <w:tabs>
        <w:tab w:val="left" w:pos="-1440"/>
        <w:tab w:val="left" w:pos="-720"/>
      </w:tabs>
      <w:suppressAutoHyphens/>
      <w:spacing w:after="120"/>
      <w:outlineLvl w:val="1"/>
    </w:pPr>
    <w:rPr>
      <w:rFonts w:ascii="Arial" w:eastAsia="Times New Roman" w:hAnsi="Arial" w:cs="Arial"/>
      <w:b/>
      <w:sz w:val="24"/>
      <w:szCs w:val="24"/>
    </w:rPr>
  </w:style>
  <w:style w:type="paragraph" w:styleId="Heading3">
    <w:name w:val="heading 3"/>
    <w:basedOn w:val="Heading2"/>
    <w:next w:val="Default"/>
    <w:qFormat/>
    <w:rsid w:val="00460463"/>
    <w:pPr>
      <w:outlineLvl w:val="2"/>
    </w:pPr>
    <w:rPr>
      <w:sz w:val="22"/>
    </w:rPr>
  </w:style>
  <w:style w:type="paragraph" w:styleId="Heading4">
    <w:name w:val="heading 4"/>
    <w:basedOn w:val="Default"/>
    <w:next w:val="Default"/>
    <w:qFormat/>
    <w:rsid w:val="00D36756"/>
    <w:pPr>
      <w:outlineLvl w:val="3"/>
    </w:pPr>
    <w:rPr>
      <w:color w:val="auto"/>
    </w:rPr>
  </w:style>
  <w:style w:type="paragraph" w:styleId="Heading5">
    <w:name w:val="heading 5"/>
    <w:aliases w:val="Block Label"/>
    <w:basedOn w:val="Normal"/>
    <w:next w:val="Normal"/>
    <w:link w:val="Heading5Char"/>
    <w:qFormat/>
    <w:rsid w:val="00D36756"/>
    <w:pPr>
      <w:outlineLvl w:val="4"/>
    </w:pPr>
    <w:rPr>
      <w:rFonts w:eastAsia="Times New Roman"/>
      <w:b/>
      <w:szCs w:val="20"/>
    </w:rPr>
  </w:style>
  <w:style w:type="paragraph" w:styleId="Heading6">
    <w:name w:val="heading 6"/>
    <w:basedOn w:val="Normal"/>
    <w:next w:val="Normal"/>
    <w:link w:val="Heading6Char"/>
    <w:qFormat/>
    <w:rsid w:val="00D36756"/>
    <w:pPr>
      <w:tabs>
        <w:tab w:val="num" w:pos="1152"/>
      </w:tabs>
      <w:spacing w:before="240" w:after="60"/>
      <w:ind w:left="1152" w:hanging="1152"/>
      <w:outlineLvl w:val="5"/>
    </w:pPr>
    <w:rPr>
      <w:rFonts w:eastAsia="Times New Roman"/>
      <w:i/>
      <w:szCs w:val="20"/>
    </w:rPr>
  </w:style>
  <w:style w:type="paragraph" w:styleId="Heading7">
    <w:name w:val="heading 7"/>
    <w:basedOn w:val="Normal"/>
    <w:next w:val="Normal"/>
    <w:link w:val="Heading7Char"/>
    <w:qFormat/>
    <w:rsid w:val="00D36756"/>
    <w:pPr>
      <w:tabs>
        <w:tab w:val="num" w:pos="1296"/>
      </w:tabs>
      <w:spacing w:before="240" w:after="60"/>
      <w:ind w:left="1296" w:hanging="1296"/>
      <w:outlineLvl w:val="6"/>
    </w:pPr>
    <w:rPr>
      <w:rFonts w:ascii="Arial" w:eastAsia="Times New Roman" w:hAnsi="Arial"/>
      <w:sz w:val="20"/>
      <w:szCs w:val="20"/>
    </w:rPr>
  </w:style>
  <w:style w:type="paragraph" w:styleId="Heading8">
    <w:name w:val="heading 8"/>
    <w:basedOn w:val="Normal"/>
    <w:next w:val="Normal"/>
    <w:link w:val="Heading8Char"/>
    <w:qFormat/>
    <w:rsid w:val="00D36756"/>
    <w:pPr>
      <w:tabs>
        <w:tab w:val="num" w:pos="1440"/>
      </w:tabs>
      <w:spacing w:before="240" w:after="60"/>
      <w:ind w:left="1440" w:hanging="1440"/>
      <w:outlineLvl w:val="7"/>
    </w:pPr>
    <w:rPr>
      <w:rFonts w:ascii="Arial" w:eastAsia="Times New Roman" w:hAnsi="Arial"/>
      <w:i/>
      <w:sz w:val="20"/>
      <w:szCs w:val="20"/>
    </w:rPr>
  </w:style>
  <w:style w:type="paragraph" w:styleId="Heading9">
    <w:name w:val="heading 9"/>
    <w:basedOn w:val="Normal"/>
    <w:next w:val="Normal"/>
    <w:link w:val="Heading9Char"/>
    <w:qFormat/>
    <w:rsid w:val="00D36756"/>
    <w:pPr>
      <w:tabs>
        <w:tab w:val="num" w:pos="1584"/>
      </w:tabs>
      <w:spacing w:before="240" w:after="60"/>
      <w:ind w:left="1584" w:hanging="1584"/>
      <w:outlineLvl w:val="8"/>
    </w:pPr>
    <w:rPr>
      <w:rFonts w:ascii="Arial" w:eastAsia="Times New Roman"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6756"/>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semiHidden/>
    <w:unhideWhenUsed/>
    <w:rsid w:val="00D36756"/>
    <w:rPr>
      <w:sz w:val="16"/>
      <w:szCs w:val="16"/>
    </w:rPr>
  </w:style>
  <w:style w:type="paragraph" w:styleId="CommentText">
    <w:name w:val="annotation text"/>
    <w:basedOn w:val="Normal"/>
    <w:link w:val="CommentTextChar1"/>
    <w:semiHidden/>
    <w:unhideWhenUsed/>
    <w:rsid w:val="00D36756"/>
    <w:rPr>
      <w:sz w:val="20"/>
      <w:szCs w:val="20"/>
    </w:rPr>
  </w:style>
  <w:style w:type="character" w:customStyle="1" w:styleId="CommentTextChar">
    <w:name w:val="Comment Text Char"/>
    <w:basedOn w:val="DefaultParagraphFont"/>
    <w:semiHidden/>
    <w:rsid w:val="00D36756"/>
    <w:rPr>
      <w:sz w:val="20"/>
      <w:szCs w:val="20"/>
    </w:rPr>
  </w:style>
  <w:style w:type="character" w:styleId="Hyperlink">
    <w:name w:val="Hyperlink"/>
    <w:basedOn w:val="DefaultParagraphFont"/>
    <w:uiPriority w:val="99"/>
    <w:unhideWhenUsed/>
    <w:rsid w:val="00D36756"/>
    <w:rPr>
      <w:color w:val="0000FF"/>
      <w:u w:val="single"/>
    </w:rPr>
  </w:style>
  <w:style w:type="paragraph" w:styleId="Title">
    <w:name w:val="Title"/>
    <w:basedOn w:val="Normal"/>
    <w:qFormat/>
    <w:rsid w:val="009B7A85"/>
    <w:pPr>
      <w:contextualSpacing/>
    </w:pPr>
    <w:rPr>
      <w:rFonts w:ascii="Arial" w:eastAsia="Times New Roman" w:hAnsi="Arial" w:cs="Arial"/>
      <w:b/>
      <w:sz w:val="36"/>
      <w:szCs w:val="36"/>
    </w:rPr>
  </w:style>
  <w:style w:type="character" w:customStyle="1" w:styleId="TitleChar">
    <w:name w:val="Title Char"/>
    <w:basedOn w:val="DefaultParagraphFont"/>
    <w:rsid w:val="00D36756"/>
    <w:rPr>
      <w:rFonts w:ascii="Times New Roman" w:eastAsia="Times New Roman" w:hAnsi="Times New Roman" w:cs="Times New Roman"/>
      <w:b/>
      <w:sz w:val="24"/>
      <w:szCs w:val="20"/>
    </w:rPr>
  </w:style>
  <w:style w:type="character" w:customStyle="1" w:styleId="Heading2Char">
    <w:name w:val="Heading 2 Char"/>
    <w:basedOn w:val="DefaultParagraphFont"/>
    <w:uiPriority w:val="9"/>
    <w:rsid w:val="00D36756"/>
    <w:rPr>
      <w:rFonts w:ascii="Times New Roman" w:eastAsia="Times New Roman" w:hAnsi="Times New Roman" w:cs="Times New Roman"/>
      <w:b/>
      <w:spacing w:val="-3"/>
      <w:sz w:val="24"/>
      <w:szCs w:val="20"/>
      <w:u w:val="single"/>
    </w:rPr>
  </w:style>
  <w:style w:type="character" w:customStyle="1" w:styleId="Heading1Char">
    <w:name w:val="Heading 1 Char"/>
    <w:basedOn w:val="DefaultParagraphFont"/>
    <w:rsid w:val="00D36756"/>
    <w:rPr>
      <w:rFonts w:ascii="Times New Roman" w:eastAsia="Times New Roman" w:hAnsi="Times New Roman" w:cs="Times New Roman"/>
      <w:b/>
      <w:spacing w:val="-3"/>
      <w:sz w:val="24"/>
      <w:szCs w:val="20"/>
    </w:rPr>
  </w:style>
  <w:style w:type="paragraph" w:styleId="ListParagraph">
    <w:name w:val="List Paragraph"/>
    <w:basedOn w:val="Normal"/>
    <w:uiPriority w:val="34"/>
    <w:qFormat/>
    <w:rsid w:val="00D36756"/>
    <w:pPr>
      <w:ind w:left="720"/>
    </w:pPr>
  </w:style>
  <w:style w:type="paragraph" w:customStyle="1" w:styleId="CM7">
    <w:name w:val="CM7"/>
    <w:basedOn w:val="Default"/>
    <w:next w:val="Default"/>
    <w:rsid w:val="00D36756"/>
    <w:rPr>
      <w:rFonts w:ascii="IGEEK F+ Helvetica" w:hAnsi="IGEEK F+ Helvetica"/>
      <w:color w:val="auto"/>
    </w:rPr>
  </w:style>
  <w:style w:type="paragraph" w:customStyle="1" w:styleId="CM6">
    <w:name w:val="CM6"/>
    <w:basedOn w:val="Default"/>
    <w:next w:val="Default"/>
    <w:rsid w:val="00D36756"/>
    <w:rPr>
      <w:rFonts w:ascii="IGEEK F+ Helvetica" w:hAnsi="IGEEK F+ Helvetica"/>
      <w:color w:val="auto"/>
    </w:rPr>
  </w:style>
  <w:style w:type="character" w:customStyle="1" w:styleId="Heading3Char">
    <w:name w:val="Heading 3 Char"/>
    <w:basedOn w:val="DefaultParagraphFont"/>
    <w:rsid w:val="00D36756"/>
    <w:rPr>
      <w:rFonts w:ascii="Times New Roman" w:hAnsi="Times New Roman" w:cs="Times New Roman"/>
      <w:sz w:val="24"/>
      <w:szCs w:val="24"/>
    </w:rPr>
  </w:style>
  <w:style w:type="character" w:customStyle="1" w:styleId="Heading4Char">
    <w:name w:val="Heading 4 Char"/>
    <w:basedOn w:val="DefaultParagraphFont"/>
    <w:rsid w:val="00D36756"/>
    <w:rPr>
      <w:rFonts w:ascii="Times New Roman" w:hAnsi="Times New Roman" w:cs="Times New Roman"/>
      <w:sz w:val="24"/>
      <w:szCs w:val="24"/>
    </w:rPr>
  </w:style>
  <w:style w:type="paragraph" w:customStyle="1" w:styleId="DEQREPORTTITLE">
    <w:name w:val="(DEQ)REPORT TITLE"/>
    <w:basedOn w:val="Default"/>
    <w:next w:val="Default"/>
    <w:uiPriority w:val="99"/>
    <w:rsid w:val="00D36756"/>
    <w:rPr>
      <w:rFonts w:ascii="Arial" w:hAnsi="Arial" w:cs="Arial"/>
      <w:color w:val="auto"/>
    </w:rPr>
  </w:style>
  <w:style w:type="paragraph" w:customStyle="1" w:styleId="Body">
    <w:name w:val="Body"/>
    <w:basedOn w:val="Default"/>
    <w:next w:val="Default"/>
    <w:rsid w:val="00D36756"/>
    <w:rPr>
      <w:rFonts w:ascii="IILIMB+TimesNewRoman,BoldItalic" w:hAnsi="IILIMB+TimesNewRoman,BoldItalic"/>
      <w:color w:val="auto"/>
    </w:rPr>
  </w:style>
  <w:style w:type="character" w:styleId="Strong">
    <w:name w:val="Strong"/>
    <w:rsid w:val="00D36756"/>
    <w:rPr>
      <w:rFonts w:ascii="Arial" w:hAnsi="Arial" w:cs="Arial"/>
      <w:b/>
      <w:spacing w:val="-3"/>
      <w:sz w:val="24"/>
      <w:szCs w:val="24"/>
    </w:rPr>
  </w:style>
  <w:style w:type="paragraph" w:customStyle="1" w:styleId="CM14">
    <w:name w:val="CM14"/>
    <w:basedOn w:val="Default"/>
    <w:next w:val="Default"/>
    <w:rsid w:val="00D36756"/>
    <w:pPr>
      <w:spacing w:line="276" w:lineRule="atLeast"/>
    </w:pPr>
    <w:rPr>
      <w:color w:val="auto"/>
    </w:rPr>
  </w:style>
  <w:style w:type="paragraph" w:customStyle="1" w:styleId="CM63">
    <w:name w:val="CM63"/>
    <w:basedOn w:val="Default"/>
    <w:next w:val="Default"/>
    <w:uiPriority w:val="99"/>
    <w:rsid w:val="00D36756"/>
    <w:rPr>
      <w:color w:val="auto"/>
    </w:rPr>
  </w:style>
  <w:style w:type="paragraph" w:customStyle="1" w:styleId="CM18">
    <w:name w:val="CM18"/>
    <w:basedOn w:val="Default"/>
    <w:next w:val="Default"/>
    <w:rsid w:val="00D36756"/>
    <w:pPr>
      <w:spacing w:line="276" w:lineRule="atLeast"/>
    </w:pPr>
    <w:rPr>
      <w:color w:val="auto"/>
    </w:rPr>
  </w:style>
  <w:style w:type="paragraph" w:customStyle="1" w:styleId="CM15">
    <w:name w:val="CM15"/>
    <w:basedOn w:val="Default"/>
    <w:next w:val="Default"/>
    <w:rsid w:val="00D36756"/>
    <w:pPr>
      <w:spacing w:line="276" w:lineRule="atLeast"/>
    </w:pPr>
    <w:rPr>
      <w:color w:val="auto"/>
    </w:rPr>
  </w:style>
  <w:style w:type="paragraph" w:customStyle="1" w:styleId="CM16">
    <w:name w:val="CM16"/>
    <w:basedOn w:val="Default"/>
    <w:next w:val="Default"/>
    <w:rsid w:val="00D36756"/>
    <w:pPr>
      <w:spacing w:line="276" w:lineRule="atLeast"/>
    </w:pPr>
    <w:rPr>
      <w:color w:val="auto"/>
    </w:rPr>
  </w:style>
  <w:style w:type="paragraph" w:customStyle="1" w:styleId="CM62">
    <w:name w:val="CM62"/>
    <w:basedOn w:val="Default"/>
    <w:next w:val="Default"/>
    <w:rsid w:val="00D36756"/>
    <w:rPr>
      <w:color w:val="auto"/>
    </w:rPr>
  </w:style>
  <w:style w:type="paragraph" w:customStyle="1" w:styleId="CM61">
    <w:name w:val="CM61"/>
    <w:basedOn w:val="Default"/>
    <w:next w:val="Default"/>
    <w:rsid w:val="00D36756"/>
    <w:rPr>
      <w:color w:val="auto"/>
    </w:rPr>
  </w:style>
  <w:style w:type="paragraph" w:customStyle="1" w:styleId="CM64">
    <w:name w:val="CM64"/>
    <w:basedOn w:val="Default"/>
    <w:next w:val="Default"/>
    <w:rsid w:val="00D36756"/>
    <w:rPr>
      <w:color w:val="auto"/>
    </w:rPr>
  </w:style>
  <w:style w:type="paragraph" w:customStyle="1" w:styleId="CM27">
    <w:name w:val="CM27"/>
    <w:basedOn w:val="Default"/>
    <w:next w:val="Default"/>
    <w:rsid w:val="00D36756"/>
    <w:pPr>
      <w:spacing w:line="276" w:lineRule="atLeast"/>
    </w:pPr>
    <w:rPr>
      <w:color w:val="auto"/>
    </w:rPr>
  </w:style>
  <w:style w:type="character" w:customStyle="1" w:styleId="StyleTimesNewRoman11pt1">
    <w:name w:val="Style Times New Roman 11 pt1"/>
    <w:basedOn w:val="DefaultParagraphFont"/>
    <w:rsid w:val="00D36756"/>
    <w:rPr>
      <w:rFonts w:ascii="Times New Roman" w:hAnsi="Times New Roman"/>
      <w:sz w:val="22"/>
    </w:rPr>
  </w:style>
  <w:style w:type="paragraph" w:styleId="NormalWeb">
    <w:name w:val="Normal (Web)"/>
    <w:basedOn w:val="Normal"/>
    <w:uiPriority w:val="99"/>
    <w:semiHidden/>
    <w:unhideWhenUsed/>
    <w:rsid w:val="00D36756"/>
    <w:pPr>
      <w:spacing w:before="100" w:beforeAutospacing="1" w:after="104"/>
    </w:pPr>
    <w:rPr>
      <w:rFonts w:eastAsia="Times New Roman"/>
      <w:sz w:val="24"/>
      <w:szCs w:val="24"/>
    </w:rPr>
  </w:style>
  <w:style w:type="character" w:customStyle="1" w:styleId="StyleTimesNewRoman11pt">
    <w:name w:val="Style Times New Roman 11 pt"/>
    <w:basedOn w:val="DefaultParagraphFont"/>
    <w:rsid w:val="00D36756"/>
    <w:rPr>
      <w:rFonts w:ascii="Times New Roman" w:hAnsi="Times New Roman"/>
      <w:sz w:val="22"/>
      <w:szCs w:val="22"/>
    </w:rPr>
  </w:style>
  <w:style w:type="character" w:customStyle="1" w:styleId="documentbody">
    <w:name w:val="documentbody"/>
    <w:basedOn w:val="DefaultParagraphFont"/>
    <w:rsid w:val="00D36756"/>
  </w:style>
  <w:style w:type="paragraph" w:customStyle="1" w:styleId="indent">
    <w:name w:val="indent"/>
    <w:basedOn w:val="Normal"/>
    <w:rsid w:val="00D36756"/>
    <w:pPr>
      <w:spacing w:before="100" w:beforeAutospacing="1"/>
      <w:ind w:firstLine="261"/>
    </w:pPr>
    <w:rPr>
      <w:rFonts w:eastAsia="Times New Roman"/>
      <w:sz w:val="24"/>
      <w:szCs w:val="24"/>
    </w:rPr>
  </w:style>
  <w:style w:type="character" w:customStyle="1" w:styleId="CharChar1">
    <w:name w:val="Char Char1"/>
    <w:basedOn w:val="DefaultParagraphFont"/>
    <w:rsid w:val="00D36756"/>
    <w:rPr>
      <w:rFonts w:cs="Times New Roman"/>
      <w:noProof w:val="0"/>
      <w:lang w:val="en-US" w:eastAsia="en-US" w:bidi="ar-SA"/>
    </w:rPr>
  </w:style>
  <w:style w:type="character" w:customStyle="1" w:styleId="class1">
    <w:name w:val="class1"/>
    <w:basedOn w:val="DefaultParagraphFont"/>
    <w:rsid w:val="00D36756"/>
  </w:style>
  <w:style w:type="paragraph" w:styleId="Footer">
    <w:name w:val="footer"/>
    <w:basedOn w:val="Normal"/>
    <w:semiHidden/>
    <w:rsid w:val="00D36756"/>
    <w:pPr>
      <w:tabs>
        <w:tab w:val="center" w:pos="4320"/>
        <w:tab w:val="right" w:pos="8640"/>
      </w:tabs>
    </w:pPr>
    <w:rPr>
      <w:rFonts w:eastAsia="Times New Roman"/>
      <w:sz w:val="24"/>
      <w:szCs w:val="24"/>
    </w:rPr>
  </w:style>
  <w:style w:type="character" w:customStyle="1" w:styleId="FooterChar">
    <w:name w:val="Footer Char"/>
    <w:basedOn w:val="DefaultParagraphFont"/>
    <w:rsid w:val="00D36756"/>
    <w:rPr>
      <w:rFonts w:ascii="Times New Roman" w:eastAsia="Times New Roman" w:hAnsi="Times New Roman"/>
      <w:sz w:val="24"/>
      <w:szCs w:val="24"/>
    </w:rPr>
  </w:style>
  <w:style w:type="paragraph" w:styleId="Header">
    <w:name w:val="header"/>
    <w:basedOn w:val="Normal"/>
    <w:unhideWhenUsed/>
    <w:rsid w:val="00D36756"/>
    <w:pPr>
      <w:tabs>
        <w:tab w:val="center" w:pos="4680"/>
        <w:tab w:val="right" w:pos="9360"/>
      </w:tabs>
    </w:pPr>
  </w:style>
  <w:style w:type="character" w:customStyle="1" w:styleId="HeaderChar">
    <w:name w:val="Header Char"/>
    <w:basedOn w:val="DefaultParagraphFont"/>
    <w:semiHidden/>
    <w:rsid w:val="00D36756"/>
    <w:rPr>
      <w:sz w:val="22"/>
      <w:szCs w:val="22"/>
    </w:rPr>
  </w:style>
  <w:style w:type="paragraph" w:customStyle="1" w:styleId="level1">
    <w:name w:val="_level1"/>
    <w:rsid w:val="00D367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pPr>
    <w:rPr>
      <w:rFonts w:ascii="Times New Roman" w:eastAsia="Times New Roman" w:hAnsi="Times New Roman"/>
      <w:sz w:val="24"/>
      <w:szCs w:val="24"/>
    </w:rPr>
  </w:style>
  <w:style w:type="paragraph" w:styleId="FootnoteText">
    <w:name w:val="footnote text"/>
    <w:basedOn w:val="Normal"/>
    <w:uiPriority w:val="99"/>
    <w:semiHidden/>
    <w:rsid w:val="00D36756"/>
    <w:pPr>
      <w:ind w:firstLine="720"/>
    </w:pPr>
    <w:rPr>
      <w:rFonts w:eastAsia="Times New Roman"/>
      <w:sz w:val="20"/>
      <w:szCs w:val="20"/>
    </w:rPr>
  </w:style>
  <w:style w:type="character" w:customStyle="1" w:styleId="FootnoteTextChar">
    <w:name w:val="Footnote Text Char"/>
    <w:basedOn w:val="DefaultParagraphFont"/>
    <w:uiPriority w:val="99"/>
    <w:semiHidden/>
    <w:rsid w:val="00D36756"/>
    <w:rPr>
      <w:rFonts w:ascii="Times New Roman" w:eastAsia="Times New Roman" w:hAnsi="Times New Roman"/>
    </w:rPr>
  </w:style>
  <w:style w:type="character" w:styleId="FootnoteReference">
    <w:name w:val="footnote reference"/>
    <w:basedOn w:val="DefaultParagraphFont"/>
    <w:uiPriority w:val="99"/>
    <w:semiHidden/>
    <w:rsid w:val="00D36756"/>
    <w:rPr>
      <w:vertAlign w:val="superscript"/>
    </w:rPr>
  </w:style>
  <w:style w:type="character" w:customStyle="1" w:styleId="googqs-tidbit-0">
    <w:name w:val="goog_qs-tidbit-0"/>
    <w:basedOn w:val="DefaultParagraphFont"/>
    <w:rsid w:val="00D36756"/>
  </w:style>
  <w:style w:type="paragraph" w:customStyle="1" w:styleId="DefaultText">
    <w:name w:val="Default Text"/>
    <w:basedOn w:val="Default"/>
    <w:next w:val="Default"/>
    <w:rsid w:val="00D36756"/>
    <w:rPr>
      <w:rFonts w:ascii="Arial" w:hAnsi="Arial" w:cs="Arial"/>
      <w:color w:val="auto"/>
    </w:rPr>
  </w:style>
  <w:style w:type="paragraph" w:styleId="TOCHeading">
    <w:name w:val="TOC Heading"/>
    <w:basedOn w:val="Heading1"/>
    <w:next w:val="Normal"/>
    <w:uiPriority w:val="39"/>
    <w:qFormat/>
    <w:rsid w:val="00D36756"/>
    <w:pPr>
      <w:keepLines/>
      <w:tabs>
        <w:tab w:val="clear" w:pos="-1440"/>
        <w:tab w:val="clear" w:pos="-720"/>
      </w:tabs>
      <w:suppressAutoHyphens w:val="0"/>
      <w:spacing w:before="480" w:line="276" w:lineRule="auto"/>
      <w:outlineLvl w:val="9"/>
    </w:pPr>
    <w:rPr>
      <w:bCs/>
      <w:spacing w:val="0"/>
      <w:sz w:val="60"/>
      <w:szCs w:val="60"/>
    </w:rPr>
  </w:style>
  <w:style w:type="paragraph" w:styleId="TOC2">
    <w:name w:val="toc 2"/>
    <w:basedOn w:val="Normal"/>
    <w:next w:val="Normal"/>
    <w:autoRedefine/>
    <w:uiPriority w:val="39"/>
    <w:unhideWhenUsed/>
    <w:rsid w:val="00D36756"/>
    <w:pPr>
      <w:tabs>
        <w:tab w:val="right" w:leader="dot" w:pos="9350"/>
      </w:tabs>
    </w:pPr>
  </w:style>
  <w:style w:type="paragraph" w:styleId="TOC1">
    <w:name w:val="toc 1"/>
    <w:basedOn w:val="Normal"/>
    <w:next w:val="Normal"/>
    <w:autoRedefine/>
    <w:uiPriority w:val="39"/>
    <w:unhideWhenUsed/>
    <w:rsid w:val="00D36756"/>
  </w:style>
  <w:style w:type="paragraph" w:styleId="TOC3">
    <w:name w:val="toc 3"/>
    <w:basedOn w:val="Normal"/>
    <w:next w:val="Normal"/>
    <w:autoRedefine/>
    <w:uiPriority w:val="39"/>
    <w:unhideWhenUsed/>
    <w:rsid w:val="00D36756"/>
    <w:pPr>
      <w:ind w:left="440"/>
    </w:pPr>
  </w:style>
  <w:style w:type="paragraph" w:styleId="NoSpacing">
    <w:name w:val="No Spacing"/>
    <w:uiPriority w:val="1"/>
    <w:qFormat/>
    <w:rsid w:val="00D36756"/>
    <w:rPr>
      <w:sz w:val="22"/>
      <w:szCs w:val="22"/>
    </w:rPr>
  </w:style>
  <w:style w:type="paragraph" w:styleId="BalloonText">
    <w:name w:val="Balloon Text"/>
    <w:basedOn w:val="Normal"/>
    <w:link w:val="BalloonTextChar"/>
    <w:uiPriority w:val="99"/>
    <w:semiHidden/>
    <w:unhideWhenUsed/>
    <w:rsid w:val="00D36756"/>
    <w:rPr>
      <w:rFonts w:ascii="Tahoma" w:hAnsi="Tahoma" w:cs="Tahoma"/>
      <w:sz w:val="16"/>
      <w:szCs w:val="16"/>
    </w:rPr>
  </w:style>
  <w:style w:type="character" w:customStyle="1" w:styleId="BalloonTextChar">
    <w:name w:val="Balloon Text Char"/>
    <w:basedOn w:val="DefaultParagraphFont"/>
    <w:link w:val="BalloonText"/>
    <w:uiPriority w:val="99"/>
    <w:semiHidden/>
    <w:rsid w:val="00D36756"/>
    <w:rPr>
      <w:rFonts w:ascii="Tahoma" w:hAnsi="Tahoma" w:cs="Tahoma"/>
      <w:sz w:val="16"/>
      <w:szCs w:val="16"/>
    </w:rPr>
  </w:style>
  <w:style w:type="character" w:customStyle="1" w:styleId="Heading5Char">
    <w:name w:val="Heading 5 Char"/>
    <w:aliases w:val="Block Label Char"/>
    <w:basedOn w:val="DefaultParagraphFont"/>
    <w:link w:val="Heading5"/>
    <w:rsid w:val="00D36756"/>
    <w:rPr>
      <w:rFonts w:ascii="Times New Roman" w:eastAsia="Times New Roman" w:hAnsi="Times New Roman"/>
      <w:b/>
      <w:sz w:val="22"/>
    </w:rPr>
  </w:style>
  <w:style w:type="character" w:customStyle="1" w:styleId="Heading6Char">
    <w:name w:val="Heading 6 Char"/>
    <w:basedOn w:val="DefaultParagraphFont"/>
    <w:link w:val="Heading6"/>
    <w:rsid w:val="00D36756"/>
    <w:rPr>
      <w:rFonts w:ascii="Times New Roman" w:eastAsia="Times New Roman" w:hAnsi="Times New Roman"/>
      <w:i/>
      <w:sz w:val="22"/>
    </w:rPr>
  </w:style>
  <w:style w:type="character" w:customStyle="1" w:styleId="Heading7Char">
    <w:name w:val="Heading 7 Char"/>
    <w:basedOn w:val="DefaultParagraphFont"/>
    <w:link w:val="Heading7"/>
    <w:rsid w:val="00D36756"/>
    <w:rPr>
      <w:rFonts w:ascii="Arial" w:eastAsia="Times New Roman" w:hAnsi="Arial"/>
    </w:rPr>
  </w:style>
  <w:style w:type="character" w:customStyle="1" w:styleId="Heading8Char">
    <w:name w:val="Heading 8 Char"/>
    <w:basedOn w:val="DefaultParagraphFont"/>
    <w:link w:val="Heading8"/>
    <w:rsid w:val="00D36756"/>
    <w:rPr>
      <w:rFonts w:ascii="Arial" w:eastAsia="Times New Roman" w:hAnsi="Arial"/>
      <w:i/>
    </w:rPr>
  </w:style>
  <w:style w:type="character" w:customStyle="1" w:styleId="Heading9Char">
    <w:name w:val="Heading 9 Char"/>
    <w:basedOn w:val="DefaultParagraphFont"/>
    <w:link w:val="Heading9"/>
    <w:rsid w:val="00D36756"/>
    <w:rPr>
      <w:rFonts w:ascii="Arial" w:eastAsia="Times New Roman" w:hAnsi="Arial"/>
      <w:b/>
      <w:i/>
      <w:sz w:val="18"/>
    </w:rPr>
  </w:style>
  <w:style w:type="paragraph" w:styleId="BlockText">
    <w:name w:val="Block Text"/>
    <w:basedOn w:val="Normal"/>
    <w:rsid w:val="00D36756"/>
    <w:rPr>
      <w:rFonts w:eastAsia="Times New Roman"/>
      <w:sz w:val="24"/>
      <w:szCs w:val="20"/>
    </w:rPr>
  </w:style>
  <w:style w:type="character" w:customStyle="1" w:styleId="Typewriter">
    <w:name w:val="Typewriter"/>
    <w:rsid w:val="00D36756"/>
    <w:rPr>
      <w:rFonts w:ascii="Courier New" w:hAnsi="Courier New"/>
      <w:sz w:val="20"/>
    </w:rPr>
  </w:style>
  <w:style w:type="paragraph" w:customStyle="1" w:styleId="StyleHeading4MapTitleLeft0Firstline0">
    <w:name w:val="Style Heading 4Map Title + Left:  0&quot; First line:  0&quot;"/>
    <w:basedOn w:val="Heading4"/>
    <w:autoRedefine/>
    <w:rsid w:val="00D36756"/>
    <w:pPr>
      <w:tabs>
        <w:tab w:val="num" w:pos="576"/>
      </w:tabs>
      <w:autoSpaceDE/>
      <w:autoSpaceDN/>
      <w:adjustRightInd/>
      <w:spacing w:after="120"/>
      <w:ind w:left="576" w:hanging="576"/>
    </w:pPr>
    <w:rPr>
      <w:rFonts w:ascii="Arial" w:eastAsia="Times New Roman" w:hAnsi="Arial"/>
      <w:b/>
      <w:bCs/>
      <w:sz w:val="28"/>
      <w:szCs w:val="20"/>
    </w:rPr>
  </w:style>
  <w:style w:type="paragraph" w:customStyle="1" w:styleId="BlockLine">
    <w:name w:val="Block Line"/>
    <w:basedOn w:val="Normal"/>
    <w:next w:val="Normal"/>
    <w:rsid w:val="00D36756"/>
    <w:pPr>
      <w:pBdr>
        <w:top w:val="single" w:sz="6" w:space="1" w:color="auto"/>
        <w:between w:val="single" w:sz="6" w:space="1" w:color="auto"/>
      </w:pBdr>
      <w:spacing w:before="240"/>
      <w:ind w:left="1700"/>
    </w:pPr>
    <w:rPr>
      <w:rFonts w:eastAsia="Times New Roman"/>
      <w:sz w:val="24"/>
      <w:szCs w:val="20"/>
    </w:rPr>
  </w:style>
  <w:style w:type="paragraph" w:styleId="BodyText2">
    <w:name w:val="Body Text 2"/>
    <w:basedOn w:val="Normal"/>
    <w:link w:val="BodyText2Char"/>
    <w:rsid w:val="00D36756"/>
    <w:rPr>
      <w:rFonts w:eastAsia="Times New Roman"/>
      <w:sz w:val="24"/>
      <w:szCs w:val="20"/>
    </w:rPr>
  </w:style>
  <w:style w:type="character" w:customStyle="1" w:styleId="BodyText2Char">
    <w:name w:val="Body Text 2 Char"/>
    <w:basedOn w:val="DefaultParagraphFont"/>
    <w:link w:val="BodyText2"/>
    <w:rsid w:val="00D36756"/>
    <w:rPr>
      <w:rFonts w:ascii="Times New Roman" w:eastAsia="Times New Roman" w:hAnsi="Times New Roman"/>
      <w:sz w:val="24"/>
    </w:rPr>
  </w:style>
  <w:style w:type="table" w:styleId="TableGrid">
    <w:name w:val="Table Grid"/>
    <w:basedOn w:val="TableNormal"/>
    <w:uiPriority w:val="39"/>
    <w:rsid w:val="00D3675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36756"/>
    <w:pPr>
      <w:spacing w:line="276" w:lineRule="auto"/>
    </w:pPr>
    <w:rPr>
      <w:b/>
      <w:bCs/>
    </w:rPr>
  </w:style>
  <w:style w:type="character" w:customStyle="1" w:styleId="CommentTextChar1">
    <w:name w:val="Comment Text Char1"/>
    <w:basedOn w:val="DefaultParagraphFont"/>
    <w:link w:val="CommentText"/>
    <w:semiHidden/>
    <w:rsid w:val="00D36756"/>
  </w:style>
  <w:style w:type="character" w:customStyle="1" w:styleId="CommentSubjectChar">
    <w:name w:val="Comment Subject Char"/>
    <w:basedOn w:val="CommentTextChar1"/>
    <w:link w:val="CommentSubject"/>
    <w:rsid w:val="00D36756"/>
  </w:style>
  <w:style w:type="paragraph" w:styleId="EndnoteText">
    <w:name w:val="endnote text"/>
    <w:basedOn w:val="Normal"/>
    <w:link w:val="EndnoteTextChar"/>
    <w:semiHidden/>
    <w:rsid w:val="00D36756"/>
    <w:rPr>
      <w:rFonts w:ascii="Courier" w:eastAsia="Times New Roman" w:hAnsi="Courier"/>
      <w:sz w:val="24"/>
      <w:szCs w:val="20"/>
    </w:rPr>
  </w:style>
  <w:style w:type="character" w:customStyle="1" w:styleId="EndnoteTextChar">
    <w:name w:val="Endnote Text Char"/>
    <w:basedOn w:val="DefaultParagraphFont"/>
    <w:link w:val="EndnoteText"/>
    <w:semiHidden/>
    <w:rsid w:val="00D36756"/>
    <w:rPr>
      <w:rFonts w:ascii="Courier" w:eastAsia="Times New Roman" w:hAnsi="Courier"/>
      <w:sz w:val="24"/>
    </w:rPr>
  </w:style>
  <w:style w:type="paragraph" w:styleId="Revision">
    <w:name w:val="Revision"/>
    <w:hidden/>
    <w:uiPriority w:val="99"/>
    <w:semiHidden/>
    <w:rsid w:val="00D36756"/>
    <w:rPr>
      <w:sz w:val="22"/>
      <w:szCs w:val="22"/>
    </w:rPr>
  </w:style>
  <w:style w:type="paragraph" w:customStyle="1" w:styleId="CM28">
    <w:name w:val="CM28"/>
    <w:basedOn w:val="Default"/>
    <w:next w:val="Default"/>
    <w:uiPriority w:val="99"/>
    <w:rsid w:val="00D36756"/>
    <w:rPr>
      <w:color w:val="auto"/>
    </w:rPr>
  </w:style>
  <w:style w:type="paragraph" w:styleId="Subtitle">
    <w:name w:val="Subtitle"/>
    <w:basedOn w:val="Normal"/>
    <w:next w:val="Normal"/>
    <w:link w:val="SubtitleChar"/>
    <w:uiPriority w:val="11"/>
    <w:qFormat/>
    <w:rsid w:val="009B7A85"/>
    <w:rPr>
      <w:rFonts w:ascii="Arial" w:eastAsia="Times New Roman" w:hAnsi="Arial" w:cs="Arial"/>
      <w:b/>
    </w:rPr>
  </w:style>
  <w:style w:type="character" w:customStyle="1" w:styleId="SubtitleChar">
    <w:name w:val="Subtitle Char"/>
    <w:basedOn w:val="DefaultParagraphFont"/>
    <w:link w:val="Subtitle"/>
    <w:uiPriority w:val="11"/>
    <w:rsid w:val="009B7A85"/>
    <w:rPr>
      <w:rFonts w:ascii="Arial" w:eastAsia="Times New Roman" w:hAnsi="Arial" w:cs="Arial"/>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467022">
      <w:bodyDiv w:val="1"/>
      <w:marLeft w:val="0"/>
      <w:marRight w:val="0"/>
      <w:marTop w:val="0"/>
      <w:marBottom w:val="0"/>
      <w:divBdr>
        <w:top w:val="none" w:sz="0" w:space="0" w:color="auto"/>
        <w:left w:val="none" w:sz="0" w:space="0" w:color="auto"/>
        <w:bottom w:val="none" w:sz="0" w:space="0" w:color="auto"/>
        <w:right w:val="none" w:sz="0" w:space="0" w:color="auto"/>
      </w:divBdr>
    </w:div>
    <w:div w:id="1009064080">
      <w:bodyDiv w:val="1"/>
      <w:marLeft w:val="0"/>
      <w:marRight w:val="0"/>
      <w:marTop w:val="0"/>
      <w:marBottom w:val="0"/>
      <w:divBdr>
        <w:top w:val="none" w:sz="0" w:space="0" w:color="auto"/>
        <w:left w:val="none" w:sz="0" w:space="0" w:color="auto"/>
        <w:bottom w:val="none" w:sz="0" w:space="0" w:color="auto"/>
        <w:right w:val="none" w:sz="0" w:space="0" w:color="auto"/>
      </w:divBdr>
    </w:div>
    <w:div w:id="1045568664">
      <w:bodyDiv w:val="1"/>
      <w:marLeft w:val="0"/>
      <w:marRight w:val="0"/>
      <w:marTop w:val="0"/>
      <w:marBottom w:val="0"/>
      <w:divBdr>
        <w:top w:val="none" w:sz="0" w:space="0" w:color="auto"/>
        <w:left w:val="none" w:sz="0" w:space="0" w:color="auto"/>
        <w:bottom w:val="none" w:sz="0" w:space="0" w:color="auto"/>
        <w:right w:val="none" w:sz="0" w:space="0" w:color="auto"/>
      </w:divBdr>
    </w:div>
    <w:div w:id="1526015782">
      <w:bodyDiv w:val="1"/>
      <w:marLeft w:val="0"/>
      <w:marRight w:val="0"/>
      <w:marTop w:val="0"/>
      <w:marBottom w:val="0"/>
      <w:divBdr>
        <w:top w:val="none" w:sz="0" w:space="0" w:color="auto"/>
        <w:left w:val="none" w:sz="0" w:space="0" w:color="auto"/>
        <w:bottom w:val="none" w:sz="0" w:space="0" w:color="auto"/>
        <w:right w:val="none" w:sz="0" w:space="0" w:color="auto"/>
      </w:divBdr>
      <w:divsChild>
        <w:div w:id="1392924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qinfo@deq.state.or.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kata.rachel@deq.state.or.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75AB721429DF49A9E6C3119C1D44EB" ma:contentTypeVersion="0" ma:contentTypeDescription="Create a new document." ma:contentTypeScope="" ma:versionID="177be0bdde5ef0b63e2aa6c5b1fa14c2">
  <xsd:schema xmlns:xsd="http://www.w3.org/2001/XMLSchema" xmlns:p="http://schemas.microsoft.com/office/2006/metadata/properties" targetNamespace="http://schemas.microsoft.com/office/2006/metadata/properties" ma:root="true" ma:fieldsID="d2b38e92e01493b6a9ea22f40540c5d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65ACA-5763-4E47-97A9-22454F609BB6}">
  <ds:schemaRefs>
    <ds:schemaRef ds:uri="http://schemas.microsoft.com/sharepoint/v3/contenttype/forms"/>
  </ds:schemaRefs>
</ds:datastoreItem>
</file>

<file path=customXml/itemProps2.xml><?xml version="1.0" encoding="utf-8"?>
<ds:datastoreItem xmlns:ds="http://schemas.openxmlformats.org/officeDocument/2006/customXml" ds:itemID="{C1F317A1-A36D-499C-8BC7-0521B9459BD8}">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s>
</ds:datastoreItem>
</file>

<file path=customXml/itemProps3.xml><?xml version="1.0" encoding="utf-8"?>
<ds:datastoreItem xmlns:ds="http://schemas.openxmlformats.org/officeDocument/2006/customXml" ds:itemID="{B44AEC79-DD89-4F9D-9292-C4B272690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C8F24A8-3550-4799-A0BB-5B160C235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2105</Words>
  <Characters>12000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Permit Overview Template 1</vt:lpstr>
    </vt:vector>
  </TitlesOfParts>
  <Company>State of Oregon Department of Environmental Quality</Company>
  <LinksUpToDate>false</LinksUpToDate>
  <CharactersWithSpaces>14077</CharactersWithSpaces>
  <SharedDoc>false</SharedDoc>
  <HLinks>
    <vt:vector size="66" baseType="variant">
      <vt:variant>
        <vt:i4>1572912</vt:i4>
      </vt:variant>
      <vt:variant>
        <vt:i4>62</vt:i4>
      </vt:variant>
      <vt:variant>
        <vt:i4>0</vt:i4>
      </vt:variant>
      <vt:variant>
        <vt:i4>5</vt:i4>
      </vt:variant>
      <vt:variant>
        <vt:lpwstr/>
      </vt:variant>
      <vt:variant>
        <vt:lpwstr>_Toc286736763</vt:lpwstr>
      </vt:variant>
      <vt:variant>
        <vt:i4>1572912</vt:i4>
      </vt:variant>
      <vt:variant>
        <vt:i4>56</vt:i4>
      </vt:variant>
      <vt:variant>
        <vt:i4>0</vt:i4>
      </vt:variant>
      <vt:variant>
        <vt:i4>5</vt:i4>
      </vt:variant>
      <vt:variant>
        <vt:lpwstr/>
      </vt:variant>
      <vt:variant>
        <vt:lpwstr>_Toc286736762</vt:lpwstr>
      </vt:variant>
      <vt:variant>
        <vt:i4>1572912</vt:i4>
      </vt:variant>
      <vt:variant>
        <vt:i4>50</vt:i4>
      </vt:variant>
      <vt:variant>
        <vt:i4>0</vt:i4>
      </vt:variant>
      <vt:variant>
        <vt:i4>5</vt:i4>
      </vt:variant>
      <vt:variant>
        <vt:lpwstr/>
      </vt:variant>
      <vt:variant>
        <vt:lpwstr>_Toc286736761</vt:lpwstr>
      </vt:variant>
      <vt:variant>
        <vt:i4>1572912</vt:i4>
      </vt:variant>
      <vt:variant>
        <vt:i4>44</vt:i4>
      </vt:variant>
      <vt:variant>
        <vt:i4>0</vt:i4>
      </vt:variant>
      <vt:variant>
        <vt:i4>5</vt:i4>
      </vt:variant>
      <vt:variant>
        <vt:lpwstr/>
      </vt:variant>
      <vt:variant>
        <vt:lpwstr>_Toc286736760</vt:lpwstr>
      </vt:variant>
      <vt:variant>
        <vt:i4>1769520</vt:i4>
      </vt:variant>
      <vt:variant>
        <vt:i4>38</vt:i4>
      </vt:variant>
      <vt:variant>
        <vt:i4>0</vt:i4>
      </vt:variant>
      <vt:variant>
        <vt:i4>5</vt:i4>
      </vt:variant>
      <vt:variant>
        <vt:lpwstr/>
      </vt:variant>
      <vt:variant>
        <vt:lpwstr>_Toc286736759</vt:lpwstr>
      </vt:variant>
      <vt:variant>
        <vt:i4>1769520</vt:i4>
      </vt:variant>
      <vt:variant>
        <vt:i4>32</vt:i4>
      </vt:variant>
      <vt:variant>
        <vt:i4>0</vt:i4>
      </vt:variant>
      <vt:variant>
        <vt:i4>5</vt:i4>
      </vt:variant>
      <vt:variant>
        <vt:lpwstr/>
      </vt:variant>
      <vt:variant>
        <vt:lpwstr>_Toc286736758</vt:lpwstr>
      </vt:variant>
      <vt:variant>
        <vt:i4>1769520</vt:i4>
      </vt:variant>
      <vt:variant>
        <vt:i4>26</vt:i4>
      </vt:variant>
      <vt:variant>
        <vt:i4>0</vt:i4>
      </vt:variant>
      <vt:variant>
        <vt:i4>5</vt:i4>
      </vt:variant>
      <vt:variant>
        <vt:lpwstr/>
      </vt:variant>
      <vt:variant>
        <vt:lpwstr>_Toc286736757</vt:lpwstr>
      </vt:variant>
      <vt:variant>
        <vt:i4>1769520</vt:i4>
      </vt:variant>
      <vt:variant>
        <vt:i4>20</vt:i4>
      </vt:variant>
      <vt:variant>
        <vt:i4>0</vt:i4>
      </vt:variant>
      <vt:variant>
        <vt:i4>5</vt:i4>
      </vt:variant>
      <vt:variant>
        <vt:lpwstr/>
      </vt:variant>
      <vt:variant>
        <vt:lpwstr>_Toc286736756</vt:lpwstr>
      </vt:variant>
      <vt:variant>
        <vt:i4>1769520</vt:i4>
      </vt:variant>
      <vt:variant>
        <vt:i4>14</vt:i4>
      </vt:variant>
      <vt:variant>
        <vt:i4>0</vt:i4>
      </vt:variant>
      <vt:variant>
        <vt:i4>5</vt:i4>
      </vt:variant>
      <vt:variant>
        <vt:lpwstr/>
      </vt:variant>
      <vt:variant>
        <vt:lpwstr>_Toc286736755</vt:lpwstr>
      </vt:variant>
      <vt:variant>
        <vt:i4>1769520</vt:i4>
      </vt:variant>
      <vt:variant>
        <vt:i4>8</vt:i4>
      </vt:variant>
      <vt:variant>
        <vt:i4>0</vt:i4>
      </vt:variant>
      <vt:variant>
        <vt:i4>5</vt:i4>
      </vt:variant>
      <vt:variant>
        <vt:lpwstr/>
      </vt:variant>
      <vt:variant>
        <vt:lpwstr>_Toc286736754</vt:lpwstr>
      </vt:variant>
      <vt:variant>
        <vt:i4>1769520</vt:i4>
      </vt:variant>
      <vt:variant>
        <vt:i4>2</vt:i4>
      </vt:variant>
      <vt:variant>
        <vt:i4>0</vt:i4>
      </vt:variant>
      <vt:variant>
        <vt:i4>5</vt:i4>
      </vt:variant>
      <vt:variant>
        <vt:lpwstr/>
      </vt:variant>
      <vt:variant>
        <vt:lpwstr>_Toc286736753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 Overview Template 1</dc:title>
  <dc:subject/>
  <dc:creator>rsakata</dc:creator>
  <cp:keywords/>
  <dc:description/>
  <cp:lastModifiedBy>HNIDEY Emil</cp:lastModifiedBy>
  <cp:revision>5</cp:revision>
  <cp:lastPrinted>2017-11-17T19:44:00Z</cp:lastPrinted>
  <dcterms:created xsi:type="dcterms:W3CDTF">2018-08-10T04:24:00Z</dcterms:created>
  <dcterms:modified xsi:type="dcterms:W3CDTF">2018-08-14T15:21:00Z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0x0101006A75AB721429DF49A9E6C3119C1D44EB</vt:lpwstr>
  </property>
</Properties>
</file>