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559" w:rsidRDefault="0037070C">
      <w:pPr>
        <w:pStyle w:val="BodyText"/>
        <w:spacing w:before="41"/>
        <w:ind w:left="2361"/>
      </w:pPr>
      <w:r>
        <w:t>LRAPA Open Burning Rule Revision - Technical Support Document</w:t>
      </w:r>
    </w:p>
    <w:p w:rsidR="003C3559" w:rsidRDefault="003C3559">
      <w:pPr>
        <w:rPr>
          <w:b/>
          <w:sz w:val="24"/>
        </w:rPr>
      </w:pPr>
      <w:bookmarkStart w:id="0" w:name="_GoBack"/>
    </w:p>
    <w:bookmarkEnd w:id="0"/>
    <w:p w:rsidR="003C3559" w:rsidRDefault="003C3559">
      <w:pPr>
        <w:rPr>
          <w:b/>
          <w:sz w:val="24"/>
        </w:rPr>
      </w:pPr>
    </w:p>
    <w:p w:rsidR="003C3559" w:rsidRDefault="003C3559">
      <w:pPr>
        <w:rPr>
          <w:b/>
          <w:sz w:val="24"/>
        </w:rPr>
      </w:pPr>
    </w:p>
    <w:p w:rsidR="003C3559" w:rsidRDefault="003C3559">
      <w:pPr>
        <w:rPr>
          <w:b/>
          <w:sz w:val="24"/>
        </w:rPr>
      </w:pPr>
    </w:p>
    <w:p w:rsidR="003C3559" w:rsidRDefault="0037070C">
      <w:pPr>
        <w:pStyle w:val="BodyText"/>
        <w:ind w:left="2361"/>
      </w:pPr>
      <w:r>
        <w:t>Summary of LRAPA Staff Evaluation of Revisions to LRAPA Title 47.</w:t>
      </w:r>
    </w:p>
    <w:p w:rsidR="003C3559" w:rsidRDefault="003C3559">
      <w:pPr>
        <w:spacing w:before="2" w:after="1"/>
        <w:rPr>
          <w:b/>
          <w:sz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6304"/>
        <w:gridCol w:w="1255"/>
      </w:tblGrid>
      <w:tr w:rsidR="003C3559">
        <w:trPr>
          <w:trHeight w:val="1463"/>
        </w:trPr>
        <w:tc>
          <w:tcPr>
            <w:tcW w:w="3243" w:type="dxa"/>
          </w:tcPr>
          <w:p w:rsidR="003C3559" w:rsidRDefault="0037070C">
            <w:pPr>
              <w:pStyle w:val="TableParagraph"/>
              <w:spacing w:line="292" w:lineRule="exact"/>
              <w:rPr>
                <w:b/>
                <w:sz w:val="24"/>
              </w:rPr>
            </w:pPr>
            <w:r>
              <w:rPr>
                <w:b/>
                <w:sz w:val="24"/>
              </w:rPr>
              <w:t>New Provisions</w:t>
            </w:r>
          </w:p>
        </w:tc>
        <w:tc>
          <w:tcPr>
            <w:tcW w:w="6304" w:type="dxa"/>
          </w:tcPr>
          <w:p w:rsidR="003C3559" w:rsidRDefault="0037070C">
            <w:pPr>
              <w:pStyle w:val="TableParagraph"/>
              <w:ind w:left="105" w:right="473"/>
              <w:rPr>
                <w:b/>
                <w:sz w:val="24"/>
              </w:rPr>
            </w:pPr>
            <w:r>
              <w:rPr>
                <w:b/>
                <w:sz w:val="24"/>
              </w:rPr>
              <w:t>LRAPA Evaluation of Comparison to current SIP approved provisions</w:t>
            </w:r>
          </w:p>
        </w:tc>
        <w:tc>
          <w:tcPr>
            <w:tcW w:w="1255" w:type="dxa"/>
          </w:tcPr>
          <w:p w:rsidR="003C3559" w:rsidRDefault="0037070C">
            <w:pPr>
              <w:pStyle w:val="TableParagraph"/>
              <w:ind w:right="108"/>
              <w:rPr>
                <w:b/>
                <w:sz w:val="24"/>
              </w:rPr>
            </w:pPr>
            <w:r>
              <w:rPr>
                <w:b/>
                <w:sz w:val="24"/>
              </w:rPr>
              <w:t>Is the revision less stringent?</w:t>
            </w:r>
          </w:p>
        </w:tc>
      </w:tr>
      <w:tr w:rsidR="003C3559">
        <w:trPr>
          <w:trHeight w:val="3811"/>
        </w:trPr>
        <w:tc>
          <w:tcPr>
            <w:tcW w:w="3243" w:type="dxa"/>
          </w:tcPr>
          <w:p w:rsidR="003C3559" w:rsidRDefault="0037070C">
            <w:pPr>
              <w:pStyle w:val="TableParagraph"/>
              <w:spacing w:before="1"/>
              <w:rPr>
                <w:sz w:val="24"/>
              </w:rPr>
            </w:pPr>
            <w:r>
              <w:rPr>
                <w:sz w:val="24"/>
              </w:rPr>
              <w:t>Revisions throughout title 47</w:t>
            </w:r>
          </w:p>
        </w:tc>
        <w:tc>
          <w:tcPr>
            <w:tcW w:w="6304" w:type="dxa"/>
          </w:tcPr>
          <w:p w:rsidR="003C3559" w:rsidRDefault="0037070C">
            <w:pPr>
              <w:pStyle w:val="TableParagraph"/>
              <w:spacing w:before="1"/>
              <w:ind w:left="105" w:right="393"/>
              <w:rPr>
                <w:sz w:val="24"/>
              </w:rPr>
            </w:pPr>
            <w:r>
              <w:rPr>
                <w:sz w:val="24"/>
              </w:rPr>
              <w:t>The following minor revisions occur throughout the revised rules:</w:t>
            </w:r>
          </w:p>
          <w:p w:rsidR="003C3559" w:rsidRDefault="0037070C">
            <w:pPr>
              <w:pStyle w:val="TableParagraph"/>
              <w:numPr>
                <w:ilvl w:val="0"/>
                <w:numId w:val="6"/>
              </w:numPr>
              <w:tabs>
                <w:tab w:val="left" w:pos="609"/>
                <w:tab w:val="left" w:pos="610"/>
              </w:tabs>
              <w:spacing w:before="1"/>
              <w:ind w:right="200"/>
              <w:rPr>
                <w:sz w:val="24"/>
              </w:rPr>
            </w:pPr>
            <w:r>
              <w:rPr>
                <w:sz w:val="24"/>
              </w:rPr>
              <w:t>The term “open burning” has been changed to</w:t>
            </w:r>
            <w:r>
              <w:rPr>
                <w:spacing w:val="-25"/>
                <w:sz w:val="24"/>
              </w:rPr>
              <w:t xml:space="preserve"> </w:t>
            </w:r>
            <w:r>
              <w:rPr>
                <w:sz w:val="24"/>
              </w:rPr>
              <w:t>“outdoor burning”. Though “open burning” is currently defined as any burning that is conducted outside or outdoors r</w:t>
            </w:r>
            <w:r>
              <w:rPr>
                <w:sz w:val="24"/>
              </w:rPr>
              <w:t xml:space="preserve">egardless of the containment, the consensus is that to avoid confusion regarding outdoor burning that may be conducted in some sort of container or enclosure </w:t>
            </w:r>
            <w:r>
              <w:rPr>
                <w:spacing w:val="1"/>
                <w:sz w:val="24"/>
              </w:rPr>
              <w:t xml:space="preserve">as </w:t>
            </w:r>
            <w:r>
              <w:rPr>
                <w:sz w:val="24"/>
              </w:rPr>
              <w:t>not “open burning”.</w:t>
            </w:r>
          </w:p>
          <w:p w:rsidR="003C3559" w:rsidRDefault="0037070C">
            <w:pPr>
              <w:pStyle w:val="TableParagraph"/>
              <w:numPr>
                <w:ilvl w:val="0"/>
                <w:numId w:val="6"/>
              </w:numPr>
              <w:tabs>
                <w:tab w:val="left" w:pos="609"/>
                <w:tab w:val="left" w:pos="610"/>
              </w:tabs>
              <w:ind w:right="238"/>
              <w:rPr>
                <w:sz w:val="24"/>
              </w:rPr>
            </w:pPr>
            <w:r>
              <w:rPr>
                <w:sz w:val="24"/>
              </w:rPr>
              <w:t xml:space="preserve">Reference to the Eugene-Springfield Urban Growth Boundary (ESUGB) has been </w:t>
            </w:r>
            <w:r>
              <w:rPr>
                <w:sz w:val="24"/>
              </w:rPr>
              <w:t>changed to distinguish that Eugene and Springfield each have separate and</w:t>
            </w:r>
            <w:r>
              <w:rPr>
                <w:spacing w:val="-16"/>
                <w:sz w:val="24"/>
              </w:rPr>
              <w:t xml:space="preserve"> </w:t>
            </w:r>
            <w:r>
              <w:rPr>
                <w:sz w:val="24"/>
              </w:rPr>
              <w:t>distinct</w:t>
            </w:r>
          </w:p>
          <w:p w:rsidR="003C3559" w:rsidRDefault="0037070C">
            <w:pPr>
              <w:pStyle w:val="TableParagraph"/>
              <w:spacing w:line="275" w:lineRule="exact"/>
              <w:ind w:left="609"/>
              <w:rPr>
                <w:sz w:val="24"/>
              </w:rPr>
            </w:pPr>
            <w:r>
              <w:rPr>
                <w:sz w:val="24"/>
              </w:rPr>
              <w:t>Urban Growth Boundaries.</w:t>
            </w:r>
          </w:p>
        </w:tc>
        <w:tc>
          <w:tcPr>
            <w:tcW w:w="1255" w:type="dxa"/>
          </w:tcPr>
          <w:p w:rsidR="003C3559" w:rsidRDefault="0037070C">
            <w:pPr>
              <w:pStyle w:val="TableParagraph"/>
              <w:spacing w:before="1"/>
              <w:rPr>
                <w:sz w:val="24"/>
              </w:rPr>
            </w:pPr>
            <w:r>
              <w:rPr>
                <w:sz w:val="24"/>
              </w:rPr>
              <w:t>No</w:t>
            </w:r>
          </w:p>
        </w:tc>
      </w:tr>
      <w:tr w:rsidR="003C3559">
        <w:trPr>
          <w:trHeight w:val="1463"/>
        </w:trPr>
        <w:tc>
          <w:tcPr>
            <w:tcW w:w="3243" w:type="dxa"/>
          </w:tcPr>
          <w:p w:rsidR="003C3559" w:rsidRDefault="0037070C">
            <w:pPr>
              <w:pStyle w:val="TableParagraph"/>
              <w:spacing w:line="292" w:lineRule="exact"/>
              <w:rPr>
                <w:sz w:val="24"/>
              </w:rPr>
            </w:pPr>
            <w:r>
              <w:rPr>
                <w:sz w:val="24"/>
              </w:rPr>
              <w:t>47-001 General Policy</w:t>
            </w:r>
          </w:p>
        </w:tc>
        <w:tc>
          <w:tcPr>
            <w:tcW w:w="6304" w:type="dxa"/>
          </w:tcPr>
          <w:p w:rsidR="003C3559" w:rsidRDefault="0037070C">
            <w:pPr>
              <w:pStyle w:val="TableParagraph"/>
              <w:numPr>
                <w:ilvl w:val="0"/>
                <w:numId w:val="5"/>
              </w:numPr>
              <w:tabs>
                <w:tab w:val="left" w:pos="825"/>
                <w:tab w:val="left" w:pos="826"/>
              </w:tabs>
              <w:spacing w:line="292" w:lineRule="exact"/>
              <w:rPr>
                <w:sz w:val="24"/>
              </w:rPr>
            </w:pPr>
            <w:r>
              <w:rPr>
                <w:sz w:val="24"/>
              </w:rPr>
              <w:t>The term “areas covered by” the Department</w:t>
            </w:r>
            <w:r>
              <w:rPr>
                <w:spacing w:val="-13"/>
                <w:sz w:val="24"/>
              </w:rPr>
              <w:t xml:space="preserve"> </w:t>
            </w:r>
            <w:r>
              <w:rPr>
                <w:sz w:val="24"/>
              </w:rPr>
              <w:t>of</w:t>
            </w:r>
          </w:p>
          <w:p w:rsidR="003C3559" w:rsidRDefault="0037070C">
            <w:pPr>
              <w:pStyle w:val="TableParagraph"/>
              <w:ind w:left="825"/>
              <w:rPr>
                <w:sz w:val="24"/>
              </w:rPr>
            </w:pPr>
            <w:r>
              <w:rPr>
                <w:sz w:val="24"/>
              </w:rPr>
              <w:t>Forestry has been added as a language clarification.</w:t>
            </w:r>
          </w:p>
          <w:p w:rsidR="003C3559" w:rsidRDefault="0037070C">
            <w:pPr>
              <w:pStyle w:val="TableParagraph"/>
              <w:numPr>
                <w:ilvl w:val="0"/>
                <w:numId w:val="5"/>
              </w:numPr>
              <w:tabs>
                <w:tab w:val="left" w:pos="825"/>
                <w:tab w:val="left" w:pos="826"/>
              </w:tabs>
              <w:spacing w:line="290" w:lineRule="atLeast"/>
              <w:ind w:right="127"/>
              <w:rPr>
                <w:sz w:val="24"/>
              </w:rPr>
            </w:pPr>
            <w:r>
              <w:rPr>
                <w:sz w:val="24"/>
              </w:rPr>
              <w:t>The terms “bonfires and for ecological conversion” has been included on the basis that LRAPA also issues permits for that type of outdoor</w:t>
            </w:r>
            <w:r>
              <w:rPr>
                <w:spacing w:val="-5"/>
                <w:sz w:val="24"/>
              </w:rPr>
              <w:t xml:space="preserve"> </w:t>
            </w:r>
            <w:r>
              <w:rPr>
                <w:sz w:val="24"/>
              </w:rPr>
              <w:t>burning.</w:t>
            </w:r>
          </w:p>
        </w:tc>
        <w:tc>
          <w:tcPr>
            <w:tcW w:w="1255" w:type="dxa"/>
          </w:tcPr>
          <w:p w:rsidR="003C3559" w:rsidRDefault="0037070C">
            <w:pPr>
              <w:pStyle w:val="TableParagraph"/>
              <w:ind w:right="205"/>
              <w:jc w:val="both"/>
              <w:rPr>
                <w:sz w:val="24"/>
              </w:rPr>
            </w:pPr>
            <w:r>
              <w:rPr>
                <w:sz w:val="24"/>
              </w:rPr>
              <w:t>Language Clarificati on</w:t>
            </w:r>
          </w:p>
        </w:tc>
      </w:tr>
      <w:tr w:rsidR="003C3559">
        <w:trPr>
          <w:trHeight w:val="1170"/>
        </w:trPr>
        <w:tc>
          <w:tcPr>
            <w:tcW w:w="3243" w:type="dxa"/>
          </w:tcPr>
          <w:p w:rsidR="003C3559" w:rsidRDefault="0037070C">
            <w:pPr>
              <w:pStyle w:val="TableParagraph"/>
              <w:ind w:right="700"/>
              <w:rPr>
                <w:sz w:val="24"/>
              </w:rPr>
            </w:pPr>
            <w:r>
              <w:rPr>
                <w:sz w:val="24"/>
              </w:rPr>
              <w:t>47-005 Exemptions from These Rules, 1.C.</w:t>
            </w:r>
          </w:p>
        </w:tc>
        <w:tc>
          <w:tcPr>
            <w:tcW w:w="6304" w:type="dxa"/>
          </w:tcPr>
          <w:p w:rsidR="003C3559" w:rsidRDefault="0037070C">
            <w:pPr>
              <w:pStyle w:val="TableParagraph"/>
              <w:tabs>
                <w:tab w:val="left" w:pos="825"/>
              </w:tabs>
              <w:ind w:left="825" w:right="386" w:hanging="360"/>
              <w:rPr>
                <w:sz w:val="24"/>
              </w:rPr>
            </w:pPr>
            <w:r>
              <w:rPr>
                <w:sz w:val="24"/>
              </w:rPr>
              <w:t>-</w:t>
            </w:r>
            <w:r>
              <w:rPr>
                <w:sz w:val="24"/>
              </w:rPr>
              <w:tab/>
            </w:r>
            <w:r>
              <w:rPr>
                <w:sz w:val="24"/>
              </w:rPr>
              <w:t>Added language from DEQ rules that reference agricultural outdoor burning and certain restrictions that may apply. Same requirements – formalized</w:t>
            </w:r>
            <w:r>
              <w:rPr>
                <w:spacing w:val="-15"/>
                <w:sz w:val="24"/>
              </w:rPr>
              <w:t xml:space="preserve"> </w:t>
            </w:r>
            <w:r>
              <w:rPr>
                <w:sz w:val="24"/>
              </w:rPr>
              <w:t>in</w:t>
            </w:r>
          </w:p>
          <w:p w:rsidR="003C3559" w:rsidRDefault="0037070C">
            <w:pPr>
              <w:pStyle w:val="TableParagraph"/>
              <w:spacing w:line="273" w:lineRule="exact"/>
              <w:ind w:left="825"/>
              <w:rPr>
                <w:sz w:val="24"/>
              </w:rPr>
            </w:pPr>
            <w:r>
              <w:rPr>
                <w:sz w:val="24"/>
              </w:rPr>
              <w:t>amended</w:t>
            </w:r>
          </w:p>
        </w:tc>
        <w:tc>
          <w:tcPr>
            <w:tcW w:w="1255" w:type="dxa"/>
          </w:tcPr>
          <w:p w:rsidR="003C3559" w:rsidRDefault="0037070C">
            <w:pPr>
              <w:pStyle w:val="TableParagraph"/>
              <w:spacing w:line="292" w:lineRule="exact"/>
              <w:rPr>
                <w:sz w:val="24"/>
              </w:rPr>
            </w:pPr>
            <w:r>
              <w:rPr>
                <w:sz w:val="24"/>
              </w:rPr>
              <w:t>No</w:t>
            </w:r>
          </w:p>
        </w:tc>
      </w:tr>
      <w:tr w:rsidR="003C3559">
        <w:trPr>
          <w:trHeight w:val="2052"/>
        </w:trPr>
        <w:tc>
          <w:tcPr>
            <w:tcW w:w="3243" w:type="dxa"/>
          </w:tcPr>
          <w:p w:rsidR="003C3559" w:rsidRDefault="0037070C">
            <w:pPr>
              <w:pStyle w:val="TableParagraph"/>
              <w:spacing w:before="1"/>
              <w:ind w:right="700"/>
              <w:rPr>
                <w:sz w:val="24"/>
              </w:rPr>
            </w:pPr>
            <w:r>
              <w:rPr>
                <w:sz w:val="24"/>
              </w:rPr>
              <w:t>47-005 Exemptions from These Rules, 2.A.</w:t>
            </w:r>
          </w:p>
        </w:tc>
        <w:tc>
          <w:tcPr>
            <w:tcW w:w="6304" w:type="dxa"/>
          </w:tcPr>
          <w:p w:rsidR="003C3559" w:rsidRDefault="0037070C">
            <w:pPr>
              <w:pStyle w:val="TableParagraph"/>
              <w:numPr>
                <w:ilvl w:val="0"/>
                <w:numId w:val="4"/>
              </w:numPr>
              <w:tabs>
                <w:tab w:val="left" w:pos="825"/>
                <w:tab w:val="left" w:pos="826"/>
              </w:tabs>
              <w:spacing w:before="1"/>
              <w:rPr>
                <w:sz w:val="24"/>
              </w:rPr>
            </w:pPr>
            <w:r>
              <w:rPr>
                <w:sz w:val="24"/>
              </w:rPr>
              <w:t>Language</w:t>
            </w:r>
            <w:r>
              <w:rPr>
                <w:spacing w:val="-2"/>
                <w:sz w:val="24"/>
              </w:rPr>
              <w:t xml:space="preserve"> </w:t>
            </w:r>
            <w:r>
              <w:rPr>
                <w:sz w:val="24"/>
              </w:rPr>
              <w:t>clarification</w:t>
            </w:r>
          </w:p>
          <w:p w:rsidR="003C3559" w:rsidRDefault="0037070C">
            <w:pPr>
              <w:pStyle w:val="TableParagraph"/>
              <w:numPr>
                <w:ilvl w:val="0"/>
                <w:numId w:val="4"/>
              </w:numPr>
              <w:tabs>
                <w:tab w:val="left" w:pos="825"/>
                <w:tab w:val="left" w:pos="826"/>
              </w:tabs>
              <w:rPr>
                <w:sz w:val="24"/>
              </w:rPr>
            </w:pPr>
            <w:r>
              <w:rPr>
                <w:sz w:val="24"/>
              </w:rPr>
              <w:t>The language “during the months of</w:t>
            </w:r>
            <w:r>
              <w:rPr>
                <w:spacing w:val="-8"/>
                <w:sz w:val="24"/>
              </w:rPr>
              <w:t xml:space="preserve"> </w:t>
            </w:r>
            <w:r>
              <w:rPr>
                <w:sz w:val="24"/>
              </w:rPr>
              <w:t>November,</w:t>
            </w:r>
          </w:p>
          <w:p w:rsidR="003C3559" w:rsidRDefault="0037070C">
            <w:pPr>
              <w:pStyle w:val="TableParagraph"/>
              <w:ind w:left="825" w:right="130"/>
              <w:rPr>
                <w:sz w:val="24"/>
              </w:rPr>
            </w:pPr>
            <w:r>
              <w:rPr>
                <w:sz w:val="24"/>
              </w:rPr>
              <w:t>December, January and February” has been deleted to provide for the option or possibility of change in the Home Wood Heating season advisory set by LRAPA without the requirement of amending the “Outdoor</w:t>
            </w:r>
          </w:p>
          <w:p w:rsidR="003C3559" w:rsidRDefault="0037070C">
            <w:pPr>
              <w:pStyle w:val="TableParagraph"/>
              <w:spacing w:line="273" w:lineRule="exact"/>
              <w:ind w:left="825"/>
              <w:rPr>
                <w:sz w:val="24"/>
              </w:rPr>
            </w:pPr>
            <w:r>
              <w:rPr>
                <w:sz w:val="24"/>
              </w:rPr>
              <w:t>Burning”</w:t>
            </w:r>
            <w:r>
              <w:rPr>
                <w:sz w:val="24"/>
              </w:rPr>
              <w:t xml:space="preserve"> rules.</w:t>
            </w:r>
          </w:p>
        </w:tc>
        <w:tc>
          <w:tcPr>
            <w:tcW w:w="1255" w:type="dxa"/>
          </w:tcPr>
          <w:p w:rsidR="003C3559" w:rsidRDefault="0037070C">
            <w:pPr>
              <w:pStyle w:val="TableParagraph"/>
              <w:spacing w:before="1"/>
              <w:rPr>
                <w:sz w:val="24"/>
              </w:rPr>
            </w:pPr>
            <w:r>
              <w:rPr>
                <w:sz w:val="24"/>
              </w:rPr>
              <w:t>No</w:t>
            </w:r>
          </w:p>
        </w:tc>
      </w:tr>
      <w:tr w:rsidR="003C3559">
        <w:trPr>
          <w:trHeight w:val="1173"/>
        </w:trPr>
        <w:tc>
          <w:tcPr>
            <w:tcW w:w="3243" w:type="dxa"/>
          </w:tcPr>
          <w:p w:rsidR="003C3559" w:rsidRDefault="0037070C">
            <w:pPr>
              <w:pStyle w:val="TableParagraph"/>
              <w:ind w:right="700"/>
              <w:rPr>
                <w:sz w:val="24"/>
              </w:rPr>
            </w:pPr>
            <w:r>
              <w:rPr>
                <w:sz w:val="24"/>
              </w:rPr>
              <w:t>47-005 Exemptions from These Rules, 2.B.</w:t>
            </w:r>
          </w:p>
        </w:tc>
        <w:tc>
          <w:tcPr>
            <w:tcW w:w="6304" w:type="dxa"/>
          </w:tcPr>
          <w:p w:rsidR="003C3559" w:rsidRDefault="0037070C">
            <w:pPr>
              <w:pStyle w:val="TableParagraph"/>
              <w:numPr>
                <w:ilvl w:val="0"/>
                <w:numId w:val="3"/>
              </w:numPr>
              <w:tabs>
                <w:tab w:val="left" w:pos="825"/>
                <w:tab w:val="left" w:pos="826"/>
              </w:tabs>
              <w:spacing w:line="292" w:lineRule="exact"/>
              <w:rPr>
                <w:sz w:val="24"/>
              </w:rPr>
            </w:pPr>
            <w:r>
              <w:rPr>
                <w:sz w:val="24"/>
              </w:rPr>
              <w:t>Language</w:t>
            </w:r>
            <w:r>
              <w:rPr>
                <w:spacing w:val="-3"/>
                <w:sz w:val="24"/>
              </w:rPr>
              <w:t xml:space="preserve"> </w:t>
            </w:r>
            <w:r>
              <w:rPr>
                <w:sz w:val="24"/>
              </w:rPr>
              <w:t>Clarification</w:t>
            </w:r>
          </w:p>
          <w:p w:rsidR="003C3559" w:rsidRDefault="0037070C">
            <w:pPr>
              <w:pStyle w:val="TableParagraph"/>
              <w:numPr>
                <w:ilvl w:val="0"/>
                <w:numId w:val="3"/>
              </w:numPr>
              <w:tabs>
                <w:tab w:val="left" w:pos="825"/>
                <w:tab w:val="left" w:pos="826"/>
              </w:tabs>
              <w:ind w:right="237"/>
              <w:rPr>
                <w:sz w:val="24"/>
              </w:rPr>
            </w:pPr>
            <w:r>
              <w:rPr>
                <w:sz w:val="24"/>
              </w:rPr>
              <w:t>The revision adds that “woody yard trimmings, leaves and grass clippings” shall not be burned as a</w:t>
            </w:r>
            <w:r>
              <w:rPr>
                <w:spacing w:val="-17"/>
                <w:sz w:val="24"/>
              </w:rPr>
              <w:t xml:space="preserve"> </w:t>
            </w:r>
            <w:r>
              <w:rPr>
                <w:sz w:val="24"/>
              </w:rPr>
              <w:t>cooking</w:t>
            </w:r>
          </w:p>
          <w:p w:rsidR="003C3559" w:rsidRDefault="0037070C">
            <w:pPr>
              <w:pStyle w:val="TableParagraph"/>
              <w:spacing w:before="2" w:line="273" w:lineRule="exact"/>
              <w:ind w:left="825"/>
              <w:rPr>
                <w:sz w:val="24"/>
              </w:rPr>
            </w:pPr>
            <w:r>
              <w:rPr>
                <w:sz w:val="24"/>
              </w:rPr>
              <w:t>fire. Provides consistency with the “Recreational Fire”</w:t>
            </w:r>
          </w:p>
        </w:tc>
        <w:tc>
          <w:tcPr>
            <w:tcW w:w="1255" w:type="dxa"/>
          </w:tcPr>
          <w:p w:rsidR="003C3559" w:rsidRDefault="0037070C">
            <w:pPr>
              <w:pStyle w:val="TableParagraph"/>
              <w:spacing w:line="292" w:lineRule="exact"/>
              <w:rPr>
                <w:sz w:val="24"/>
              </w:rPr>
            </w:pPr>
            <w:r>
              <w:rPr>
                <w:sz w:val="24"/>
              </w:rPr>
              <w:t>No</w:t>
            </w:r>
          </w:p>
        </w:tc>
      </w:tr>
    </w:tbl>
    <w:p w:rsidR="003C3559" w:rsidRDefault="003C3559">
      <w:pPr>
        <w:spacing w:line="292" w:lineRule="exact"/>
        <w:rPr>
          <w:sz w:val="24"/>
        </w:rPr>
        <w:sectPr w:rsidR="003C3559">
          <w:headerReference w:type="default" r:id="rId7"/>
          <w:footerReference w:type="default" r:id="rId8"/>
          <w:type w:val="continuous"/>
          <w:pgSz w:w="12240" w:h="15840"/>
          <w:pgMar w:top="1200" w:right="700" w:bottom="980" w:left="500" w:header="256" w:footer="799" w:gutter="0"/>
          <w:pgNumType w:start="1"/>
          <w:cols w:space="720"/>
        </w:sectPr>
      </w:pPr>
    </w:p>
    <w:p w:rsidR="003C3559" w:rsidRDefault="003C3559">
      <w:pPr>
        <w:pStyle w:val="BodyText"/>
        <w:spacing w:before="7"/>
        <w:rPr>
          <w:rFonts w:ascii="Times New Roman"/>
          <w:b w:val="0"/>
          <w:sz w:val="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6304"/>
        <w:gridCol w:w="1255"/>
      </w:tblGrid>
      <w:tr w:rsidR="003C3559">
        <w:trPr>
          <w:trHeight w:val="585"/>
        </w:trPr>
        <w:tc>
          <w:tcPr>
            <w:tcW w:w="3243" w:type="dxa"/>
          </w:tcPr>
          <w:p w:rsidR="003C3559" w:rsidRDefault="003C3559">
            <w:pPr>
              <w:pStyle w:val="TableParagraph"/>
              <w:ind w:left="0"/>
              <w:rPr>
                <w:rFonts w:ascii="Times New Roman"/>
              </w:rPr>
            </w:pPr>
          </w:p>
        </w:tc>
        <w:tc>
          <w:tcPr>
            <w:tcW w:w="6304" w:type="dxa"/>
          </w:tcPr>
          <w:p w:rsidR="003C3559" w:rsidRDefault="0037070C">
            <w:pPr>
              <w:pStyle w:val="TableParagraph"/>
              <w:spacing w:line="292" w:lineRule="exact"/>
              <w:ind w:left="825"/>
              <w:rPr>
                <w:sz w:val="24"/>
              </w:rPr>
            </w:pPr>
            <w:r>
              <w:rPr>
                <w:sz w:val="24"/>
              </w:rPr>
              <w:t>requirements. Eliminates defense that the intention of</w:t>
            </w:r>
          </w:p>
          <w:p w:rsidR="003C3559" w:rsidRDefault="0037070C">
            <w:pPr>
              <w:pStyle w:val="TableParagraph"/>
              <w:spacing w:line="273" w:lineRule="exact"/>
              <w:ind w:left="825"/>
              <w:rPr>
                <w:sz w:val="24"/>
              </w:rPr>
            </w:pPr>
            <w:r>
              <w:rPr>
                <w:sz w:val="24"/>
              </w:rPr>
              <w:t>burning that material is on the basis of “Cooking”</w:t>
            </w:r>
          </w:p>
        </w:tc>
        <w:tc>
          <w:tcPr>
            <w:tcW w:w="1255" w:type="dxa"/>
          </w:tcPr>
          <w:p w:rsidR="003C3559" w:rsidRDefault="003C3559">
            <w:pPr>
              <w:pStyle w:val="TableParagraph"/>
              <w:ind w:left="0"/>
              <w:rPr>
                <w:rFonts w:ascii="Times New Roman"/>
              </w:rPr>
            </w:pPr>
          </w:p>
        </w:tc>
      </w:tr>
      <w:tr w:rsidR="003C3559">
        <w:trPr>
          <w:trHeight w:val="1156"/>
        </w:trPr>
        <w:tc>
          <w:tcPr>
            <w:tcW w:w="3243" w:type="dxa"/>
          </w:tcPr>
          <w:p w:rsidR="003C3559" w:rsidRDefault="0037070C">
            <w:pPr>
              <w:pStyle w:val="TableParagraph"/>
              <w:spacing w:line="242" w:lineRule="auto"/>
              <w:ind w:right="700"/>
              <w:rPr>
                <w:sz w:val="24"/>
              </w:rPr>
            </w:pPr>
            <w:r>
              <w:rPr>
                <w:sz w:val="24"/>
              </w:rPr>
              <w:t>47-005 Exemptions from These Rules, 2.C.</w:t>
            </w:r>
          </w:p>
        </w:tc>
        <w:tc>
          <w:tcPr>
            <w:tcW w:w="6304" w:type="dxa"/>
          </w:tcPr>
          <w:p w:rsidR="003C3559" w:rsidRDefault="0037070C">
            <w:pPr>
              <w:pStyle w:val="TableParagraph"/>
              <w:tabs>
                <w:tab w:val="left" w:pos="825"/>
              </w:tabs>
              <w:spacing w:line="242" w:lineRule="auto"/>
              <w:ind w:left="825" w:right="571" w:hanging="360"/>
              <w:rPr>
                <w:sz w:val="24"/>
              </w:rPr>
            </w:pPr>
            <w:r>
              <w:rPr>
                <w:sz w:val="24"/>
              </w:rPr>
              <w:t>-</w:t>
            </w:r>
            <w:r>
              <w:rPr>
                <w:sz w:val="24"/>
              </w:rPr>
              <w:tab/>
              <w:t>Defines materials that are prohibited as</w:t>
            </w:r>
            <w:r>
              <w:rPr>
                <w:spacing w:val="-23"/>
                <w:sz w:val="24"/>
              </w:rPr>
              <w:t xml:space="preserve"> </w:t>
            </w:r>
            <w:r>
              <w:rPr>
                <w:sz w:val="24"/>
              </w:rPr>
              <w:t>“Religious Ceremonial fire” material and limits the size of</w:t>
            </w:r>
            <w:r>
              <w:rPr>
                <w:spacing w:val="-17"/>
                <w:sz w:val="24"/>
              </w:rPr>
              <w:t xml:space="preserve"> </w:t>
            </w:r>
            <w:r>
              <w:rPr>
                <w:sz w:val="24"/>
              </w:rPr>
              <w:t>an</w:t>
            </w:r>
          </w:p>
          <w:p w:rsidR="003C3559" w:rsidRDefault="0037070C">
            <w:pPr>
              <w:pStyle w:val="TableParagraph"/>
              <w:spacing w:line="289" w:lineRule="exact"/>
              <w:ind w:left="825"/>
              <w:rPr>
                <w:rFonts w:ascii="Times New Roman"/>
                <w:sz w:val="24"/>
              </w:rPr>
            </w:pPr>
            <w:r>
              <w:rPr>
                <w:sz w:val="24"/>
              </w:rPr>
              <w:t>unpermitted fire</w:t>
            </w:r>
            <w:r>
              <w:rPr>
                <w:rFonts w:ascii="Times New Roman"/>
                <w:sz w:val="24"/>
              </w:rPr>
              <w:t>. Larger fires would be required to be</w:t>
            </w:r>
          </w:p>
          <w:p w:rsidR="003C3559" w:rsidRDefault="0037070C">
            <w:pPr>
              <w:pStyle w:val="TableParagraph"/>
              <w:spacing w:line="256" w:lineRule="exact"/>
              <w:ind w:left="825"/>
              <w:rPr>
                <w:rFonts w:ascii="Times New Roman" w:hAnsi="Times New Roman"/>
                <w:sz w:val="24"/>
              </w:rPr>
            </w:pPr>
            <w:r>
              <w:rPr>
                <w:rFonts w:ascii="Times New Roman" w:hAnsi="Times New Roman"/>
                <w:sz w:val="24"/>
              </w:rPr>
              <w:t>permitted under the “Bonfire” requirement.</w:t>
            </w:r>
          </w:p>
        </w:tc>
        <w:tc>
          <w:tcPr>
            <w:tcW w:w="1255" w:type="dxa"/>
          </w:tcPr>
          <w:p w:rsidR="003C3559" w:rsidRDefault="0037070C">
            <w:pPr>
              <w:pStyle w:val="TableParagraph"/>
              <w:spacing w:line="292" w:lineRule="exact"/>
              <w:rPr>
                <w:sz w:val="24"/>
              </w:rPr>
            </w:pPr>
            <w:r>
              <w:rPr>
                <w:sz w:val="24"/>
              </w:rPr>
              <w:t>No</w:t>
            </w:r>
          </w:p>
        </w:tc>
      </w:tr>
      <w:tr w:rsidR="003C3559">
        <w:trPr>
          <w:trHeight w:val="2049"/>
        </w:trPr>
        <w:tc>
          <w:tcPr>
            <w:tcW w:w="3243" w:type="dxa"/>
          </w:tcPr>
          <w:p w:rsidR="003C3559" w:rsidRDefault="0037070C">
            <w:pPr>
              <w:pStyle w:val="TableParagraph"/>
              <w:spacing w:line="292" w:lineRule="exact"/>
              <w:rPr>
                <w:sz w:val="24"/>
              </w:rPr>
            </w:pPr>
            <w:r>
              <w:rPr>
                <w:sz w:val="24"/>
              </w:rPr>
              <w:t>47-010 Definitions -</w:t>
            </w:r>
          </w:p>
          <w:p w:rsidR="003C3559" w:rsidRDefault="0037070C">
            <w:pPr>
              <w:pStyle w:val="TableParagraph"/>
              <w:rPr>
                <w:sz w:val="24"/>
              </w:rPr>
            </w:pPr>
            <w:r>
              <w:rPr>
                <w:sz w:val="24"/>
              </w:rPr>
              <w:t>“Bonfire”</w:t>
            </w:r>
          </w:p>
        </w:tc>
        <w:tc>
          <w:tcPr>
            <w:tcW w:w="6304" w:type="dxa"/>
          </w:tcPr>
          <w:p w:rsidR="003C3559" w:rsidRDefault="0037070C">
            <w:pPr>
              <w:pStyle w:val="TableParagraph"/>
              <w:tabs>
                <w:tab w:val="left" w:pos="825"/>
              </w:tabs>
              <w:spacing w:line="292" w:lineRule="exact"/>
              <w:ind w:left="465"/>
              <w:rPr>
                <w:sz w:val="24"/>
              </w:rPr>
            </w:pPr>
            <w:r>
              <w:rPr>
                <w:sz w:val="24"/>
              </w:rPr>
              <w:t>-</w:t>
            </w:r>
            <w:r>
              <w:rPr>
                <w:sz w:val="24"/>
              </w:rPr>
              <w:tab/>
              <w:t>LRAPA requires that a permit be obtained for</w:t>
            </w:r>
            <w:r>
              <w:rPr>
                <w:spacing w:val="-13"/>
                <w:sz w:val="24"/>
              </w:rPr>
              <w:t xml:space="preserve"> </w:t>
            </w:r>
            <w:r>
              <w:rPr>
                <w:sz w:val="24"/>
              </w:rPr>
              <w:t>a</w:t>
            </w:r>
          </w:p>
          <w:p w:rsidR="003C3559" w:rsidRDefault="0037070C">
            <w:pPr>
              <w:pStyle w:val="TableParagraph"/>
              <w:ind w:left="825"/>
              <w:rPr>
                <w:sz w:val="24"/>
              </w:rPr>
            </w:pPr>
            <w:r>
              <w:rPr>
                <w:sz w:val="24"/>
              </w:rPr>
              <w:t>“Bonfire” to further distinguish between what may be</w:t>
            </w:r>
          </w:p>
          <w:p w:rsidR="003C3559" w:rsidRDefault="0037070C">
            <w:pPr>
              <w:pStyle w:val="TableParagraph"/>
              <w:spacing w:line="290" w:lineRule="atLeast"/>
              <w:ind w:left="825" w:right="168"/>
              <w:rPr>
                <w:sz w:val="24"/>
              </w:rPr>
            </w:pPr>
            <w:r>
              <w:rPr>
                <w:sz w:val="24"/>
              </w:rPr>
              <w:t>allowed as “recreational’ of “religious ceremonial”. Volumes of material that may include milled wood that are of larger volume may be allowed subject to LRAPA permitting and fire suppression agency oversight or authorization.</w:t>
            </w:r>
          </w:p>
        </w:tc>
        <w:tc>
          <w:tcPr>
            <w:tcW w:w="1255" w:type="dxa"/>
          </w:tcPr>
          <w:p w:rsidR="003C3559" w:rsidRDefault="0037070C">
            <w:pPr>
              <w:pStyle w:val="TableParagraph"/>
              <w:spacing w:line="292" w:lineRule="exact"/>
              <w:rPr>
                <w:sz w:val="24"/>
              </w:rPr>
            </w:pPr>
            <w:r>
              <w:rPr>
                <w:sz w:val="24"/>
              </w:rPr>
              <w:t>No</w:t>
            </w:r>
          </w:p>
        </w:tc>
      </w:tr>
      <w:tr w:rsidR="003C3559">
        <w:trPr>
          <w:trHeight w:val="880"/>
        </w:trPr>
        <w:tc>
          <w:tcPr>
            <w:tcW w:w="3243" w:type="dxa"/>
          </w:tcPr>
          <w:p w:rsidR="003C3559" w:rsidRDefault="0037070C">
            <w:pPr>
              <w:pStyle w:val="TableParagraph"/>
              <w:spacing w:before="1"/>
              <w:rPr>
                <w:sz w:val="24"/>
              </w:rPr>
            </w:pPr>
            <w:r>
              <w:rPr>
                <w:sz w:val="24"/>
              </w:rPr>
              <w:t>47-010 Definitions -</w:t>
            </w:r>
          </w:p>
          <w:p w:rsidR="003C3559" w:rsidRDefault="0037070C">
            <w:pPr>
              <w:pStyle w:val="TableParagraph"/>
              <w:spacing w:line="290" w:lineRule="atLeast"/>
              <w:ind w:right="106"/>
              <w:rPr>
                <w:sz w:val="24"/>
              </w:rPr>
            </w:pPr>
            <w:r>
              <w:rPr>
                <w:sz w:val="24"/>
              </w:rPr>
              <w:t>“Eugene and Springfield Urban Growth Boundaries”</w:t>
            </w:r>
          </w:p>
        </w:tc>
        <w:tc>
          <w:tcPr>
            <w:tcW w:w="6304" w:type="dxa"/>
          </w:tcPr>
          <w:p w:rsidR="003C3559" w:rsidRDefault="0037070C">
            <w:pPr>
              <w:pStyle w:val="TableParagraph"/>
              <w:tabs>
                <w:tab w:val="left" w:pos="825"/>
              </w:tabs>
              <w:spacing w:before="1"/>
              <w:ind w:left="465"/>
              <w:rPr>
                <w:sz w:val="24"/>
              </w:rPr>
            </w:pPr>
            <w:r>
              <w:rPr>
                <w:sz w:val="24"/>
              </w:rPr>
              <w:t>-</w:t>
            </w:r>
            <w:r>
              <w:rPr>
                <w:sz w:val="24"/>
              </w:rPr>
              <w:tab/>
              <w:t>The “and” is included to recognize that Eugene</w:t>
            </w:r>
            <w:r>
              <w:rPr>
                <w:spacing w:val="-14"/>
                <w:sz w:val="24"/>
              </w:rPr>
              <w:t xml:space="preserve"> </w:t>
            </w:r>
            <w:r>
              <w:rPr>
                <w:sz w:val="24"/>
              </w:rPr>
              <w:t>and</w:t>
            </w:r>
          </w:p>
          <w:p w:rsidR="003C3559" w:rsidRDefault="0037070C">
            <w:pPr>
              <w:pStyle w:val="TableParagraph"/>
              <w:spacing w:line="290" w:lineRule="atLeast"/>
              <w:ind w:left="825" w:right="473"/>
              <w:rPr>
                <w:sz w:val="24"/>
              </w:rPr>
            </w:pPr>
            <w:r>
              <w:rPr>
                <w:sz w:val="24"/>
              </w:rPr>
              <w:t>Springfield each have separate and distinct Urban Growth Boundaries.</w:t>
            </w:r>
          </w:p>
        </w:tc>
        <w:tc>
          <w:tcPr>
            <w:tcW w:w="1255" w:type="dxa"/>
          </w:tcPr>
          <w:p w:rsidR="003C3559" w:rsidRDefault="0037070C">
            <w:pPr>
              <w:pStyle w:val="TableParagraph"/>
              <w:spacing w:before="1"/>
              <w:rPr>
                <w:sz w:val="24"/>
              </w:rPr>
            </w:pPr>
            <w:r>
              <w:rPr>
                <w:sz w:val="24"/>
              </w:rPr>
              <w:t>No</w:t>
            </w:r>
          </w:p>
        </w:tc>
      </w:tr>
      <w:tr w:rsidR="003C3559">
        <w:trPr>
          <w:trHeight w:val="585"/>
        </w:trPr>
        <w:tc>
          <w:tcPr>
            <w:tcW w:w="3243" w:type="dxa"/>
          </w:tcPr>
          <w:p w:rsidR="003C3559" w:rsidRDefault="0037070C">
            <w:pPr>
              <w:pStyle w:val="TableParagraph"/>
              <w:spacing w:line="292" w:lineRule="exact"/>
              <w:rPr>
                <w:sz w:val="24"/>
              </w:rPr>
            </w:pPr>
            <w:r>
              <w:rPr>
                <w:sz w:val="24"/>
              </w:rPr>
              <w:t>“Outdoor Burning (alternately</w:t>
            </w:r>
          </w:p>
          <w:p w:rsidR="003C3559" w:rsidRDefault="0037070C">
            <w:pPr>
              <w:pStyle w:val="TableParagraph"/>
              <w:spacing w:line="273" w:lineRule="exact"/>
              <w:rPr>
                <w:sz w:val="24"/>
              </w:rPr>
            </w:pPr>
            <w:r>
              <w:rPr>
                <w:sz w:val="24"/>
              </w:rPr>
              <w:t>referred to as open burning)”</w:t>
            </w:r>
          </w:p>
        </w:tc>
        <w:tc>
          <w:tcPr>
            <w:tcW w:w="6304" w:type="dxa"/>
          </w:tcPr>
          <w:p w:rsidR="003C3559" w:rsidRDefault="0037070C">
            <w:pPr>
              <w:pStyle w:val="TableParagraph"/>
              <w:tabs>
                <w:tab w:val="left" w:pos="825"/>
              </w:tabs>
              <w:spacing w:line="292" w:lineRule="exact"/>
              <w:ind w:left="465"/>
              <w:rPr>
                <w:sz w:val="24"/>
              </w:rPr>
            </w:pPr>
            <w:r>
              <w:rPr>
                <w:sz w:val="24"/>
              </w:rPr>
              <w:t>-</w:t>
            </w:r>
            <w:r>
              <w:rPr>
                <w:sz w:val="24"/>
              </w:rPr>
              <w:tab/>
            </w:r>
            <w:r>
              <w:rPr>
                <w:sz w:val="24"/>
              </w:rPr>
              <w:t>Recognition of the former</w:t>
            </w:r>
            <w:r>
              <w:rPr>
                <w:spacing w:val="-1"/>
                <w:sz w:val="24"/>
              </w:rPr>
              <w:t xml:space="preserve"> </w:t>
            </w:r>
            <w:r>
              <w:rPr>
                <w:sz w:val="24"/>
              </w:rPr>
              <w:t>definition</w:t>
            </w:r>
          </w:p>
        </w:tc>
        <w:tc>
          <w:tcPr>
            <w:tcW w:w="1255" w:type="dxa"/>
          </w:tcPr>
          <w:p w:rsidR="003C3559" w:rsidRDefault="003C3559">
            <w:pPr>
              <w:pStyle w:val="TableParagraph"/>
              <w:ind w:left="0"/>
              <w:rPr>
                <w:rFonts w:ascii="Times New Roman"/>
              </w:rPr>
            </w:pPr>
          </w:p>
        </w:tc>
      </w:tr>
      <w:tr w:rsidR="003C3559">
        <w:trPr>
          <w:trHeight w:val="877"/>
        </w:trPr>
        <w:tc>
          <w:tcPr>
            <w:tcW w:w="3243" w:type="dxa"/>
          </w:tcPr>
          <w:p w:rsidR="003C3559" w:rsidRDefault="0037070C">
            <w:pPr>
              <w:pStyle w:val="TableParagraph"/>
              <w:spacing w:line="292" w:lineRule="exact"/>
              <w:rPr>
                <w:sz w:val="24"/>
              </w:rPr>
            </w:pPr>
            <w:r>
              <w:rPr>
                <w:sz w:val="24"/>
              </w:rPr>
              <w:t>47-010 Definitions -</w:t>
            </w:r>
          </w:p>
          <w:p w:rsidR="003C3559" w:rsidRDefault="0037070C">
            <w:pPr>
              <w:pStyle w:val="TableParagraph"/>
              <w:spacing w:line="290" w:lineRule="atLeast"/>
              <w:ind w:right="724"/>
              <w:rPr>
                <w:sz w:val="24"/>
              </w:rPr>
            </w:pPr>
            <w:r>
              <w:rPr>
                <w:sz w:val="24"/>
              </w:rPr>
              <w:t>“Outdoor Burning Letter Permit”</w:t>
            </w:r>
          </w:p>
        </w:tc>
        <w:tc>
          <w:tcPr>
            <w:tcW w:w="6304" w:type="dxa"/>
          </w:tcPr>
          <w:p w:rsidR="003C3559" w:rsidRDefault="0037070C">
            <w:pPr>
              <w:pStyle w:val="TableParagraph"/>
              <w:tabs>
                <w:tab w:val="left" w:pos="825"/>
              </w:tabs>
              <w:spacing w:line="292" w:lineRule="exact"/>
              <w:ind w:left="465"/>
              <w:rPr>
                <w:sz w:val="24"/>
              </w:rPr>
            </w:pPr>
            <w:r>
              <w:rPr>
                <w:sz w:val="24"/>
              </w:rPr>
              <w:t>-</w:t>
            </w:r>
            <w:r>
              <w:rPr>
                <w:sz w:val="24"/>
              </w:rPr>
              <w:tab/>
              <w:t>Inclusion of</w:t>
            </w:r>
            <w:r>
              <w:rPr>
                <w:spacing w:val="-2"/>
                <w:sz w:val="24"/>
              </w:rPr>
              <w:t xml:space="preserve"> </w:t>
            </w:r>
            <w:r>
              <w:rPr>
                <w:sz w:val="24"/>
              </w:rPr>
              <w:t>definition</w:t>
            </w:r>
          </w:p>
        </w:tc>
        <w:tc>
          <w:tcPr>
            <w:tcW w:w="1255" w:type="dxa"/>
          </w:tcPr>
          <w:p w:rsidR="003C3559" w:rsidRDefault="0037070C">
            <w:pPr>
              <w:pStyle w:val="TableParagraph"/>
              <w:spacing w:line="292" w:lineRule="exact"/>
              <w:rPr>
                <w:sz w:val="24"/>
              </w:rPr>
            </w:pPr>
            <w:r>
              <w:rPr>
                <w:sz w:val="24"/>
              </w:rPr>
              <w:t>No</w:t>
            </w:r>
          </w:p>
        </w:tc>
      </w:tr>
      <w:tr w:rsidR="003C3559">
        <w:trPr>
          <w:trHeight w:val="587"/>
        </w:trPr>
        <w:tc>
          <w:tcPr>
            <w:tcW w:w="3243" w:type="dxa"/>
          </w:tcPr>
          <w:p w:rsidR="003C3559" w:rsidRDefault="0037070C">
            <w:pPr>
              <w:pStyle w:val="TableParagraph"/>
              <w:spacing w:before="1"/>
              <w:rPr>
                <w:sz w:val="24"/>
              </w:rPr>
            </w:pPr>
            <w:r>
              <w:rPr>
                <w:sz w:val="24"/>
              </w:rPr>
              <w:t>47-010 Definitions</w:t>
            </w:r>
          </w:p>
          <w:p w:rsidR="003C3559" w:rsidRDefault="0037070C">
            <w:pPr>
              <w:pStyle w:val="TableParagraph"/>
              <w:spacing w:line="273" w:lineRule="exact"/>
              <w:rPr>
                <w:sz w:val="24"/>
              </w:rPr>
            </w:pPr>
            <w:r>
              <w:rPr>
                <w:sz w:val="24"/>
              </w:rPr>
              <w:t>“Recreational fire”</w:t>
            </w:r>
          </w:p>
        </w:tc>
        <w:tc>
          <w:tcPr>
            <w:tcW w:w="6304" w:type="dxa"/>
          </w:tcPr>
          <w:p w:rsidR="003C3559" w:rsidRDefault="0037070C">
            <w:pPr>
              <w:pStyle w:val="TableParagraph"/>
              <w:tabs>
                <w:tab w:val="left" w:pos="825"/>
              </w:tabs>
              <w:spacing w:before="1" w:line="290" w:lineRule="atLeast"/>
              <w:ind w:left="825" w:right="168" w:hanging="360"/>
              <w:rPr>
                <w:sz w:val="24"/>
              </w:rPr>
            </w:pPr>
            <w:r>
              <w:rPr>
                <w:sz w:val="24"/>
              </w:rPr>
              <w:t>-</w:t>
            </w:r>
            <w:r>
              <w:rPr>
                <w:sz w:val="24"/>
              </w:rPr>
              <w:tab/>
              <w:t>Deleted “cooking fires” as cooking fires are</w:t>
            </w:r>
            <w:r>
              <w:rPr>
                <w:spacing w:val="-25"/>
                <w:sz w:val="24"/>
              </w:rPr>
              <w:t xml:space="preserve"> </w:t>
            </w:r>
            <w:r>
              <w:rPr>
                <w:sz w:val="24"/>
              </w:rPr>
              <w:t>specifically defined elsewhere as</w:t>
            </w:r>
            <w:r>
              <w:rPr>
                <w:spacing w:val="-2"/>
                <w:sz w:val="24"/>
              </w:rPr>
              <w:t xml:space="preserve"> </w:t>
            </w:r>
            <w:r>
              <w:rPr>
                <w:sz w:val="24"/>
              </w:rPr>
              <w:t>such</w:t>
            </w:r>
          </w:p>
        </w:tc>
        <w:tc>
          <w:tcPr>
            <w:tcW w:w="1255" w:type="dxa"/>
          </w:tcPr>
          <w:p w:rsidR="003C3559" w:rsidRDefault="003C3559">
            <w:pPr>
              <w:pStyle w:val="TableParagraph"/>
              <w:ind w:left="0"/>
              <w:rPr>
                <w:rFonts w:ascii="Times New Roman"/>
              </w:rPr>
            </w:pPr>
          </w:p>
        </w:tc>
      </w:tr>
      <w:tr w:rsidR="003C3559">
        <w:trPr>
          <w:trHeight w:val="1756"/>
        </w:trPr>
        <w:tc>
          <w:tcPr>
            <w:tcW w:w="3243" w:type="dxa"/>
          </w:tcPr>
          <w:p w:rsidR="003C3559" w:rsidRDefault="0037070C">
            <w:pPr>
              <w:pStyle w:val="TableParagraph"/>
              <w:ind w:right="108"/>
              <w:rPr>
                <w:sz w:val="24"/>
              </w:rPr>
            </w:pPr>
            <w:r>
              <w:rPr>
                <w:sz w:val="24"/>
              </w:rPr>
              <w:t>47-010 Definitions – “Religious Ceremonial Fire”</w:t>
            </w:r>
          </w:p>
        </w:tc>
        <w:tc>
          <w:tcPr>
            <w:tcW w:w="6304" w:type="dxa"/>
          </w:tcPr>
          <w:p w:rsidR="003C3559" w:rsidRDefault="0037070C">
            <w:pPr>
              <w:pStyle w:val="TableParagraph"/>
              <w:tabs>
                <w:tab w:val="left" w:pos="825"/>
              </w:tabs>
              <w:spacing w:line="292" w:lineRule="exact"/>
              <w:ind w:left="465"/>
              <w:rPr>
                <w:sz w:val="24"/>
              </w:rPr>
            </w:pPr>
            <w:r>
              <w:rPr>
                <w:sz w:val="24"/>
              </w:rPr>
              <w:t>-</w:t>
            </w:r>
            <w:r>
              <w:rPr>
                <w:sz w:val="24"/>
              </w:rPr>
              <w:tab/>
              <w:t>Defines the limits of the size of a fire and</w:t>
            </w:r>
            <w:r>
              <w:rPr>
                <w:spacing w:val="-14"/>
                <w:sz w:val="24"/>
              </w:rPr>
              <w:t xml:space="preserve"> </w:t>
            </w:r>
            <w:r>
              <w:rPr>
                <w:sz w:val="24"/>
              </w:rPr>
              <w:t>defines</w:t>
            </w:r>
          </w:p>
          <w:p w:rsidR="003C3559" w:rsidRDefault="0037070C">
            <w:pPr>
              <w:pStyle w:val="TableParagraph"/>
              <w:ind w:left="825" w:right="105"/>
              <w:rPr>
                <w:sz w:val="24"/>
              </w:rPr>
            </w:pPr>
            <w:r>
              <w:rPr>
                <w:sz w:val="24"/>
              </w:rPr>
              <w:t>materials allowed as “Religious Ceremonial Fire”. Fires larger and of allowable materials would require a permit from LRAPA. Also would require fire sup</w:t>
            </w:r>
            <w:r>
              <w:rPr>
                <w:sz w:val="24"/>
              </w:rPr>
              <w:t>pression agency of jurisdiction authorization where</w:t>
            </w:r>
          </w:p>
          <w:p w:rsidR="003C3559" w:rsidRDefault="0037070C">
            <w:pPr>
              <w:pStyle w:val="TableParagraph"/>
              <w:spacing w:line="273" w:lineRule="exact"/>
              <w:ind w:left="825"/>
              <w:rPr>
                <w:sz w:val="24"/>
              </w:rPr>
            </w:pPr>
            <w:r>
              <w:rPr>
                <w:sz w:val="24"/>
              </w:rPr>
              <w:t>applicable.</w:t>
            </w:r>
          </w:p>
        </w:tc>
        <w:tc>
          <w:tcPr>
            <w:tcW w:w="1255" w:type="dxa"/>
          </w:tcPr>
          <w:p w:rsidR="003C3559" w:rsidRDefault="0037070C">
            <w:pPr>
              <w:pStyle w:val="TableParagraph"/>
              <w:spacing w:line="292" w:lineRule="exact"/>
              <w:rPr>
                <w:sz w:val="24"/>
              </w:rPr>
            </w:pPr>
            <w:r>
              <w:rPr>
                <w:sz w:val="24"/>
              </w:rPr>
              <w:t>No</w:t>
            </w:r>
          </w:p>
        </w:tc>
      </w:tr>
      <w:tr w:rsidR="003C3559">
        <w:trPr>
          <w:trHeight w:val="2930"/>
        </w:trPr>
        <w:tc>
          <w:tcPr>
            <w:tcW w:w="3243" w:type="dxa"/>
          </w:tcPr>
          <w:p w:rsidR="003C3559" w:rsidRDefault="0037070C">
            <w:pPr>
              <w:pStyle w:val="TableParagraph"/>
              <w:spacing w:line="242" w:lineRule="auto"/>
              <w:ind w:right="181"/>
              <w:rPr>
                <w:sz w:val="24"/>
              </w:rPr>
            </w:pPr>
            <w:r>
              <w:rPr>
                <w:sz w:val="24"/>
              </w:rPr>
              <w:t>Section 47-015, General Open burning Requirements, 1.E.</w:t>
            </w:r>
          </w:p>
        </w:tc>
        <w:tc>
          <w:tcPr>
            <w:tcW w:w="6304" w:type="dxa"/>
          </w:tcPr>
          <w:p w:rsidR="003C3559" w:rsidRDefault="0037070C">
            <w:pPr>
              <w:pStyle w:val="TableParagraph"/>
              <w:numPr>
                <w:ilvl w:val="0"/>
                <w:numId w:val="2"/>
              </w:numPr>
              <w:tabs>
                <w:tab w:val="left" w:pos="825"/>
                <w:tab w:val="left" w:pos="826"/>
              </w:tabs>
              <w:spacing w:line="292" w:lineRule="exact"/>
              <w:rPr>
                <w:sz w:val="24"/>
              </w:rPr>
            </w:pPr>
            <w:r>
              <w:rPr>
                <w:sz w:val="24"/>
              </w:rPr>
              <w:t>Language</w:t>
            </w:r>
            <w:r>
              <w:rPr>
                <w:spacing w:val="-3"/>
                <w:sz w:val="24"/>
              </w:rPr>
              <w:t xml:space="preserve"> </w:t>
            </w:r>
            <w:r>
              <w:rPr>
                <w:sz w:val="24"/>
              </w:rPr>
              <w:t>clarification</w:t>
            </w:r>
          </w:p>
          <w:p w:rsidR="003C3559" w:rsidRDefault="0037070C">
            <w:pPr>
              <w:pStyle w:val="TableParagraph"/>
              <w:numPr>
                <w:ilvl w:val="0"/>
                <w:numId w:val="2"/>
              </w:numPr>
              <w:tabs>
                <w:tab w:val="left" w:pos="825"/>
                <w:tab w:val="left" w:pos="826"/>
              </w:tabs>
              <w:spacing w:before="2"/>
              <w:ind w:right="177"/>
              <w:rPr>
                <w:sz w:val="24"/>
              </w:rPr>
            </w:pPr>
            <w:r>
              <w:rPr>
                <w:sz w:val="24"/>
              </w:rPr>
              <w:t>The prohibition on the open burning of cardboard and clothing has been included to be consistent with DEQ rules.</w:t>
            </w:r>
          </w:p>
          <w:p w:rsidR="003C3559" w:rsidRDefault="0037070C">
            <w:pPr>
              <w:pStyle w:val="TableParagraph"/>
              <w:numPr>
                <w:ilvl w:val="0"/>
                <w:numId w:val="2"/>
              </w:numPr>
              <w:tabs>
                <w:tab w:val="left" w:pos="825"/>
                <w:tab w:val="left" w:pos="826"/>
              </w:tabs>
              <w:ind w:right="111"/>
              <w:rPr>
                <w:sz w:val="24"/>
              </w:rPr>
            </w:pPr>
            <w:r>
              <w:rPr>
                <w:sz w:val="24"/>
              </w:rPr>
              <w:t>The prohibition on the open burning of grass clippings has been included as the open burning of that material “normally emits dense smoke and n</w:t>
            </w:r>
            <w:r>
              <w:rPr>
                <w:sz w:val="24"/>
              </w:rPr>
              <w:t>oxious odors”; grass clippings are generally piled, wet and in a state of decomposition in nature; combustion is</w:t>
            </w:r>
            <w:r>
              <w:rPr>
                <w:spacing w:val="-14"/>
                <w:sz w:val="24"/>
              </w:rPr>
              <w:t xml:space="preserve"> </w:t>
            </w:r>
            <w:r>
              <w:rPr>
                <w:sz w:val="24"/>
              </w:rPr>
              <w:t>inefficient;</w:t>
            </w:r>
          </w:p>
          <w:p w:rsidR="003C3559" w:rsidRDefault="0037070C">
            <w:pPr>
              <w:pStyle w:val="TableParagraph"/>
              <w:spacing w:line="273" w:lineRule="exact"/>
              <w:ind w:left="825"/>
              <w:rPr>
                <w:sz w:val="24"/>
              </w:rPr>
            </w:pPr>
            <w:r>
              <w:rPr>
                <w:sz w:val="24"/>
              </w:rPr>
              <w:t>grass clippings decompose readily.</w:t>
            </w:r>
          </w:p>
        </w:tc>
        <w:tc>
          <w:tcPr>
            <w:tcW w:w="1255" w:type="dxa"/>
          </w:tcPr>
          <w:p w:rsidR="003C3559" w:rsidRDefault="0037070C">
            <w:pPr>
              <w:pStyle w:val="TableParagraph"/>
              <w:spacing w:line="292" w:lineRule="exact"/>
              <w:rPr>
                <w:sz w:val="24"/>
              </w:rPr>
            </w:pPr>
            <w:r>
              <w:rPr>
                <w:sz w:val="24"/>
              </w:rPr>
              <w:t>No</w:t>
            </w:r>
          </w:p>
        </w:tc>
      </w:tr>
      <w:tr w:rsidR="003C3559">
        <w:trPr>
          <w:trHeight w:val="585"/>
        </w:trPr>
        <w:tc>
          <w:tcPr>
            <w:tcW w:w="3243" w:type="dxa"/>
          </w:tcPr>
          <w:p w:rsidR="003C3559" w:rsidRDefault="0037070C">
            <w:pPr>
              <w:pStyle w:val="TableParagraph"/>
              <w:spacing w:line="292" w:lineRule="exact"/>
              <w:rPr>
                <w:sz w:val="24"/>
              </w:rPr>
            </w:pPr>
            <w:r>
              <w:rPr>
                <w:sz w:val="24"/>
              </w:rPr>
              <w:t>Section 47-015, General Open</w:t>
            </w:r>
          </w:p>
          <w:p w:rsidR="003C3559" w:rsidRDefault="0037070C">
            <w:pPr>
              <w:pStyle w:val="TableParagraph"/>
              <w:spacing w:line="273" w:lineRule="exact"/>
              <w:rPr>
                <w:sz w:val="24"/>
              </w:rPr>
            </w:pPr>
            <w:r>
              <w:rPr>
                <w:sz w:val="24"/>
              </w:rPr>
              <w:t>burning Requirements, 1.G.</w:t>
            </w:r>
          </w:p>
        </w:tc>
        <w:tc>
          <w:tcPr>
            <w:tcW w:w="6304" w:type="dxa"/>
          </w:tcPr>
          <w:p w:rsidR="003C3559" w:rsidRDefault="0037070C">
            <w:pPr>
              <w:pStyle w:val="TableParagraph"/>
              <w:tabs>
                <w:tab w:val="left" w:pos="825"/>
              </w:tabs>
              <w:spacing w:line="292" w:lineRule="exact"/>
              <w:ind w:left="465"/>
              <w:rPr>
                <w:sz w:val="24"/>
              </w:rPr>
            </w:pPr>
            <w:r>
              <w:rPr>
                <w:sz w:val="24"/>
              </w:rPr>
              <w:t>-</w:t>
            </w:r>
            <w:r>
              <w:rPr>
                <w:sz w:val="24"/>
              </w:rPr>
              <w:tab/>
            </w:r>
            <w:r>
              <w:rPr>
                <w:sz w:val="24"/>
              </w:rPr>
              <w:t>Added “Oregon Administrative Rules” and</w:t>
            </w:r>
            <w:r>
              <w:rPr>
                <w:spacing w:val="-5"/>
                <w:sz w:val="24"/>
              </w:rPr>
              <w:t xml:space="preserve"> </w:t>
            </w:r>
            <w:r>
              <w:rPr>
                <w:sz w:val="24"/>
              </w:rPr>
              <w:t>clarified</w:t>
            </w:r>
          </w:p>
          <w:p w:rsidR="003C3559" w:rsidRDefault="0037070C">
            <w:pPr>
              <w:pStyle w:val="TableParagraph"/>
              <w:spacing w:line="273" w:lineRule="exact"/>
              <w:ind w:left="825"/>
              <w:rPr>
                <w:sz w:val="24"/>
              </w:rPr>
            </w:pPr>
            <w:r>
              <w:rPr>
                <w:sz w:val="24"/>
              </w:rPr>
              <w:t>citation numbers</w:t>
            </w:r>
          </w:p>
        </w:tc>
        <w:tc>
          <w:tcPr>
            <w:tcW w:w="1255" w:type="dxa"/>
          </w:tcPr>
          <w:p w:rsidR="003C3559" w:rsidRDefault="0037070C">
            <w:pPr>
              <w:pStyle w:val="TableParagraph"/>
              <w:spacing w:line="292" w:lineRule="exact"/>
              <w:rPr>
                <w:sz w:val="24"/>
              </w:rPr>
            </w:pPr>
            <w:r>
              <w:rPr>
                <w:sz w:val="24"/>
              </w:rPr>
              <w:t>No</w:t>
            </w:r>
          </w:p>
        </w:tc>
      </w:tr>
      <w:tr w:rsidR="003C3559">
        <w:trPr>
          <w:trHeight w:val="1173"/>
        </w:trPr>
        <w:tc>
          <w:tcPr>
            <w:tcW w:w="3243" w:type="dxa"/>
          </w:tcPr>
          <w:p w:rsidR="003C3559" w:rsidRDefault="0037070C">
            <w:pPr>
              <w:pStyle w:val="TableParagraph"/>
              <w:spacing w:before="1"/>
              <w:ind w:right="181"/>
              <w:rPr>
                <w:sz w:val="24"/>
              </w:rPr>
            </w:pPr>
            <w:r>
              <w:rPr>
                <w:sz w:val="24"/>
              </w:rPr>
              <w:t>Section 47-015, General Open burning Requirements, 1.I.</w:t>
            </w:r>
          </w:p>
        </w:tc>
        <w:tc>
          <w:tcPr>
            <w:tcW w:w="6304" w:type="dxa"/>
          </w:tcPr>
          <w:p w:rsidR="003C3559" w:rsidRDefault="0037070C">
            <w:pPr>
              <w:pStyle w:val="TableParagraph"/>
              <w:tabs>
                <w:tab w:val="left" w:pos="825"/>
              </w:tabs>
              <w:spacing w:before="1"/>
              <w:ind w:left="825" w:right="137" w:hanging="360"/>
              <w:rPr>
                <w:sz w:val="24"/>
              </w:rPr>
            </w:pPr>
            <w:r>
              <w:rPr>
                <w:sz w:val="24"/>
              </w:rPr>
              <w:t>-</w:t>
            </w:r>
            <w:r>
              <w:rPr>
                <w:sz w:val="24"/>
              </w:rPr>
              <w:tab/>
            </w:r>
            <w:r>
              <w:rPr>
                <w:sz w:val="24"/>
              </w:rPr>
              <w:t>Prohibits outdoor burning in barrels. Staff consensus is that burning in barrels is generally of inefficient combustion; the materials that are burned in</w:t>
            </w:r>
            <w:r>
              <w:rPr>
                <w:spacing w:val="-18"/>
                <w:sz w:val="24"/>
              </w:rPr>
              <w:t xml:space="preserve"> </w:t>
            </w:r>
            <w:r>
              <w:rPr>
                <w:sz w:val="24"/>
              </w:rPr>
              <w:t>barrels</w:t>
            </w:r>
          </w:p>
          <w:p w:rsidR="003C3559" w:rsidRDefault="0037070C">
            <w:pPr>
              <w:pStyle w:val="TableParagraph"/>
              <w:spacing w:line="273" w:lineRule="exact"/>
              <w:ind w:left="825"/>
              <w:rPr>
                <w:sz w:val="24"/>
              </w:rPr>
            </w:pPr>
            <w:r>
              <w:rPr>
                <w:sz w:val="24"/>
              </w:rPr>
              <w:t>are consistently of the materials listed in 47-015-1.E.;</w:t>
            </w:r>
          </w:p>
        </w:tc>
        <w:tc>
          <w:tcPr>
            <w:tcW w:w="1255" w:type="dxa"/>
          </w:tcPr>
          <w:p w:rsidR="003C3559" w:rsidRDefault="0037070C">
            <w:pPr>
              <w:pStyle w:val="TableParagraph"/>
              <w:spacing w:before="1"/>
              <w:rPr>
                <w:sz w:val="24"/>
              </w:rPr>
            </w:pPr>
            <w:r>
              <w:rPr>
                <w:sz w:val="24"/>
              </w:rPr>
              <w:t>No</w:t>
            </w:r>
          </w:p>
        </w:tc>
      </w:tr>
    </w:tbl>
    <w:p w:rsidR="003C3559" w:rsidRDefault="003C3559">
      <w:pPr>
        <w:rPr>
          <w:sz w:val="24"/>
        </w:rPr>
        <w:sectPr w:rsidR="003C3559">
          <w:pgSz w:w="12240" w:h="15840"/>
          <w:pgMar w:top="1200" w:right="700" w:bottom="980" w:left="500" w:header="256" w:footer="799" w:gutter="0"/>
          <w:cols w:space="720"/>
        </w:sectPr>
      </w:pPr>
    </w:p>
    <w:p w:rsidR="003C3559" w:rsidRDefault="003C3559">
      <w:pPr>
        <w:pStyle w:val="BodyText"/>
        <w:spacing w:before="7"/>
        <w:rPr>
          <w:rFonts w:ascii="Times New Roman"/>
          <w:b w:val="0"/>
          <w:sz w:val="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6304"/>
        <w:gridCol w:w="1255"/>
      </w:tblGrid>
      <w:tr w:rsidR="003C3559">
        <w:trPr>
          <w:trHeight w:val="585"/>
        </w:trPr>
        <w:tc>
          <w:tcPr>
            <w:tcW w:w="3243" w:type="dxa"/>
          </w:tcPr>
          <w:p w:rsidR="003C3559" w:rsidRDefault="003C3559">
            <w:pPr>
              <w:pStyle w:val="TableParagraph"/>
              <w:ind w:left="0"/>
              <w:rPr>
                <w:rFonts w:ascii="Times New Roman"/>
              </w:rPr>
            </w:pPr>
          </w:p>
        </w:tc>
        <w:tc>
          <w:tcPr>
            <w:tcW w:w="6304" w:type="dxa"/>
          </w:tcPr>
          <w:p w:rsidR="003C3559" w:rsidRDefault="0037070C">
            <w:pPr>
              <w:pStyle w:val="TableParagraph"/>
              <w:spacing w:line="292" w:lineRule="exact"/>
              <w:ind w:left="825"/>
              <w:rPr>
                <w:sz w:val="24"/>
              </w:rPr>
            </w:pPr>
            <w:r>
              <w:rPr>
                <w:sz w:val="24"/>
              </w:rPr>
              <w:t>eliminates the premise that burning in a barrel is not</w:t>
            </w:r>
          </w:p>
          <w:p w:rsidR="003C3559" w:rsidRDefault="0037070C">
            <w:pPr>
              <w:pStyle w:val="TableParagraph"/>
              <w:spacing w:line="273" w:lineRule="exact"/>
              <w:ind w:left="825"/>
              <w:rPr>
                <w:sz w:val="24"/>
              </w:rPr>
            </w:pPr>
            <w:r>
              <w:rPr>
                <w:sz w:val="24"/>
              </w:rPr>
              <w:t>“open”.</w:t>
            </w:r>
          </w:p>
        </w:tc>
        <w:tc>
          <w:tcPr>
            <w:tcW w:w="1255" w:type="dxa"/>
          </w:tcPr>
          <w:p w:rsidR="003C3559" w:rsidRDefault="003C3559">
            <w:pPr>
              <w:pStyle w:val="TableParagraph"/>
              <w:ind w:left="0"/>
              <w:rPr>
                <w:rFonts w:ascii="Times New Roman"/>
              </w:rPr>
            </w:pPr>
          </w:p>
        </w:tc>
      </w:tr>
      <w:tr w:rsidR="003C3559">
        <w:trPr>
          <w:trHeight w:val="1465"/>
        </w:trPr>
        <w:tc>
          <w:tcPr>
            <w:tcW w:w="3243" w:type="dxa"/>
          </w:tcPr>
          <w:p w:rsidR="003C3559" w:rsidRDefault="0037070C">
            <w:pPr>
              <w:pStyle w:val="TableParagraph"/>
              <w:ind w:right="274"/>
              <w:rPr>
                <w:sz w:val="24"/>
              </w:rPr>
            </w:pPr>
            <w:r>
              <w:rPr>
                <w:sz w:val="24"/>
              </w:rPr>
              <w:t>Section 47-015, Residential Open Burning Requirements, 2.</w:t>
            </w:r>
          </w:p>
        </w:tc>
        <w:tc>
          <w:tcPr>
            <w:tcW w:w="6304" w:type="dxa"/>
          </w:tcPr>
          <w:p w:rsidR="003C3559" w:rsidRDefault="0037070C">
            <w:pPr>
              <w:pStyle w:val="TableParagraph"/>
              <w:ind w:left="825" w:right="181" w:hanging="360"/>
              <w:jc w:val="both"/>
              <w:rPr>
                <w:sz w:val="24"/>
              </w:rPr>
            </w:pPr>
            <w:r>
              <w:rPr>
                <w:sz w:val="24"/>
              </w:rPr>
              <w:t>- Identifies the beginning and end dates of the outdoor burning season for all of Lane County and includes the term “restrictions’ to clarify that though there is a</w:t>
            </w:r>
          </w:p>
          <w:p w:rsidR="003C3559" w:rsidRDefault="0037070C">
            <w:pPr>
              <w:pStyle w:val="TableParagraph"/>
              <w:spacing w:before="1" w:line="290" w:lineRule="atLeast"/>
              <w:ind w:left="825"/>
              <w:rPr>
                <w:sz w:val="24"/>
              </w:rPr>
            </w:pPr>
            <w:r>
              <w:rPr>
                <w:sz w:val="24"/>
              </w:rPr>
              <w:t>definite outdoor burning season there are restriction within that time frame.</w:t>
            </w:r>
          </w:p>
        </w:tc>
        <w:tc>
          <w:tcPr>
            <w:tcW w:w="1255" w:type="dxa"/>
          </w:tcPr>
          <w:p w:rsidR="003C3559" w:rsidRDefault="0037070C">
            <w:pPr>
              <w:pStyle w:val="TableParagraph"/>
              <w:spacing w:line="292" w:lineRule="exact"/>
              <w:rPr>
                <w:sz w:val="24"/>
              </w:rPr>
            </w:pPr>
            <w:r>
              <w:rPr>
                <w:sz w:val="24"/>
              </w:rPr>
              <w:t>No</w:t>
            </w:r>
          </w:p>
        </w:tc>
      </w:tr>
      <w:tr w:rsidR="003C3559">
        <w:trPr>
          <w:trHeight w:val="2049"/>
        </w:trPr>
        <w:tc>
          <w:tcPr>
            <w:tcW w:w="3243" w:type="dxa"/>
          </w:tcPr>
          <w:p w:rsidR="003C3559" w:rsidRDefault="0037070C">
            <w:pPr>
              <w:pStyle w:val="TableParagraph"/>
              <w:ind w:right="274"/>
              <w:rPr>
                <w:sz w:val="24"/>
              </w:rPr>
            </w:pPr>
            <w:r>
              <w:rPr>
                <w:sz w:val="24"/>
              </w:rPr>
              <w:t>Section 47-015, Residential Open Burning Requirements, 2.A.</w:t>
            </w:r>
          </w:p>
        </w:tc>
        <w:tc>
          <w:tcPr>
            <w:tcW w:w="6304" w:type="dxa"/>
          </w:tcPr>
          <w:p w:rsidR="003C3559" w:rsidRDefault="0037070C">
            <w:pPr>
              <w:pStyle w:val="TableParagraph"/>
              <w:tabs>
                <w:tab w:val="left" w:pos="880"/>
              </w:tabs>
              <w:ind w:left="825" w:right="166" w:hanging="360"/>
              <w:rPr>
                <w:sz w:val="24"/>
              </w:rPr>
            </w:pPr>
            <w:r>
              <w:rPr>
                <w:sz w:val="24"/>
              </w:rPr>
              <w:t>-</w:t>
            </w:r>
            <w:r>
              <w:rPr>
                <w:sz w:val="24"/>
              </w:rPr>
              <w:tab/>
            </w:r>
            <w:r>
              <w:rPr>
                <w:sz w:val="24"/>
              </w:rPr>
              <w:tab/>
              <w:t>Eliminates the term “between sunrise and sunset” to avoid misinterpretation of the hours set by the LRAPA outdoor burning advisory. The LRAPA outdoor</w:t>
            </w:r>
            <w:r>
              <w:rPr>
                <w:spacing w:val="-27"/>
                <w:sz w:val="24"/>
              </w:rPr>
              <w:t xml:space="preserve"> </w:t>
            </w:r>
            <w:r>
              <w:rPr>
                <w:sz w:val="24"/>
              </w:rPr>
              <w:t>burning advisory is generally set such that</w:t>
            </w:r>
            <w:r>
              <w:rPr>
                <w:sz w:val="24"/>
              </w:rPr>
              <w:t xml:space="preserve"> open burning is allowed to commence a minimum of several hours after sunrise and is required to be extinguished</w:t>
            </w:r>
            <w:r>
              <w:rPr>
                <w:spacing w:val="-12"/>
                <w:sz w:val="24"/>
              </w:rPr>
              <w:t xml:space="preserve"> </w:t>
            </w:r>
            <w:r>
              <w:rPr>
                <w:sz w:val="24"/>
              </w:rPr>
              <w:t>at</w:t>
            </w:r>
          </w:p>
          <w:p w:rsidR="003C3559" w:rsidRDefault="0037070C">
            <w:pPr>
              <w:pStyle w:val="TableParagraph"/>
              <w:spacing w:line="273" w:lineRule="exact"/>
              <w:ind w:left="825"/>
              <w:rPr>
                <w:sz w:val="24"/>
              </w:rPr>
            </w:pPr>
            <w:r>
              <w:rPr>
                <w:sz w:val="24"/>
              </w:rPr>
              <w:t>least several hours prior to sunset.</w:t>
            </w:r>
          </w:p>
        </w:tc>
        <w:tc>
          <w:tcPr>
            <w:tcW w:w="1255" w:type="dxa"/>
          </w:tcPr>
          <w:p w:rsidR="003C3559" w:rsidRDefault="0037070C">
            <w:pPr>
              <w:pStyle w:val="TableParagraph"/>
              <w:spacing w:line="292" w:lineRule="exact"/>
              <w:rPr>
                <w:sz w:val="24"/>
              </w:rPr>
            </w:pPr>
            <w:r>
              <w:rPr>
                <w:sz w:val="24"/>
              </w:rPr>
              <w:t>No</w:t>
            </w:r>
          </w:p>
        </w:tc>
      </w:tr>
      <w:tr w:rsidR="003C3559">
        <w:trPr>
          <w:trHeight w:val="4396"/>
        </w:trPr>
        <w:tc>
          <w:tcPr>
            <w:tcW w:w="3243" w:type="dxa"/>
          </w:tcPr>
          <w:p w:rsidR="003C3559" w:rsidRDefault="0037070C">
            <w:pPr>
              <w:pStyle w:val="TableParagraph"/>
              <w:spacing w:before="1"/>
              <w:ind w:right="274"/>
              <w:rPr>
                <w:sz w:val="24"/>
              </w:rPr>
            </w:pPr>
            <w:r>
              <w:rPr>
                <w:sz w:val="24"/>
              </w:rPr>
              <w:t>Section 47-015, Residential Open Burning Requirements, 2.B.</w:t>
            </w:r>
          </w:p>
        </w:tc>
        <w:tc>
          <w:tcPr>
            <w:tcW w:w="6304" w:type="dxa"/>
          </w:tcPr>
          <w:p w:rsidR="003C3559" w:rsidRDefault="0037070C">
            <w:pPr>
              <w:pStyle w:val="TableParagraph"/>
              <w:tabs>
                <w:tab w:val="left" w:pos="825"/>
              </w:tabs>
              <w:spacing w:before="1"/>
              <w:ind w:left="825" w:right="119" w:hanging="360"/>
              <w:rPr>
                <w:sz w:val="24"/>
              </w:rPr>
            </w:pPr>
            <w:r>
              <w:rPr>
                <w:sz w:val="24"/>
              </w:rPr>
              <w:t>-</w:t>
            </w:r>
            <w:r>
              <w:rPr>
                <w:sz w:val="24"/>
              </w:rPr>
              <w:tab/>
            </w:r>
            <w:r>
              <w:rPr>
                <w:sz w:val="24"/>
              </w:rPr>
              <w:t>Prohibits outdoor burning within the Eugene Urban Growth Boundary. Presently, the outdoor burning of woody yard trimmings is allowed (advisory contingent) within the Eugene Urban Growth Boundary from the period of October 1 through 31 and from March 1 thro</w:t>
            </w:r>
            <w:r>
              <w:rPr>
                <w:sz w:val="24"/>
              </w:rPr>
              <w:t>ugh June 15, on residential tax lots of 0.5 acres or more. In parts of the Eugene Urban Growth Boundary there are areas that are a patchwork of within the city of Eugene (where open burning is prohibited). Staff consensus is that with the availability of c</w:t>
            </w:r>
            <w:r>
              <w:rPr>
                <w:sz w:val="24"/>
              </w:rPr>
              <w:t>urbside pickup of yard debris and the availability of wood waste recycling facilities and increasing population density it is appropriate to eliminate outdoor burning within the Eugene Urban Growth Boundary except</w:t>
            </w:r>
            <w:r>
              <w:rPr>
                <w:spacing w:val="-11"/>
                <w:sz w:val="24"/>
              </w:rPr>
              <w:t xml:space="preserve"> </w:t>
            </w:r>
            <w:r>
              <w:rPr>
                <w:sz w:val="24"/>
              </w:rPr>
              <w:t>on</w:t>
            </w:r>
          </w:p>
          <w:p w:rsidR="003C3559" w:rsidRDefault="0037070C">
            <w:pPr>
              <w:pStyle w:val="TableParagraph"/>
              <w:spacing w:before="1" w:line="273" w:lineRule="exact"/>
              <w:ind w:left="825"/>
              <w:rPr>
                <w:sz w:val="24"/>
              </w:rPr>
            </w:pPr>
            <w:r>
              <w:rPr>
                <w:sz w:val="24"/>
              </w:rPr>
              <w:t>parcels 2 acres or larger.</w:t>
            </w:r>
          </w:p>
        </w:tc>
        <w:tc>
          <w:tcPr>
            <w:tcW w:w="1255" w:type="dxa"/>
          </w:tcPr>
          <w:p w:rsidR="003C3559" w:rsidRDefault="0037070C">
            <w:pPr>
              <w:pStyle w:val="TableParagraph"/>
              <w:spacing w:before="1"/>
              <w:rPr>
                <w:sz w:val="24"/>
              </w:rPr>
            </w:pPr>
            <w:r>
              <w:rPr>
                <w:sz w:val="24"/>
              </w:rPr>
              <w:t>No</w:t>
            </w:r>
          </w:p>
        </w:tc>
      </w:tr>
      <w:tr w:rsidR="003C3559">
        <w:trPr>
          <w:trHeight w:val="1463"/>
        </w:trPr>
        <w:tc>
          <w:tcPr>
            <w:tcW w:w="3243" w:type="dxa"/>
          </w:tcPr>
          <w:p w:rsidR="003C3559" w:rsidRDefault="0037070C">
            <w:pPr>
              <w:pStyle w:val="TableParagraph"/>
              <w:ind w:right="274"/>
              <w:rPr>
                <w:sz w:val="24"/>
              </w:rPr>
            </w:pPr>
            <w:r>
              <w:rPr>
                <w:sz w:val="24"/>
              </w:rPr>
              <w:t>Section 47-015, Residential Open Burning Requirements, 2.D.</w:t>
            </w:r>
          </w:p>
        </w:tc>
        <w:tc>
          <w:tcPr>
            <w:tcW w:w="6304" w:type="dxa"/>
          </w:tcPr>
          <w:p w:rsidR="003C3559" w:rsidRDefault="0037070C">
            <w:pPr>
              <w:pStyle w:val="TableParagraph"/>
              <w:tabs>
                <w:tab w:val="left" w:pos="825"/>
              </w:tabs>
              <w:ind w:left="825" w:right="152" w:hanging="360"/>
              <w:rPr>
                <w:sz w:val="24"/>
              </w:rPr>
            </w:pPr>
            <w:r>
              <w:rPr>
                <w:sz w:val="24"/>
              </w:rPr>
              <w:t>-</w:t>
            </w:r>
            <w:r>
              <w:rPr>
                <w:sz w:val="24"/>
              </w:rPr>
              <w:tab/>
              <w:t>Includes in LRAPA rules the City of Florence ordinance. Would provide for but not necessarily require LRAPA enforcement of the City of Florence</w:t>
            </w:r>
            <w:r>
              <w:rPr>
                <w:spacing w:val="-8"/>
                <w:sz w:val="24"/>
              </w:rPr>
              <w:t xml:space="preserve"> </w:t>
            </w:r>
            <w:r>
              <w:rPr>
                <w:sz w:val="24"/>
              </w:rPr>
              <w:t>ordinance.</w:t>
            </w:r>
          </w:p>
          <w:p w:rsidR="003C3559" w:rsidRDefault="0037070C">
            <w:pPr>
              <w:pStyle w:val="TableParagraph"/>
              <w:spacing w:line="292" w:lineRule="exact"/>
              <w:ind w:left="825"/>
              <w:rPr>
                <w:sz w:val="24"/>
              </w:rPr>
            </w:pPr>
            <w:r>
              <w:rPr>
                <w:sz w:val="24"/>
              </w:rPr>
              <w:t>Consensus was to formalize Florence ord</w:t>
            </w:r>
            <w:r>
              <w:rPr>
                <w:sz w:val="24"/>
              </w:rPr>
              <w:t>inance in</w:t>
            </w:r>
          </w:p>
          <w:p w:rsidR="003C3559" w:rsidRDefault="0037070C">
            <w:pPr>
              <w:pStyle w:val="TableParagraph"/>
              <w:spacing w:line="273" w:lineRule="exact"/>
              <w:ind w:left="825"/>
              <w:rPr>
                <w:sz w:val="24"/>
              </w:rPr>
            </w:pPr>
            <w:r>
              <w:rPr>
                <w:sz w:val="24"/>
              </w:rPr>
              <w:t>LRAPA regulations</w:t>
            </w:r>
          </w:p>
        </w:tc>
        <w:tc>
          <w:tcPr>
            <w:tcW w:w="1255" w:type="dxa"/>
          </w:tcPr>
          <w:p w:rsidR="003C3559" w:rsidRDefault="0037070C">
            <w:pPr>
              <w:pStyle w:val="TableParagraph"/>
              <w:spacing w:line="292" w:lineRule="exact"/>
              <w:rPr>
                <w:sz w:val="24"/>
              </w:rPr>
            </w:pPr>
            <w:r>
              <w:rPr>
                <w:sz w:val="24"/>
              </w:rPr>
              <w:t>No</w:t>
            </w:r>
          </w:p>
        </w:tc>
      </w:tr>
      <w:tr w:rsidR="003C3559">
        <w:trPr>
          <w:trHeight w:val="3223"/>
        </w:trPr>
        <w:tc>
          <w:tcPr>
            <w:tcW w:w="3243" w:type="dxa"/>
          </w:tcPr>
          <w:p w:rsidR="003C3559" w:rsidRDefault="0037070C">
            <w:pPr>
              <w:pStyle w:val="TableParagraph"/>
              <w:ind w:right="274"/>
              <w:rPr>
                <w:sz w:val="24"/>
              </w:rPr>
            </w:pPr>
            <w:r>
              <w:rPr>
                <w:sz w:val="24"/>
              </w:rPr>
              <w:t>Section 47-015, Residential Open Burning Requirements, 2.E.</w:t>
            </w:r>
          </w:p>
        </w:tc>
        <w:tc>
          <w:tcPr>
            <w:tcW w:w="6304" w:type="dxa"/>
          </w:tcPr>
          <w:p w:rsidR="003C3559" w:rsidRDefault="0037070C">
            <w:pPr>
              <w:pStyle w:val="TableParagraph"/>
              <w:tabs>
                <w:tab w:val="left" w:pos="825"/>
              </w:tabs>
              <w:ind w:left="825" w:right="239" w:hanging="360"/>
              <w:rPr>
                <w:sz w:val="24"/>
              </w:rPr>
            </w:pPr>
            <w:r>
              <w:rPr>
                <w:sz w:val="24"/>
              </w:rPr>
              <w:t>-</w:t>
            </w:r>
            <w:r>
              <w:rPr>
                <w:sz w:val="24"/>
              </w:rPr>
              <w:tab/>
            </w:r>
            <w:r>
              <w:rPr>
                <w:sz w:val="24"/>
              </w:rPr>
              <w:t>Oakridge City ordinance included as clarification. The Oakridge City ordinance currently states that outdoor burning shall be conducted in accordance with LRAPA regulations. LRAPA outdoor burning advisory is set to prohibit burning in the months of Novembe</w:t>
            </w:r>
            <w:r>
              <w:rPr>
                <w:sz w:val="24"/>
              </w:rPr>
              <w:t>r through February. Respective City of Oakridge or LRAPA enforcement options would not change. Consensus was to formalize the actual requirement in LRAPA regulations. Also, the November through February open burning restriction would apply within</w:t>
            </w:r>
            <w:r>
              <w:rPr>
                <w:spacing w:val="-8"/>
                <w:sz w:val="24"/>
              </w:rPr>
              <w:t xml:space="preserve"> </w:t>
            </w:r>
            <w:r>
              <w:rPr>
                <w:sz w:val="24"/>
              </w:rPr>
              <w:t>the</w:t>
            </w:r>
          </w:p>
          <w:p w:rsidR="003C3559" w:rsidRDefault="0037070C">
            <w:pPr>
              <w:pStyle w:val="TableParagraph"/>
              <w:spacing w:line="273" w:lineRule="exact"/>
              <w:ind w:left="825"/>
              <w:rPr>
                <w:sz w:val="24"/>
              </w:rPr>
            </w:pPr>
            <w:r>
              <w:rPr>
                <w:sz w:val="24"/>
              </w:rPr>
              <w:t>surro</w:t>
            </w:r>
            <w:r>
              <w:rPr>
                <w:sz w:val="24"/>
              </w:rPr>
              <w:t>unding Oakridge Urban Growth Boundary.</w:t>
            </w:r>
          </w:p>
        </w:tc>
        <w:tc>
          <w:tcPr>
            <w:tcW w:w="1255" w:type="dxa"/>
          </w:tcPr>
          <w:p w:rsidR="003C3559" w:rsidRDefault="0037070C">
            <w:pPr>
              <w:pStyle w:val="TableParagraph"/>
              <w:spacing w:line="292" w:lineRule="exact"/>
              <w:rPr>
                <w:sz w:val="24"/>
              </w:rPr>
            </w:pPr>
            <w:r>
              <w:rPr>
                <w:sz w:val="24"/>
              </w:rPr>
              <w:t>No</w:t>
            </w:r>
          </w:p>
        </w:tc>
      </w:tr>
    </w:tbl>
    <w:p w:rsidR="003C3559" w:rsidRDefault="003C3559">
      <w:pPr>
        <w:spacing w:line="292" w:lineRule="exact"/>
        <w:rPr>
          <w:sz w:val="24"/>
        </w:rPr>
        <w:sectPr w:rsidR="003C3559">
          <w:pgSz w:w="12240" w:h="15840"/>
          <w:pgMar w:top="1200" w:right="700" w:bottom="980" w:left="500" w:header="256" w:footer="799" w:gutter="0"/>
          <w:cols w:space="720"/>
        </w:sectPr>
      </w:pPr>
    </w:p>
    <w:p w:rsidR="003C3559" w:rsidRDefault="003C3559">
      <w:pPr>
        <w:pStyle w:val="BodyText"/>
        <w:spacing w:before="7"/>
        <w:rPr>
          <w:rFonts w:ascii="Times New Roman"/>
          <w:b w:val="0"/>
          <w:sz w:val="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6304"/>
        <w:gridCol w:w="1255"/>
      </w:tblGrid>
      <w:tr w:rsidR="003C3559">
        <w:trPr>
          <w:trHeight w:val="3515"/>
        </w:trPr>
        <w:tc>
          <w:tcPr>
            <w:tcW w:w="3243" w:type="dxa"/>
          </w:tcPr>
          <w:p w:rsidR="003C3559" w:rsidRDefault="0037070C">
            <w:pPr>
              <w:pStyle w:val="TableParagraph"/>
              <w:ind w:right="274"/>
              <w:rPr>
                <w:sz w:val="24"/>
              </w:rPr>
            </w:pPr>
            <w:r>
              <w:rPr>
                <w:sz w:val="24"/>
              </w:rPr>
              <w:t>Section 47-015, Residential Open Burning Requirements, 2.F.</w:t>
            </w:r>
          </w:p>
        </w:tc>
        <w:tc>
          <w:tcPr>
            <w:tcW w:w="6304" w:type="dxa"/>
          </w:tcPr>
          <w:p w:rsidR="003C3559" w:rsidRDefault="0037070C">
            <w:pPr>
              <w:pStyle w:val="TableParagraph"/>
              <w:tabs>
                <w:tab w:val="left" w:pos="825"/>
              </w:tabs>
              <w:ind w:left="825" w:right="148" w:hanging="360"/>
              <w:rPr>
                <w:sz w:val="24"/>
              </w:rPr>
            </w:pPr>
            <w:r>
              <w:rPr>
                <w:sz w:val="24"/>
              </w:rPr>
              <w:t>-</w:t>
            </w:r>
            <w:r>
              <w:rPr>
                <w:sz w:val="24"/>
              </w:rPr>
              <w:tab/>
            </w:r>
            <w:r>
              <w:rPr>
                <w:sz w:val="24"/>
              </w:rPr>
              <w:t>Prohibits the outdoor burning of fallen leaves within the respective city limits. Staff consensus is that alternatives such as decomposition or re-use as mulch are reasonable. If adopted would encourage cities to develop alternatives to burning, options fo</w:t>
            </w:r>
            <w:r>
              <w:rPr>
                <w:sz w:val="24"/>
              </w:rPr>
              <w:t>r management. When burned, leaves are generally piled, are wet and of a state of decomposition before outdoor burning may be allowed and emit significant smoke. The outdoor burning of leaves creates unwarranted smoke intrusion. The outdoor burning</w:t>
            </w:r>
            <w:r>
              <w:rPr>
                <w:spacing w:val="-23"/>
                <w:sz w:val="24"/>
              </w:rPr>
              <w:t xml:space="preserve"> </w:t>
            </w:r>
            <w:r>
              <w:rPr>
                <w:sz w:val="24"/>
              </w:rPr>
              <w:t>of</w:t>
            </w:r>
          </w:p>
          <w:p w:rsidR="003C3559" w:rsidRDefault="0037070C">
            <w:pPr>
              <w:pStyle w:val="TableParagraph"/>
              <w:spacing w:line="290" w:lineRule="atLeast"/>
              <w:ind w:left="825" w:right="132"/>
              <w:rPr>
                <w:sz w:val="24"/>
              </w:rPr>
            </w:pPr>
            <w:r>
              <w:rPr>
                <w:sz w:val="24"/>
              </w:rPr>
              <w:t>woody</w:t>
            </w:r>
            <w:r>
              <w:rPr>
                <w:sz w:val="24"/>
              </w:rPr>
              <w:t xml:space="preserve"> yard trimmings with attached leaves would still be allowed.</w:t>
            </w:r>
          </w:p>
        </w:tc>
        <w:tc>
          <w:tcPr>
            <w:tcW w:w="1255" w:type="dxa"/>
          </w:tcPr>
          <w:p w:rsidR="003C3559" w:rsidRDefault="0037070C">
            <w:pPr>
              <w:pStyle w:val="TableParagraph"/>
              <w:spacing w:line="292" w:lineRule="exact"/>
              <w:rPr>
                <w:sz w:val="24"/>
              </w:rPr>
            </w:pPr>
            <w:r>
              <w:rPr>
                <w:sz w:val="24"/>
              </w:rPr>
              <w:t>No</w:t>
            </w:r>
          </w:p>
        </w:tc>
      </w:tr>
      <w:tr w:rsidR="003C3559">
        <w:trPr>
          <w:trHeight w:val="1466"/>
        </w:trPr>
        <w:tc>
          <w:tcPr>
            <w:tcW w:w="3243" w:type="dxa"/>
          </w:tcPr>
          <w:p w:rsidR="003C3559" w:rsidRDefault="0037070C">
            <w:pPr>
              <w:pStyle w:val="TableParagraph"/>
              <w:ind w:right="274"/>
              <w:rPr>
                <w:sz w:val="24"/>
              </w:rPr>
            </w:pPr>
            <w:r>
              <w:rPr>
                <w:sz w:val="24"/>
              </w:rPr>
              <w:t>Section 47-015, Residential Open Burning Requirements, 2.G.</w:t>
            </w:r>
          </w:p>
        </w:tc>
        <w:tc>
          <w:tcPr>
            <w:tcW w:w="6304" w:type="dxa"/>
          </w:tcPr>
          <w:p w:rsidR="003C3559" w:rsidRDefault="0037070C">
            <w:pPr>
              <w:pStyle w:val="TableParagraph"/>
              <w:tabs>
                <w:tab w:val="left" w:pos="825"/>
              </w:tabs>
              <w:ind w:left="825" w:right="352" w:hanging="360"/>
              <w:rPr>
                <w:sz w:val="24"/>
              </w:rPr>
            </w:pPr>
            <w:r>
              <w:rPr>
                <w:sz w:val="24"/>
              </w:rPr>
              <w:t>-</w:t>
            </w:r>
            <w:r>
              <w:rPr>
                <w:sz w:val="24"/>
              </w:rPr>
              <w:tab/>
              <w:t>Formalizes the prohibition of the outdoor burning</w:t>
            </w:r>
            <w:r>
              <w:rPr>
                <w:spacing w:val="-27"/>
                <w:sz w:val="24"/>
              </w:rPr>
              <w:t xml:space="preserve"> </w:t>
            </w:r>
            <w:r>
              <w:rPr>
                <w:sz w:val="24"/>
              </w:rPr>
              <w:t>of grass clippings inside respective fire districts. The outdoor burning of fallen leaves and woody yard trimmings would still be</w:t>
            </w:r>
            <w:r>
              <w:rPr>
                <w:spacing w:val="-11"/>
                <w:sz w:val="24"/>
              </w:rPr>
              <w:t xml:space="preserve"> </w:t>
            </w:r>
            <w:r>
              <w:rPr>
                <w:sz w:val="24"/>
              </w:rPr>
              <w:t>allowed.</w:t>
            </w:r>
          </w:p>
        </w:tc>
        <w:tc>
          <w:tcPr>
            <w:tcW w:w="1255" w:type="dxa"/>
          </w:tcPr>
          <w:p w:rsidR="003C3559" w:rsidRDefault="0037070C">
            <w:pPr>
              <w:pStyle w:val="TableParagraph"/>
              <w:spacing w:line="292" w:lineRule="exact"/>
              <w:rPr>
                <w:sz w:val="24"/>
              </w:rPr>
            </w:pPr>
            <w:r>
              <w:rPr>
                <w:sz w:val="24"/>
              </w:rPr>
              <w:t>No</w:t>
            </w:r>
          </w:p>
        </w:tc>
      </w:tr>
      <w:tr w:rsidR="003C3559">
        <w:trPr>
          <w:trHeight w:val="2928"/>
        </w:trPr>
        <w:tc>
          <w:tcPr>
            <w:tcW w:w="3243" w:type="dxa"/>
          </w:tcPr>
          <w:p w:rsidR="003C3559" w:rsidRDefault="0037070C">
            <w:pPr>
              <w:pStyle w:val="TableParagraph"/>
              <w:ind w:right="274"/>
              <w:rPr>
                <w:sz w:val="24"/>
              </w:rPr>
            </w:pPr>
            <w:r>
              <w:rPr>
                <w:sz w:val="24"/>
              </w:rPr>
              <w:t>Section 47-015, Residential Open Burning Requirements, 2.H.</w:t>
            </w:r>
          </w:p>
        </w:tc>
        <w:tc>
          <w:tcPr>
            <w:tcW w:w="6304" w:type="dxa"/>
          </w:tcPr>
          <w:p w:rsidR="003C3559" w:rsidRDefault="0037070C">
            <w:pPr>
              <w:pStyle w:val="TableParagraph"/>
              <w:tabs>
                <w:tab w:val="left" w:pos="825"/>
              </w:tabs>
              <w:ind w:left="825" w:right="217" w:hanging="360"/>
              <w:rPr>
                <w:sz w:val="24"/>
              </w:rPr>
            </w:pPr>
            <w:r>
              <w:rPr>
                <w:sz w:val="24"/>
              </w:rPr>
              <w:t>-</w:t>
            </w:r>
            <w:r>
              <w:rPr>
                <w:sz w:val="24"/>
              </w:rPr>
              <w:tab/>
            </w:r>
            <w:r>
              <w:rPr>
                <w:sz w:val="24"/>
              </w:rPr>
              <w:t>Formalizes the prohibition of the outdoor burning of grass clippings throughout Lane County. The outdoor burning of fallen leaves and woody yard trimmings would still be allowed. The 47-015-2.G. districts are generally of the valley. There are some fire di</w:t>
            </w:r>
            <w:r>
              <w:rPr>
                <w:sz w:val="24"/>
              </w:rPr>
              <w:t>stricts, e.g., Deadwood, that are not specifically listed in 2.G. as well as some “Unprotected Areas”, e.g., Culp Creek area to which the prohibition on the burning of grass clippings.</w:t>
            </w:r>
          </w:p>
        </w:tc>
        <w:tc>
          <w:tcPr>
            <w:tcW w:w="1255" w:type="dxa"/>
          </w:tcPr>
          <w:p w:rsidR="003C3559" w:rsidRDefault="0037070C">
            <w:pPr>
              <w:pStyle w:val="TableParagraph"/>
              <w:spacing w:line="292" w:lineRule="exact"/>
              <w:rPr>
                <w:sz w:val="24"/>
              </w:rPr>
            </w:pPr>
            <w:r>
              <w:rPr>
                <w:sz w:val="24"/>
              </w:rPr>
              <w:t>No</w:t>
            </w:r>
          </w:p>
        </w:tc>
      </w:tr>
      <w:tr w:rsidR="003C3559">
        <w:trPr>
          <w:trHeight w:val="1173"/>
        </w:trPr>
        <w:tc>
          <w:tcPr>
            <w:tcW w:w="3243" w:type="dxa"/>
          </w:tcPr>
          <w:p w:rsidR="003C3559" w:rsidRDefault="0037070C">
            <w:pPr>
              <w:pStyle w:val="TableParagraph"/>
              <w:spacing w:before="1"/>
              <w:ind w:right="95"/>
              <w:rPr>
                <w:sz w:val="24"/>
              </w:rPr>
            </w:pPr>
            <w:r>
              <w:rPr>
                <w:sz w:val="24"/>
              </w:rPr>
              <w:t>47-015-6. Forest Slash outdoor burning 6.B(4)</w:t>
            </w:r>
          </w:p>
        </w:tc>
        <w:tc>
          <w:tcPr>
            <w:tcW w:w="6304" w:type="dxa"/>
          </w:tcPr>
          <w:p w:rsidR="003C3559" w:rsidRDefault="0037070C">
            <w:pPr>
              <w:pStyle w:val="TableParagraph"/>
              <w:tabs>
                <w:tab w:val="left" w:pos="825"/>
              </w:tabs>
              <w:spacing w:before="1" w:line="290" w:lineRule="atLeast"/>
              <w:ind w:left="825" w:right="444" w:hanging="360"/>
              <w:rPr>
                <w:sz w:val="24"/>
              </w:rPr>
            </w:pPr>
            <w:r>
              <w:rPr>
                <w:sz w:val="24"/>
              </w:rPr>
              <w:t>-</w:t>
            </w:r>
            <w:r>
              <w:rPr>
                <w:sz w:val="24"/>
              </w:rPr>
              <w:tab/>
              <w:t xml:space="preserve">Requirements would </w:t>
            </w:r>
            <w:r>
              <w:rPr>
                <w:sz w:val="24"/>
              </w:rPr>
              <w:t>be the same. The reference</w:t>
            </w:r>
            <w:r>
              <w:rPr>
                <w:spacing w:val="-24"/>
                <w:sz w:val="24"/>
              </w:rPr>
              <w:t xml:space="preserve"> </w:t>
            </w:r>
            <w:r>
              <w:rPr>
                <w:sz w:val="24"/>
              </w:rPr>
              <w:t>to specific cites is deleted to eliminate the need to amend LRAPA rules in the event of changes in wordings or citations in DOF</w:t>
            </w:r>
            <w:r>
              <w:rPr>
                <w:spacing w:val="-8"/>
                <w:sz w:val="24"/>
              </w:rPr>
              <w:t xml:space="preserve"> </w:t>
            </w:r>
            <w:r>
              <w:rPr>
                <w:sz w:val="24"/>
              </w:rPr>
              <w:t>rules.</w:t>
            </w:r>
          </w:p>
        </w:tc>
        <w:tc>
          <w:tcPr>
            <w:tcW w:w="1255" w:type="dxa"/>
          </w:tcPr>
          <w:p w:rsidR="003C3559" w:rsidRDefault="0037070C">
            <w:pPr>
              <w:pStyle w:val="TableParagraph"/>
              <w:spacing w:before="1"/>
              <w:rPr>
                <w:sz w:val="24"/>
              </w:rPr>
            </w:pPr>
            <w:r>
              <w:rPr>
                <w:sz w:val="24"/>
              </w:rPr>
              <w:t>No</w:t>
            </w:r>
          </w:p>
        </w:tc>
      </w:tr>
      <w:tr w:rsidR="003C3559">
        <w:trPr>
          <w:trHeight w:val="3808"/>
        </w:trPr>
        <w:tc>
          <w:tcPr>
            <w:tcW w:w="3243" w:type="dxa"/>
          </w:tcPr>
          <w:p w:rsidR="003C3559" w:rsidRDefault="0037070C">
            <w:pPr>
              <w:pStyle w:val="TableParagraph"/>
              <w:ind w:right="88"/>
              <w:rPr>
                <w:sz w:val="24"/>
              </w:rPr>
            </w:pPr>
            <w:r>
              <w:rPr>
                <w:sz w:val="24"/>
              </w:rPr>
              <w:t>47-020 Outdoor Burning Letter Permits (OBLP) 2.</w:t>
            </w:r>
          </w:p>
        </w:tc>
        <w:tc>
          <w:tcPr>
            <w:tcW w:w="6304" w:type="dxa"/>
          </w:tcPr>
          <w:p w:rsidR="003C3559" w:rsidRDefault="0037070C">
            <w:pPr>
              <w:pStyle w:val="TableParagraph"/>
              <w:numPr>
                <w:ilvl w:val="0"/>
                <w:numId w:val="1"/>
              </w:numPr>
              <w:tabs>
                <w:tab w:val="left" w:pos="825"/>
                <w:tab w:val="left" w:pos="826"/>
              </w:tabs>
              <w:ind w:right="141"/>
              <w:rPr>
                <w:sz w:val="24"/>
              </w:rPr>
            </w:pPr>
            <w:r>
              <w:rPr>
                <w:sz w:val="24"/>
              </w:rPr>
              <w:t>Increases permit fee to $1000 from $100. Current permit fee for these types of burns was set in the mid 1990’s. At that time there were multiple agencies or groups that would submit separate and distinct permit applications. Most of those agencies or group</w:t>
            </w:r>
            <w:r>
              <w:rPr>
                <w:sz w:val="24"/>
              </w:rPr>
              <w:t>s presently belong to a coalition and submit a joint application that includes multiple burn sites in different areas of the county. The high profile nature of these burns require significant staff time in permitting, outreach, monitoring and complaint res</w:t>
            </w:r>
            <w:r>
              <w:rPr>
                <w:sz w:val="24"/>
              </w:rPr>
              <w:t>ponse.</w:t>
            </w:r>
          </w:p>
          <w:p w:rsidR="003C3559" w:rsidRDefault="0037070C">
            <w:pPr>
              <w:pStyle w:val="TableParagraph"/>
              <w:numPr>
                <w:ilvl w:val="0"/>
                <w:numId w:val="1"/>
              </w:numPr>
              <w:tabs>
                <w:tab w:val="left" w:pos="825"/>
                <w:tab w:val="left" w:pos="826"/>
              </w:tabs>
              <w:spacing w:line="290" w:lineRule="atLeast"/>
              <w:ind w:right="808"/>
              <w:rPr>
                <w:sz w:val="24"/>
              </w:rPr>
            </w:pPr>
            <w:r>
              <w:rPr>
                <w:sz w:val="24"/>
              </w:rPr>
              <w:t>Maintains on a case by case basis the option for Director to compromise the permit</w:t>
            </w:r>
            <w:r>
              <w:rPr>
                <w:spacing w:val="-8"/>
                <w:sz w:val="24"/>
              </w:rPr>
              <w:t xml:space="preserve"> </w:t>
            </w:r>
            <w:r>
              <w:rPr>
                <w:sz w:val="24"/>
              </w:rPr>
              <w:t>fee.</w:t>
            </w:r>
          </w:p>
        </w:tc>
        <w:tc>
          <w:tcPr>
            <w:tcW w:w="1255" w:type="dxa"/>
          </w:tcPr>
          <w:p w:rsidR="003C3559" w:rsidRDefault="0037070C">
            <w:pPr>
              <w:pStyle w:val="TableParagraph"/>
              <w:spacing w:line="292" w:lineRule="exact"/>
              <w:rPr>
                <w:sz w:val="24"/>
              </w:rPr>
            </w:pPr>
            <w:r>
              <w:rPr>
                <w:sz w:val="24"/>
              </w:rPr>
              <w:t>No</w:t>
            </w:r>
          </w:p>
        </w:tc>
      </w:tr>
    </w:tbl>
    <w:p w:rsidR="003C3559" w:rsidRDefault="003C3559">
      <w:pPr>
        <w:spacing w:line="292" w:lineRule="exact"/>
        <w:rPr>
          <w:sz w:val="24"/>
        </w:rPr>
        <w:sectPr w:rsidR="003C3559">
          <w:pgSz w:w="12240" w:h="15840"/>
          <w:pgMar w:top="1200" w:right="700" w:bottom="980" w:left="500" w:header="256" w:footer="799" w:gutter="0"/>
          <w:cols w:space="720"/>
        </w:sectPr>
      </w:pPr>
    </w:p>
    <w:p w:rsidR="003C3559" w:rsidRDefault="003C3559">
      <w:pPr>
        <w:pStyle w:val="BodyText"/>
        <w:spacing w:before="7"/>
        <w:rPr>
          <w:rFonts w:ascii="Times New Roman"/>
          <w:b w:val="0"/>
          <w:sz w:val="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6304"/>
        <w:gridCol w:w="1255"/>
      </w:tblGrid>
      <w:tr w:rsidR="003C3559">
        <w:trPr>
          <w:trHeight w:val="2637"/>
        </w:trPr>
        <w:tc>
          <w:tcPr>
            <w:tcW w:w="3243" w:type="dxa"/>
          </w:tcPr>
          <w:p w:rsidR="003C3559" w:rsidRDefault="0037070C">
            <w:pPr>
              <w:pStyle w:val="TableParagraph"/>
              <w:ind w:right="88"/>
              <w:rPr>
                <w:sz w:val="24"/>
              </w:rPr>
            </w:pPr>
            <w:r>
              <w:rPr>
                <w:sz w:val="24"/>
              </w:rPr>
              <w:t>47-020 Outdoor Burning Letter Permits (OBLP) 4.</w:t>
            </w:r>
          </w:p>
        </w:tc>
        <w:tc>
          <w:tcPr>
            <w:tcW w:w="6304" w:type="dxa"/>
          </w:tcPr>
          <w:p w:rsidR="003C3559" w:rsidRDefault="0037070C">
            <w:pPr>
              <w:pStyle w:val="TableParagraph"/>
              <w:tabs>
                <w:tab w:val="left" w:pos="825"/>
              </w:tabs>
              <w:ind w:left="825" w:right="141" w:hanging="360"/>
              <w:rPr>
                <w:sz w:val="24"/>
              </w:rPr>
            </w:pPr>
            <w:r>
              <w:rPr>
                <w:sz w:val="24"/>
              </w:rPr>
              <w:t>-</w:t>
            </w:r>
            <w:r>
              <w:rPr>
                <w:sz w:val="24"/>
              </w:rPr>
              <w:tab/>
            </w:r>
            <w:r>
              <w:rPr>
                <w:sz w:val="24"/>
              </w:rPr>
              <w:t>Increases the permit fee to $10 per cubic yard of material and the minimum fee to $100. Current permit fee for these types of burns was set in the mid 1990’s. Encourages more rigorous evaluation of alternatives to open burning as a means of disposal. Encou</w:t>
            </w:r>
            <w:r>
              <w:rPr>
                <w:sz w:val="24"/>
              </w:rPr>
              <w:t>rages more effort in pre-planning salvage efforts in demolition or land-clearing projects. More</w:t>
            </w:r>
            <w:r>
              <w:rPr>
                <w:spacing w:val="-16"/>
                <w:sz w:val="24"/>
              </w:rPr>
              <w:t xml:space="preserve"> </w:t>
            </w:r>
            <w:r>
              <w:rPr>
                <w:sz w:val="24"/>
              </w:rPr>
              <w:t>realistic</w:t>
            </w:r>
          </w:p>
          <w:p w:rsidR="003C3559" w:rsidRDefault="0037070C">
            <w:pPr>
              <w:pStyle w:val="TableParagraph"/>
              <w:spacing w:before="1" w:line="290" w:lineRule="atLeast"/>
              <w:ind w:left="825" w:right="955"/>
              <w:rPr>
                <w:sz w:val="24"/>
              </w:rPr>
            </w:pPr>
            <w:r>
              <w:rPr>
                <w:sz w:val="24"/>
              </w:rPr>
              <w:t>in costs associated with LRAPA permitting and compliance assurance.</w:t>
            </w:r>
          </w:p>
        </w:tc>
        <w:tc>
          <w:tcPr>
            <w:tcW w:w="1255" w:type="dxa"/>
          </w:tcPr>
          <w:p w:rsidR="003C3559" w:rsidRDefault="0037070C">
            <w:pPr>
              <w:pStyle w:val="TableParagraph"/>
              <w:spacing w:line="292" w:lineRule="exact"/>
              <w:rPr>
                <w:sz w:val="24"/>
              </w:rPr>
            </w:pPr>
            <w:r>
              <w:rPr>
                <w:sz w:val="24"/>
              </w:rPr>
              <w:t>No</w:t>
            </w:r>
          </w:p>
        </w:tc>
      </w:tr>
    </w:tbl>
    <w:p w:rsidR="00000000" w:rsidRDefault="0037070C"/>
    <w:sectPr w:rsidR="00000000">
      <w:pgSz w:w="12240" w:h="15840"/>
      <w:pgMar w:top="1200" w:right="700" w:bottom="980" w:left="500" w:header="256"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7070C">
      <w:r>
        <w:separator/>
      </w:r>
    </w:p>
  </w:endnote>
  <w:endnote w:type="continuationSeparator" w:id="0">
    <w:p w:rsidR="00000000" w:rsidRDefault="0037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559" w:rsidRDefault="0037070C">
    <w:pPr>
      <w:pStyle w:val="BodyText"/>
      <w:spacing w:line="14" w:lineRule="auto"/>
      <w:rPr>
        <w:b w:val="0"/>
        <w:sz w:val="20"/>
      </w:rPr>
    </w:pPr>
    <w:r>
      <w:pict>
        <v:shapetype id="_x0000_t202" coordsize="21600,21600" o:spt="202" path="m,l,21600r21600,l21600,xe">
          <v:stroke joinstyle="miter"/>
          <v:path gradientshapeok="t" o:connecttype="rect"/>
        </v:shapetype>
        <v:shape id="_x0000_s1025" type="#_x0000_t202" style="position:absolute;margin-left:301.75pt;margin-top:741.05pt;width:9.6pt;height:13.05pt;z-index:-10000;mso-position-horizontal-relative:page;mso-position-vertical-relative:page" filled="f" stroked="f">
          <v:textbox inset="0,0,0,0">
            <w:txbxContent>
              <w:p w:rsidR="003C3559" w:rsidRDefault="0037070C">
                <w:pPr>
                  <w:spacing w:line="245" w:lineRule="exact"/>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7070C">
      <w:r>
        <w:separator/>
      </w:r>
    </w:p>
  </w:footnote>
  <w:footnote w:type="continuationSeparator" w:id="0">
    <w:p w:rsidR="00000000" w:rsidRDefault="0037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559" w:rsidRDefault="0037070C">
    <w:pPr>
      <w:pStyle w:val="BodyText"/>
      <w:spacing w:line="14" w:lineRule="auto"/>
      <w:rPr>
        <w:b w:val="0"/>
        <w:sz w:val="20"/>
      </w:rPr>
    </w:pPr>
    <w:r>
      <w:pict>
        <v:shapetype id="_x0000_t202" coordsize="21600,21600" o:spt="202" path="m,l,21600r21600,l21600,xe">
          <v:stroke joinstyle="miter"/>
          <v:path gradientshapeok="t" o:connecttype="rect"/>
        </v:shapetype>
        <v:shape id="_x0000_s1026" type="#_x0000_t202" style="position:absolute;margin-left:349.1pt;margin-top:11.8pt;width:198pt;height:14.95pt;z-index:-10024;mso-position-horizontal-relative:page;mso-position-vertical-relative:page" filled="f" stroked="f">
          <v:textbox inset="0,0,0,0">
            <w:txbxContent>
              <w:p w:rsidR="003C3559" w:rsidRDefault="0037070C">
                <w:pPr>
                  <w:spacing w:before="20"/>
                  <w:ind w:left="20"/>
                  <w:rPr>
                    <w:rFonts w:ascii="Cambria"/>
                  </w:rPr>
                </w:pPr>
                <w:r>
                  <w:rPr>
                    <w:rFonts w:ascii="Cambria"/>
                  </w:rPr>
                  <w:t>Crosswalk of rule revisions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349"/>
    <w:multiLevelType w:val="hybridMultilevel"/>
    <w:tmpl w:val="C868CB8A"/>
    <w:lvl w:ilvl="0" w:tplc="F56A6426">
      <w:numFmt w:val="bullet"/>
      <w:lvlText w:val="-"/>
      <w:lvlJc w:val="left"/>
      <w:pPr>
        <w:ind w:left="825" w:hanging="360"/>
      </w:pPr>
      <w:rPr>
        <w:rFonts w:ascii="Calibri" w:eastAsia="Calibri" w:hAnsi="Calibri" w:cs="Calibri" w:hint="default"/>
        <w:spacing w:val="-3"/>
        <w:w w:val="100"/>
        <w:sz w:val="24"/>
        <w:szCs w:val="24"/>
        <w:lang w:val="en-US" w:eastAsia="en-US" w:bidi="en-US"/>
      </w:rPr>
    </w:lvl>
    <w:lvl w:ilvl="1" w:tplc="974A9818">
      <w:numFmt w:val="bullet"/>
      <w:lvlText w:val="•"/>
      <w:lvlJc w:val="left"/>
      <w:pPr>
        <w:ind w:left="1367" w:hanging="360"/>
      </w:pPr>
      <w:rPr>
        <w:rFonts w:hint="default"/>
        <w:lang w:val="en-US" w:eastAsia="en-US" w:bidi="en-US"/>
      </w:rPr>
    </w:lvl>
    <w:lvl w:ilvl="2" w:tplc="36AA7E18">
      <w:numFmt w:val="bullet"/>
      <w:lvlText w:val="•"/>
      <w:lvlJc w:val="left"/>
      <w:pPr>
        <w:ind w:left="1914" w:hanging="360"/>
      </w:pPr>
      <w:rPr>
        <w:rFonts w:hint="default"/>
        <w:lang w:val="en-US" w:eastAsia="en-US" w:bidi="en-US"/>
      </w:rPr>
    </w:lvl>
    <w:lvl w:ilvl="3" w:tplc="D0D86532">
      <w:numFmt w:val="bullet"/>
      <w:lvlText w:val="•"/>
      <w:lvlJc w:val="left"/>
      <w:pPr>
        <w:ind w:left="2462" w:hanging="360"/>
      </w:pPr>
      <w:rPr>
        <w:rFonts w:hint="default"/>
        <w:lang w:val="en-US" w:eastAsia="en-US" w:bidi="en-US"/>
      </w:rPr>
    </w:lvl>
    <w:lvl w:ilvl="4" w:tplc="CBD42CFC">
      <w:numFmt w:val="bullet"/>
      <w:lvlText w:val="•"/>
      <w:lvlJc w:val="left"/>
      <w:pPr>
        <w:ind w:left="3009" w:hanging="360"/>
      </w:pPr>
      <w:rPr>
        <w:rFonts w:hint="default"/>
        <w:lang w:val="en-US" w:eastAsia="en-US" w:bidi="en-US"/>
      </w:rPr>
    </w:lvl>
    <w:lvl w:ilvl="5" w:tplc="3BA240AC">
      <w:numFmt w:val="bullet"/>
      <w:lvlText w:val="•"/>
      <w:lvlJc w:val="left"/>
      <w:pPr>
        <w:ind w:left="3557" w:hanging="360"/>
      </w:pPr>
      <w:rPr>
        <w:rFonts w:hint="default"/>
        <w:lang w:val="en-US" w:eastAsia="en-US" w:bidi="en-US"/>
      </w:rPr>
    </w:lvl>
    <w:lvl w:ilvl="6" w:tplc="756E6DD0">
      <w:numFmt w:val="bullet"/>
      <w:lvlText w:val="•"/>
      <w:lvlJc w:val="left"/>
      <w:pPr>
        <w:ind w:left="4104" w:hanging="360"/>
      </w:pPr>
      <w:rPr>
        <w:rFonts w:hint="default"/>
        <w:lang w:val="en-US" w:eastAsia="en-US" w:bidi="en-US"/>
      </w:rPr>
    </w:lvl>
    <w:lvl w:ilvl="7" w:tplc="56AA3578">
      <w:numFmt w:val="bullet"/>
      <w:lvlText w:val="•"/>
      <w:lvlJc w:val="left"/>
      <w:pPr>
        <w:ind w:left="4651" w:hanging="360"/>
      </w:pPr>
      <w:rPr>
        <w:rFonts w:hint="default"/>
        <w:lang w:val="en-US" w:eastAsia="en-US" w:bidi="en-US"/>
      </w:rPr>
    </w:lvl>
    <w:lvl w:ilvl="8" w:tplc="A6F0F538">
      <w:numFmt w:val="bullet"/>
      <w:lvlText w:val="•"/>
      <w:lvlJc w:val="left"/>
      <w:pPr>
        <w:ind w:left="5199" w:hanging="360"/>
      </w:pPr>
      <w:rPr>
        <w:rFonts w:hint="default"/>
        <w:lang w:val="en-US" w:eastAsia="en-US" w:bidi="en-US"/>
      </w:rPr>
    </w:lvl>
  </w:abstractNum>
  <w:abstractNum w:abstractNumId="1" w15:restartNumberingAfterBreak="0">
    <w:nsid w:val="16307565"/>
    <w:multiLevelType w:val="hybridMultilevel"/>
    <w:tmpl w:val="DCE25736"/>
    <w:lvl w:ilvl="0" w:tplc="411E88D4">
      <w:numFmt w:val="bullet"/>
      <w:lvlText w:val="-"/>
      <w:lvlJc w:val="left"/>
      <w:pPr>
        <w:ind w:left="825" w:hanging="360"/>
      </w:pPr>
      <w:rPr>
        <w:rFonts w:ascii="Calibri" w:eastAsia="Calibri" w:hAnsi="Calibri" w:cs="Calibri" w:hint="default"/>
        <w:spacing w:val="-3"/>
        <w:w w:val="100"/>
        <w:sz w:val="24"/>
        <w:szCs w:val="24"/>
        <w:lang w:val="en-US" w:eastAsia="en-US" w:bidi="en-US"/>
      </w:rPr>
    </w:lvl>
    <w:lvl w:ilvl="1" w:tplc="9C12DB54">
      <w:numFmt w:val="bullet"/>
      <w:lvlText w:val="•"/>
      <w:lvlJc w:val="left"/>
      <w:pPr>
        <w:ind w:left="1367" w:hanging="360"/>
      </w:pPr>
      <w:rPr>
        <w:rFonts w:hint="default"/>
        <w:lang w:val="en-US" w:eastAsia="en-US" w:bidi="en-US"/>
      </w:rPr>
    </w:lvl>
    <w:lvl w:ilvl="2" w:tplc="BCCC60A0">
      <w:numFmt w:val="bullet"/>
      <w:lvlText w:val="•"/>
      <w:lvlJc w:val="left"/>
      <w:pPr>
        <w:ind w:left="1914" w:hanging="360"/>
      </w:pPr>
      <w:rPr>
        <w:rFonts w:hint="default"/>
        <w:lang w:val="en-US" w:eastAsia="en-US" w:bidi="en-US"/>
      </w:rPr>
    </w:lvl>
    <w:lvl w:ilvl="3" w:tplc="48E00C80">
      <w:numFmt w:val="bullet"/>
      <w:lvlText w:val="•"/>
      <w:lvlJc w:val="left"/>
      <w:pPr>
        <w:ind w:left="2462" w:hanging="360"/>
      </w:pPr>
      <w:rPr>
        <w:rFonts w:hint="default"/>
        <w:lang w:val="en-US" w:eastAsia="en-US" w:bidi="en-US"/>
      </w:rPr>
    </w:lvl>
    <w:lvl w:ilvl="4" w:tplc="DEBC8416">
      <w:numFmt w:val="bullet"/>
      <w:lvlText w:val="•"/>
      <w:lvlJc w:val="left"/>
      <w:pPr>
        <w:ind w:left="3009" w:hanging="360"/>
      </w:pPr>
      <w:rPr>
        <w:rFonts w:hint="default"/>
        <w:lang w:val="en-US" w:eastAsia="en-US" w:bidi="en-US"/>
      </w:rPr>
    </w:lvl>
    <w:lvl w:ilvl="5" w:tplc="C5FCF2D4">
      <w:numFmt w:val="bullet"/>
      <w:lvlText w:val="•"/>
      <w:lvlJc w:val="left"/>
      <w:pPr>
        <w:ind w:left="3557" w:hanging="360"/>
      </w:pPr>
      <w:rPr>
        <w:rFonts w:hint="default"/>
        <w:lang w:val="en-US" w:eastAsia="en-US" w:bidi="en-US"/>
      </w:rPr>
    </w:lvl>
    <w:lvl w:ilvl="6" w:tplc="4454C960">
      <w:numFmt w:val="bullet"/>
      <w:lvlText w:val="•"/>
      <w:lvlJc w:val="left"/>
      <w:pPr>
        <w:ind w:left="4104" w:hanging="360"/>
      </w:pPr>
      <w:rPr>
        <w:rFonts w:hint="default"/>
        <w:lang w:val="en-US" w:eastAsia="en-US" w:bidi="en-US"/>
      </w:rPr>
    </w:lvl>
    <w:lvl w:ilvl="7" w:tplc="EC541AD4">
      <w:numFmt w:val="bullet"/>
      <w:lvlText w:val="•"/>
      <w:lvlJc w:val="left"/>
      <w:pPr>
        <w:ind w:left="4651" w:hanging="360"/>
      </w:pPr>
      <w:rPr>
        <w:rFonts w:hint="default"/>
        <w:lang w:val="en-US" w:eastAsia="en-US" w:bidi="en-US"/>
      </w:rPr>
    </w:lvl>
    <w:lvl w:ilvl="8" w:tplc="7BD2BF94">
      <w:numFmt w:val="bullet"/>
      <w:lvlText w:val="•"/>
      <w:lvlJc w:val="left"/>
      <w:pPr>
        <w:ind w:left="5199" w:hanging="360"/>
      </w:pPr>
      <w:rPr>
        <w:rFonts w:hint="default"/>
        <w:lang w:val="en-US" w:eastAsia="en-US" w:bidi="en-US"/>
      </w:rPr>
    </w:lvl>
  </w:abstractNum>
  <w:abstractNum w:abstractNumId="2" w15:restartNumberingAfterBreak="0">
    <w:nsid w:val="20120876"/>
    <w:multiLevelType w:val="hybridMultilevel"/>
    <w:tmpl w:val="B2BC8676"/>
    <w:lvl w:ilvl="0" w:tplc="E2C421C2">
      <w:numFmt w:val="bullet"/>
      <w:lvlText w:val="-"/>
      <w:lvlJc w:val="left"/>
      <w:pPr>
        <w:ind w:left="825" w:hanging="360"/>
      </w:pPr>
      <w:rPr>
        <w:rFonts w:ascii="Calibri" w:eastAsia="Calibri" w:hAnsi="Calibri" w:cs="Calibri" w:hint="default"/>
        <w:spacing w:val="-2"/>
        <w:w w:val="100"/>
        <w:sz w:val="24"/>
        <w:szCs w:val="24"/>
        <w:lang w:val="en-US" w:eastAsia="en-US" w:bidi="en-US"/>
      </w:rPr>
    </w:lvl>
    <w:lvl w:ilvl="1" w:tplc="69C8BAB4">
      <w:numFmt w:val="bullet"/>
      <w:lvlText w:val="•"/>
      <w:lvlJc w:val="left"/>
      <w:pPr>
        <w:ind w:left="1367" w:hanging="360"/>
      </w:pPr>
      <w:rPr>
        <w:rFonts w:hint="default"/>
        <w:lang w:val="en-US" w:eastAsia="en-US" w:bidi="en-US"/>
      </w:rPr>
    </w:lvl>
    <w:lvl w:ilvl="2" w:tplc="373A13F6">
      <w:numFmt w:val="bullet"/>
      <w:lvlText w:val="•"/>
      <w:lvlJc w:val="left"/>
      <w:pPr>
        <w:ind w:left="1914" w:hanging="360"/>
      </w:pPr>
      <w:rPr>
        <w:rFonts w:hint="default"/>
        <w:lang w:val="en-US" w:eastAsia="en-US" w:bidi="en-US"/>
      </w:rPr>
    </w:lvl>
    <w:lvl w:ilvl="3" w:tplc="46ACB7B6">
      <w:numFmt w:val="bullet"/>
      <w:lvlText w:val="•"/>
      <w:lvlJc w:val="left"/>
      <w:pPr>
        <w:ind w:left="2462" w:hanging="360"/>
      </w:pPr>
      <w:rPr>
        <w:rFonts w:hint="default"/>
        <w:lang w:val="en-US" w:eastAsia="en-US" w:bidi="en-US"/>
      </w:rPr>
    </w:lvl>
    <w:lvl w:ilvl="4" w:tplc="6BCA87BA">
      <w:numFmt w:val="bullet"/>
      <w:lvlText w:val="•"/>
      <w:lvlJc w:val="left"/>
      <w:pPr>
        <w:ind w:left="3009" w:hanging="360"/>
      </w:pPr>
      <w:rPr>
        <w:rFonts w:hint="default"/>
        <w:lang w:val="en-US" w:eastAsia="en-US" w:bidi="en-US"/>
      </w:rPr>
    </w:lvl>
    <w:lvl w:ilvl="5" w:tplc="5BAADF38">
      <w:numFmt w:val="bullet"/>
      <w:lvlText w:val="•"/>
      <w:lvlJc w:val="left"/>
      <w:pPr>
        <w:ind w:left="3557" w:hanging="360"/>
      </w:pPr>
      <w:rPr>
        <w:rFonts w:hint="default"/>
        <w:lang w:val="en-US" w:eastAsia="en-US" w:bidi="en-US"/>
      </w:rPr>
    </w:lvl>
    <w:lvl w:ilvl="6" w:tplc="0868C7C2">
      <w:numFmt w:val="bullet"/>
      <w:lvlText w:val="•"/>
      <w:lvlJc w:val="left"/>
      <w:pPr>
        <w:ind w:left="4104" w:hanging="360"/>
      </w:pPr>
      <w:rPr>
        <w:rFonts w:hint="default"/>
        <w:lang w:val="en-US" w:eastAsia="en-US" w:bidi="en-US"/>
      </w:rPr>
    </w:lvl>
    <w:lvl w:ilvl="7" w:tplc="D20801B4">
      <w:numFmt w:val="bullet"/>
      <w:lvlText w:val="•"/>
      <w:lvlJc w:val="left"/>
      <w:pPr>
        <w:ind w:left="4651" w:hanging="360"/>
      </w:pPr>
      <w:rPr>
        <w:rFonts w:hint="default"/>
        <w:lang w:val="en-US" w:eastAsia="en-US" w:bidi="en-US"/>
      </w:rPr>
    </w:lvl>
    <w:lvl w:ilvl="8" w:tplc="BB5C4380">
      <w:numFmt w:val="bullet"/>
      <w:lvlText w:val="•"/>
      <w:lvlJc w:val="left"/>
      <w:pPr>
        <w:ind w:left="5199" w:hanging="360"/>
      </w:pPr>
      <w:rPr>
        <w:rFonts w:hint="default"/>
        <w:lang w:val="en-US" w:eastAsia="en-US" w:bidi="en-US"/>
      </w:rPr>
    </w:lvl>
  </w:abstractNum>
  <w:abstractNum w:abstractNumId="3" w15:restartNumberingAfterBreak="0">
    <w:nsid w:val="66D00C47"/>
    <w:multiLevelType w:val="hybridMultilevel"/>
    <w:tmpl w:val="70A6F4AC"/>
    <w:lvl w:ilvl="0" w:tplc="2F4E2440">
      <w:numFmt w:val="bullet"/>
      <w:lvlText w:val="-"/>
      <w:lvlJc w:val="left"/>
      <w:pPr>
        <w:ind w:left="825" w:hanging="360"/>
      </w:pPr>
      <w:rPr>
        <w:rFonts w:ascii="Calibri" w:eastAsia="Calibri" w:hAnsi="Calibri" w:cs="Calibri" w:hint="default"/>
        <w:spacing w:val="-4"/>
        <w:w w:val="100"/>
        <w:sz w:val="24"/>
        <w:szCs w:val="24"/>
        <w:lang w:val="en-US" w:eastAsia="en-US" w:bidi="en-US"/>
      </w:rPr>
    </w:lvl>
    <w:lvl w:ilvl="1" w:tplc="F7D09B7C">
      <w:numFmt w:val="bullet"/>
      <w:lvlText w:val="•"/>
      <w:lvlJc w:val="left"/>
      <w:pPr>
        <w:ind w:left="1367" w:hanging="360"/>
      </w:pPr>
      <w:rPr>
        <w:rFonts w:hint="default"/>
        <w:lang w:val="en-US" w:eastAsia="en-US" w:bidi="en-US"/>
      </w:rPr>
    </w:lvl>
    <w:lvl w:ilvl="2" w:tplc="723E4E4E">
      <w:numFmt w:val="bullet"/>
      <w:lvlText w:val="•"/>
      <w:lvlJc w:val="left"/>
      <w:pPr>
        <w:ind w:left="1914" w:hanging="360"/>
      </w:pPr>
      <w:rPr>
        <w:rFonts w:hint="default"/>
        <w:lang w:val="en-US" w:eastAsia="en-US" w:bidi="en-US"/>
      </w:rPr>
    </w:lvl>
    <w:lvl w:ilvl="3" w:tplc="9FF4EB8A">
      <w:numFmt w:val="bullet"/>
      <w:lvlText w:val="•"/>
      <w:lvlJc w:val="left"/>
      <w:pPr>
        <w:ind w:left="2462" w:hanging="360"/>
      </w:pPr>
      <w:rPr>
        <w:rFonts w:hint="default"/>
        <w:lang w:val="en-US" w:eastAsia="en-US" w:bidi="en-US"/>
      </w:rPr>
    </w:lvl>
    <w:lvl w:ilvl="4" w:tplc="C47431A0">
      <w:numFmt w:val="bullet"/>
      <w:lvlText w:val="•"/>
      <w:lvlJc w:val="left"/>
      <w:pPr>
        <w:ind w:left="3009" w:hanging="360"/>
      </w:pPr>
      <w:rPr>
        <w:rFonts w:hint="default"/>
        <w:lang w:val="en-US" w:eastAsia="en-US" w:bidi="en-US"/>
      </w:rPr>
    </w:lvl>
    <w:lvl w:ilvl="5" w:tplc="5324F706">
      <w:numFmt w:val="bullet"/>
      <w:lvlText w:val="•"/>
      <w:lvlJc w:val="left"/>
      <w:pPr>
        <w:ind w:left="3557" w:hanging="360"/>
      </w:pPr>
      <w:rPr>
        <w:rFonts w:hint="default"/>
        <w:lang w:val="en-US" w:eastAsia="en-US" w:bidi="en-US"/>
      </w:rPr>
    </w:lvl>
    <w:lvl w:ilvl="6" w:tplc="4C8CE73C">
      <w:numFmt w:val="bullet"/>
      <w:lvlText w:val="•"/>
      <w:lvlJc w:val="left"/>
      <w:pPr>
        <w:ind w:left="4104" w:hanging="360"/>
      </w:pPr>
      <w:rPr>
        <w:rFonts w:hint="default"/>
        <w:lang w:val="en-US" w:eastAsia="en-US" w:bidi="en-US"/>
      </w:rPr>
    </w:lvl>
    <w:lvl w:ilvl="7" w:tplc="8EB8B16C">
      <w:numFmt w:val="bullet"/>
      <w:lvlText w:val="•"/>
      <w:lvlJc w:val="left"/>
      <w:pPr>
        <w:ind w:left="4651" w:hanging="360"/>
      </w:pPr>
      <w:rPr>
        <w:rFonts w:hint="default"/>
        <w:lang w:val="en-US" w:eastAsia="en-US" w:bidi="en-US"/>
      </w:rPr>
    </w:lvl>
    <w:lvl w:ilvl="8" w:tplc="E8F6AC20">
      <w:numFmt w:val="bullet"/>
      <w:lvlText w:val="•"/>
      <w:lvlJc w:val="left"/>
      <w:pPr>
        <w:ind w:left="5199" w:hanging="360"/>
      </w:pPr>
      <w:rPr>
        <w:rFonts w:hint="default"/>
        <w:lang w:val="en-US" w:eastAsia="en-US" w:bidi="en-US"/>
      </w:rPr>
    </w:lvl>
  </w:abstractNum>
  <w:abstractNum w:abstractNumId="4" w15:restartNumberingAfterBreak="0">
    <w:nsid w:val="6F5A1155"/>
    <w:multiLevelType w:val="hybridMultilevel"/>
    <w:tmpl w:val="247AB956"/>
    <w:lvl w:ilvl="0" w:tplc="AFE09C88">
      <w:numFmt w:val="bullet"/>
      <w:lvlText w:val="-"/>
      <w:lvlJc w:val="left"/>
      <w:pPr>
        <w:ind w:left="825" w:hanging="360"/>
      </w:pPr>
      <w:rPr>
        <w:rFonts w:ascii="Calibri" w:eastAsia="Calibri" w:hAnsi="Calibri" w:cs="Calibri" w:hint="default"/>
        <w:spacing w:val="-3"/>
        <w:w w:val="100"/>
        <w:sz w:val="24"/>
        <w:szCs w:val="24"/>
        <w:lang w:val="en-US" w:eastAsia="en-US" w:bidi="en-US"/>
      </w:rPr>
    </w:lvl>
    <w:lvl w:ilvl="1" w:tplc="BA84DE52">
      <w:numFmt w:val="bullet"/>
      <w:lvlText w:val="•"/>
      <w:lvlJc w:val="left"/>
      <w:pPr>
        <w:ind w:left="1367" w:hanging="360"/>
      </w:pPr>
      <w:rPr>
        <w:rFonts w:hint="default"/>
        <w:lang w:val="en-US" w:eastAsia="en-US" w:bidi="en-US"/>
      </w:rPr>
    </w:lvl>
    <w:lvl w:ilvl="2" w:tplc="86FA83CA">
      <w:numFmt w:val="bullet"/>
      <w:lvlText w:val="•"/>
      <w:lvlJc w:val="left"/>
      <w:pPr>
        <w:ind w:left="1914" w:hanging="360"/>
      </w:pPr>
      <w:rPr>
        <w:rFonts w:hint="default"/>
        <w:lang w:val="en-US" w:eastAsia="en-US" w:bidi="en-US"/>
      </w:rPr>
    </w:lvl>
    <w:lvl w:ilvl="3" w:tplc="5F328094">
      <w:numFmt w:val="bullet"/>
      <w:lvlText w:val="•"/>
      <w:lvlJc w:val="left"/>
      <w:pPr>
        <w:ind w:left="2462" w:hanging="360"/>
      </w:pPr>
      <w:rPr>
        <w:rFonts w:hint="default"/>
        <w:lang w:val="en-US" w:eastAsia="en-US" w:bidi="en-US"/>
      </w:rPr>
    </w:lvl>
    <w:lvl w:ilvl="4" w:tplc="2084EB6A">
      <w:numFmt w:val="bullet"/>
      <w:lvlText w:val="•"/>
      <w:lvlJc w:val="left"/>
      <w:pPr>
        <w:ind w:left="3009" w:hanging="360"/>
      </w:pPr>
      <w:rPr>
        <w:rFonts w:hint="default"/>
        <w:lang w:val="en-US" w:eastAsia="en-US" w:bidi="en-US"/>
      </w:rPr>
    </w:lvl>
    <w:lvl w:ilvl="5" w:tplc="CBAE61C2">
      <w:numFmt w:val="bullet"/>
      <w:lvlText w:val="•"/>
      <w:lvlJc w:val="left"/>
      <w:pPr>
        <w:ind w:left="3557" w:hanging="360"/>
      </w:pPr>
      <w:rPr>
        <w:rFonts w:hint="default"/>
        <w:lang w:val="en-US" w:eastAsia="en-US" w:bidi="en-US"/>
      </w:rPr>
    </w:lvl>
    <w:lvl w:ilvl="6" w:tplc="D55EF21A">
      <w:numFmt w:val="bullet"/>
      <w:lvlText w:val="•"/>
      <w:lvlJc w:val="left"/>
      <w:pPr>
        <w:ind w:left="4104" w:hanging="360"/>
      </w:pPr>
      <w:rPr>
        <w:rFonts w:hint="default"/>
        <w:lang w:val="en-US" w:eastAsia="en-US" w:bidi="en-US"/>
      </w:rPr>
    </w:lvl>
    <w:lvl w:ilvl="7" w:tplc="59D6FE44">
      <w:numFmt w:val="bullet"/>
      <w:lvlText w:val="•"/>
      <w:lvlJc w:val="left"/>
      <w:pPr>
        <w:ind w:left="4651" w:hanging="360"/>
      </w:pPr>
      <w:rPr>
        <w:rFonts w:hint="default"/>
        <w:lang w:val="en-US" w:eastAsia="en-US" w:bidi="en-US"/>
      </w:rPr>
    </w:lvl>
    <w:lvl w:ilvl="8" w:tplc="FC084EB0">
      <w:numFmt w:val="bullet"/>
      <w:lvlText w:val="•"/>
      <w:lvlJc w:val="left"/>
      <w:pPr>
        <w:ind w:left="5199" w:hanging="360"/>
      </w:pPr>
      <w:rPr>
        <w:rFonts w:hint="default"/>
        <w:lang w:val="en-US" w:eastAsia="en-US" w:bidi="en-US"/>
      </w:rPr>
    </w:lvl>
  </w:abstractNum>
  <w:abstractNum w:abstractNumId="5" w15:restartNumberingAfterBreak="0">
    <w:nsid w:val="740F2EA5"/>
    <w:multiLevelType w:val="hybridMultilevel"/>
    <w:tmpl w:val="3A760C10"/>
    <w:lvl w:ilvl="0" w:tplc="4208A6C2">
      <w:numFmt w:val="bullet"/>
      <w:lvlText w:val="-"/>
      <w:lvlJc w:val="left"/>
      <w:pPr>
        <w:ind w:left="609" w:hanging="360"/>
      </w:pPr>
      <w:rPr>
        <w:rFonts w:ascii="Calibri" w:eastAsia="Calibri" w:hAnsi="Calibri" w:cs="Calibri" w:hint="default"/>
        <w:spacing w:val="-4"/>
        <w:w w:val="100"/>
        <w:sz w:val="24"/>
        <w:szCs w:val="24"/>
        <w:lang w:val="en-US" w:eastAsia="en-US" w:bidi="en-US"/>
      </w:rPr>
    </w:lvl>
    <w:lvl w:ilvl="1" w:tplc="D592D736">
      <w:numFmt w:val="bullet"/>
      <w:lvlText w:val="•"/>
      <w:lvlJc w:val="left"/>
      <w:pPr>
        <w:ind w:left="1169" w:hanging="360"/>
      </w:pPr>
      <w:rPr>
        <w:rFonts w:hint="default"/>
        <w:lang w:val="en-US" w:eastAsia="en-US" w:bidi="en-US"/>
      </w:rPr>
    </w:lvl>
    <w:lvl w:ilvl="2" w:tplc="F0CC6E5E">
      <w:numFmt w:val="bullet"/>
      <w:lvlText w:val="•"/>
      <w:lvlJc w:val="left"/>
      <w:pPr>
        <w:ind w:left="1738" w:hanging="360"/>
      </w:pPr>
      <w:rPr>
        <w:rFonts w:hint="default"/>
        <w:lang w:val="en-US" w:eastAsia="en-US" w:bidi="en-US"/>
      </w:rPr>
    </w:lvl>
    <w:lvl w:ilvl="3" w:tplc="943C3678">
      <w:numFmt w:val="bullet"/>
      <w:lvlText w:val="•"/>
      <w:lvlJc w:val="left"/>
      <w:pPr>
        <w:ind w:left="2308" w:hanging="360"/>
      </w:pPr>
      <w:rPr>
        <w:rFonts w:hint="default"/>
        <w:lang w:val="en-US" w:eastAsia="en-US" w:bidi="en-US"/>
      </w:rPr>
    </w:lvl>
    <w:lvl w:ilvl="4" w:tplc="24E24122">
      <w:numFmt w:val="bullet"/>
      <w:lvlText w:val="•"/>
      <w:lvlJc w:val="left"/>
      <w:pPr>
        <w:ind w:left="2877" w:hanging="360"/>
      </w:pPr>
      <w:rPr>
        <w:rFonts w:hint="default"/>
        <w:lang w:val="en-US" w:eastAsia="en-US" w:bidi="en-US"/>
      </w:rPr>
    </w:lvl>
    <w:lvl w:ilvl="5" w:tplc="3BEE9E4C">
      <w:numFmt w:val="bullet"/>
      <w:lvlText w:val="•"/>
      <w:lvlJc w:val="left"/>
      <w:pPr>
        <w:ind w:left="3447" w:hanging="360"/>
      </w:pPr>
      <w:rPr>
        <w:rFonts w:hint="default"/>
        <w:lang w:val="en-US" w:eastAsia="en-US" w:bidi="en-US"/>
      </w:rPr>
    </w:lvl>
    <w:lvl w:ilvl="6" w:tplc="68564556">
      <w:numFmt w:val="bullet"/>
      <w:lvlText w:val="•"/>
      <w:lvlJc w:val="left"/>
      <w:pPr>
        <w:ind w:left="4016" w:hanging="360"/>
      </w:pPr>
      <w:rPr>
        <w:rFonts w:hint="default"/>
        <w:lang w:val="en-US" w:eastAsia="en-US" w:bidi="en-US"/>
      </w:rPr>
    </w:lvl>
    <w:lvl w:ilvl="7" w:tplc="572819B8">
      <w:numFmt w:val="bullet"/>
      <w:lvlText w:val="•"/>
      <w:lvlJc w:val="left"/>
      <w:pPr>
        <w:ind w:left="4585" w:hanging="360"/>
      </w:pPr>
      <w:rPr>
        <w:rFonts w:hint="default"/>
        <w:lang w:val="en-US" w:eastAsia="en-US" w:bidi="en-US"/>
      </w:rPr>
    </w:lvl>
    <w:lvl w:ilvl="8" w:tplc="E8747110">
      <w:numFmt w:val="bullet"/>
      <w:lvlText w:val="•"/>
      <w:lvlJc w:val="left"/>
      <w:pPr>
        <w:ind w:left="5155" w:hanging="360"/>
      </w:pPr>
      <w:rPr>
        <w:rFonts w:hint="default"/>
        <w:lang w:val="en-US" w:eastAsia="en-US" w:bidi="en-US"/>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C3559"/>
    <w:rsid w:val="0037070C"/>
    <w:rsid w:val="003C35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6E06DF1-F603-4D76-A3B9-DD7E4E25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7070C"/>
    <w:pPr>
      <w:tabs>
        <w:tab w:val="center" w:pos="4513"/>
        <w:tab w:val="right" w:pos="9026"/>
      </w:tabs>
    </w:pPr>
  </w:style>
  <w:style w:type="character" w:customStyle="1" w:styleId="HeaderChar">
    <w:name w:val="Header Char"/>
    <w:basedOn w:val="DefaultParagraphFont"/>
    <w:link w:val="Header"/>
    <w:uiPriority w:val="99"/>
    <w:rsid w:val="0037070C"/>
    <w:rPr>
      <w:rFonts w:ascii="Calibri" w:eastAsia="Calibri" w:hAnsi="Calibri" w:cs="Calibri"/>
      <w:lang w:bidi="en-US"/>
    </w:rPr>
  </w:style>
  <w:style w:type="paragraph" w:styleId="Footer">
    <w:name w:val="footer"/>
    <w:basedOn w:val="Normal"/>
    <w:link w:val="FooterChar"/>
    <w:uiPriority w:val="99"/>
    <w:unhideWhenUsed/>
    <w:rsid w:val="0037070C"/>
    <w:pPr>
      <w:tabs>
        <w:tab w:val="center" w:pos="4513"/>
        <w:tab w:val="right" w:pos="9026"/>
      </w:tabs>
    </w:pPr>
  </w:style>
  <w:style w:type="character" w:customStyle="1" w:styleId="FooterChar">
    <w:name w:val="Footer Char"/>
    <w:basedOn w:val="DefaultParagraphFont"/>
    <w:link w:val="Footer"/>
    <w:uiPriority w:val="99"/>
    <w:rsid w:val="0037070C"/>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1446</Words>
  <Characters>8245</Characters>
  <Application>Microsoft Office Word</Application>
  <DocSecurity>0</DocSecurity>
  <Lines>68</Lines>
  <Paragraphs>19</Paragraphs>
  <ScaleCrop>false</ScaleCrop>
  <Company>Oregon Department of Environmental Quality</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molipha</dc:creator>
  <cp:lastModifiedBy>HNIDEY Emil</cp:lastModifiedBy>
  <cp:revision>2</cp:revision>
  <dcterms:created xsi:type="dcterms:W3CDTF">2018-06-07T22:52:00Z</dcterms:created>
  <dcterms:modified xsi:type="dcterms:W3CDTF">2018-06-07T22:53:00Z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Creator">
    <vt:lpwstr>Microsoft® Word 2016</vt:lpwstr>
  </property>
  <property fmtid="{D5CDD505-2E9C-101B-9397-08002B2CF9AE}" pid="4" name="LastSaved">
    <vt:filetime>2018-06-07T00:00:00Z</vt:filetime>
  </property>
</Properties>
</file>