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8C" w:rsidRPr="00D1171D" w:rsidRDefault="00B5428C" w:rsidP="00B5428C">
      <w:pPr>
        <w:pStyle w:val="Heading4"/>
      </w:pPr>
      <w:r w:rsidRPr="00D1171D">
        <w:t>State of Oregon</w:t>
      </w:r>
    </w:p>
    <w:p w:rsidR="00B5428C" w:rsidRPr="00D1171D" w:rsidRDefault="00B5428C" w:rsidP="00B5428C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:rsidR="00B5428C" w:rsidRPr="00D1171D" w:rsidRDefault="00F0425A" w:rsidP="00B5428C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19050" t="15240" r="1905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B487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:rsidR="00B5428C" w:rsidRPr="00153CF5" w:rsidRDefault="00B5428C" w:rsidP="00B5428C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  <w:sz w:val="24"/>
          <w:szCs w:val="24"/>
        </w:rPr>
      </w:pPr>
      <w:r w:rsidRPr="00153CF5">
        <w:rPr>
          <w:rFonts w:ascii="Times New Roman" w:hAnsi="Times New Roman"/>
          <w:b/>
          <w:sz w:val="24"/>
          <w:szCs w:val="24"/>
        </w:rPr>
        <w:t xml:space="preserve">Date: </w:t>
      </w:r>
      <w:r w:rsidRPr="00153CF5">
        <w:rPr>
          <w:rFonts w:ascii="Times New Roman" w:hAnsi="Times New Roman"/>
          <w:b/>
          <w:sz w:val="24"/>
          <w:szCs w:val="24"/>
        </w:rPr>
        <w:tab/>
      </w:r>
      <w:r w:rsidR="00B55347">
        <w:rPr>
          <w:rFonts w:ascii="Times New Roman" w:hAnsi="Times New Roman"/>
          <w:sz w:val="24"/>
          <w:szCs w:val="24"/>
        </w:rPr>
        <w:t>Feb</w:t>
      </w:r>
      <w:r w:rsidR="008243A4">
        <w:rPr>
          <w:rFonts w:ascii="Times New Roman" w:hAnsi="Times New Roman"/>
          <w:sz w:val="24"/>
          <w:szCs w:val="24"/>
        </w:rPr>
        <w:t xml:space="preserve">. </w:t>
      </w:r>
      <w:r w:rsidR="00B55347">
        <w:rPr>
          <w:rFonts w:ascii="Times New Roman" w:hAnsi="Times New Roman"/>
          <w:sz w:val="24"/>
          <w:szCs w:val="24"/>
        </w:rPr>
        <w:t>16</w:t>
      </w:r>
      <w:r w:rsidR="009856A0">
        <w:rPr>
          <w:rFonts w:ascii="Times New Roman" w:hAnsi="Times New Roman"/>
          <w:sz w:val="24"/>
          <w:szCs w:val="24"/>
        </w:rPr>
        <w:t>, 2018</w:t>
      </w:r>
    </w:p>
    <w:p w:rsidR="00B5428C" w:rsidRPr="00153CF5" w:rsidRDefault="00B5428C" w:rsidP="00B5428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B5428C" w:rsidRPr="00153CF5" w:rsidRDefault="00B5428C" w:rsidP="00B5428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  <w:szCs w:val="24"/>
        </w:rPr>
      </w:pPr>
      <w:r w:rsidRPr="00153CF5">
        <w:rPr>
          <w:rFonts w:ascii="Times New Roman" w:hAnsi="Times New Roman"/>
          <w:b/>
          <w:sz w:val="24"/>
          <w:szCs w:val="24"/>
        </w:rPr>
        <w:t>To:</w:t>
      </w:r>
      <w:r w:rsidRPr="00153CF5">
        <w:rPr>
          <w:rFonts w:ascii="Times New Roman" w:hAnsi="Times New Roman"/>
          <w:sz w:val="24"/>
          <w:szCs w:val="24"/>
        </w:rPr>
        <w:tab/>
      </w:r>
      <w:r w:rsidRPr="00153CF5">
        <w:rPr>
          <w:rFonts w:ascii="Times New Roman" w:hAnsi="Times New Roman"/>
          <w:sz w:val="24"/>
          <w:szCs w:val="24"/>
        </w:rPr>
        <w:tab/>
        <w:t>Environmental Quality Commission</w:t>
      </w:r>
    </w:p>
    <w:p w:rsidR="00B5428C" w:rsidRPr="00153CF5" w:rsidRDefault="00B5428C" w:rsidP="00B5428C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B5428C" w:rsidRPr="00153CF5" w:rsidRDefault="00B5428C" w:rsidP="00B5428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  <w:szCs w:val="24"/>
        </w:rPr>
      </w:pPr>
      <w:r w:rsidRPr="00153CF5">
        <w:rPr>
          <w:rFonts w:ascii="Times New Roman" w:hAnsi="Times New Roman"/>
          <w:b/>
          <w:sz w:val="24"/>
          <w:szCs w:val="24"/>
        </w:rPr>
        <w:t>From:</w:t>
      </w:r>
      <w:r w:rsidRPr="00153CF5">
        <w:rPr>
          <w:rFonts w:ascii="Times New Roman" w:hAnsi="Times New Roman"/>
          <w:sz w:val="24"/>
          <w:szCs w:val="24"/>
        </w:rPr>
        <w:tab/>
      </w:r>
      <w:r w:rsidRPr="00153CF5">
        <w:rPr>
          <w:rFonts w:ascii="Times New Roman" w:hAnsi="Times New Roman"/>
          <w:sz w:val="24"/>
          <w:szCs w:val="24"/>
        </w:rPr>
        <w:tab/>
      </w:r>
      <w:r w:rsidR="00B55347">
        <w:rPr>
          <w:rFonts w:ascii="Times New Roman" w:hAnsi="Times New Roman"/>
          <w:sz w:val="24"/>
          <w:szCs w:val="24"/>
        </w:rPr>
        <w:t>Merlyn Hough</w:t>
      </w:r>
      <w:r w:rsidR="00153CF5">
        <w:rPr>
          <w:rFonts w:ascii="Times New Roman" w:hAnsi="Times New Roman"/>
          <w:sz w:val="24"/>
          <w:szCs w:val="24"/>
        </w:rPr>
        <w:t>, Director</w:t>
      </w:r>
      <w:r w:rsidRPr="00153CF5">
        <w:rPr>
          <w:rFonts w:ascii="Times New Roman" w:hAnsi="Times New Roman"/>
          <w:sz w:val="24"/>
          <w:szCs w:val="24"/>
        </w:rPr>
        <w:t xml:space="preserve"> </w:t>
      </w:r>
      <w:r w:rsidR="00B55347">
        <w:rPr>
          <w:rFonts w:ascii="Times New Roman" w:hAnsi="Times New Roman"/>
          <w:sz w:val="24"/>
          <w:szCs w:val="24"/>
        </w:rPr>
        <w:t>of LRAPA</w:t>
      </w:r>
    </w:p>
    <w:p w:rsidR="00B5428C" w:rsidRPr="00153CF5" w:rsidRDefault="00B5428C" w:rsidP="00B5428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B5428C" w:rsidRPr="00153CF5" w:rsidRDefault="00B5428C" w:rsidP="00B5428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z w:val="24"/>
          <w:szCs w:val="24"/>
        </w:rPr>
      </w:pPr>
      <w:r w:rsidRPr="00153CF5">
        <w:rPr>
          <w:rFonts w:ascii="Times New Roman" w:hAnsi="Times New Roman"/>
          <w:b/>
          <w:sz w:val="24"/>
          <w:szCs w:val="24"/>
        </w:rPr>
        <w:t>Subject:</w:t>
      </w:r>
      <w:r w:rsidRPr="00153CF5">
        <w:rPr>
          <w:rFonts w:ascii="Times New Roman" w:hAnsi="Times New Roman"/>
          <w:sz w:val="24"/>
          <w:szCs w:val="24"/>
        </w:rPr>
        <w:tab/>
      </w:r>
      <w:bookmarkStart w:id="0" w:name="AgendaInfo"/>
      <w:r w:rsidRPr="00153CF5">
        <w:rPr>
          <w:rFonts w:ascii="Times New Roman" w:hAnsi="Times New Roman"/>
          <w:sz w:val="24"/>
          <w:szCs w:val="24"/>
        </w:rPr>
        <w:t xml:space="preserve">Agenda </w:t>
      </w:r>
      <w:r w:rsidR="00696186">
        <w:rPr>
          <w:rFonts w:ascii="Times New Roman" w:hAnsi="Times New Roman"/>
          <w:sz w:val="24"/>
          <w:szCs w:val="24"/>
        </w:rPr>
        <w:t xml:space="preserve">item </w:t>
      </w:r>
      <w:r w:rsidR="00B55347" w:rsidRPr="00B55347">
        <w:rPr>
          <w:rFonts w:ascii="Times New Roman" w:hAnsi="Times New Roman"/>
          <w:sz w:val="24"/>
          <w:szCs w:val="24"/>
          <w:highlight w:val="yellow"/>
        </w:rPr>
        <w:t>#</w:t>
      </w:r>
      <w:r w:rsidR="00253F26" w:rsidRPr="00153CF5">
        <w:rPr>
          <w:rFonts w:ascii="Times New Roman" w:hAnsi="Times New Roman"/>
          <w:sz w:val="24"/>
          <w:szCs w:val="24"/>
        </w:rPr>
        <w:t>,</w:t>
      </w:r>
      <w:r w:rsidRPr="00153CF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44AF6">
        <w:rPr>
          <w:rFonts w:ascii="Times New Roman" w:hAnsi="Times New Roman"/>
          <w:sz w:val="24"/>
          <w:szCs w:val="24"/>
        </w:rPr>
        <w:t xml:space="preserve">Action </w:t>
      </w:r>
      <w:r w:rsidRPr="00153CF5">
        <w:rPr>
          <w:rFonts w:ascii="Times New Roman" w:hAnsi="Times New Roman"/>
          <w:sz w:val="24"/>
          <w:szCs w:val="24"/>
        </w:rPr>
        <w:t xml:space="preserve">item: </w:t>
      </w:r>
      <w:r w:rsidR="00B55347" w:rsidRPr="00B55347">
        <w:rPr>
          <w:rFonts w:ascii="Times New Roman" w:hAnsi="Times New Roman"/>
          <w:sz w:val="24"/>
          <w:szCs w:val="24"/>
        </w:rPr>
        <w:t xml:space="preserve">Update LRAPA’s air quality rules to </w:t>
      </w:r>
      <w:r w:rsidR="003B7C99">
        <w:rPr>
          <w:rFonts w:ascii="Times New Roman" w:hAnsi="Times New Roman"/>
          <w:sz w:val="24"/>
          <w:szCs w:val="24"/>
        </w:rPr>
        <w:t>address</w:t>
      </w:r>
      <w:r w:rsidR="00B55347" w:rsidRPr="00B55347">
        <w:rPr>
          <w:rFonts w:ascii="Times New Roman" w:hAnsi="Times New Roman"/>
          <w:sz w:val="24"/>
          <w:szCs w:val="24"/>
        </w:rPr>
        <w:t xml:space="preserve"> </w:t>
      </w:r>
      <w:r w:rsidR="003B7C99">
        <w:rPr>
          <w:rFonts w:ascii="Times New Roman" w:hAnsi="Times New Roman"/>
          <w:sz w:val="24"/>
          <w:szCs w:val="24"/>
        </w:rPr>
        <w:t>regulatory updates for industrial and commercial activ</w:t>
      </w:r>
      <w:r w:rsidR="008A0944">
        <w:rPr>
          <w:rFonts w:ascii="Times New Roman" w:hAnsi="Times New Roman"/>
          <w:sz w:val="24"/>
          <w:szCs w:val="24"/>
        </w:rPr>
        <w:t>it</w:t>
      </w:r>
      <w:r w:rsidR="003B7C99">
        <w:rPr>
          <w:rFonts w:ascii="Times New Roman" w:hAnsi="Times New Roman"/>
          <w:sz w:val="24"/>
          <w:szCs w:val="24"/>
        </w:rPr>
        <w:t>ies</w:t>
      </w:r>
      <w:r w:rsidR="00B55347">
        <w:rPr>
          <w:rFonts w:ascii="Times New Roman" w:hAnsi="Times New Roman"/>
          <w:sz w:val="24"/>
          <w:szCs w:val="24"/>
        </w:rPr>
        <w:t xml:space="preserve"> for Commission approval</w:t>
      </w:r>
    </w:p>
    <w:p w:rsidR="00B5428C" w:rsidRPr="00153CF5" w:rsidRDefault="00B5428C" w:rsidP="00B5428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i/>
          <w:sz w:val="24"/>
          <w:szCs w:val="24"/>
        </w:rPr>
      </w:pPr>
      <w:r w:rsidRPr="00153CF5">
        <w:rPr>
          <w:rFonts w:ascii="Times New Roman" w:hAnsi="Times New Roman"/>
          <w:b/>
          <w:sz w:val="24"/>
          <w:szCs w:val="24"/>
        </w:rPr>
        <w:tab/>
      </w:r>
      <w:r w:rsidRPr="00153CF5">
        <w:rPr>
          <w:rFonts w:ascii="Times New Roman" w:hAnsi="Times New Roman"/>
          <w:b/>
          <w:sz w:val="24"/>
          <w:szCs w:val="24"/>
        </w:rPr>
        <w:tab/>
      </w:r>
      <w:r w:rsidR="00B55347">
        <w:rPr>
          <w:rFonts w:ascii="Times New Roman" w:hAnsi="Times New Roman"/>
          <w:sz w:val="24"/>
          <w:szCs w:val="24"/>
        </w:rPr>
        <w:t>March</w:t>
      </w:r>
      <w:r w:rsidR="00696186">
        <w:rPr>
          <w:rFonts w:ascii="Times New Roman" w:hAnsi="Times New Roman"/>
          <w:sz w:val="24"/>
          <w:szCs w:val="24"/>
        </w:rPr>
        <w:t xml:space="preserve"> </w:t>
      </w:r>
      <w:r w:rsidR="00460C8F">
        <w:rPr>
          <w:rFonts w:ascii="Times New Roman" w:hAnsi="Times New Roman"/>
          <w:sz w:val="24"/>
          <w:szCs w:val="24"/>
        </w:rPr>
        <w:t>21</w:t>
      </w:r>
      <w:r w:rsidR="00696186">
        <w:rPr>
          <w:rFonts w:ascii="Times New Roman" w:hAnsi="Times New Roman"/>
          <w:sz w:val="24"/>
          <w:szCs w:val="24"/>
        </w:rPr>
        <w:t>-</w:t>
      </w:r>
      <w:r w:rsidR="00460C8F">
        <w:rPr>
          <w:rFonts w:ascii="Times New Roman" w:hAnsi="Times New Roman"/>
          <w:sz w:val="24"/>
          <w:szCs w:val="24"/>
        </w:rPr>
        <w:t>22</w:t>
      </w:r>
      <w:r w:rsidR="00696186">
        <w:rPr>
          <w:rFonts w:ascii="Times New Roman" w:hAnsi="Times New Roman"/>
          <w:sz w:val="24"/>
          <w:szCs w:val="24"/>
        </w:rPr>
        <w:t>, 2018</w:t>
      </w:r>
      <w:r w:rsidRPr="00153CF5">
        <w:rPr>
          <w:rFonts w:ascii="Times New Roman" w:hAnsi="Times New Roman"/>
          <w:sz w:val="24"/>
          <w:szCs w:val="24"/>
        </w:rPr>
        <w:t>, EQC meeting</w:t>
      </w:r>
    </w:p>
    <w:p w:rsidR="00B5428C" w:rsidRPr="00D1171D" w:rsidRDefault="00B5428C" w:rsidP="00B5428C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128"/>
      </w:tblGrid>
      <w:tr w:rsidR="00B5428C" w:rsidRPr="00D1171D" w:rsidTr="00F32FF1">
        <w:tc>
          <w:tcPr>
            <w:tcW w:w="1763" w:type="dxa"/>
          </w:tcPr>
          <w:p w:rsidR="00B5428C" w:rsidRPr="00D1171D" w:rsidRDefault="00144AF6" w:rsidP="006445D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3"/>
              </w:rPr>
              <w:t>Why this is important</w:t>
            </w:r>
          </w:p>
        </w:tc>
        <w:tc>
          <w:tcPr>
            <w:tcW w:w="7128" w:type="dxa"/>
          </w:tcPr>
          <w:p w:rsidR="006445DB" w:rsidRPr="00D1171D" w:rsidRDefault="00B55347" w:rsidP="00B55347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ORS 468A.135(3)</w:t>
            </w:r>
            <w:r w:rsidR="0060080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OAR 340-200-0010(3)</w:t>
            </w:r>
            <w:r w:rsidR="0060080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require tha</w:t>
            </w:r>
            <w:r w:rsidR="009A5B78">
              <w:rPr>
                <w:rFonts w:ascii="Times New Roman" w:hAnsi="Times New Roman"/>
                <w:spacing w:val="-3"/>
                <w:sz w:val="24"/>
                <w:szCs w:val="24"/>
              </w:rPr>
              <w:t>t</w:t>
            </w:r>
            <w:r w:rsidR="0060080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the </w:t>
            </w:r>
            <w:r w:rsidR="00547EF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commission </w:t>
            </w:r>
            <w:r w:rsidR="00600803">
              <w:rPr>
                <w:rFonts w:ascii="Times New Roman" w:hAnsi="Times New Roman"/>
                <w:spacing w:val="-3"/>
                <w:sz w:val="24"/>
                <w:szCs w:val="24"/>
              </w:rPr>
              <w:t>review</w:t>
            </w:r>
            <w:r w:rsidR="00696186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="0060080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and approve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all air quality standards adopted by regional authorities before any such standards are enforced</w:t>
            </w:r>
            <w:r w:rsidR="00600803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="003E3E43">
              <w:rPr>
                <w:rFonts w:ascii="Times New Roman" w:hAnsi="Times New Roman"/>
                <w:spacing w:val="-3"/>
              </w:rPr>
              <w:t xml:space="preserve"> </w:t>
            </w:r>
          </w:p>
        </w:tc>
      </w:tr>
      <w:tr w:rsidR="00B5428C" w:rsidRPr="00D1171D" w:rsidTr="00F32FF1">
        <w:tc>
          <w:tcPr>
            <w:tcW w:w="1763" w:type="dxa"/>
          </w:tcPr>
          <w:p w:rsidR="00B5428C" w:rsidRDefault="00B5428C" w:rsidP="006445D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  <w:tc>
          <w:tcPr>
            <w:tcW w:w="7128" w:type="dxa"/>
          </w:tcPr>
          <w:p w:rsidR="00B5428C" w:rsidRDefault="00B5428C" w:rsidP="006445D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B5428C" w:rsidRPr="00153CF5" w:rsidTr="00F32FF1">
        <w:trPr>
          <w:trHeight w:val="972"/>
        </w:trPr>
        <w:tc>
          <w:tcPr>
            <w:tcW w:w="1763" w:type="dxa"/>
          </w:tcPr>
          <w:p w:rsidR="00B5428C" w:rsidRPr="00D1171D" w:rsidRDefault="00B5428C" w:rsidP="006445D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 w:rsidRPr="00D1171D">
              <w:rPr>
                <w:rFonts w:ascii="Times New Roman" w:hAnsi="Times New Roman"/>
                <w:b/>
                <w:spacing w:val="-3"/>
              </w:rPr>
              <w:t xml:space="preserve">Background </w:t>
            </w:r>
          </w:p>
          <w:p w:rsidR="00B5428C" w:rsidRPr="00D1171D" w:rsidRDefault="00B5428C" w:rsidP="006445D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  <w:tc>
          <w:tcPr>
            <w:tcW w:w="7128" w:type="dxa"/>
          </w:tcPr>
          <w:p w:rsidR="003B1459" w:rsidRPr="003B1459" w:rsidRDefault="003B1459" w:rsidP="003B14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LRAPA proposes to streamline, reorganize and update Lane County’s air quality permit rules.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LRAPA also proposes changes to particulate matter emission standards and the preconstruction permitting program to make rules at least as stringent as the state’s.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addition, LRAPA proposes rules to: </w:t>
            </w:r>
          </w:p>
          <w:p w:rsidR="003B1459" w:rsidRPr="003B1459" w:rsidRDefault="003B1459" w:rsidP="003B1459">
            <w:pPr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Remove certain greenhouse gas permitting requirements to align with the June 23, 2014 Supreme Court decision,</w:t>
            </w:r>
          </w:p>
          <w:p w:rsidR="003B1459" w:rsidRPr="003B1459" w:rsidRDefault="003B1459" w:rsidP="003B1459">
            <w:pPr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Expand preconstruction permitting flexibility for small facilities, </w:t>
            </w:r>
          </w:p>
          <w:p w:rsidR="003B1459" w:rsidRDefault="003B1459" w:rsidP="003B1459">
            <w:pPr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Specify small source permitting exemptions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and</w:t>
            </w:r>
          </w:p>
          <w:p w:rsidR="003B1459" w:rsidRPr="003B1459" w:rsidRDefault="003B1459" w:rsidP="003B1459">
            <w:pPr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Increase Air Contaminant Discharge Permit (ACDP) Fees</w:t>
            </w: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B1459" w:rsidRDefault="003B1459" w:rsidP="00403E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1459" w:rsidRPr="003B1459" w:rsidRDefault="00036644" w:rsidP="003B14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Staff Report</w:t>
            </w:r>
            <w:r w:rsidR="003B1459"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describes the proposed rules under the following eight categories:</w:t>
            </w:r>
          </w:p>
          <w:p w:rsidR="003B1459" w:rsidRPr="003B1459" w:rsidRDefault="003B1459" w:rsidP="003B14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Clarify and update air quality rules</w:t>
            </w: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Update particulate matter emission standards</w:t>
            </w: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Change permitting requirements for emergency generators and small natural gas or oil-fired equipment</w:t>
            </w: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Establish two new state air quality area designations, “sustainment” and “reattainment,” to help areas avoid and more quickly end a federal nonattainment designation</w:t>
            </w: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Designate Oakridge as a state reattainment area while retaining its federal nonattainment designation</w:t>
            </w: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Change the New Source Review preconstruction permitting program</w:t>
            </w: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Adjust industrial and commercial activity levels below which some categories of sources are exempt from permitting </w:t>
            </w:r>
          </w:p>
          <w:p w:rsidR="003B1459" w:rsidRPr="003B1459" w:rsidRDefault="003B1459" w:rsidP="003B145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>Increase Air Con</w:t>
            </w:r>
            <w:bookmarkStart w:id="1" w:name="_GoBack"/>
            <w:bookmarkEnd w:id="1"/>
            <w:r w:rsidRPr="003B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taminant Discharge Permit (ACDP) fees by 10% and change the annual increase from the Consumer Price Index (CPI) to 4%.  </w:t>
            </w:r>
          </w:p>
          <w:p w:rsidR="00B5428C" w:rsidRPr="00153CF5" w:rsidRDefault="00B5428C" w:rsidP="003B1459">
            <w:pPr>
              <w:rPr>
                <w:sz w:val="24"/>
                <w:szCs w:val="24"/>
              </w:rPr>
            </w:pPr>
          </w:p>
        </w:tc>
      </w:tr>
      <w:tr w:rsidR="00E44A41" w:rsidRPr="00153CF5" w:rsidTr="00F32FF1">
        <w:trPr>
          <w:trHeight w:val="657"/>
        </w:trPr>
        <w:tc>
          <w:tcPr>
            <w:tcW w:w="1763" w:type="dxa"/>
          </w:tcPr>
          <w:p w:rsidR="00E44A41" w:rsidRPr="00D1171D" w:rsidRDefault="00403E0E" w:rsidP="006445D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lastRenderedPageBreak/>
              <w:t>LRAPA</w:t>
            </w:r>
            <w:r w:rsidR="00144AF6">
              <w:rPr>
                <w:rFonts w:ascii="Times New Roman" w:hAnsi="Times New Roman"/>
                <w:b/>
                <w:spacing w:val="-3"/>
              </w:rPr>
              <w:t xml:space="preserve"> recommendation</w:t>
            </w:r>
          </w:p>
        </w:tc>
        <w:tc>
          <w:tcPr>
            <w:tcW w:w="7128" w:type="dxa"/>
          </w:tcPr>
          <w:p w:rsidR="00E44A41" w:rsidRDefault="00403E0E" w:rsidP="006311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LRAPA</w:t>
            </w:r>
            <w:r w:rsidR="00F3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recommends that the Oregon Environmental Quality Commission review and </w:t>
            </w:r>
            <w:r w:rsidR="00B55347">
              <w:rPr>
                <w:rFonts w:ascii="Times New Roman" w:hAnsi="Times New Roman"/>
                <w:color w:val="000000"/>
                <w:sz w:val="24"/>
                <w:szCs w:val="24"/>
              </w:rPr>
              <w:t>approve</w:t>
            </w:r>
            <w:r w:rsidR="00F3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 </w:t>
            </w:r>
            <w:r w:rsidR="00B55347">
              <w:rPr>
                <w:rFonts w:ascii="Times New Roman" w:hAnsi="Times New Roman"/>
                <w:color w:val="000000"/>
                <w:sz w:val="24"/>
                <w:szCs w:val="24"/>
              </w:rPr>
              <w:t>proposed LRAPA</w:t>
            </w:r>
            <w:r w:rsidR="00F3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air quality </w:t>
            </w:r>
            <w:r w:rsidR="003B1459">
              <w:rPr>
                <w:rFonts w:ascii="Times New Roman" w:hAnsi="Times New Roman"/>
                <w:color w:val="000000"/>
                <w:sz w:val="24"/>
                <w:szCs w:val="24"/>
              </w:rPr>
              <w:t>changes</w:t>
            </w:r>
            <w:r w:rsidR="00B553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6186">
              <w:rPr>
                <w:rFonts w:ascii="Times New Roman" w:hAnsi="Times New Roman"/>
                <w:color w:val="000000"/>
                <w:sz w:val="24"/>
                <w:szCs w:val="24"/>
              </w:rPr>
              <w:t>as seen in A</w:t>
            </w:r>
            <w:r w:rsidR="00F3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ttachment </w:t>
            </w:r>
            <w:r w:rsidR="003B145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F32F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32FF1" w:rsidRPr="00153CF5" w:rsidRDefault="00F32FF1" w:rsidP="006311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2B4E" w:rsidRPr="00153CF5" w:rsidTr="00F32FF1">
        <w:trPr>
          <w:trHeight w:val="540"/>
        </w:trPr>
        <w:tc>
          <w:tcPr>
            <w:tcW w:w="1763" w:type="dxa"/>
          </w:tcPr>
          <w:p w:rsidR="00862B4E" w:rsidRPr="00D1171D" w:rsidRDefault="00144AF6" w:rsidP="00452A8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Attachments</w:t>
            </w:r>
          </w:p>
        </w:tc>
        <w:tc>
          <w:tcPr>
            <w:tcW w:w="7128" w:type="dxa"/>
          </w:tcPr>
          <w:p w:rsidR="00862B4E" w:rsidRDefault="00144AF6" w:rsidP="00862B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 w:rsidR="00A4005E">
              <w:rPr>
                <w:rFonts w:ascii="Times New Roman" w:hAnsi="Times New Roman"/>
                <w:color w:val="000000"/>
                <w:sz w:val="24"/>
                <w:szCs w:val="24"/>
              </w:rPr>
              <w:t>Staff Report – Notice of rulemaking including Statement of Need, etc.</w:t>
            </w:r>
          </w:p>
          <w:p w:rsidR="00144AF6" w:rsidRDefault="00144AF6" w:rsidP="00862B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 w:rsidR="00A4005E">
              <w:rPr>
                <w:rFonts w:ascii="Times New Roman" w:hAnsi="Times New Roman"/>
                <w:color w:val="000000"/>
                <w:sz w:val="24"/>
                <w:szCs w:val="24"/>
              </w:rPr>
              <w:t>Proposed rules – redline/strikethrough</w:t>
            </w:r>
          </w:p>
          <w:p w:rsidR="00144AF6" w:rsidRDefault="00144AF6" w:rsidP="00A400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 w:rsidR="003B1459">
              <w:rPr>
                <w:rFonts w:ascii="Times New Roman" w:hAnsi="Times New Roman"/>
                <w:color w:val="000000"/>
                <w:sz w:val="24"/>
                <w:szCs w:val="24"/>
              </w:rPr>
              <w:t>Board Roadmap</w:t>
            </w:r>
          </w:p>
          <w:p w:rsidR="00A4005E" w:rsidRDefault="00A4005E" w:rsidP="00A400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 w:rsidR="003B1459">
              <w:rPr>
                <w:rFonts w:ascii="Times New Roman" w:hAnsi="Times New Roman"/>
                <w:color w:val="000000"/>
                <w:sz w:val="24"/>
                <w:szCs w:val="24"/>
              </w:rPr>
              <w:t>Oakridge Reattainment Area Supplemental Information</w:t>
            </w:r>
          </w:p>
          <w:p w:rsidR="003B1459" w:rsidRPr="00153CF5" w:rsidRDefault="003B1459" w:rsidP="00A400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E. Crosswalk of proposed revisions</w:t>
            </w:r>
          </w:p>
        </w:tc>
      </w:tr>
      <w:tr w:rsidR="00B5428C" w:rsidRPr="00D1171D" w:rsidTr="00F32FF1">
        <w:tc>
          <w:tcPr>
            <w:tcW w:w="1763" w:type="dxa"/>
          </w:tcPr>
          <w:p w:rsidR="00B5428C" w:rsidRPr="00D1171D" w:rsidRDefault="00B5428C" w:rsidP="006445D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  <w:tc>
          <w:tcPr>
            <w:tcW w:w="7128" w:type="dxa"/>
          </w:tcPr>
          <w:p w:rsidR="00066CAC" w:rsidRPr="001E2F71" w:rsidRDefault="00066CAC" w:rsidP="001E2F7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62B4E" w:rsidRPr="00066CAC" w:rsidRDefault="00600803" w:rsidP="00696186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62B4E" w:rsidRPr="00066CAC" w:rsidRDefault="00862B4E" w:rsidP="00862B4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sz w:val="24"/>
          <w:szCs w:val="24"/>
        </w:rPr>
      </w:pPr>
    </w:p>
    <w:p w:rsidR="00635AE9" w:rsidRPr="00F0425A" w:rsidRDefault="00F0425A" w:rsidP="00600803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sz w:val="24"/>
          <w:szCs w:val="24"/>
        </w:rPr>
      </w:pPr>
      <w:r w:rsidRPr="00F0425A">
        <w:rPr>
          <w:rFonts w:ascii="Times New Roman" w:hAnsi="Times New Roman"/>
          <w:sz w:val="24"/>
          <w:szCs w:val="24"/>
        </w:rPr>
        <w:t>Report prepared by Max Hueftle</w:t>
      </w:r>
    </w:p>
    <w:p w:rsidR="00696186" w:rsidRPr="00696186" w:rsidRDefault="00F0425A" w:rsidP="00600803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i/>
        </w:rPr>
      </w:pPr>
      <w:r w:rsidRPr="00F0425A">
        <w:rPr>
          <w:rFonts w:ascii="Times New Roman" w:hAnsi="Times New Roman"/>
          <w:i/>
          <w:sz w:val="24"/>
          <w:szCs w:val="24"/>
        </w:rPr>
        <w:t>LRAPA Permit Section Manager</w:t>
      </w:r>
    </w:p>
    <w:sectPr w:rsidR="00696186" w:rsidRPr="00696186" w:rsidSect="00B5428C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CE2" w:rsidRDefault="00C87CE2" w:rsidP="00B5428C">
      <w:r>
        <w:separator/>
      </w:r>
    </w:p>
  </w:endnote>
  <w:endnote w:type="continuationSeparator" w:id="0">
    <w:p w:rsidR="00C87CE2" w:rsidRDefault="00C87CE2" w:rsidP="00B5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CE2" w:rsidRDefault="00C87CE2" w:rsidP="00B5428C">
      <w:r>
        <w:separator/>
      </w:r>
    </w:p>
  </w:footnote>
  <w:footnote w:type="continuationSeparator" w:id="0">
    <w:p w:rsidR="00C87CE2" w:rsidRDefault="00C87CE2" w:rsidP="00B5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CE2" w:rsidRPr="008F793E" w:rsidRDefault="00C87CE2" w:rsidP="00B5428C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 w:rsidRPr="008F793E">
      <w:rPr>
        <w:rFonts w:ascii="Arial" w:hAnsi="Arial" w:cs="Arial"/>
        <w:sz w:val="20"/>
      </w:rPr>
      <w:t xml:space="preserve">Informational item: </w:t>
    </w:r>
    <w:r w:rsidR="00F0425A">
      <w:rPr>
        <w:rFonts w:ascii="Arial" w:hAnsi="Arial" w:cs="Arial"/>
        <w:sz w:val="20"/>
      </w:rPr>
      <w:t xml:space="preserve">LRAPA Air Quality </w:t>
    </w:r>
    <w:r w:rsidR="003B1459">
      <w:rPr>
        <w:rFonts w:ascii="Arial" w:hAnsi="Arial" w:cs="Arial"/>
        <w:sz w:val="20"/>
      </w:rPr>
      <w:t>Permitting Rule Updates</w:t>
    </w:r>
  </w:p>
  <w:p w:rsidR="00C87CE2" w:rsidRPr="00B821B5" w:rsidRDefault="00F0425A" w:rsidP="00B5428C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2</w:t>
    </w:r>
    <w:r w:rsidR="00460C8F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-2</w:t>
    </w:r>
    <w:r w:rsidR="00460C8F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>, 2018</w:t>
    </w:r>
    <w:r w:rsidR="00C87CE2">
      <w:rPr>
        <w:rFonts w:ascii="Arial" w:hAnsi="Arial" w:cs="Arial"/>
        <w:sz w:val="20"/>
      </w:rPr>
      <w:t xml:space="preserve"> </w:t>
    </w:r>
    <w:r w:rsidR="00C87CE2" w:rsidRPr="00B821B5">
      <w:rPr>
        <w:rFonts w:ascii="Arial" w:hAnsi="Arial" w:cs="Arial"/>
        <w:sz w:val="20"/>
      </w:rPr>
      <w:t>EQC meeting</w:t>
    </w:r>
  </w:p>
  <w:p w:rsidR="00C87CE2" w:rsidRPr="00B821B5" w:rsidRDefault="00C87CE2" w:rsidP="00B5428C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121A10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121A10" w:rsidRPr="00B821B5">
      <w:rPr>
        <w:rStyle w:val="PageNumber"/>
        <w:rFonts w:ascii="Arial" w:hAnsi="Arial" w:cs="Arial"/>
        <w:sz w:val="20"/>
      </w:rPr>
      <w:fldChar w:fldCharType="separate"/>
    </w:r>
    <w:r w:rsidR="00460C8F">
      <w:rPr>
        <w:rStyle w:val="PageNumber"/>
        <w:rFonts w:ascii="Arial" w:hAnsi="Arial" w:cs="Arial"/>
        <w:noProof/>
        <w:sz w:val="20"/>
      </w:rPr>
      <w:t>2</w:t>
    </w:r>
    <w:r w:rsidR="00121A10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 w:rsidR="00F0425A" w:rsidRPr="00F0425A">
      <w:rPr>
        <w:rFonts w:ascii="Arial" w:hAnsi="Arial" w:cs="Arial"/>
        <w:sz w:val="20"/>
      </w:rPr>
      <w:fldChar w:fldCharType="begin"/>
    </w:r>
    <w:r w:rsidR="00F0425A" w:rsidRPr="00F0425A">
      <w:rPr>
        <w:rFonts w:ascii="Arial" w:hAnsi="Arial" w:cs="Arial"/>
        <w:sz w:val="20"/>
      </w:rPr>
      <w:instrText xml:space="preserve"> PAGE   \* MERGEFORMAT </w:instrText>
    </w:r>
    <w:r w:rsidR="00F0425A" w:rsidRPr="00F0425A">
      <w:rPr>
        <w:rFonts w:ascii="Arial" w:hAnsi="Arial" w:cs="Arial"/>
        <w:sz w:val="20"/>
      </w:rPr>
      <w:fldChar w:fldCharType="separate"/>
    </w:r>
    <w:r w:rsidR="00460C8F">
      <w:rPr>
        <w:rFonts w:ascii="Arial" w:hAnsi="Arial" w:cs="Arial"/>
        <w:noProof/>
        <w:sz w:val="20"/>
      </w:rPr>
      <w:t>2</w:t>
    </w:r>
    <w:r w:rsidR="00F0425A" w:rsidRPr="00F0425A">
      <w:rPr>
        <w:rFonts w:ascii="Arial" w:hAnsi="Arial" w:cs="Arial"/>
        <w:noProof/>
        <w:sz w:val="20"/>
      </w:rPr>
      <w:fldChar w:fldCharType="end"/>
    </w:r>
  </w:p>
  <w:p w:rsidR="00C87CE2" w:rsidRDefault="00C87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C89"/>
    <w:multiLevelType w:val="hybridMultilevel"/>
    <w:tmpl w:val="828A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50AAE"/>
    <w:multiLevelType w:val="hybridMultilevel"/>
    <w:tmpl w:val="C7103B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918BC"/>
    <w:multiLevelType w:val="hybridMultilevel"/>
    <w:tmpl w:val="06E61BF0"/>
    <w:lvl w:ilvl="0" w:tplc="B6CC2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5134"/>
    <w:multiLevelType w:val="hybridMultilevel"/>
    <w:tmpl w:val="512C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6616"/>
    <w:multiLevelType w:val="hybridMultilevel"/>
    <w:tmpl w:val="41D87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6E6342"/>
    <w:multiLevelType w:val="hybridMultilevel"/>
    <w:tmpl w:val="44E2F40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EA434D2"/>
    <w:multiLevelType w:val="hybridMultilevel"/>
    <w:tmpl w:val="E4400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C4"/>
    <w:rsid w:val="00004038"/>
    <w:rsid w:val="0003618A"/>
    <w:rsid w:val="00036644"/>
    <w:rsid w:val="00045976"/>
    <w:rsid w:val="00051C97"/>
    <w:rsid w:val="00056A71"/>
    <w:rsid w:val="000616EE"/>
    <w:rsid w:val="00066CAC"/>
    <w:rsid w:val="0007461D"/>
    <w:rsid w:val="000755B5"/>
    <w:rsid w:val="000B498E"/>
    <w:rsid w:val="000B5598"/>
    <w:rsid w:val="000D0F31"/>
    <w:rsid w:val="000D1520"/>
    <w:rsid w:val="00121A10"/>
    <w:rsid w:val="00121CF6"/>
    <w:rsid w:val="00144AF6"/>
    <w:rsid w:val="00153CF5"/>
    <w:rsid w:val="00154FC7"/>
    <w:rsid w:val="0016119D"/>
    <w:rsid w:val="00170611"/>
    <w:rsid w:val="001851DC"/>
    <w:rsid w:val="001B68C3"/>
    <w:rsid w:val="001E2F71"/>
    <w:rsid w:val="001E6D28"/>
    <w:rsid w:val="00215A78"/>
    <w:rsid w:val="00253F26"/>
    <w:rsid w:val="002624B7"/>
    <w:rsid w:val="002646D5"/>
    <w:rsid w:val="002864B8"/>
    <w:rsid w:val="002F49E8"/>
    <w:rsid w:val="003152C5"/>
    <w:rsid w:val="003206C4"/>
    <w:rsid w:val="00372F0C"/>
    <w:rsid w:val="00385FBE"/>
    <w:rsid w:val="00387284"/>
    <w:rsid w:val="003B1459"/>
    <w:rsid w:val="003B7C99"/>
    <w:rsid w:val="003E3E43"/>
    <w:rsid w:val="00403E0E"/>
    <w:rsid w:val="0041739E"/>
    <w:rsid w:val="00435E75"/>
    <w:rsid w:val="00452A8E"/>
    <w:rsid w:val="00460C8F"/>
    <w:rsid w:val="00471CCE"/>
    <w:rsid w:val="00497C44"/>
    <w:rsid w:val="004B6DBE"/>
    <w:rsid w:val="00503CA2"/>
    <w:rsid w:val="00516290"/>
    <w:rsid w:val="0053292D"/>
    <w:rsid w:val="00547EFE"/>
    <w:rsid w:val="00581450"/>
    <w:rsid w:val="00583A5B"/>
    <w:rsid w:val="0059582C"/>
    <w:rsid w:val="005A7CC4"/>
    <w:rsid w:val="00600803"/>
    <w:rsid w:val="00631152"/>
    <w:rsid w:val="006311F1"/>
    <w:rsid w:val="006339A4"/>
    <w:rsid w:val="00635AE9"/>
    <w:rsid w:val="006367E6"/>
    <w:rsid w:val="006445DB"/>
    <w:rsid w:val="006450E2"/>
    <w:rsid w:val="006537F6"/>
    <w:rsid w:val="00661118"/>
    <w:rsid w:val="006659C6"/>
    <w:rsid w:val="006857B9"/>
    <w:rsid w:val="00691EF9"/>
    <w:rsid w:val="00696186"/>
    <w:rsid w:val="006A4717"/>
    <w:rsid w:val="006F1672"/>
    <w:rsid w:val="00733561"/>
    <w:rsid w:val="0074063E"/>
    <w:rsid w:val="00765E84"/>
    <w:rsid w:val="007B2381"/>
    <w:rsid w:val="007C42DC"/>
    <w:rsid w:val="007E1435"/>
    <w:rsid w:val="007F1F17"/>
    <w:rsid w:val="008072BE"/>
    <w:rsid w:val="008243A4"/>
    <w:rsid w:val="00862B4E"/>
    <w:rsid w:val="008738C1"/>
    <w:rsid w:val="00881C87"/>
    <w:rsid w:val="00892080"/>
    <w:rsid w:val="008936D4"/>
    <w:rsid w:val="008A0944"/>
    <w:rsid w:val="008A6D61"/>
    <w:rsid w:val="008B6D2D"/>
    <w:rsid w:val="008E47A6"/>
    <w:rsid w:val="00923456"/>
    <w:rsid w:val="00940BBA"/>
    <w:rsid w:val="00957761"/>
    <w:rsid w:val="009856A0"/>
    <w:rsid w:val="009A5B78"/>
    <w:rsid w:val="009E0486"/>
    <w:rsid w:val="009E77DB"/>
    <w:rsid w:val="00A0719B"/>
    <w:rsid w:val="00A4005E"/>
    <w:rsid w:val="00A97803"/>
    <w:rsid w:val="00AB4E82"/>
    <w:rsid w:val="00AD0F76"/>
    <w:rsid w:val="00AE0176"/>
    <w:rsid w:val="00AE14AA"/>
    <w:rsid w:val="00B13B63"/>
    <w:rsid w:val="00B5428C"/>
    <w:rsid w:val="00B55347"/>
    <w:rsid w:val="00B9578B"/>
    <w:rsid w:val="00BB76C3"/>
    <w:rsid w:val="00BC7994"/>
    <w:rsid w:val="00BD0B0F"/>
    <w:rsid w:val="00BF3CD0"/>
    <w:rsid w:val="00C87CE2"/>
    <w:rsid w:val="00C91F6F"/>
    <w:rsid w:val="00CC47A6"/>
    <w:rsid w:val="00CE4DE4"/>
    <w:rsid w:val="00CF6E08"/>
    <w:rsid w:val="00D147FE"/>
    <w:rsid w:val="00D429ED"/>
    <w:rsid w:val="00D434F6"/>
    <w:rsid w:val="00DC463E"/>
    <w:rsid w:val="00DD6146"/>
    <w:rsid w:val="00E44A41"/>
    <w:rsid w:val="00E44A9B"/>
    <w:rsid w:val="00E477CD"/>
    <w:rsid w:val="00E479F4"/>
    <w:rsid w:val="00E83432"/>
    <w:rsid w:val="00E9622F"/>
    <w:rsid w:val="00EA52CC"/>
    <w:rsid w:val="00EE17FA"/>
    <w:rsid w:val="00EE2DE8"/>
    <w:rsid w:val="00F0118D"/>
    <w:rsid w:val="00F0425A"/>
    <w:rsid w:val="00F32FF1"/>
    <w:rsid w:val="00F37EA1"/>
    <w:rsid w:val="00F50831"/>
    <w:rsid w:val="00F942B5"/>
    <w:rsid w:val="00F95E9C"/>
    <w:rsid w:val="00F96C8C"/>
    <w:rsid w:val="00FA3E9F"/>
    <w:rsid w:val="00FB5BF4"/>
    <w:rsid w:val="00FC3146"/>
    <w:rsid w:val="00FD00EB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2906"/>
  <w15:docId w15:val="{93EB7EEB-40D5-42DC-A46A-85941669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CC4"/>
    <w:pPr>
      <w:spacing w:after="0" w:line="240" w:lineRule="auto"/>
    </w:pPr>
    <w:rPr>
      <w:rFonts w:ascii="Calibri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B5428C"/>
    <w:pPr>
      <w:keepNext/>
      <w:tabs>
        <w:tab w:val="left" w:pos="1440"/>
        <w:tab w:val="right" w:pos="9360"/>
      </w:tabs>
      <w:outlineLvl w:val="3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CC4"/>
    <w:pPr>
      <w:ind w:left="720"/>
    </w:pPr>
  </w:style>
  <w:style w:type="character" w:customStyle="1" w:styleId="Heading4Char">
    <w:name w:val="Heading 4 Char"/>
    <w:basedOn w:val="DefaultParagraphFont"/>
    <w:link w:val="Heading4"/>
    <w:rsid w:val="00B5428C"/>
    <w:rPr>
      <w:rFonts w:ascii="Times New Roman" w:eastAsia="Times New Roman" w:hAnsi="Times New Roman" w:cs="Times New Roman"/>
      <w:sz w:val="28"/>
      <w:szCs w:val="20"/>
    </w:rPr>
  </w:style>
  <w:style w:type="paragraph" w:styleId="EndnoteText">
    <w:name w:val="endnote text"/>
    <w:basedOn w:val="Normal"/>
    <w:link w:val="EndnoteTextChar"/>
    <w:semiHidden/>
    <w:rsid w:val="00B5428C"/>
    <w:rPr>
      <w:rFonts w:ascii="CG Times" w:eastAsia="Times New Roman" w:hAnsi="CG Times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428C"/>
    <w:rPr>
      <w:rFonts w:ascii="CG Times" w:eastAsia="Times New Roman" w:hAnsi="CG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2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28C"/>
    <w:rPr>
      <w:rFonts w:ascii="Calibri" w:hAnsi="Calibri" w:cs="Times New Roman"/>
    </w:rPr>
  </w:style>
  <w:style w:type="character" w:styleId="PageNumber">
    <w:name w:val="page number"/>
    <w:basedOn w:val="DefaultParagraphFont"/>
    <w:rsid w:val="00B5428C"/>
  </w:style>
  <w:style w:type="paragraph" w:customStyle="1" w:styleId="Default">
    <w:name w:val="Default"/>
    <w:rsid w:val="007B2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071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1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C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CC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6D6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97CF9-1A0E-433C-A25A-2B8F5D52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Seeds</dc:creator>
  <cp:lastModifiedBy>Max Hueftle</cp:lastModifiedBy>
  <cp:revision>6</cp:revision>
  <cp:lastPrinted>2014-05-19T19:08:00Z</cp:lastPrinted>
  <dcterms:created xsi:type="dcterms:W3CDTF">2018-01-30T20:03:00Z</dcterms:created>
  <dcterms:modified xsi:type="dcterms:W3CDTF">2018-02-06T21:42:00Z</dcterms:modified>
</cp:coreProperties>
</file>