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6B1B7CC4"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B" w14:textId="67743AB2" w:rsidR="00377FA3" w:rsidRPr="00DA3F7F" w:rsidRDefault="00377FA3" w:rsidP="00377FA3">
      <w:pPr>
        <w:pStyle w:val="ListParagraph"/>
        <w:numPr>
          <w:ilvl w:val="0"/>
          <w:numId w:val="5"/>
        </w:numPr>
        <w:spacing w:after="120"/>
        <w:ind w:left="1440" w:right="900"/>
        <w:contextualSpacing w:val="0"/>
        <w:outlineLvl w:val="9"/>
        <w:rPr>
          <w:strike/>
          <w:lang w:bidi="en-US"/>
        </w:rPr>
        <w:sectPr w:rsidR="00377FA3" w:rsidRPr="00DA3F7F" w:rsidSect="00964A94">
          <w:headerReference w:type="even" r:id="rId12"/>
          <w:headerReference w:type="default" r:id="rId13"/>
          <w:footerReference w:type="even" r:id="rId14"/>
          <w:footerReference w:type="default" r:id="rId15"/>
          <w:headerReference w:type="first" r:id="rId16"/>
          <w:footerReference w:type="first" r:id="rId17"/>
          <w:pgSz w:w="12240" w:h="15840"/>
          <w:pgMar w:top="1080" w:right="990" w:bottom="1080" w:left="360" w:header="720" w:footer="720" w:gutter="432"/>
          <w:cols w:space="720"/>
          <w:docGrid w:linePitch="360"/>
        </w:sect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E933A4" w:rsidRDefault="004345C0" w:rsidP="004345C0">
      <w:pPr>
        <w:pStyle w:val="Heading2"/>
        <w:rPr>
          <w:rFonts w:ascii="Arial" w:hAnsi="Arial" w:cs="Arial"/>
          <w:sz w:val="24"/>
          <w:szCs w:val="24"/>
          <w:vertAlign w:val="subscript"/>
        </w:rPr>
      </w:pPr>
      <w:r w:rsidRPr="00E933A4">
        <w:rPr>
          <w:rFonts w:ascii="Arial" w:hAnsi="Arial" w:cs="Arial"/>
          <w:sz w:val="24"/>
          <w:szCs w:val="24"/>
        </w:rPr>
        <w:t>Short summary</w:t>
      </w:r>
      <w:r w:rsidRPr="00E933A4">
        <w:rPr>
          <w:rFonts w:ascii="Arial" w:hAnsi="Arial" w:cs="Arial"/>
          <w:sz w:val="24"/>
          <w:szCs w:val="24"/>
          <w:vertAlign w:val="subscript"/>
        </w:rPr>
        <w:t> </w:t>
      </w:r>
    </w:p>
    <w:p w14:paraId="1962E432" w14:textId="77777777" w:rsidR="004345C0" w:rsidRPr="00941DCB" w:rsidRDefault="004345C0" w:rsidP="004345C0">
      <w:pPr>
        <w:ind w:left="547"/>
        <w:rPr>
          <w:rFonts w:ascii="Arial" w:hAnsi="Arial" w:cs="Arial"/>
          <w:b/>
          <w:iCs/>
        </w:rPr>
      </w:pPr>
      <w:r w:rsidRPr="00941DCB">
        <w:rPr>
          <w:rFonts w:ascii="Arial" w:hAnsi="Arial" w:cs="Arial"/>
          <w:b/>
          <w:iCs/>
        </w:rPr>
        <w:t>Ballast Water Rules</w:t>
      </w:r>
    </w:p>
    <w:p w14:paraId="01D90B6A" w14:textId="77777777" w:rsidR="004345C0" w:rsidRPr="00941DCB" w:rsidRDefault="004345C0" w:rsidP="004345C0">
      <w:pPr>
        <w:ind w:left="547"/>
        <w:rPr>
          <w:iCs/>
        </w:rPr>
      </w:pPr>
    </w:p>
    <w:p w14:paraId="4B4644BD" w14:textId="044FFF28" w:rsidR="002124BF" w:rsidRDefault="004345C0" w:rsidP="004345C0">
      <w:pPr>
        <w:ind w:left="54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14:paraId="4E2A0715" w14:textId="77777777" w:rsidR="002124BF" w:rsidRDefault="002124BF" w:rsidP="004345C0">
      <w:pPr>
        <w:ind w:left="547"/>
        <w:rPr>
          <w:iCs/>
        </w:rPr>
      </w:pPr>
    </w:p>
    <w:p w14:paraId="68A1F197" w14:textId="252FC70C" w:rsidR="00C46D54" w:rsidRDefault="00C46D54" w:rsidP="00C46D54">
      <w:pPr>
        <w:widowControl w:val="0"/>
        <w:ind w:left="54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 xml:space="preserve">vessel must ballast and subsequently de-ballast from empty ballast tanks while in state waters.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 xml:space="preserve">.  This management practice is </w:t>
      </w:r>
      <w:r w:rsidR="008B4ED2">
        <w:rPr>
          <w:iCs/>
        </w:rPr>
        <w:t xml:space="preserve">already </w:t>
      </w:r>
      <w:r w:rsidR="007C1BF9">
        <w:rPr>
          <w:iCs/>
        </w:rPr>
        <w:t>required</w:t>
      </w:r>
      <w:r w:rsidR="008B4ED2">
        <w:rPr>
          <w:iCs/>
        </w:rPr>
        <w:t xml:space="preserve"> under the</w:t>
      </w:r>
      <w:r w:rsidR="008B4ED2">
        <w:rPr>
          <w:iCs/>
        </w:rPr>
        <w:t xml:space="preserve"> 2013 EPA Vessel General Permit, but adopting it under OAR 340-143 would </w:t>
      </w:r>
      <w:r w:rsidR="007C1BF9">
        <w:rPr>
          <w:iCs/>
        </w:rPr>
        <w:t>facilitate technical assistance,</w:t>
      </w:r>
      <w:r w:rsidR="008B4ED2">
        <w:rPr>
          <w:iCs/>
        </w:rPr>
        <w:t xml:space="preserve"> compliance verification and enforcement efforts by Oregon DEQ.</w:t>
      </w:r>
    </w:p>
    <w:p w14:paraId="44B4F5BC" w14:textId="77777777" w:rsidR="00C46D54" w:rsidRDefault="00C46D54" w:rsidP="00C46D54">
      <w:pPr>
        <w:widowControl w:val="0"/>
        <w:ind w:left="547"/>
        <w:rPr>
          <w:iCs/>
        </w:rPr>
      </w:pPr>
    </w:p>
    <w:p w14:paraId="5C2A94F9" w14:textId="59536BB1" w:rsidR="00C46D54" w:rsidRPr="00941DCB" w:rsidRDefault="00C46D54" w:rsidP="00C46D54">
      <w:pPr>
        <w:widowControl w:val="0"/>
        <w:ind w:left="54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 xml:space="preserve">requirements.  New USCG and EPA ballast discharge standards </w:t>
      </w:r>
      <w:r w:rsidRPr="00941DCB">
        <w:rPr>
          <w:iCs/>
        </w:rPr>
        <w:t xml:space="preserve">will </w:t>
      </w:r>
      <w:r w:rsidR="007C1BF9">
        <w:rPr>
          <w:iCs/>
        </w:rPr>
        <w:t>require most vessels to manage ballast water using first-generation shipboard treatment systems instead of conducting mid-ocean ballast exchange, a strategy that has proven to be highly effective for preventing AIS introductions to low-salinity ports like those that are common in Oregon. The federal numeric discharge standards are likely to improve AIS prevention for marine ports such as Puget Sound and Los Angeles, however,</w:t>
      </w:r>
      <w:r w:rsidRPr="00941DCB">
        <w:rPr>
          <w:iCs/>
        </w:rPr>
        <w:t xml:space="preserve"> under some circumstances 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 xml:space="preserve">high-risk </w:t>
      </w:r>
      <w:r w:rsidR="00A346B2">
        <w:rPr>
          <w:iCs/>
        </w:rPr>
        <w:t>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14:paraId="509E538C" w14:textId="77777777" w:rsidR="004345C0" w:rsidRPr="00941DCB" w:rsidRDefault="004345C0" w:rsidP="004345C0">
      <w:pPr>
        <w:widowControl w:val="0"/>
        <w:ind w:left="547"/>
        <w:rPr>
          <w:iCs/>
        </w:rPr>
      </w:pPr>
    </w:p>
    <w:p w14:paraId="64F8007E" w14:textId="32A9F65F" w:rsidR="004345C0" w:rsidRPr="00941DCB" w:rsidRDefault="004345C0" w:rsidP="004345C0">
      <w:pPr>
        <w:widowControl w:val="0"/>
        <w:ind w:left="547"/>
        <w:rPr>
          <w:iCs/>
        </w:rPr>
      </w:pPr>
      <w:r w:rsidRPr="00A346B2">
        <w:rPr>
          <w:iCs/>
        </w:rPr>
        <w:t xml:space="preserve">Retaining ballast exchange for high-risk voyages would serve as an important interim strategy to protect Oregon’s low-salinity ports during a significant transition that depends upon the reliability of new technologies that have lacked rigorous testing.  As proposed, the rule would </w:t>
      </w:r>
      <w:r w:rsidR="00A346B2" w:rsidRPr="00A346B2">
        <w:rPr>
          <w:iCs/>
        </w:rPr>
        <w:t xml:space="preserve">be subject to a sunset date, beyond </w:t>
      </w:r>
      <w:bookmarkStart w:id="0" w:name="_GoBack"/>
      <w:bookmarkEnd w:id="0"/>
      <w:r w:rsidR="00A346B2" w:rsidRPr="00A346B2">
        <w:rPr>
          <w:iCs/>
        </w:rPr>
        <w:t>which ‘exchange + treatment’ would no longer be required</w:t>
      </w:r>
      <w:r w:rsidRPr="00A346B2">
        <w:rPr>
          <w:iCs/>
        </w:rPr>
        <w:t xml:space="preserve">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941DCB" w:rsidRDefault="004345C0" w:rsidP="004345C0">
      <w:pPr>
        <w:ind w:left="547"/>
        <w:rPr>
          <w:iCs/>
        </w:rPr>
      </w:pPr>
    </w:p>
    <w:p w14:paraId="0C83CC6C" w14:textId="3C72F710" w:rsidR="004345C0" w:rsidRPr="00941DCB" w:rsidRDefault="0001708B" w:rsidP="004345C0">
      <w:pPr>
        <w:widowControl w:val="0"/>
        <w:ind w:left="54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941DCB" w:rsidRDefault="004345C0" w:rsidP="004345C0">
      <w:pPr>
        <w:widowControl w:val="0"/>
        <w:ind w:left="547"/>
        <w:rPr>
          <w:iCs/>
        </w:rPr>
      </w:pPr>
    </w:p>
    <w:p w14:paraId="1523A874" w14:textId="77777777" w:rsidR="004345C0" w:rsidRPr="00941DCB" w:rsidRDefault="004345C0" w:rsidP="004345C0">
      <w:pPr>
        <w:widowControl w:val="0"/>
        <w:ind w:left="547"/>
        <w:rPr>
          <w:rFonts w:ascii="Arial" w:hAnsi="Arial" w:cs="Arial"/>
          <w:b/>
          <w:iCs/>
        </w:rPr>
      </w:pPr>
      <w:r w:rsidRPr="00941DCB">
        <w:rPr>
          <w:rFonts w:ascii="Arial" w:hAnsi="Arial" w:cs="Arial"/>
          <w:b/>
          <w:iCs/>
        </w:rPr>
        <w:t>DEQ Noise Regulations</w:t>
      </w:r>
    </w:p>
    <w:p w14:paraId="140227BC" w14:textId="77777777" w:rsidR="004345C0" w:rsidRPr="00941DCB" w:rsidRDefault="004345C0" w:rsidP="004345C0">
      <w:pPr>
        <w:widowControl w:val="0"/>
        <w:ind w:left="547"/>
        <w:rPr>
          <w:iCs/>
        </w:rPr>
      </w:pPr>
    </w:p>
    <w:p w14:paraId="31BB169D" w14:textId="77777777" w:rsidR="004345C0" w:rsidRPr="00941DCB" w:rsidRDefault="004345C0" w:rsidP="004345C0">
      <w:pPr>
        <w:widowControl w:val="0"/>
        <w:ind w:left="547"/>
        <w:rPr>
          <w:iCs/>
        </w:rPr>
      </w:pPr>
      <w:r w:rsidRPr="00941DCB">
        <w:rPr>
          <w:iCs/>
        </w:rPr>
        <w:lastRenderedPageBreak/>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941DCB" w:rsidRDefault="004345C0" w:rsidP="004345C0">
      <w:pPr>
        <w:widowControl w:val="0"/>
        <w:ind w:left="547"/>
        <w:rPr>
          <w:iCs/>
        </w:rPr>
      </w:pPr>
    </w:p>
    <w:p w14:paraId="6FD38B0F" w14:textId="77777777" w:rsidR="004345C0" w:rsidRPr="00941DCB" w:rsidRDefault="004345C0" w:rsidP="004345C0">
      <w:pPr>
        <w:ind w:left="54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941DCB" w:rsidRDefault="004345C0" w:rsidP="004345C0">
      <w:pPr>
        <w:ind w:left="547"/>
      </w:pPr>
    </w:p>
    <w:p w14:paraId="5E659097" w14:textId="77777777" w:rsidR="004345C0" w:rsidRPr="00941DCB" w:rsidRDefault="004345C0" w:rsidP="004345C0">
      <w:pPr>
        <w:ind w:left="54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941DCB" w:rsidRDefault="004345C0" w:rsidP="004345C0">
      <w:pPr>
        <w:widowControl w:val="0"/>
        <w:ind w:left="547"/>
        <w:rPr>
          <w:iCs/>
        </w:rPr>
      </w:pPr>
    </w:p>
    <w:p w14:paraId="49174814" w14:textId="77777777" w:rsidR="004345C0" w:rsidRPr="00941DCB" w:rsidRDefault="004345C0" w:rsidP="004345C0">
      <w:pPr>
        <w:widowControl w:val="0"/>
        <w:ind w:left="54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941DCB" w:rsidRDefault="004345C0" w:rsidP="004345C0">
      <w:pPr>
        <w:widowControl w:val="0"/>
        <w:ind w:left="547"/>
        <w:rPr>
          <w:iCs/>
        </w:rPr>
      </w:pPr>
    </w:p>
    <w:p w14:paraId="16F96927" w14:textId="77777777" w:rsidR="004345C0" w:rsidRPr="00941DCB" w:rsidRDefault="004345C0" w:rsidP="004345C0">
      <w:pPr>
        <w:widowControl w:val="0"/>
        <w:ind w:left="54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941DCB" w:rsidRDefault="004345C0" w:rsidP="004345C0">
      <w:pPr>
        <w:widowControl w:val="0"/>
        <w:ind w:left="547"/>
        <w:rPr>
          <w:iCs/>
        </w:rPr>
      </w:pPr>
    </w:p>
    <w:p w14:paraId="3846544D" w14:textId="77777777" w:rsidR="004345C0" w:rsidRPr="00941DCB" w:rsidRDefault="004345C0" w:rsidP="004345C0">
      <w:pPr>
        <w:widowControl w:val="0"/>
        <w:ind w:left="54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941DCB" w:rsidRDefault="004345C0" w:rsidP="004345C0">
      <w:pPr>
        <w:widowControl w:val="0"/>
        <w:ind w:left="547"/>
        <w:rPr>
          <w:iCs/>
        </w:rPr>
      </w:pPr>
    </w:p>
    <w:p w14:paraId="55249434" w14:textId="77777777" w:rsidR="004345C0" w:rsidRPr="00941DCB" w:rsidRDefault="004345C0" w:rsidP="004345C0">
      <w:pPr>
        <w:widowControl w:val="0"/>
        <w:ind w:left="547"/>
        <w:rPr>
          <w:iCs/>
        </w:rPr>
      </w:pPr>
      <w:r w:rsidRPr="00941DCB">
        <w:rPr>
          <w:iCs/>
        </w:rPr>
        <w:t>DEQ will therefore ask the EQC to approve these proposed amendments to the division 35 noise control regulations.</w:t>
      </w:r>
    </w:p>
    <w:p w14:paraId="1CBDE0E8" w14:textId="77777777" w:rsidR="00E933A4" w:rsidRDefault="00E933A4" w:rsidP="004345C0">
      <w:pPr>
        <w:pStyle w:val="Heading2"/>
        <w:rPr>
          <w:rFonts w:ascii="Arial" w:hAnsi="Arial" w:cs="Arial"/>
          <w:b/>
          <w:sz w:val="24"/>
          <w:szCs w:val="24"/>
        </w:rPr>
      </w:pPr>
    </w:p>
    <w:p w14:paraId="77567C82"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 xml:space="preserve">Brief history </w:t>
      </w:r>
    </w:p>
    <w:p w14:paraId="14145434" w14:textId="77777777" w:rsidR="0001708B" w:rsidRDefault="001C287F" w:rsidP="004345C0">
      <w:pPr>
        <w:ind w:left="547"/>
      </w:pPr>
      <w:r>
        <w:t xml:space="preserve">Commercial ships are designed to travel at full cargo capacity and routinely transfer water from ambient surroundings into dedicated ballast tanks in order to maintain optimal trim and stability. </w:t>
      </w:r>
      <w:r>
        <w:t>The transfer – and subsequent discharge – of ballast water from one port to another is a leading contributor to aquatic invasive species introductions and their harmful effects to environment, economy and human</w:t>
      </w:r>
      <w:r w:rsidR="0001708B">
        <w:t xml:space="preserve"> health. </w:t>
      </w:r>
    </w:p>
    <w:p w14:paraId="6E7CBED8" w14:textId="77777777" w:rsidR="0001708B" w:rsidRDefault="0001708B" w:rsidP="004345C0">
      <w:pPr>
        <w:ind w:left="547"/>
      </w:pPr>
    </w:p>
    <w:p w14:paraId="4BF37D77" w14:textId="6AEF0416" w:rsidR="004345C0" w:rsidRPr="00941DCB" w:rsidRDefault="004345C0" w:rsidP="004345C0">
      <w:pPr>
        <w:ind w:left="547"/>
      </w:pPr>
      <w:r w:rsidRPr="00941DCB">
        <w:t xml:space="preserve">Oregon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w:t>
      </w:r>
      <w:r w:rsidRPr="00941DCB">
        <w:lastRenderedPageBreak/>
        <w:t>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941DCB" w:rsidRDefault="004345C0" w:rsidP="004345C0">
      <w:pPr>
        <w:ind w:left="547"/>
      </w:pPr>
    </w:p>
    <w:p w14:paraId="2988D487" w14:textId="77777777" w:rsidR="004345C0" w:rsidRPr="00941DCB" w:rsidRDefault="004345C0" w:rsidP="004345C0">
      <w:pPr>
        <w:ind w:left="547"/>
      </w:pPr>
      <w:r w:rsidRPr="00941DCB">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941DCB" w:rsidRDefault="004345C0" w:rsidP="004345C0">
      <w:pPr>
        <w:ind w:left="547"/>
      </w:pPr>
    </w:p>
    <w:p w14:paraId="276BDDD5" w14:textId="77777777" w:rsidR="004345C0" w:rsidRPr="00941DCB" w:rsidRDefault="004345C0" w:rsidP="004345C0">
      <w:pPr>
        <w:ind w:left="547"/>
      </w:pPr>
      <w:r w:rsidRPr="00941DCB">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941DCB" w:rsidRDefault="004345C0" w:rsidP="004345C0">
      <w:pPr>
        <w:ind w:left="547"/>
      </w:pPr>
    </w:p>
    <w:p w14:paraId="17CF5EC3" w14:textId="77777777" w:rsidR="004345C0" w:rsidRPr="00941DCB" w:rsidRDefault="004345C0" w:rsidP="004345C0">
      <w:pPr>
        <w:ind w:left="547"/>
      </w:pPr>
      <w:r w:rsidRPr="00941DCB">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941DCB">
        <w:rPr>
          <w:vertAlign w:val="superscript"/>
        </w:rPr>
        <w:t>nd</w:t>
      </w:r>
      <w:r w:rsidRPr="00941DCB">
        <w:t xml:space="preserve"> Circuit Court of Appeals ruled in October 2015 that the EPA’s reliance on the IMO/USCG standard was arbitrary and capricious.</w:t>
      </w:r>
    </w:p>
    <w:p w14:paraId="09732128" w14:textId="77777777" w:rsidR="004345C0" w:rsidRPr="00941DCB" w:rsidRDefault="004345C0" w:rsidP="004345C0">
      <w:pPr>
        <w:ind w:left="547"/>
      </w:pPr>
    </w:p>
    <w:p w14:paraId="20CBA57E" w14:textId="77777777" w:rsidR="004345C0" w:rsidRPr="00941DCB" w:rsidRDefault="004345C0" w:rsidP="004345C0">
      <w:pPr>
        <w:ind w:left="547"/>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941DCB" w:rsidRDefault="004345C0" w:rsidP="004345C0">
      <w:pPr>
        <w:ind w:left="547"/>
      </w:pPr>
    </w:p>
    <w:p w14:paraId="5D84E754" w14:textId="77777777" w:rsidR="004345C0" w:rsidRPr="00941DCB" w:rsidRDefault="004345C0" w:rsidP="004345C0">
      <w:pPr>
        <w:ind w:left="547"/>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w:t>
      </w:r>
      <w:r w:rsidRPr="00941DCB">
        <w:lastRenderedPageBreak/>
        <w:t xml:space="preserve">treatment systems can now be used in place of ballast water exchange to meet ballast water management requirements under OAR 340-143-0050. </w:t>
      </w:r>
    </w:p>
    <w:p w14:paraId="4EAB6CE3" w14:textId="77777777" w:rsidR="004345C0" w:rsidRPr="00941DCB" w:rsidRDefault="004345C0" w:rsidP="004345C0">
      <w:pPr>
        <w:ind w:left="0"/>
      </w:pPr>
    </w:p>
    <w:p w14:paraId="217D2578" w14:textId="77777777" w:rsidR="004345C0" w:rsidRPr="00941DCB" w:rsidRDefault="004345C0" w:rsidP="004345C0">
      <w:pPr>
        <w:ind w:left="547"/>
      </w:pPr>
      <w:r w:rsidRPr="00941DCB">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941DCB" w:rsidRDefault="004345C0" w:rsidP="004345C0">
      <w:pPr>
        <w:ind w:left="547"/>
      </w:pPr>
    </w:p>
    <w:p w14:paraId="52A76BD3" w14:textId="77777777" w:rsidR="004345C0" w:rsidRPr="00941DCB" w:rsidRDefault="004345C0" w:rsidP="004345C0">
      <w:pPr>
        <w:ind w:left="547"/>
      </w:pPr>
      <w:r w:rsidRPr="00941DCB">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3B69D3A3" w14:textId="77777777" w:rsidR="00E933A4" w:rsidRDefault="00E933A4" w:rsidP="004345C0">
      <w:pPr>
        <w:pStyle w:val="Heading2"/>
        <w:rPr>
          <w:rFonts w:ascii="Arial" w:hAnsi="Arial" w:cs="Arial"/>
          <w:b/>
          <w:sz w:val="24"/>
          <w:szCs w:val="24"/>
        </w:rPr>
      </w:pPr>
    </w:p>
    <w:p w14:paraId="7BE05D55" w14:textId="77777777" w:rsidR="004345C0" w:rsidRPr="00941DCB" w:rsidRDefault="004345C0" w:rsidP="004345C0">
      <w:pPr>
        <w:pStyle w:val="Heading2"/>
        <w:rPr>
          <w:rFonts w:ascii="Arial" w:hAnsi="Arial" w:cs="Arial"/>
          <w:b/>
          <w:color w:val="C45911" w:themeColor="accent2" w:themeShade="BF"/>
          <w:sz w:val="24"/>
          <w:szCs w:val="24"/>
        </w:rPr>
      </w:pPr>
      <w:r w:rsidRPr="00941DCB">
        <w:rPr>
          <w:rFonts w:ascii="Arial" w:hAnsi="Arial" w:cs="Arial"/>
          <w:b/>
          <w:sz w:val="24"/>
          <w:szCs w:val="24"/>
        </w:rPr>
        <w:t>Regulated parties</w:t>
      </w:r>
    </w:p>
    <w:p w14:paraId="6969845B" w14:textId="77777777" w:rsidR="004345C0" w:rsidRPr="00941DCB" w:rsidRDefault="004345C0" w:rsidP="004345C0"/>
    <w:p w14:paraId="10078847" w14:textId="77777777" w:rsidR="004345C0" w:rsidRPr="00941DCB" w:rsidRDefault="004345C0" w:rsidP="004345C0">
      <w:pPr>
        <w:ind w:left="547"/>
        <w:rPr>
          <w:rFonts w:ascii="Arial" w:hAnsi="Arial" w:cs="Arial"/>
          <w:b/>
        </w:rPr>
      </w:pPr>
      <w:r w:rsidRPr="00941DCB">
        <w:rPr>
          <w:rFonts w:ascii="Arial" w:hAnsi="Arial" w:cs="Arial"/>
          <w:b/>
        </w:rPr>
        <w:t>Ballast Water</w:t>
      </w:r>
    </w:p>
    <w:p w14:paraId="503F9951" w14:textId="77777777" w:rsidR="006D6E87" w:rsidRPr="00941DCB" w:rsidRDefault="006D6E87" w:rsidP="004345C0">
      <w:pPr>
        <w:ind w:left="547"/>
      </w:pPr>
    </w:p>
    <w:p w14:paraId="0C03D0E1" w14:textId="77777777" w:rsidR="004345C0" w:rsidRPr="00941DCB" w:rsidRDefault="004345C0" w:rsidP="004345C0">
      <w:pPr>
        <w:ind w:left="547"/>
      </w:pPr>
      <w:r w:rsidRPr="00941DCB">
        <w:t xml:space="preserve">The proposed amendments to OAR 340-143 </w:t>
      </w:r>
      <w:r w:rsidRPr="00941DCB">
        <w:rPr>
          <w:color w:val="000000" w:themeColor="text1"/>
        </w:rPr>
        <w:t>do not</w:t>
      </w:r>
      <w:r w:rsidRPr="00941DCB">
        <w:rPr>
          <w:color w:val="000000"/>
        </w:rPr>
        <w:t xml:space="preserve"> change the regulated parties.</w:t>
      </w:r>
    </w:p>
    <w:p w14:paraId="09710D5A" w14:textId="77777777" w:rsidR="004345C0" w:rsidRPr="00941DCB" w:rsidRDefault="004345C0" w:rsidP="004345C0">
      <w:pPr>
        <w:ind w:left="547"/>
      </w:pPr>
    </w:p>
    <w:p w14:paraId="5119DF5B" w14:textId="77777777" w:rsidR="004345C0" w:rsidRPr="00941DCB" w:rsidRDefault="004345C0" w:rsidP="004345C0">
      <w:pPr>
        <w:ind w:left="547"/>
        <w:rPr>
          <w:rFonts w:ascii="Arial" w:hAnsi="Arial" w:cs="Arial"/>
          <w:b/>
        </w:rPr>
      </w:pPr>
      <w:r w:rsidRPr="00941DCB">
        <w:rPr>
          <w:rFonts w:ascii="Arial" w:hAnsi="Arial" w:cs="Arial"/>
          <w:b/>
        </w:rPr>
        <w:t>Noise Regulations</w:t>
      </w:r>
    </w:p>
    <w:p w14:paraId="689A7F99" w14:textId="77777777" w:rsidR="004345C0" w:rsidRPr="00941DCB" w:rsidRDefault="004345C0" w:rsidP="004345C0">
      <w:pPr>
        <w:ind w:left="547"/>
      </w:pPr>
    </w:p>
    <w:p w14:paraId="0A1DECBF" w14:textId="77777777" w:rsidR="004345C0" w:rsidRPr="00941DCB" w:rsidRDefault="004345C0" w:rsidP="004345C0">
      <w:pPr>
        <w:ind w:left="547"/>
      </w:pPr>
      <w:r w:rsidRPr="00941DCB">
        <w:t>The noise control regulations apply to a wide range of parties that generate noise. However the proposed amendments do not change the regulated parties or the compliance requirements in any way.</w:t>
      </w:r>
    </w:p>
    <w:p w14:paraId="3A7E2A48" w14:textId="77777777" w:rsidR="004345C0" w:rsidRPr="00941DCB" w:rsidRDefault="004345C0" w:rsidP="004345C0">
      <w:pPr>
        <w:pStyle w:val="Heading2"/>
        <w:rPr>
          <w:rFonts w:ascii="Arial" w:hAnsi="Arial" w:cs="Arial"/>
          <w:color w:val="C45911" w:themeColor="accent2" w:themeShade="BF"/>
          <w:sz w:val="24"/>
          <w:szCs w:val="24"/>
        </w:rPr>
      </w:pPr>
      <w:r w:rsidRPr="00941DCB">
        <w:rPr>
          <w:rFonts w:ascii="Arial" w:hAnsi="Arial" w:cs="Arial"/>
          <w:sz w:val="24"/>
          <w:szCs w:val="24"/>
        </w:rPr>
        <w:t xml:space="preserve">Request for other options </w:t>
      </w:r>
    </w:p>
    <w:p w14:paraId="1528E600" w14:textId="77777777" w:rsidR="004345C0" w:rsidRPr="00941DCB" w:rsidRDefault="004345C0" w:rsidP="002442FB">
      <w:pPr>
        <w:ind w:left="547"/>
      </w:pPr>
      <w:r w:rsidRPr="00941DCB">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941DCB" w:rsidRDefault="001F2622" w:rsidP="001F2622">
      <w:pPr>
        <w:ind w:left="360"/>
        <w:rPr>
          <w:rFonts w:ascii="Arial" w:hAnsi="Arial" w:cs="Arial"/>
          <w:b/>
        </w:rPr>
      </w:pPr>
      <w:r w:rsidRPr="00941DCB">
        <w:rPr>
          <w:rFonts w:ascii="Arial" w:hAnsi="Arial" w:cs="Arial"/>
          <w:b/>
        </w:rPr>
        <w:t>Management of Empty Ballast Tanks</w:t>
      </w:r>
    </w:p>
    <w:p w14:paraId="3ABFC436" w14:textId="77777777" w:rsidR="001F2622" w:rsidRPr="00941DCB" w:rsidRDefault="001F2622" w:rsidP="001F2622"/>
    <w:p w14:paraId="69D70D7A" w14:textId="77777777" w:rsidR="001F2622" w:rsidRPr="00941DCB" w:rsidRDefault="001F2622" w:rsidP="00063484">
      <w:pPr>
        <w:ind w:left="360"/>
      </w:pPr>
      <w:r w:rsidRPr="00941DCB">
        <w:t>What need would the proposed rule address?</w:t>
      </w:r>
    </w:p>
    <w:p w14:paraId="7A2CF48F" w14:textId="77777777" w:rsidR="001F2622" w:rsidRPr="00941DCB" w:rsidRDefault="001F2622" w:rsidP="00063484">
      <w:pPr>
        <w:ind w:left="360"/>
      </w:pPr>
    </w:p>
    <w:p w14:paraId="29AEF9BA" w14:textId="77777777" w:rsidR="001F2622" w:rsidRPr="00941DCB" w:rsidRDefault="001F2622" w:rsidP="00063484">
      <w:pPr>
        <w:ind w:left="360"/>
      </w:pPr>
      <w:r w:rsidRPr="00941DCB">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941DCB" w:rsidRDefault="001F2622" w:rsidP="00063484">
      <w:pPr>
        <w:ind w:left="360"/>
      </w:pPr>
    </w:p>
    <w:p w14:paraId="3121A003" w14:textId="77777777" w:rsidR="001F2622" w:rsidRPr="00941DCB" w:rsidRDefault="001F2622" w:rsidP="00063484">
      <w:pPr>
        <w:ind w:left="360"/>
      </w:pPr>
      <w:r w:rsidRPr="00941DCB">
        <w:t>How would the proposed rule address the need?</w:t>
      </w:r>
    </w:p>
    <w:p w14:paraId="72045626" w14:textId="77777777" w:rsidR="001F2622" w:rsidRPr="00941DCB" w:rsidRDefault="001F2622" w:rsidP="00063484">
      <w:pPr>
        <w:ind w:left="360"/>
      </w:pPr>
    </w:p>
    <w:p w14:paraId="2B69DF73" w14:textId="77777777" w:rsidR="001F2622" w:rsidRPr="00941DCB" w:rsidRDefault="001F2622" w:rsidP="00063484">
      <w:pPr>
        <w:ind w:left="360"/>
      </w:pPr>
      <w:r w:rsidRPr="00941DCB">
        <w:t>The proposed rule requires vessel operators to conduct a mid-ocean saltwater flush of empty ballast tanks that they want to use for ballasting and subsequent de-ballasting while in port.</w:t>
      </w:r>
    </w:p>
    <w:p w14:paraId="17AE0B22" w14:textId="77777777" w:rsidR="001F2622" w:rsidRPr="00941DCB" w:rsidRDefault="001F2622" w:rsidP="00063484">
      <w:pPr>
        <w:ind w:left="360"/>
      </w:pPr>
    </w:p>
    <w:p w14:paraId="0AEDCE5A" w14:textId="77777777" w:rsidR="001F2622" w:rsidRPr="00941DCB" w:rsidRDefault="001F2622" w:rsidP="00063484">
      <w:pPr>
        <w:ind w:left="360"/>
      </w:pPr>
      <w:r w:rsidRPr="00941DCB">
        <w:t>How will DEQ know the rule addressed the need?</w:t>
      </w:r>
    </w:p>
    <w:p w14:paraId="6012129C" w14:textId="77777777" w:rsidR="001F2622" w:rsidRPr="00941DCB" w:rsidRDefault="001F2622" w:rsidP="00063484">
      <w:pPr>
        <w:ind w:left="360"/>
      </w:pPr>
    </w:p>
    <w:p w14:paraId="3060C230" w14:textId="77777777" w:rsidR="001F2622" w:rsidRPr="00941DCB" w:rsidRDefault="001F2622" w:rsidP="00063484">
      <w:pPr>
        <w:ind w:left="36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941DCB" w:rsidRDefault="001F2622" w:rsidP="001F2622">
      <w:pPr>
        <w:rPr>
          <w:rFonts w:ascii="Arial" w:hAnsi="Arial" w:cs="Arial"/>
        </w:rPr>
      </w:pPr>
    </w:p>
    <w:p w14:paraId="1519BC1F" w14:textId="77777777" w:rsidR="001F2622" w:rsidRPr="00941DCB" w:rsidRDefault="001F2622" w:rsidP="001F2622">
      <w:pPr>
        <w:ind w:left="360"/>
        <w:rPr>
          <w:rFonts w:ascii="Arial" w:hAnsi="Arial" w:cs="Arial"/>
          <w:b/>
        </w:rPr>
      </w:pPr>
      <w:r w:rsidRPr="00941DCB">
        <w:rPr>
          <w:rFonts w:ascii="Arial" w:hAnsi="Arial" w:cs="Arial"/>
          <w:b/>
        </w:rPr>
        <w:t>Retaining Ballast Water Exchange</w:t>
      </w:r>
    </w:p>
    <w:p w14:paraId="1752B3E0" w14:textId="77777777" w:rsidR="001F2622" w:rsidRPr="00941DCB" w:rsidRDefault="001F2622" w:rsidP="001F2622">
      <w:pPr>
        <w:ind w:left="360"/>
        <w:rPr>
          <w:b/>
        </w:rPr>
      </w:pPr>
    </w:p>
    <w:p w14:paraId="5ACB5E35" w14:textId="77777777" w:rsidR="001F2622" w:rsidRPr="00941DCB" w:rsidRDefault="001F2622" w:rsidP="00063484">
      <w:pPr>
        <w:ind w:left="360"/>
      </w:pPr>
      <w:r w:rsidRPr="00941DCB">
        <w:t>What need would the proposed rule address?</w:t>
      </w:r>
    </w:p>
    <w:p w14:paraId="46E9FC2F" w14:textId="77777777" w:rsidR="001F2622" w:rsidRPr="00941DCB" w:rsidRDefault="001F2622" w:rsidP="00063484">
      <w:pPr>
        <w:ind w:left="360"/>
      </w:pPr>
    </w:p>
    <w:p w14:paraId="197C6441" w14:textId="77777777" w:rsidR="001F2622" w:rsidRPr="00941DCB" w:rsidRDefault="001F2622" w:rsidP="00063484">
      <w:pPr>
        <w:ind w:left="360"/>
      </w:pPr>
      <w:r w:rsidRPr="00941DCB">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941DCB" w:rsidRDefault="001F2622" w:rsidP="00063484">
      <w:pPr>
        <w:ind w:left="360"/>
      </w:pPr>
    </w:p>
    <w:p w14:paraId="3C000F14" w14:textId="77777777" w:rsidR="001F2622" w:rsidRPr="00941DCB" w:rsidRDefault="001F2622" w:rsidP="00063484">
      <w:pPr>
        <w:ind w:left="360"/>
      </w:pPr>
      <w:r w:rsidRPr="00941DCB">
        <w:t>How would the proposed rule address the need?</w:t>
      </w:r>
    </w:p>
    <w:p w14:paraId="694F4DE7" w14:textId="77777777" w:rsidR="001F2622" w:rsidRPr="00941DCB" w:rsidRDefault="001F2622" w:rsidP="00063484">
      <w:pPr>
        <w:ind w:left="360"/>
      </w:pPr>
    </w:p>
    <w:p w14:paraId="226C7661" w14:textId="77777777" w:rsidR="001F2622" w:rsidRPr="00941DCB" w:rsidRDefault="001F2622" w:rsidP="00063484">
      <w:pPr>
        <w:ind w:left="360"/>
      </w:pPr>
      <w:r w:rsidRPr="00941DCB">
        <w:t>The rules retain ballast water exchange requirements for a subset of vessel arrivals to Oregon that represent a high risk for transporting AIS.</w:t>
      </w:r>
    </w:p>
    <w:p w14:paraId="36062A73" w14:textId="77777777" w:rsidR="001F2622" w:rsidRPr="00941DCB" w:rsidRDefault="001F2622" w:rsidP="00063484">
      <w:pPr>
        <w:ind w:left="360"/>
      </w:pPr>
    </w:p>
    <w:p w14:paraId="259754FF" w14:textId="77777777" w:rsidR="001F2622" w:rsidRPr="00941DCB" w:rsidRDefault="001F2622" w:rsidP="00063484">
      <w:pPr>
        <w:ind w:left="360"/>
      </w:pPr>
      <w:r w:rsidRPr="00941DCB">
        <w:t>How will DEQ know the rule addressed the need?</w:t>
      </w:r>
    </w:p>
    <w:p w14:paraId="39A47E99" w14:textId="77777777" w:rsidR="001F2622" w:rsidRPr="00941DCB" w:rsidRDefault="001F2622" w:rsidP="00063484">
      <w:pPr>
        <w:ind w:left="360"/>
      </w:pPr>
    </w:p>
    <w:p w14:paraId="769983C1" w14:textId="77777777" w:rsidR="001F2622" w:rsidRPr="00941DCB" w:rsidRDefault="001F2622" w:rsidP="00063484">
      <w:pPr>
        <w:ind w:left="360"/>
      </w:pPr>
      <w:r w:rsidRPr="00941DCB">
        <w:t xml:space="preserve">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w:t>
      </w:r>
      <w:r w:rsidRPr="00941DCB">
        <w:lastRenderedPageBreak/>
        <w:t>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Pr="00941DCB" w:rsidRDefault="001F2622" w:rsidP="001F2622"/>
    <w:p w14:paraId="5FE5F6D9" w14:textId="77777777" w:rsidR="001F2622" w:rsidRPr="00941DCB" w:rsidRDefault="001F2622" w:rsidP="001F2622">
      <w:pPr>
        <w:ind w:left="360"/>
        <w:rPr>
          <w:rFonts w:ascii="Arial" w:hAnsi="Arial" w:cs="Arial"/>
          <w:b/>
        </w:rPr>
      </w:pPr>
      <w:r w:rsidRPr="00941DCB">
        <w:rPr>
          <w:rFonts w:ascii="Arial" w:hAnsi="Arial" w:cs="Arial"/>
          <w:b/>
        </w:rPr>
        <w:t>Noise Tables</w:t>
      </w:r>
    </w:p>
    <w:p w14:paraId="143BD480" w14:textId="77777777" w:rsidR="001F2622" w:rsidRPr="00941DCB" w:rsidRDefault="001F2622" w:rsidP="001F2622">
      <w:pPr>
        <w:ind w:left="360"/>
        <w:rPr>
          <w:b/>
        </w:rPr>
      </w:pPr>
    </w:p>
    <w:p w14:paraId="5653FB08" w14:textId="77777777" w:rsidR="001F2622" w:rsidRPr="00941DCB" w:rsidRDefault="001F2622" w:rsidP="00063484">
      <w:pPr>
        <w:ind w:left="360"/>
      </w:pPr>
      <w:r w:rsidRPr="00941DCB">
        <w:t>What need would the proposed rule address?</w:t>
      </w:r>
    </w:p>
    <w:p w14:paraId="6ED23526" w14:textId="77777777" w:rsidR="001F2622" w:rsidRPr="00941DCB" w:rsidRDefault="001F2622" w:rsidP="00063484">
      <w:pPr>
        <w:ind w:left="360"/>
      </w:pPr>
    </w:p>
    <w:p w14:paraId="114DEB71" w14:textId="77777777" w:rsidR="001F2622" w:rsidRPr="00941DCB" w:rsidRDefault="001F2622" w:rsidP="00063484">
      <w:pPr>
        <w:ind w:left="360"/>
      </w:pPr>
      <w:r w:rsidRPr="00941DCB">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941DCB" w:rsidRDefault="001F2622" w:rsidP="00063484">
      <w:pPr>
        <w:ind w:left="360"/>
        <w:rPr>
          <w:b/>
        </w:rPr>
      </w:pPr>
    </w:p>
    <w:p w14:paraId="4F2CCC3A" w14:textId="77777777" w:rsidR="001F2622" w:rsidRPr="00941DCB" w:rsidRDefault="001F2622" w:rsidP="00063484">
      <w:pPr>
        <w:ind w:left="360"/>
      </w:pPr>
      <w:r w:rsidRPr="00941DCB">
        <w:t>How would the proposed rule address the need?</w:t>
      </w:r>
    </w:p>
    <w:p w14:paraId="04A3BA18" w14:textId="77777777" w:rsidR="001F2622" w:rsidRPr="00941DCB" w:rsidRDefault="001F2622" w:rsidP="00063484">
      <w:pPr>
        <w:ind w:left="360"/>
      </w:pPr>
    </w:p>
    <w:p w14:paraId="1826E936" w14:textId="77777777" w:rsidR="001F2622" w:rsidRPr="00941DCB" w:rsidRDefault="001F2622" w:rsidP="00063484">
      <w:pPr>
        <w:ind w:left="360"/>
      </w:pPr>
      <w:r w:rsidRPr="00941DCB">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941DCB" w:rsidRDefault="001F2622" w:rsidP="00063484">
      <w:pPr>
        <w:ind w:left="360"/>
      </w:pPr>
    </w:p>
    <w:p w14:paraId="1220BA10" w14:textId="77777777" w:rsidR="001F2622" w:rsidRPr="00941DCB" w:rsidRDefault="001F2622" w:rsidP="00063484">
      <w:pPr>
        <w:ind w:left="360"/>
      </w:pPr>
      <w:r w:rsidRPr="00941DCB">
        <w:t>How will DEQ know the rule addressed the need?</w:t>
      </w:r>
    </w:p>
    <w:p w14:paraId="0C8EB063" w14:textId="77777777" w:rsidR="001F2622" w:rsidRPr="00941DCB" w:rsidRDefault="001F2622" w:rsidP="00063484">
      <w:pPr>
        <w:ind w:left="360"/>
      </w:pPr>
    </w:p>
    <w:p w14:paraId="59117EC2" w14:textId="77777777" w:rsidR="001F2622" w:rsidRPr="00941DCB" w:rsidRDefault="001F2622" w:rsidP="00063484">
      <w:pPr>
        <w:ind w:left="360"/>
      </w:pPr>
      <w:r w:rsidRPr="00941DCB">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941DCB" w:rsidRDefault="00887F56" w:rsidP="00887F56">
      <w:pPr>
        <w:pStyle w:val="Heading2"/>
        <w:rPr>
          <w:b/>
          <w:sz w:val="24"/>
          <w:szCs w:val="24"/>
        </w:rPr>
      </w:pPr>
      <w:r w:rsidRPr="00941DCB">
        <w:rPr>
          <w:rFonts w:ascii="Arial" w:hAnsi="Arial" w:cs="Arial"/>
          <w:b/>
          <w:sz w:val="24"/>
          <w:szCs w:val="24"/>
        </w:rPr>
        <w:t>Ballast Water Rules</w:t>
      </w:r>
    </w:p>
    <w:p w14:paraId="3A606ABE"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Lead division</w:t>
      </w:r>
    </w:p>
    <w:p w14:paraId="1FEBDAB6" w14:textId="77777777" w:rsidR="00887F56" w:rsidRPr="00941DCB" w:rsidRDefault="00887F56" w:rsidP="00F75F76">
      <w:pPr>
        <w:tabs>
          <w:tab w:val="left" w:pos="4500"/>
        </w:tabs>
        <w:ind w:left="547"/>
        <w:rPr>
          <w:color w:val="000000" w:themeColor="text1"/>
        </w:rPr>
      </w:pPr>
      <w:r w:rsidRPr="00941DCB">
        <w:rPr>
          <w:color w:val="000000" w:themeColor="text1"/>
        </w:rPr>
        <w:t>Operations Division</w:t>
      </w:r>
    </w:p>
    <w:p w14:paraId="363229DF" w14:textId="77777777" w:rsidR="00887F56" w:rsidRPr="00941DCB" w:rsidRDefault="00887F56" w:rsidP="00887F56">
      <w:pPr>
        <w:pStyle w:val="Heading2"/>
        <w:rPr>
          <w:rFonts w:ascii="Arial" w:hAnsi="Arial" w:cs="Arial"/>
          <w:b/>
          <w:sz w:val="24"/>
          <w:szCs w:val="24"/>
        </w:rPr>
      </w:pPr>
      <w:r w:rsidRPr="00941DCB">
        <w:rPr>
          <w:rFonts w:ascii="Arial" w:hAnsi="Arial" w:cs="Arial"/>
          <w:sz w:val="24"/>
          <w:szCs w:val="24"/>
        </w:rPr>
        <w:t>Program or activity</w:t>
      </w:r>
    </w:p>
    <w:p w14:paraId="3D7D1ADE" w14:textId="77777777" w:rsidR="00887F56" w:rsidRPr="00941DCB" w:rsidRDefault="00887F56" w:rsidP="00F75F76">
      <w:pPr>
        <w:tabs>
          <w:tab w:val="left" w:pos="4500"/>
        </w:tabs>
        <w:ind w:left="547"/>
        <w:rPr>
          <w:color w:val="000000" w:themeColor="text1"/>
        </w:rPr>
      </w:pPr>
      <w:r w:rsidRPr="00941DCB">
        <w:rPr>
          <w:color w:val="000000" w:themeColor="text1"/>
        </w:rPr>
        <w:t>Ballast Water Management</w:t>
      </w:r>
    </w:p>
    <w:p w14:paraId="037C7BB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Chapter 340 action</w:t>
      </w:r>
    </w:p>
    <w:p w14:paraId="3DEE6536" w14:textId="77777777" w:rsidR="00F45D15" w:rsidRPr="00941DCB" w:rsidRDefault="00F45D15" w:rsidP="00F75F76">
      <w:pPr>
        <w:ind w:left="547"/>
      </w:pPr>
      <w:r w:rsidRPr="00941DCB">
        <w:t>Amend</w:t>
      </w:r>
    </w:p>
    <w:p w14:paraId="09A5AF86" w14:textId="77777777" w:rsidR="00F45D15" w:rsidRPr="00941DCB" w:rsidRDefault="00F45D15" w:rsidP="00F75F76">
      <w:pPr>
        <w:ind w:left="547"/>
      </w:pPr>
    </w:p>
    <w:p w14:paraId="59A3A0E7" w14:textId="344B5FF4" w:rsidR="00887F56" w:rsidRPr="00941DCB" w:rsidRDefault="00887F56" w:rsidP="00F75F76">
      <w:pPr>
        <w:ind w:left="547"/>
      </w:pPr>
      <w:r w:rsidRPr="00941DCB">
        <w:t>OAR 340-143-0005, 340-143-0010, 340-143-0050</w:t>
      </w:r>
    </w:p>
    <w:p w14:paraId="7560B44D"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Statutory authority </w:t>
      </w:r>
    </w:p>
    <w:p w14:paraId="19F1EDE1" w14:textId="77777777" w:rsidR="00887F56" w:rsidRPr="00941DCB" w:rsidRDefault="00887F56" w:rsidP="00F75F76">
      <w:pPr>
        <w:ind w:left="547"/>
        <w:rPr>
          <w:rStyle w:val="Emphasis"/>
          <w:rFonts w:ascii="Arial" w:hAnsi="Arial"/>
          <w:vanish w:val="0"/>
          <w:color w:val="C45911" w:themeColor="accent2" w:themeShade="BF"/>
          <w:sz w:val="24"/>
        </w:rPr>
      </w:pPr>
      <w:r w:rsidRPr="00941DCB">
        <w:rPr>
          <w:color w:val="000000" w:themeColor="text1"/>
        </w:rPr>
        <w:t>ORS 468.020, 783.620 – 783.640</w:t>
      </w:r>
    </w:p>
    <w:p w14:paraId="713F869C"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Statute implemented</w:t>
      </w:r>
    </w:p>
    <w:p w14:paraId="2D1BFF84" w14:textId="77777777" w:rsidR="00887F56" w:rsidRPr="00941DCB" w:rsidRDefault="00887F56" w:rsidP="00F75F76">
      <w:pPr>
        <w:ind w:left="547" w:right="14"/>
      </w:pPr>
      <w:r w:rsidRPr="00941DCB">
        <w:t>ORS 783.620 – 783.640</w:t>
      </w:r>
    </w:p>
    <w:p w14:paraId="262633B6" w14:textId="77777777" w:rsidR="00887F56" w:rsidRPr="00941DCB" w:rsidRDefault="00887F56" w:rsidP="00887F56">
      <w:pPr>
        <w:pStyle w:val="Heading2"/>
        <w:spacing w:before="0" w:after="0"/>
        <w:ind w:left="720" w:right="14" w:hanging="173"/>
        <w:rPr>
          <w:sz w:val="24"/>
          <w:szCs w:val="24"/>
        </w:rPr>
      </w:pPr>
    </w:p>
    <w:p w14:paraId="229A8EE8" w14:textId="77777777" w:rsidR="00887F56" w:rsidRPr="00941DCB" w:rsidRDefault="00887F56" w:rsidP="00887F56">
      <w:pPr>
        <w:pStyle w:val="Heading2"/>
        <w:spacing w:before="0" w:after="0"/>
        <w:ind w:left="720" w:right="14" w:hanging="173"/>
        <w:rPr>
          <w:rStyle w:val="Emphasis"/>
          <w:rFonts w:ascii="Arial" w:hAnsi="Arial" w:cs="Arial"/>
          <w:vanish w:val="0"/>
          <w:color w:val="000000" w:themeColor="text1"/>
          <w:sz w:val="24"/>
          <w:szCs w:val="24"/>
        </w:rPr>
      </w:pPr>
      <w:r w:rsidRPr="00941DCB">
        <w:rPr>
          <w:rFonts w:ascii="Arial" w:hAnsi="Arial" w:cs="Arial"/>
          <w:sz w:val="24"/>
          <w:szCs w:val="24"/>
        </w:rPr>
        <w:t xml:space="preserve">Legislation </w:t>
      </w:r>
      <w:r w:rsidRPr="00941DCB">
        <w:rPr>
          <w:rStyle w:val="Emphasis"/>
          <w:rFonts w:ascii="Arial" w:hAnsi="Arial" w:cs="Arial"/>
          <w:color w:val="C45911" w:themeColor="accent2" w:themeShade="BF"/>
          <w:sz w:val="24"/>
          <w:szCs w:val="24"/>
        </w:rPr>
        <w:br/>
      </w:r>
    </w:p>
    <w:p w14:paraId="1E692031" w14:textId="77777777" w:rsidR="00887F56" w:rsidRPr="00941DCB" w:rsidRDefault="00887F56" w:rsidP="00887F56">
      <w:pPr>
        <w:pStyle w:val="Heading2"/>
        <w:spacing w:before="0" w:after="0"/>
        <w:ind w:left="893" w:right="14" w:hanging="173"/>
        <w:rPr>
          <w:rFonts w:asciiTheme="minorHAnsi" w:hAnsiTheme="minorHAnsi" w:cstheme="minorHAnsi"/>
          <w:bCs w:val="0"/>
          <w:color w:val="000000" w:themeColor="text1"/>
          <w:sz w:val="24"/>
          <w:szCs w:val="24"/>
        </w:rPr>
      </w:pPr>
      <w:r w:rsidRPr="00941DCB">
        <w:rPr>
          <w:rStyle w:val="Emphasis"/>
          <w:rFonts w:asciiTheme="minorHAnsi" w:hAnsiTheme="minorHAnsi" w:cstheme="minorHAnsi"/>
          <w:color w:val="000000" w:themeColor="text1"/>
          <w:sz w:val="24"/>
          <w:szCs w:val="24"/>
        </w:rPr>
        <w:t>House Bill 2207 (2015)</w:t>
      </w:r>
    </w:p>
    <w:p w14:paraId="4204BD56" w14:textId="77777777" w:rsidR="00887F56" w:rsidRPr="00941DCB" w:rsidRDefault="00887F56" w:rsidP="00887F56">
      <w:pPr>
        <w:pStyle w:val="Heading2"/>
        <w:rPr>
          <w:rFonts w:ascii="Arial" w:hAnsi="Arial" w:cs="Arial"/>
          <w:sz w:val="24"/>
          <w:szCs w:val="24"/>
        </w:rPr>
      </w:pPr>
      <w:r w:rsidRPr="00941DCB">
        <w:rPr>
          <w:rFonts w:ascii="Arial" w:hAnsi="Arial" w:cs="Arial"/>
          <w:sz w:val="24"/>
          <w:szCs w:val="24"/>
        </w:rPr>
        <w:t xml:space="preserve">Other authority </w:t>
      </w:r>
    </w:p>
    <w:p w14:paraId="4AE0554C" w14:textId="77777777" w:rsidR="00887F56" w:rsidRPr="00941DCB" w:rsidRDefault="00887F56" w:rsidP="00F75F76">
      <w:pPr>
        <w:ind w:left="547"/>
        <w:rPr>
          <w:color w:val="000000" w:themeColor="text1"/>
        </w:rPr>
      </w:pPr>
      <w:r w:rsidRPr="00941DCB">
        <w:rPr>
          <w:color w:val="000000" w:themeColor="text1"/>
        </w:rPr>
        <w:t>Nonindigenous Aquatic Nuisance Prevention and Control Act of 1990 (NANPCA - Section 1205) (codified as 16 U.S.C. § 4725)</w:t>
      </w:r>
    </w:p>
    <w:p w14:paraId="1B352246" w14:textId="77777777" w:rsidR="00887F56" w:rsidRPr="00941DCB" w:rsidRDefault="00887F56" w:rsidP="00887F56"/>
    <w:p w14:paraId="60708CDA" w14:textId="77777777" w:rsidR="00887F56" w:rsidRPr="00F75F76" w:rsidRDefault="00887F56" w:rsidP="00887F56">
      <w:pPr>
        <w:ind w:left="540"/>
        <w:rPr>
          <w:rFonts w:ascii="Arial" w:hAnsi="Arial" w:cs="Arial"/>
          <w:u w:val="single"/>
        </w:rPr>
      </w:pPr>
      <w:bookmarkStart w:id="1" w:name="SupportingDocuments"/>
      <w:r w:rsidRPr="00941DCB">
        <w:rPr>
          <w:rStyle w:val="Heading2Char"/>
          <w:rFonts w:ascii="Arial" w:hAnsi="Arial" w:cs="Arial"/>
          <w:sz w:val="24"/>
          <w:szCs w:val="24"/>
        </w:rPr>
        <w:t>Documents relied on for rulemaking</w:t>
      </w:r>
      <w:r w:rsidRPr="00F75F76">
        <w:rPr>
          <w:rStyle w:val="Heading2Char"/>
          <w:rFonts w:ascii="Arial" w:hAnsi="Arial" w:cs="Arial"/>
        </w:rPr>
        <w:t xml:space="preserve"> </w:t>
      </w:r>
      <w:bookmarkEnd w:id="1"/>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E1145C"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EPA VGP 2013</w:t>
            </w:r>
          </w:p>
        </w:tc>
        <w:tc>
          <w:tcPr>
            <w:tcW w:w="4950" w:type="dxa"/>
          </w:tcPr>
          <w:p w14:paraId="64DE2293" w14:textId="77777777" w:rsidR="00887F56" w:rsidRPr="00F75F76" w:rsidRDefault="00E1145C"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950" w:type="dxa"/>
          </w:tcPr>
          <w:p w14:paraId="2C225FC9" w14:textId="77777777" w:rsidR="00887F56" w:rsidRPr="00F75F76" w:rsidRDefault="00E1145C"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E1145C"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E1145C"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E1145C"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E1145C"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E1145C"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E1145C"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E1145C"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E1145C"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941DCB" w:rsidRDefault="00887F56" w:rsidP="00887F56">
      <w:pPr>
        <w:ind w:left="360"/>
        <w:rPr>
          <w:rFonts w:ascii="Arial" w:hAnsi="Arial" w:cs="Arial"/>
          <w:b/>
        </w:rPr>
      </w:pPr>
      <w:r w:rsidRPr="00941DCB">
        <w:rPr>
          <w:rFonts w:ascii="Arial" w:hAnsi="Arial" w:cs="Arial"/>
          <w:b/>
        </w:rPr>
        <w:t>Noise Control Regulations</w:t>
      </w:r>
    </w:p>
    <w:p w14:paraId="46B872A7"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Lead division</w:t>
      </w:r>
    </w:p>
    <w:p w14:paraId="2D135945" w14:textId="77777777" w:rsidR="00887F56" w:rsidRPr="00941DCB" w:rsidRDefault="00887F56" w:rsidP="00F75F76">
      <w:pPr>
        <w:tabs>
          <w:tab w:val="left" w:pos="4500"/>
        </w:tabs>
        <w:ind w:left="360"/>
        <w:rPr>
          <w:color w:val="000000" w:themeColor="text1"/>
        </w:rPr>
      </w:pPr>
      <w:r w:rsidRPr="00941DCB">
        <w:rPr>
          <w:color w:val="000000" w:themeColor="text1"/>
        </w:rPr>
        <w:t>Operations Division</w:t>
      </w:r>
    </w:p>
    <w:p w14:paraId="5A54756C" w14:textId="77777777" w:rsidR="00887F56" w:rsidRPr="00941DCB" w:rsidRDefault="00887F56" w:rsidP="00F75F76">
      <w:pPr>
        <w:pStyle w:val="Heading2"/>
        <w:ind w:left="360"/>
        <w:rPr>
          <w:rFonts w:ascii="Arial" w:hAnsi="Arial" w:cs="Arial"/>
          <w:b/>
          <w:sz w:val="24"/>
          <w:szCs w:val="24"/>
        </w:rPr>
      </w:pPr>
      <w:r w:rsidRPr="00941DCB">
        <w:rPr>
          <w:rFonts w:ascii="Arial" w:hAnsi="Arial" w:cs="Arial"/>
          <w:sz w:val="24"/>
          <w:szCs w:val="24"/>
        </w:rPr>
        <w:t>Program or activity</w:t>
      </w:r>
    </w:p>
    <w:p w14:paraId="75298367" w14:textId="77777777" w:rsidR="00887F56" w:rsidRPr="00941DCB" w:rsidRDefault="00887F56" w:rsidP="00F75F76">
      <w:pPr>
        <w:tabs>
          <w:tab w:val="left" w:pos="4500"/>
        </w:tabs>
        <w:ind w:left="360"/>
        <w:rPr>
          <w:color w:val="000000" w:themeColor="text1"/>
        </w:rPr>
      </w:pPr>
      <w:r w:rsidRPr="00941DCB">
        <w:rPr>
          <w:color w:val="000000" w:themeColor="text1"/>
        </w:rPr>
        <w:t>Rulemaking</w:t>
      </w:r>
    </w:p>
    <w:p w14:paraId="54A2F815" w14:textId="77777777" w:rsidR="00887F56" w:rsidRPr="00941DCB" w:rsidRDefault="00887F56" w:rsidP="00F75F76">
      <w:pPr>
        <w:pStyle w:val="Heading2"/>
        <w:ind w:left="360"/>
        <w:rPr>
          <w:rFonts w:ascii="Arial" w:hAnsi="Arial" w:cs="Arial"/>
          <w:sz w:val="24"/>
          <w:szCs w:val="24"/>
        </w:rPr>
      </w:pPr>
      <w:r w:rsidRPr="00941DCB">
        <w:rPr>
          <w:rFonts w:ascii="Arial" w:hAnsi="Arial" w:cs="Arial"/>
          <w:sz w:val="24"/>
          <w:szCs w:val="24"/>
        </w:rPr>
        <w:t>Chapter 340 action</w:t>
      </w:r>
    </w:p>
    <w:p w14:paraId="4AACD6ED" w14:textId="77777777" w:rsidR="00F45D15" w:rsidRPr="00941DCB" w:rsidRDefault="00F75F76" w:rsidP="00F75F76">
      <w:pPr>
        <w:ind w:left="360"/>
      </w:pPr>
      <w:r w:rsidRPr="00941DCB">
        <w:t>Amend</w:t>
      </w:r>
    </w:p>
    <w:p w14:paraId="0FE9505D" w14:textId="77777777" w:rsidR="00F45D15" w:rsidRPr="00941DCB" w:rsidRDefault="00F45D15" w:rsidP="00F75F76">
      <w:pPr>
        <w:ind w:left="360"/>
      </w:pPr>
    </w:p>
    <w:p w14:paraId="1FFFC3CC" w14:textId="0237790B" w:rsidR="00887F56" w:rsidRPr="00941DCB" w:rsidRDefault="00887F56" w:rsidP="00F45D15">
      <w:pPr>
        <w:ind w:left="360"/>
      </w:pPr>
      <w:r w:rsidRPr="00941DCB">
        <w:t>OAR 340-035-0015, 340-035-0025, 340-035-0030, 340-035-0035, 340-035-0040</w:t>
      </w:r>
      <w:r w:rsidR="00F45D15" w:rsidRPr="00941DCB">
        <w:t xml:space="preserve">, </w:t>
      </w:r>
      <w:r w:rsidRPr="00941DCB">
        <w:t>340-035-0045</w:t>
      </w:r>
    </w:p>
    <w:p w14:paraId="593BF92E" w14:textId="77777777" w:rsidR="006D6E87" w:rsidRPr="00941DCB" w:rsidRDefault="006D6E87" w:rsidP="00F75F76">
      <w:pPr>
        <w:ind w:left="360" w:right="14"/>
        <w:rPr>
          <w:rFonts w:ascii="Arial" w:hAnsi="Arial" w:cs="Arial"/>
        </w:rPr>
      </w:pPr>
    </w:p>
    <w:p w14:paraId="0D28D868" w14:textId="4DA85C88" w:rsidR="00F75F76" w:rsidRPr="00941DCB" w:rsidRDefault="00F75F76" w:rsidP="00F75F76">
      <w:pPr>
        <w:ind w:left="360" w:right="14"/>
        <w:rPr>
          <w:rFonts w:ascii="Arial" w:hAnsi="Arial" w:cs="Arial"/>
        </w:rPr>
      </w:pPr>
      <w:r w:rsidRPr="00941DCB">
        <w:rPr>
          <w:rFonts w:ascii="Arial" w:hAnsi="Arial" w:cs="Arial"/>
        </w:rPr>
        <w:t>Statutory Authority</w:t>
      </w:r>
    </w:p>
    <w:p w14:paraId="7302CE11" w14:textId="77777777" w:rsidR="00F75F76" w:rsidRPr="00941DCB" w:rsidRDefault="00F75F76" w:rsidP="00F75F76">
      <w:pPr>
        <w:ind w:left="360" w:right="14"/>
      </w:pPr>
    </w:p>
    <w:p w14:paraId="5CA65CE9" w14:textId="4C09BDF2" w:rsidR="00F75F76" w:rsidRPr="00941DCB" w:rsidRDefault="00F75F76" w:rsidP="00F75F76">
      <w:pPr>
        <w:ind w:left="360" w:right="14"/>
      </w:pPr>
      <w:r w:rsidRPr="00941DCB">
        <w:t>ORS 467</w:t>
      </w:r>
    </w:p>
    <w:p w14:paraId="75475160" w14:textId="77777777" w:rsidR="00F75F76" w:rsidRPr="00941DCB" w:rsidRDefault="00F75F76" w:rsidP="00F75F76">
      <w:pPr>
        <w:ind w:left="360" w:right="14"/>
      </w:pPr>
    </w:p>
    <w:p w14:paraId="2CC8C050" w14:textId="48E66931" w:rsidR="00F75F76" w:rsidRPr="00941DCB" w:rsidRDefault="00F75F76" w:rsidP="00F75F76">
      <w:pPr>
        <w:ind w:left="360" w:right="14"/>
        <w:rPr>
          <w:rFonts w:ascii="Arial" w:hAnsi="Arial" w:cs="Arial"/>
        </w:rPr>
      </w:pPr>
      <w:r w:rsidRPr="00941DCB">
        <w:rPr>
          <w:rFonts w:ascii="Arial" w:hAnsi="Arial" w:cs="Arial"/>
        </w:rPr>
        <w:t>Statutes Implemented</w:t>
      </w:r>
    </w:p>
    <w:p w14:paraId="2C8676E9" w14:textId="77777777" w:rsidR="00F75F76" w:rsidRPr="00941DCB" w:rsidRDefault="00F75F76" w:rsidP="00F75F76">
      <w:pPr>
        <w:ind w:left="360" w:right="14"/>
      </w:pPr>
    </w:p>
    <w:p w14:paraId="0C6782B8" w14:textId="1DFE1C79" w:rsidR="00887F56" w:rsidRPr="00941DCB" w:rsidRDefault="00887F56" w:rsidP="00F75F76">
      <w:pPr>
        <w:ind w:left="360" w:right="14"/>
      </w:pPr>
      <w:r w:rsidRPr="00941DCB">
        <w:t xml:space="preserve">ORS </w:t>
      </w:r>
      <w:r w:rsidR="00F75F76" w:rsidRPr="00941DCB">
        <w:t>467, 467.030.</w:t>
      </w:r>
    </w:p>
    <w:p w14:paraId="7A0E7E85" w14:textId="77777777" w:rsidR="00887F56" w:rsidRPr="00941DCB" w:rsidRDefault="00887F56" w:rsidP="00887F56"/>
    <w:p w14:paraId="19189E91" w14:textId="1B950915" w:rsidR="00887F56" w:rsidRPr="00941DCB" w:rsidRDefault="00887F56" w:rsidP="00F75F76">
      <w:pPr>
        <w:ind w:left="360"/>
        <w:rPr>
          <w:rStyle w:val="Heading2Char"/>
          <w:rFonts w:ascii="Arial" w:hAnsi="Arial" w:cs="Arial"/>
          <w:sz w:val="24"/>
          <w:szCs w:val="24"/>
        </w:rPr>
      </w:pPr>
      <w:r w:rsidRPr="00941DCB">
        <w:rPr>
          <w:rStyle w:val="Heading2Char"/>
          <w:rFonts w:ascii="Arial" w:hAnsi="Arial" w:cs="Arial"/>
          <w:sz w:val="24"/>
          <w:szCs w:val="24"/>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941DCB" w:rsidRDefault="008C09AA" w:rsidP="008C09AA">
      <w:pPr>
        <w:pStyle w:val="Subtitle"/>
        <w:ind w:left="360"/>
        <w:rPr>
          <w:rFonts w:ascii="Arial" w:hAnsi="Arial" w:cs="Arial"/>
          <w:b/>
          <w:sz w:val="24"/>
          <w:szCs w:val="24"/>
        </w:rPr>
      </w:pPr>
      <w:r w:rsidRPr="00941DCB">
        <w:rPr>
          <w:rFonts w:ascii="Arial" w:hAnsi="Arial" w:cs="Arial"/>
          <w:b/>
          <w:sz w:val="24"/>
          <w:szCs w:val="24"/>
        </w:rPr>
        <w:t>Fiscal and Economic Impact</w:t>
      </w:r>
    </w:p>
    <w:p w14:paraId="10BFE188" w14:textId="77777777" w:rsidR="008C09AA" w:rsidRPr="00941DCB" w:rsidRDefault="008C09AA" w:rsidP="008C09AA"/>
    <w:p w14:paraId="2C3BC778" w14:textId="77777777" w:rsidR="008C09AA" w:rsidRPr="00941DCB" w:rsidRDefault="008C09AA" w:rsidP="008C09AA">
      <w:pPr>
        <w:ind w:left="360"/>
        <w:rPr>
          <w:rFonts w:ascii="Arial" w:hAnsi="Arial" w:cs="Arial"/>
        </w:rPr>
      </w:pPr>
      <w:r w:rsidRPr="00941DCB">
        <w:rPr>
          <w:rFonts w:ascii="Arial" w:hAnsi="Arial" w:cs="Arial"/>
        </w:rPr>
        <w:t>Ballast Water Rules</w:t>
      </w:r>
    </w:p>
    <w:p w14:paraId="0C600EC1" w14:textId="77777777" w:rsidR="008C09AA" w:rsidRPr="00941DCB" w:rsidRDefault="008C09AA" w:rsidP="008C09AA">
      <w:pPr>
        <w:ind w:left="360"/>
      </w:pPr>
    </w:p>
    <w:p w14:paraId="5C22B284" w14:textId="77777777" w:rsidR="008C09AA" w:rsidRPr="00941DCB" w:rsidRDefault="008C09AA" w:rsidP="008C09AA">
      <w:pPr>
        <w:ind w:left="36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941DCB" w:rsidRDefault="008C09AA" w:rsidP="008C09AA"/>
    <w:p w14:paraId="1287A5EB" w14:textId="77777777" w:rsidR="008C09AA" w:rsidRPr="00941DCB" w:rsidRDefault="008C09AA" w:rsidP="008C09AA">
      <w:pPr>
        <w:ind w:left="360"/>
        <w:rPr>
          <w:rFonts w:ascii="Arial" w:hAnsi="Arial" w:cs="Arial"/>
        </w:rPr>
      </w:pPr>
      <w:r w:rsidRPr="00941DCB">
        <w:rPr>
          <w:rFonts w:ascii="Arial" w:hAnsi="Arial" w:cs="Arial"/>
        </w:rPr>
        <w:t>Noise Table Rules</w:t>
      </w:r>
    </w:p>
    <w:p w14:paraId="78F4E73C" w14:textId="77777777" w:rsidR="008C09AA" w:rsidRPr="00941DCB" w:rsidRDefault="008C09AA" w:rsidP="008C09AA">
      <w:pPr>
        <w:ind w:left="360"/>
      </w:pPr>
      <w:r w:rsidRPr="00941DCB">
        <w:tab/>
      </w:r>
    </w:p>
    <w:p w14:paraId="521A3EC8" w14:textId="1418A633" w:rsidR="008C09AA" w:rsidRPr="00941DCB" w:rsidRDefault="008C09AA" w:rsidP="008C09AA">
      <w:pPr>
        <w:ind w:left="360"/>
      </w:pPr>
      <w:r w:rsidRPr="00941DCB">
        <w:t>This rulemaking makes no wording or substantive change to DEQ’s noise regulations and therefore has no fiscal impact on any person or entity.</w:t>
      </w:r>
    </w:p>
    <w:p w14:paraId="53E76D66" w14:textId="77777777" w:rsidR="008C09AA" w:rsidRPr="00941DCB" w:rsidRDefault="008C09AA" w:rsidP="008C09AA">
      <w:pPr>
        <w:rPr>
          <w:rFonts w:ascii="Arial" w:hAnsi="Arial" w:cs="Arial"/>
        </w:rPr>
      </w:pPr>
      <w:r w:rsidRPr="00941DCB">
        <w:rPr>
          <w:rFonts w:ascii="Arial" w:hAnsi="Arial" w:cs="Arial"/>
        </w:rPr>
        <w:tab/>
      </w:r>
    </w:p>
    <w:p w14:paraId="705CCDB9" w14:textId="77777777" w:rsidR="008C09AA" w:rsidRPr="00941DCB" w:rsidRDefault="008C09AA" w:rsidP="008C09AA">
      <w:pPr>
        <w:pStyle w:val="Subtitle"/>
        <w:ind w:left="360"/>
        <w:rPr>
          <w:sz w:val="24"/>
          <w:szCs w:val="24"/>
        </w:rPr>
      </w:pPr>
      <w:r w:rsidRPr="00941DCB">
        <w:rPr>
          <w:rFonts w:ascii="Arial" w:hAnsi="Arial" w:cs="Arial"/>
          <w:sz w:val="24"/>
          <w:szCs w:val="24"/>
        </w:rPr>
        <w:t>Statement of Cost of Compliance</w:t>
      </w:r>
      <w:r w:rsidRPr="00941DCB">
        <w:rPr>
          <w:sz w:val="24"/>
          <w:szCs w:val="24"/>
        </w:rPr>
        <w:tab/>
        <w:t xml:space="preserve"> </w:t>
      </w:r>
      <w:r w:rsidRPr="00941DCB">
        <w:rPr>
          <w:rFonts w:asciiTheme="minorHAnsi" w:hAnsiTheme="minorHAnsi" w:cstheme="minorHAnsi"/>
          <w:sz w:val="24"/>
          <w:szCs w:val="24"/>
        </w:rPr>
        <w:t xml:space="preserve"> </w:t>
      </w:r>
    </w:p>
    <w:p w14:paraId="334D3316" w14:textId="77777777" w:rsidR="008C09AA" w:rsidRPr="00941DCB" w:rsidRDefault="008C09AA" w:rsidP="008C09AA">
      <w:pPr>
        <w:ind w:left="0"/>
      </w:pPr>
    </w:p>
    <w:p w14:paraId="33AD96A7" w14:textId="77777777" w:rsidR="008C09AA" w:rsidRPr="00941DCB" w:rsidRDefault="008C09AA" w:rsidP="008C09AA">
      <w:pPr>
        <w:pStyle w:val="ListParagraph"/>
        <w:spacing w:after="120"/>
        <w:ind w:left="36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14:paraId="25795F55" w14:textId="77777777" w:rsidR="008C09AA" w:rsidRPr="00941DCB" w:rsidRDefault="008C09AA" w:rsidP="008C09AA">
      <w:pPr>
        <w:ind w:left="360"/>
        <w:rPr>
          <w:rFonts w:ascii="Arial" w:hAnsi="Arial" w:cs="Arial"/>
        </w:rPr>
      </w:pPr>
      <w:r w:rsidRPr="00941DCB">
        <w:rPr>
          <w:rFonts w:ascii="Arial" w:hAnsi="Arial" w:cs="Arial"/>
        </w:rPr>
        <w:t>Ballast Water Rules</w:t>
      </w:r>
    </w:p>
    <w:p w14:paraId="3C4B117A" w14:textId="77777777" w:rsidR="008C09AA" w:rsidRPr="00941DCB" w:rsidRDefault="008C09AA" w:rsidP="008C09AA">
      <w:pPr>
        <w:ind w:left="360"/>
      </w:pPr>
    </w:p>
    <w:p w14:paraId="26EA47BE" w14:textId="77777777" w:rsidR="008C09AA" w:rsidRPr="00941DCB" w:rsidRDefault="008C09AA" w:rsidP="008C09AA">
      <w:pPr>
        <w:ind w:left="360"/>
        <w:rPr>
          <w:iCs/>
        </w:rPr>
      </w:pPr>
      <w:r w:rsidRPr="00941DCB">
        <w:rPr>
          <w:iCs/>
        </w:rPr>
        <w:t>This rulemaking will not require additional resources for the Department of Environmental Quality, nor other state or federal agencies.</w:t>
      </w:r>
    </w:p>
    <w:p w14:paraId="04CF1660" w14:textId="77777777" w:rsidR="008C09AA" w:rsidRPr="00941DCB" w:rsidRDefault="008C09AA" w:rsidP="008C09AA">
      <w:pPr>
        <w:ind w:left="360"/>
        <w:rPr>
          <w:u w:val="single"/>
        </w:rPr>
      </w:pPr>
    </w:p>
    <w:p w14:paraId="179A05E4" w14:textId="77777777" w:rsidR="008C09AA" w:rsidRPr="00941DCB" w:rsidRDefault="008C09AA" w:rsidP="008C09AA">
      <w:pPr>
        <w:ind w:left="360"/>
        <w:rPr>
          <w:rFonts w:ascii="Arial" w:hAnsi="Arial" w:cs="Arial"/>
        </w:rPr>
      </w:pPr>
      <w:r w:rsidRPr="00941DCB">
        <w:rPr>
          <w:rFonts w:ascii="Arial" w:hAnsi="Arial" w:cs="Arial"/>
        </w:rPr>
        <w:t>Noise Table Rules</w:t>
      </w:r>
    </w:p>
    <w:p w14:paraId="0AE0CB55" w14:textId="77777777" w:rsidR="008C09AA" w:rsidRPr="00941DCB" w:rsidRDefault="008C09AA" w:rsidP="008C09AA">
      <w:pPr>
        <w:ind w:left="360"/>
      </w:pPr>
    </w:p>
    <w:p w14:paraId="6CE524A3"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DBB7A3A" w14:textId="77777777" w:rsidR="008C09AA" w:rsidRPr="00941DCB" w:rsidRDefault="008C09AA" w:rsidP="008C09AA">
      <w:pPr>
        <w:ind w:left="1080"/>
      </w:pPr>
    </w:p>
    <w:p w14:paraId="0C4CC409"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Local governments</w:t>
      </w:r>
    </w:p>
    <w:p w14:paraId="78095340" w14:textId="77777777" w:rsidR="008C09AA" w:rsidRPr="00941DCB" w:rsidRDefault="008C09AA" w:rsidP="008C09AA">
      <w:pPr>
        <w:ind w:left="360"/>
        <w:rPr>
          <w:rFonts w:ascii="Arial" w:hAnsi="Arial" w:cs="Arial"/>
          <w:iCs/>
        </w:rPr>
      </w:pPr>
      <w:r w:rsidRPr="00941DCB">
        <w:rPr>
          <w:rFonts w:ascii="Arial" w:hAnsi="Arial" w:cs="Arial"/>
          <w:iCs/>
        </w:rPr>
        <w:t>Ballast Water Rules</w:t>
      </w:r>
    </w:p>
    <w:p w14:paraId="18CBB11E" w14:textId="77777777" w:rsidR="008C09AA" w:rsidRPr="00941DCB" w:rsidRDefault="008C09AA" w:rsidP="008C09AA">
      <w:pPr>
        <w:ind w:left="1440"/>
        <w:rPr>
          <w:iCs/>
        </w:rPr>
      </w:pPr>
    </w:p>
    <w:p w14:paraId="595690E8" w14:textId="77777777" w:rsidR="008C09AA" w:rsidRPr="00941DCB" w:rsidRDefault="008C09AA" w:rsidP="008C09AA">
      <w:pPr>
        <w:ind w:left="360"/>
        <w:rPr>
          <w:iCs/>
        </w:rPr>
      </w:pPr>
      <w:r w:rsidRPr="00941DCB">
        <w:rPr>
          <w:iCs/>
        </w:rPr>
        <w:lastRenderedPageBreak/>
        <w:t xml:space="preserve">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  </w:t>
      </w:r>
    </w:p>
    <w:p w14:paraId="6901F948" w14:textId="77777777" w:rsidR="008C09AA" w:rsidRPr="00941DCB" w:rsidRDefault="008C09AA" w:rsidP="008C09AA">
      <w:pPr>
        <w:ind w:left="1440"/>
        <w:rPr>
          <w:iCs/>
        </w:rPr>
      </w:pPr>
    </w:p>
    <w:p w14:paraId="0BC539AB" w14:textId="77777777" w:rsidR="008C09AA" w:rsidRPr="00941DCB" w:rsidRDefault="008C09AA" w:rsidP="008C09AA">
      <w:pPr>
        <w:ind w:left="360"/>
        <w:rPr>
          <w:rFonts w:ascii="Arial" w:hAnsi="Arial" w:cs="Arial"/>
          <w:iCs/>
        </w:rPr>
      </w:pPr>
      <w:r w:rsidRPr="00941DCB">
        <w:rPr>
          <w:rFonts w:ascii="Arial" w:hAnsi="Arial" w:cs="Arial"/>
          <w:iCs/>
        </w:rPr>
        <w:t>Noise Table Rules</w:t>
      </w:r>
    </w:p>
    <w:p w14:paraId="284207ED" w14:textId="77777777" w:rsidR="008C09AA" w:rsidRPr="00941DCB" w:rsidRDefault="008C09AA" w:rsidP="008C09AA">
      <w:pPr>
        <w:ind w:left="1440"/>
        <w:rPr>
          <w:iCs/>
        </w:rPr>
      </w:pPr>
    </w:p>
    <w:p w14:paraId="0836C86C" w14:textId="77777777" w:rsidR="008C09AA" w:rsidRPr="00941DCB" w:rsidRDefault="008C09AA" w:rsidP="008C09AA">
      <w:pPr>
        <w:ind w:left="360"/>
        <w:rPr>
          <w:iCs/>
        </w:rPr>
      </w:pPr>
      <w:r w:rsidRPr="00941DCB">
        <w:rPr>
          <w:iCs/>
        </w:rPr>
        <w:t>This rulemaking makes no wording or substantive change to DEQ’s noise regulations and therefore has no fiscal impact on any person or entity.</w:t>
      </w:r>
    </w:p>
    <w:p w14:paraId="38B388FD" w14:textId="77777777" w:rsidR="008C09AA" w:rsidRPr="00941DCB" w:rsidRDefault="008C09AA" w:rsidP="008C09AA">
      <w:pPr>
        <w:ind w:left="1080"/>
      </w:pPr>
    </w:p>
    <w:p w14:paraId="5A9B1CC3" w14:textId="77777777" w:rsidR="008C09AA" w:rsidRPr="00941DCB" w:rsidRDefault="008C09AA" w:rsidP="008C09AA">
      <w:pPr>
        <w:pStyle w:val="ListParagraph"/>
        <w:spacing w:after="120"/>
        <w:ind w:left="360" w:right="14"/>
        <w:rPr>
          <w:rFonts w:ascii="Arial" w:hAnsi="Arial" w:cs="Arial"/>
          <w:b/>
        </w:rPr>
      </w:pPr>
      <w:r w:rsidRPr="00941DCB">
        <w:rPr>
          <w:rFonts w:ascii="Arial" w:hAnsi="Arial" w:cs="Arial"/>
          <w:b/>
        </w:rPr>
        <w:t>Public</w:t>
      </w:r>
    </w:p>
    <w:p w14:paraId="0BAB504A" w14:textId="77777777" w:rsidR="008C09AA" w:rsidRPr="00941DCB" w:rsidRDefault="008C09AA" w:rsidP="008C09AA">
      <w:pPr>
        <w:ind w:left="360"/>
        <w:rPr>
          <w:rFonts w:ascii="Arial" w:hAnsi="Arial" w:cs="Arial"/>
        </w:rPr>
      </w:pPr>
      <w:r w:rsidRPr="00941DCB">
        <w:rPr>
          <w:rFonts w:ascii="Arial" w:hAnsi="Arial" w:cs="Arial"/>
        </w:rPr>
        <w:t>Ballast Water Rules</w:t>
      </w:r>
    </w:p>
    <w:p w14:paraId="4633EC7E" w14:textId="77777777" w:rsidR="008C09AA" w:rsidRPr="00941DCB" w:rsidRDefault="008C09AA" w:rsidP="008C09AA">
      <w:pPr>
        <w:ind w:left="1440"/>
      </w:pPr>
    </w:p>
    <w:p w14:paraId="51046DCC" w14:textId="77777777" w:rsidR="008C09AA" w:rsidRPr="00941DCB" w:rsidRDefault="008C09AA" w:rsidP="008C09AA">
      <w:pPr>
        <w:ind w:left="360"/>
        <w:rPr>
          <w:iCs/>
        </w:rPr>
      </w:pPr>
      <w:r w:rsidRPr="00941DCB">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941DCB" w:rsidRDefault="008C09AA" w:rsidP="008C09AA">
      <w:pPr>
        <w:ind w:left="1440"/>
      </w:pPr>
    </w:p>
    <w:p w14:paraId="1FC03078" w14:textId="77777777" w:rsidR="008C09AA" w:rsidRPr="00941DCB" w:rsidRDefault="008C09AA" w:rsidP="008C09AA">
      <w:pPr>
        <w:ind w:left="360"/>
        <w:rPr>
          <w:rFonts w:ascii="Arial" w:hAnsi="Arial" w:cs="Arial"/>
        </w:rPr>
      </w:pPr>
      <w:r w:rsidRPr="00941DCB">
        <w:rPr>
          <w:rFonts w:ascii="Arial" w:hAnsi="Arial" w:cs="Arial"/>
        </w:rPr>
        <w:t>Noise Table Rules</w:t>
      </w:r>
    </w:p>
    <w:p w14:paraId="2B102F1B" w14:textId="77777777" w:rsidR="008C09AA" w:rsidRPr="00941DCB" w:rsidRDefault="008C09AA" w:rsidP="008C09AA">
      <w:pPr>
        <w:ind w:left="360"/>
      </w:pPr>
    </w:p>
    <w:p w14:paraId="26EBEB89"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941DCB" w:rsidRDefault="008C09AA" w:rsidP="008C09AA">
      <w:pPr>
        <w:ind w:left="360"/>
        <w:rPr>
          <w:rFonts w:ascii="Arial" w:hAnsi="Arial" w:cs="Arial"/>
        </w:rPr>
      </w:pPr>
      <w:r w:rsidRPr="00941DCB">
        <w:rPr>
          <w:rFonts w:ascii="Arial" w:hAnsi="Arial" w:cs="Arial"/>
        </w:rPr>
        <w:t>Ballast Water Rules</w:t>
      </w:r>
    </w:p>
    <w:p w14:paraId="47D1DEB9" w14:textId="77777777" w:rsidR="008C09AA" w:rsidRPr="00941DCB" w:rsidRDefault="008C09AA" w:rsidP="008C09AA">
      <w:pPr>
        <w:ind w:left="1440"/>
      </w:pPr>
    </w:p>
    <w:p w14:paraId="595A31ED" w14:textId="77777777" w:rsidR="008C09AA" w:rsidRPr="00941DCB" w:rsidRDefault="008C09AA" w:rsidP="008C09AA">
      <w:pPr>
        <w:ind w:left="36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941DCB" w:rsidRDefault="008C09AA" w:rsidP="008C09AA">
      <w:pPr>
        <w:ind w:left="1440"/>
        <w:rPr>
          <w:u w:val="single"/>
        </w:rPr>
      </w:pPr>
    </w:p>
    <w:p w14:paraId="799BE7AE" w14:textId="77777777" w:rsidR="008C09AA" w:rsidRPr="00941DCB" w:rsidRDefault="008C09AA" w:rsidP="008C09AA">
      <w:pPr>
        <w:ind w:left="360"/>
        <w:rPr>
          <w:rFonts w:ascii="Arial" w:hAnsi="Arial" w:cs="Arial"/>
        </w:rPr>
      </w:pPr>
      <w:r w:rsidRPr="00941DCB">
        <w:rPr>
          <w:rFonts w:ascii="Arial" w:hAnsi="Arial" w:cs="Arial"/>
        </w:rPr>
        <w:t>Noise Table Rules</w:t>
      </w:r>
    </w:p>
    <w:p w14:paraId="6D13F5B8" w14:textId="77777777" w:rsidR="008C09AA" w:rsidRPr="00941DCB" w:rsidRDefault="008C09AA" w:rsidP="008C09AA">
      <w:pPr>
        <w:ind w:left="1440"/>
      </w:pPr>
    </w:p>
    <w:p w14:paraId="31C68942" w14:textId="77777777" w:rsidR="008C09AA" w:rsidRPr="00941DCB" w:rsidRDefault="008C09AA" w:rsidP="008C09AA">
      <w:pPr>
        <w:ind w:left="360"/>
      </w:pPr>
      <w:r w:rsidRPr="00941DCB">
        <w:t>This rulemaking makes no wording or substantive change to DEQ’s noise regulations and therefore has no fiscal impact on any person or entity.</w:t>
      </w:r>
    </w:p>
    <w:p w14:paraId="288C74BB" w14:textId="77777777" w:rsidR="008C09AA" w:rsidRPr="00941DCB" w:rsidRDefault="008C09AA" w:rsidP="008C09AA">
      <w:pPr>
        <w:ind w:left="0"/>
        <w:rPr>
          <w:rFonts w:ascii="Arial" w:hAnsi="Arial" w:cs="Arial"/>
        </w:rPr>
      </w:pPr>
    </w:p>
    <w:p w14:paraId="2F66F5EA" w14:textId="77777777" w:rsidR="008C09AA" w:rsidRPr="00941DCB"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14:paraId="1BF4CC88"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Ballast Water Rules</w:t>
      </w:r>
    </w:p>
    <w:p w14:paraId="19572B91" w14:textId="77777777" w:rsidR="008C09AA" w:rsidRPr="00941DCB" w:rsidRDefault="008C09AA" w:rsidP="008C09AA">
      <w:pPr>
        <w:tabs>
          <w:tab w:val="left" w:pos="630"/>
        </w:tabs>
        <w:ind w:left="1440"/>
        <w:rPr>
          <w:iCs/>
        </w:rPr>
      </w:pPr>
    </w:p>
    <w:p w14:paraId="402F08F5" w14:textId="77777777" w:rsidR="008C09AA" w:rsidRPr="00941DCB" w:rsidRDefault="008C09AA" w:rsidP="008C09AA">
      <w:pPr>
        <w:tabs>
          <w:tab w:val="left" w:pos="630"/>
        </w:tabs>
        <w:ind w:left="360"/>
        <w:rPr>
          <w:iCs/>
        </w:rPr>
      </w:pPr>
      <w:r w:rsidRPr="00941DCB">
        <w:rPr>
          <w:iCs/>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941DCB" w:rsidRDefault="008C09AA" w:rsidP="008C09AA">
      <w:pPr>
        <w:tabs>
          <w:tab w:val="left" w:pos="630"/>
        </w:tabs>
        <w:ind w:left="1440"/>
        <w:rPr>
          <w:iCs/>
        </w:rPr>
      </w:pPr>
    </w:p>
    <w:p w14:paraId="6B2D819E" w14:textId="77777777" w:rsidR="008C09AA" w:rsidRPr="00941DCB" w:rsidRDefault="008C09AA" w:rsidP="008C09AA">
      <w:pPr>
        <w:tabs>
          <w:tab w:val="left" w:pos="630"/>
        </w:tabs>
        <w:ind w:left="360"/>
        <w:rPr>
          <w:rFonts w:ascii="Arial" w:hAnsi="Arial" w:cs="Arial"/>
          <w:iCs/>
        </w:rPr>
      </w:pPr>
      <w:r w:rsidRPr="00941DCB">
        <w:rPr>
          <w:rFonts w:ascii="Arial" w:hAnsi="Arial" w:cs="Arial"/>
          <w:iCs/>
        </w:rPr>
        <w:t>Noise Table Rules</w:t>
      </w:r>
    </w:p>
    <w:p w14:paraId="4BD26A02" w14:textId="77777777" w:rsidR="008C09AA" w:rsidRPr="00941DCB" w:rsidRDefault="008C09AA" w:rsidP="008C09AA">
      <w:pPr>
        <w:tabs>
          <w:tab w:val="left" w:pos="630"/>
        </w:tabs>
        <w:ind w:left="1440"/>
        <w:rPr>
          <w:iCs/>
        </w:rPr>
      </w:pPr>
    </w:p>
    <w:p w14:paraId="62399FDF" w14:textId="77777777" w:rsidR="008C09AA" w:rsidRPr="00941DCB" w:rsidRDefault="008C09AA" w:rsidP="008C09AA">
      <w:pPr>
        <w:tabs>
          <w:tab w:val="left" w:pos="630"/>
        </w:tabs>
        <w:ind w:left="360"/>
        <w:rPr>
          <w:iCs/>
        </w:rPr>
      </w:pPr>
      <w:r w:rsidRPr="00941DCB">
        <w:rPr>
          <w:iCs/>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41DCB" w:rsidRDefault="008C09AA" w:rsidP="008C09AA">
      <w:pPr>
        <w:pStyle w:val="Heading2"/>
        <w:rPr>
          <w:rFonts w:ascii="Arial" w:hAnsi="Arial" w:cs="Arial"/>
          <w:b/>
        </w:rPr>
      </w:pPr>
      <w:r w:rsidRPr="00941DCB">
        <w:rPr>
          <w:rFonts w:ascii="Arial" w:hAnsi="Arial" w:cs="Arial"/>
          <w:b/>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941DCB" w:rsidRDefault="008C09AA" w:rsidP="00B240F4">
      <w:pPr>
        <w:ind w:left="547"/>
      </w:pPr>
      <w:r w:rsidRPr="00941DCB">
        <w:t>Noise Table Rules</w:t>
      </w:r>
    </w:p>
    <w:p w14:paraId="143A433C" w14:textId="77777777" w:rsidR="008C09AA" w:rsidRPr="00941DCB" w:rsidRDefault="008C09AA" w:rsidP="008C09AA">
      <w:pPr>
        <w:rPr>
          <w:bCs/>
        </w:rPr>
      </w:pPr>
    </w:p>
    <w:p w14:paraId="1A321CBB" w14:textId="77777777" w:rsidR="008C09AA" w:rsidRPr="00941DCB" w:rsidRDefault="008C09AA" w:rsidP="00B240F4">
      <w:pPr>
        <w:ind w:left="547"/>
      </w:pPr>
      <w:r w:rsidRPr="00941DCB">
        <w:t>This rulemaking makes no wording or substantive change to DEQ’s noise regulations and therefore has no fiscal impact on any person or entity.</w:t>
      </w:r>
    </w:p>
    <w:p w14:paraId="0F84F3CD" w14:textId="77777777" w:rsidR="008C09AA" w:rsidRPr="00941DCB" w:rsidRDefault="008C09AA" w:rsidP="008C09AA">
      <w:pPr>
        <w:pStyle w:val="Heading2"/>
        <w:rPr>
          <w:rFonts w:ascii="Times New Roman" w:hAnsi="Times New Roman" w:cs="Times New Roman"/>
          <w:sz w:val="24"/>
          <w:szCs w:val="24"/>
        </w:rPr>
      </w:pPr>
      <w:r w:rsidRPr="00941DCB">
        <w:rPr>
          <w:rFonts w:ascii="Times New Roman" w:hAnsi="Times New Roman" w:cs="Times New Roman"/>
          <w:sz w:val="24"/>
          <w:szCs w:val="24"/>
        </w:rPr>
        <w:t>Documents relied on for fiscal and economic impact</w:t>
      </w:r>
    </w:p>
    <w:p w14:paraId="7A89A5FC" w14:textId="77777777" w:rsidR="008C09AA" w:rsidRPr="00941DCB" w:rsidRDefault="008C09AA" w:rsidP="00B240F4">
      <w:pPr>
        <w:ind w:left="547"/>
      </w:pPr>
      <w:r w:rsidRPr="00941DCB">
        <w:t xml:space="preserve">None. </w:t>
      </w:r>
    </w:p>
    <w:p w14:paraId="0DB19C53" w14:textId="77777777" w:rsidR="008C09AA" w:rsidRPr="00941DCB" w:rsidRDefault="008C09AA" w:rsidP="008C09AA">
      <w:pPr>
        <w:pStyle w:val="Heading2"/>
        <w:rPr>
          <w:rFonts w:ascii="Times New Roman" w:hAnsi="Times New Roman" w:cs="Times New Roman"/>
          <w:sz w:val="24"/>
          <w:szCs w:val="24"/>
        </w:rPr>
      </w:pPr>
      <w:r w:rsidRPr="00941DCB">
        <w:rPr>
          <w:rFonts w:ascii="Times New Roman" w:hAnsi="Times New Roman" w:cs="Times New Roman"/>
          <w:sz w:val="24"/>
          <w:szCs w:val="24"/>
        </w:rPr>
        <w:t>Advisory committee</w:t>
      </w:r>
    </w:p>
    <w:p w14:paraId="71C6E5A7" w14:textId="77777777" w:rsidR="008C09AA" w:rsidRPr="00941DCB" w:rsidRDefault="008C09AA" w:rsidP="00B240F4">
      <w:pPr>
        <w:ind w:left="547"/>
      </w:pPr>
      <w:r w:rsidRPr="00941DCB">
        <w:t xml:space="preserve">DEQ appointed an advisory committee. </w:t>
      </w:r>
    </w:p>
    <w:p w14:paraId="76653F23" w14:textId="77777777" w:rsidR="008C09AA" w:rsidRPr="00941DCB" w:rsidRDefault="008C09AA" w:rsidP="008C09AA"/>
    <w:p w14:paraId="25340B24" w14:textId="77777777" w:rsidR="008C09AA" w:rsidRPr="00941DCB" w:rsidRDefault="008C09AA" w:rsidP="00B240F4">
      <w:pPr>
        <w:spacing w:after="120"/>
        <w:ind w:left="547" w:right="14"/>
      </w:pPr>
      <w:r w:rsidRPr="00941DCB">
        <w:t>As ORS 183.33 requires, DEQ asked for the committee’s recommendations on:</w:t>
      </w:r>
    </w:p>
    <w:p w14:paraId="589C2D6F" w14:textId="77777777" w:rsidR="008C09AA" w:rsidRPr="00941DCB" w:rsidRDefault="008C09AA" w:rsidP="008C09AA">
      <w:pPr>
        <w:pStyle w:val="ListParagraph"/>
        <w:numPr>
          <w:ilvl w:val="0"/>
          <w:numId w:val="11"/>
        </w:numPr>
        <w:ind w:right="14"/>
        <w:contextualSpacing w:val="0"/>
        <w:rPr>
          <w:bCs/>
        </w:rPr>
      </w:pPr>
      <w:r w:rsidRPr="00941DCB">
        <w:lastRenderedPageBreak/>
        <w:t xml:space="preserve">Whether the proposed rules would have a fiscal impact, </w:t>
      </w:r>
    </w:p>
    <w:p w14:paraId="7A87CE7E" w14:textId="77777777" w:rsidR="008C09AA" w:rsidRPr="00941DCB" w:rsidRDefault="008C09AA" w:rsidP="008C09AA">
      <w:pPr>
        <w:pStyle w:val="ListParagraph"/>
        <w:numPr>
          <w:ilvl w:val="0"/>
          <w:numId w:val="11"/>
        </w:numPr>
        <w:ind w:right="14"/>
        <w:contextualSpacing w:val="0"/>
        <w:rPr>
          <w:bCs/>
        </w:rPr>
      </w:pPr>
      <w:r w:rsidRPr="00941DCB">
        <w:t>The extent of the impact, and</w:t>
      </w:r>
    </w:p>
    <w:p w14:paraId="4709A971" w14:textId="77777777" w:rsidR="008C09AA" w:rsidRPr="00941DCB" w:rsidRDefault="008C09AA" w:rsidP="008C09AA">
      <w:pPr>
        <w:pStyle w:val="ListParagraph"/>
        <w:numPr>
          <w:ilvl w:val="0"/>
          <w:numId w:val="11"/>
        </w:numPr>
        <w:ind w:right="14"/>
        <w:contextualSpacing w:val="0"/>
        <w:rPr>
          <w:bCs/>
        </w:rPr>
      </w:pPr>
      <w:r w:rsidRPr="00941DCB">
        <w:t xml:space="preserve">Whether the proposed rules would have a significant impact on small businesses and complies with </w:t>
      </w:r>
      <w:r w:rsidRPr="00941DCB">
        <w:rPr>
          <w:iCs/>
        </w:rPr>
        <w:t>ORS 183.540</w:t>
      </w:r>
      <w:r w:rsidRPr="00941DCB">
        <w:t xml:space="preserve">. </w:t>
      </w:r>
    </w:p>
    <w:p w14:paraId="58B61CA8" w14:textId="77777777" w:rsidR="008C09AA" w:rsidRPr="00941DCB" w:rsidRDefault="008C09AA" w:rsidP="008C09AA">
      <w:pPr>
        <w:shd w:val="clear" w:color="auto" w:fill="FFFFFF" w:themeFill="background1"/>
      </w:pPr>
    </w:p>
    <w:p w14:paraId="71F2326A" w14:textId="27EB6E12" w:rsidR="008C09AA" w:rsidRPr="00941DCB" w:rsidRDefault="008C09AA" w:rsidP="00941DCB">
      <w:pPr>
        <w:shd w:val="clear" w:color="auto" w:fill="FFFFFF" w:themeFill="background1"/>
        <w:ind w:left="547"/>
      </w:pPr>
      <w:r w:rsidRPr="00941DCB">
        <w:t xml:space="preserve">The committee reviewed the draft fiscal and economic impact statement and </w:t>
      </w:r>
      <w:r w:rsidRPr="00941DCB">
        <w:rPr>
          <w:iCs/>
          <w:color w:val="000000" w:themeColor="text1"/>
        </w:rPr>
        <w:t xml:space="preserve">its findings are stated in the approved minutes dated </w:t>
      </w:r>
      <w:r w:rsidRPr="00941DCB">
        <w:rPr>
          <w:iCs/>
        </w:rPr>
        <w:t>29 February 2016</w:t>
      </w:r>
      <w:r w:rsidR="00941DCB">
        <w:rPr>
          <w:color w:val="000000"/>
        </w:rPr>
        <w:t xml:space="preserve"> and </w:t>
      </w:r>
      <w:r w:rsidRPr="00941DCB">
        <w:rPr>
          <w:rStyle w:val="Emphasis"/>
          <w:color w:val="000000" w:themeColor="text1"/>
          <w:sz w:val="24"/>
        </w:rPr>
        <w:t xml:space="preserve">did not provide or request additional data to support or refute DEQ’s finding of no significant direct or indirect economic impacts. </w:t>
      </w:r>
      <w:r w:rsidRPr="00941DCB">
        <w:rPr>
          <w:iCs/>
          <w:color w:val="000000" w:themeColor="text1"/>
        </w:rPr>
        <w:t>T</w:t>
      </w:r>
      <w:r w:rsidRPr="00941DCB">
        <w:rPr>
          <w:color w:val="000000" w:themeColor="text1"/>
        </w:rPr>
        <w:t xml:space="preserve">he committee determined the proposed rules would not have a significant adverse impact on small businesses in Oregon. </w:t>
      </w:r>
    </w:p>
    <w:p w14:paraId="738502F7" w14:textId="77777777" w:rsidR="008C09AA" w:rsidRPr="00F51795" w:rsidRDefault="008C09AA" w:rsidP="008C09AA">
      <w:pPr>
        <w:pStyle w:val="Heading2"/>
        <w:rPr>
          <w:rStyle w:val="Emphasis"/>
          <w:rFonts w:cs="Times New Roman"/>
          <w:b/>
          <w:bCs/>
          <w:vanish w:val="0"/>
          <w:sz w:val="24"/>
          <w:szCs w:val="24"/>
        </w:rPr>
      </w:pPr>
      <w:r w:rsidRPr="00F51795">
        <w:rPr>
          <w:rFonts w:ascii="Times New Roman" w:hAnsi="Times New Roman" w:cs="Times New Roman"/>
          <w:b/>
          <w:sz w:val="24"/>
          <w:szCs w:val="24"/>
        </w:rPr>
        <w:t xml:space="preserve">Housing cost  </w:t>
      </w:r>
    </w:p>
    <w:p w14:paraId="50CFC4AD" w14:textId="77777777" w:rsidR="008C09AA" w:rsidRPr="00F51795" w:rsidRDefault="008C09AA" w:rsidP="00AE34D8">
      <w:pPr>
        <w:ind w:left="547"/>
      </w:pPr>
      <w:r w:rsidRPr="00F51795">
        <w:t>Ballast Water Rules</w:t>
      </w:r>
    </w:p>
    <w:p w14:paraId="4DB8FFEE" w14:textId="77777777" w:rsidR="008C09AA" w:rsidRPr="00F51795" w:rsidRDefault="008C09AA" w:rsidP="008C09AA"/>
    <w:p w14:paraId="4D3F3A8E"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F51795" w:rsidRDefault="008C09AA" w:rsidP="008C09AA"/>
    <w:p w14:paraId="24918F3C" w14:textId="77777777" w:rsidR="008C09AA" w:rsidRPr="00F51795" w:rsidRDefault="008C09AA" w:rsidP="00AE34D8">
      <w:pPr>
        <w:ind w:left="547"/>
      </w:pPr>
      <w:r w:rsidRPr="00F51795">
        <w:t>Noise Table Rules</w:t>
      </w:r>
    </w:p>
    <w:p w14:paraId="7F30AC36" w14:textId="77777777" w:rsidR="008C09AA" w:rsidRPr="00F51795" w:rsidRDefault="008C09AA" w:rsidP="008C09AA"/>
    <w:p w14:paraId="094B9566" w14:textId="77777777" w:rsidR="008C09AA" w:rsidRPr="00F51795" w:rsidRDefault="008C09AA" w:rsidP="00AE34D8">
      <w:pPr>
        <w:ind w:left="547"/>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14DAB60E" w14:textId="77777777" w:rsidR="00AE34D8" w:rsidRPr="00F51795" w:rsidRDefault="00AE34D8" w:rsidP="00AE34D8">
      <w:pPr>
        <w:ind w:left="547"/>
        <w:rPr>
          <w:color w:val="000000"/>
        </w:rPr>
      </w:pPr>
      <w:r w:rsidRPr="00F51795">
        <w:rPr>
          <w:color w:val="000000"/>
        </w:rPr>
        <w:t xml:space="preserve">ORS 183.332, 468A.327 and OAR 340-011-0029 require DEQ to attempt to adopt rules that correspond with existing equivalent federal laws and rules unless there are reasons not to do so.  </w:t>
      </w:r>
    </w:p>
    <w:p w14:paraId="2586E3E5" w14:textId="77777777" w:rsidR="00AE34D8" w:rsidRPr="00F51795" w:rsidRDefault="00AE34D8" w:rsidP="00AE34D8">
      <w:pPr>
        <w:ind w:left="547"/>
        <w:rPr>
          <w:color w:val="000000"/>
        </w:rPr>
      </w:pPr>
    </w:p>
    <w:p w14:paraId="42E1937F" w14:textId="77777777" w:rsidR="00AE34D8" w:rsidRPr="00F51795" w:rsidRDefault="00AE34D8" w:rsidP="00AE34D8">
      <w:pPr>
        <w:ind w:left="547"/>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F51795" w:rsidRDefault="00AE34D8" w:rsidP="00AE34D8">
      <w:pPr>
        <w:ind w:left="547"/>
      </w:pPr>
    </w:p>
    <w:p w14:paraId="68386E5D" w14:textId="77777777" w:rsidR="00AE34D8" w:rsidRPr="00F51795" w:rsidRDefault="00AE34D8" w:rsidP="00AE34D8">
      <w:pPr>
        <w:ind w:left="547" w:right="14"/>
      </w:pPr>
      <w:r w:rsidRPr="00F51795">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F51795" w:rsidDel="0068475C">
        <w:t xml:space="preserve"> </w:t>
      </w:r>
      <w:r w:rsidRPr="00F51795">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F51795" w:rsidRDefault="00AE34D8" w:rsidP="00AE34D8">
      <w:pPr>
        <w:pStyle w:val="Heading2"/>
        <w:rPr>
          <w:rFonts w:ascii="Arial" w:hAnsi="Arial" w:cs="Arial"/>
          <w:b/>
          <w:sz w:val="24"/>
          <w:szCs w:val="24"/>
        </w:rPr>
      </w:pPr>
      <w:bookmarkStart w:id="2" w:name="AlternativesConsidered"/>
      <w:bookmarkStart w:id="3" w:name="RANGE!C35"/>
      <w:r w:rsidRPr="00F51795">
        <w:rPr>
          <w:rFonts w:ascii="Arial" w:hAnsi="Arial" w:cs="Arial"/>
          <w:b/>
          <w:sz w:val="24"/>
          <w:szCs w:val="24"/>
        </w:rPr>
        <w:t>What alternatives did DEQ consider</w:t>
      </w:r>
      <w:bookmarkEnd w:id="2"/>
      <w:r w:rsidRPr="00F51795">
        <w:rPr>
          <w:rFonts w:ascii="Arial" w:hAnsi="Arial" w:cs="Arial"/>
          <w:b/>
          <w:sz w:val="24"/>
          <w:szCs w:val="24"/>
        </w:rPr>
        <w:t xml:space="preserve"> if any?</w:t>
      </w:r>
      <w:bookmarkEnd w:id="3"/>
      <w:r w:rsidRPr="00F51795">
        <w:rPr>
          <w:rFonts w:ascii="Arial" w:hAnsi="Arial" w:cs="Arial"/>
          <w:b/>
          <w:sz w:val="24"/>
          <w:szCs w:val="24"/>
        </w:rPr>
        <w:t xml:space="preserve"> </w:t>
      </w:r>
    </w:p>
    <w:p w14:paraId="01D799A6"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F51795" w:rsidRDefault="00AE34D8" w:rsidP="00AE34D8">
      <w:pPr>
        <w:ind w:left="547"/>
        <w:rPr>
          <w:rStyle w:val="Emphasis"/>
          <w:vanish w:val="0"/>
          <w:color w:val="000000" w:themeColor="text1"/>
          <w:sz w:val="24"/>
        </w:rPr>
      </w:pPr>
    </w:p>
    <w:p w14:paraId="4FF0BD10"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F51795" w:rsidRDefault="00AE34D8" w:rsidP="00AE34D8">
      <w:pPr>
        <w:ind w:left="547"/>
        <w:rPr>
          <w:rStyle w:val="Emphasis"/>
          <w:vanish w:val="0"/>
          <w:color w:val="000000" w:themeColor="text1"/>
          <w:sz w:val="24"/>
        </w:rPr>
      </w:pPr>
    </w:p>
    <w:p w14:paraId="387CBEF9" w14:textId="77777777" w:rsidR="00AE34D8" w:rsidRPr="00F51795" w:rsidRDefault="00AE34D8" w:rsidP="00AE34D8">
      <w:pPr>
        <w:ind w:left="547"/>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w:t>
      </w:r>
      <w:r w:rsidRPr="00F51795">
        <w:lastRenderedPageBreak/>
        <w:t>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F51795" w:rsidRDefault="00AE34D8" w:rsidP="00AE34D8">
      <w:pPr>
        <w:ind w:left="547"/>
        <w:rPr>
          <w:rStyle w:val="Emphasis"/>
          <w:vanish w:val="0"/>
          <w:color w:val="000000" w:themeColor="text1"/>
          <w:sz w:val="24"/>
        </w:rPr>
      </w:pPr>
    </w:p>
    <w:p w14:paraId="2457132D" w14:textId="77777777" w:rsidR="00AE34D8" w:rsidRPr="00F51795" w:rsidRDefault="00AE34D8" w:rsidP="00AE34D8">
      <w:pPr>
        <w:ind w:left="547"/>
        <w:rPr>
          <w:rStyle w:val="Emphasis"/>
          <w:vanish w:val="0"/>
          <w:color w:val="000000" w:themeColor="text1"/>
          <w:sz w:val="24"/>
        </w:rPr>
      </w:pPr>
      <w:r w:rsidRPr="00F51795">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DEQ, in consultation with stakeholders, determined that the strategy adopted for protecting the Great Lakes, </w:t>
      </w:r>
      <w:r w:rsidRPr="00F51795">
        <w:rPr>
          <w:rStyle w:val="Emphasis"/>
          <w:vanish w:val="0"/>
          <w:color w:val="000000" w:themeColor="text1"/>
          <w:sz w:val="24"/>
        </w:rPr>
        <w:t xml:space="preserve">and similarly adopted by states of MI, MN, MA, NY, and RI, will be a sufficiently protective strategy for the predominantly low-salinity ports of Oregon.  </w:t>
      </w:r>
    </w:p>
    <w:p w14:paraId="3B877D3D" w14:textId="77777777" w:rsidR="00AE34D8" w:rsidRPr="00F51795" w:rsidRDefault="00AE34D8" w:rsidP="00AE34D8">
      <w:pPr>
        <w:ind w:left="547"/>
        <w:rPr>
          <w:rStyle w:val="Emphasis"/>
          <w:vanish w:val="0"/>
          <w:color w:val="000000" w:themeColor="text1"/>
          <w:sz w:val="24"/>
        </w:rPr>
      </w:pPr>
    </w:p>
    <w:p w14:paraId="57DC6978" w14:textId="77777777" w:rsidR="00AE34D8" w:rsidRPr="00F51795" w:rsidRDefault="00AE34D8" w:rsidP="00AE34D8">
      <w:pPr>
        <w:ind w:left="547"/>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Relationship to federal requirements </w:t>
      </w:r>
    </w:p>
    <w:p w14:paraId="437128E0" w14:textId="77777777" w:rsidR="00AE34D8" w:rsidRPr="00F51795" w:rsidRDefault="00AE34D8" w:rsidP="00AE34D8">
      <w:pPr>
        <w:ind w:left="547"/>
      </w:pPr>
      <w:r w:rsidRPr="00F51795">
        <w:t>The proposed amendments make no substantive changes to the rules and therefore do not conflict with or duplicate federal requirements.</w:t>
      </w:r>
    </w:p>
    <w:p w14:paraId="6739EFEA" w14:textId="77777777" w:rsidR="00AE34D8" w:rsidRPr="00F51795" w:rsidRDefault="00AE34D8" w:rsidP="00AE34D8">
      <w:pPr>
        <w:pStyle w:val="Heading2"/>
        <w:rPr>
          <w:rFonts w:ascii="Arial" w:hAnsi="Arial" w:cs="Arial"/>
          <w:b/>
          <w:sz w:val="24"/>
          <w:szCs w:val="24"/>
        </w:rPr>
      </w:pPr>
      <w:r w:rsidRPr="00F51795">
        <w:rPr>
          <w:rFonts w:ascii="Arial" w:hAnsi="Arial" w:cs="Arial"/>
          <w:b/>
          <w:sz w:val="24"/>
          <w:szCs w:val="24"/>
        </w:rPr>
        <w:t xml:space="preserve">What alternatives did DEQ consider if any? </w:t>
      </w:r>
    </w:p>
    <w:p w14:paraId="34B5DC58" w14:textId="77777777" w:rsidR="00AE34D8" w:rsidRPr="00F51795" w:rsidRDefault="00AE34D8" w:rsidP="00AE34D8">
      <w:pPr>
        <w:ind w:left="547"/>
      </w:pPr>
      <w:r w:rsidRPr="00F51795">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E1145C" w:rsidRPr="001A4DE1" w:rsidRDefault="00E1145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E1145C" w:rsidRDefault="00E1145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F51795" w:rsidRDefault="006D6E87" w:rsidP="006D6E87">
      <w:pPr>
        <w:pStyle w:val="Heading2"/>
        <w:tabs>
          <w:tab w:val="left" w:pos="3173"/>
        </w:tabs>
        <w:rPr>
          <w:rFonts w:ascii="Arial" w:hAnsi="Arial" w:cs="Arial"/>
          <w:b/>
          <w:sz w:val="24"/>
          <w:szCs w:val="24"/>
        </w:rPr>
      </w:pPr>
      <w:r w:rsidRPr="00F51795">
        <w:rPr>
          <w:rFonts w:ascii="Arial" w:hAnsi="Arial" w:cs="Arial"/>
          <w:b/>
          <w:sz w:val="24"/>
          <w:szCs w:val="24"/>
        </w:rPr>
        <w:t>Land-use considerations</w:t>
      </w:r>
    </w:p>
    <w:p w14:paraId="18056A03" w14:textId="77777777" w:rsidR="006D6E87" w:rsidRPr="00F51795" w:rsidRDefault="006D6E87" w:rsidP="006D6E87">
      <w:pPr>
        <w:ind w:left="547"/>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F51795" w:rsidRDefault="006D6E87" w:rsidP="006D6E87">
      <w:pPr>
        <w:ind w:left="547"/>
      </w:pPr>
    </w:p>
    <w:p w14:paraId="547CCF6F" w14:textId="77777777" w:rsidR="006D6E87" w:rsidRPr="00F51795" w:rsidRDefault="006D6E87" w:rsidP="006D6E87">
      <w:pPr>
        <w:ind w:left="547"/>
      </w:pPr>
      <w:r w:rsidRPr="00F51795">
        <w:t>Under OAR 660-030-0005 and OAR 340 division 18, DEQ considers that rules affect land use if:</w:t>
      </w:r>
    </w:p>
    <w:p w14:paraId="532EAB91" w14:textId="77777777" w:rsidR="006D6E87" w:rsidRPr="00F51795" w:rsidRDefault="006D6E87" w:rsidP="006D6E87">
      <w:pPr>
        <w:numPr>
          <w:ilvl w:val="0"/>
          <w:numId w:val="12"/>
        </w:numPr>
        <w:ind w:left="1267"/>
      </w:pPr>
      <w:r w:rsidRPr="00F51795">
        <w:t>The statewide land use planning goals specifically refer to the rule or program, or</w:t>
      </w:r>
    </w:p>
    <w:p w14:paraId="4078B623" w14:textId="77777777" w:rsidR="006D6E87" w:rsidRPr="00F51795" w:rsidRDefault="006D6E87" w:rsidP="006D6E87">
      <w:pPr>
        <w:numPr>
          <w:ilvl w:val="0"/>
          <w:numId w:val="12"/>
        </w:numPr>
        <w:ind w:left="1267"/>
      </w:pPr>
      <w:r w:rsidRPr="00F51795">
        <w:t>The rule or program is reasonably expected to have significant effects on:</w:t>
      </w:r>
    </w:p>
    <w:p w14:paraId="71F03C19" w14:textId="77777777" w:rsidR="006D6E87" w:rsidRPr="00F51795" w:rsidRDefault="006D6E87" w:rsidP="006D6E87">
      <w:pPr>
        <w:numPr>
          <w:ilvl w:val="1"/>
          <w:numId w:val="12"/>
        </w:numPr>
        <w:ind w:left="1987"/>
      </w:pPr>
      <w:r w:rsidRPr="00F51795">
        <w:t>Resources, objectives or areas identified in the statewide planning goals, or</w:t>
      </w:r>
    </w:p>
    <w:p w14:paraId="283E6DB0" w14:textId="77777777" w:rsidR="006D6E87" w:rsidRPr="00F51795" w:rsidRDefault="006D6E87" w:rsidP="006D6E87">
      <w:pPr>
        <w:numPr>
          <w:ilvl w:val="1"/>
          <w:numId w:val="12"/>
        </w:numPr>
        <w:ind w:left="1987"/>
      </w:pPr>
      <w:r w:rsidRPr="00F51795">
        <w:t>Present or future land uses identified in acknowledged comprehensive plans</w:t>
      </w:r>
    </w:p>
    <w:p w14:paraId="7E02D446" w14:textId="77777777" w:rsidR="006D6E87" w:rsidRPr="00F51795" w:rsidRDefault="006D6E87" w:rsidP="006D6E87">
      <w:pPr>
        <w:ind w:left="547"/>
      </w:pPr>
    </w:p>
    <w:p w14:paraId="4D966B61" w14:textId="77777777" w:rsidR="006D6E87" w:rsidRPr="00F51795" w:rsidRDefault="006D6E87" w:rsidP="006D6E87">
      <w:pPr>
        <w:ind w:left="547"/>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F51795" w:rsidRDefault="006D6E87" w:rsidP="006D6E87"/>
    <w:p w14:paraId="50E7D548" w14:textId="77777777" w:rsidR="006D6E87" w:rsidRPr="00F51795" w:rsidRDefault="006D6E87" w:rsidP="006D6E87">
      <w:pPr>
        <w:tabs>
          <w:tab w:val="left" w:pos="1980"/>
        </w:tabs>
        <w:ind w:left="1800"/>
        <w:rPr>
          <w:rFonts w:ascii="Arial" w:hAnsi="Arial" w:cs="Arial"/>
          <w:b/>
        </w:rPr>
      </w:pPr>
      <w:r w:rsidRPr="00F51795">
        <w:rPr>
          <w:rFonts w:ascii="Arial" w:hAnsi="Arial" w:cs="Arial"/>
          <w:b/>
        </w:rPr>
        <w:t>Goal</w:t>
      </w:r>
      <w:r w:rsidRPr="00F51795">
        <w:rPr>
          <w:rFonts w:ascii="Arial" w:hAnsi="Arial" w:cs="Arial"/>
          <w:b/>
        </w:rPr>
        <w:tab/>
        <w:t>Title</w:t>
      </w:r>
    </w:p>
    <w:p w14:paraId="68EE1B52" w14:textId="06CAD395" w:rsidR="006D6E87" w:rsidRPr="00F51795" w:rsidRDefault="006D6E87" w:rsidP="006D6E87">
      <w:pPr>
        <w:tabs>
          <w:tab w:val="right" w:pos="1440"/>
          <w:tab w:val="left" w:pos="1980"/>
        </w:tabs>
        <w:ind w:left="1800"/>
      </w:pPr>
      <w:r w:rsidRPr="00F51795">
        <w:tab/>
        <w:t xml:space="preserve">5 </w:t>
      </w:r>
      <w:r w:rsidRPr="00F51795">
        <w:tab/>
      </w:r>
      <w:r w:rsidRPr="00F51795">
        <w:tab/>
        <w:t>Open Spaces, Scenic and Historic Areas, and Natural Resources</w:t>
      </w:r>
    </w:p>
    <w:p w14:paraId="119B15C6" w14:textId="2E23BCFE" w:rsidR="006D6E87" w:rsidRPr="00F51795" w:rsidRDefault="006D6E87" w:rsidP="006D6E87">
      <w:pPr>
        <w:tabs>
          <w:tab w:val="right" w:pos="1440"/>
          <w:tab w:val="left" w:pos="1980"/>
        </w:tabs>
        <w:ind w:left="1800"/>
      </w:pPr>
      <w:r w:rsidRPr="00F51795">
        <w:tab/>
        <w:t xml:space="preserve">6 </w:t>
      </w:r>
      <w:r w:rsidRPr="00F51795">
        <w:tab/>
      </w:r>
      <w:r w:rsidRPr="00F51795">
        <w:tab/>
        <w:t>Air, Water and Land Resources Quality</w:t>
      </w:r>
    </w:p>
    <w:p w14:paraId="059EFF83" w14:textId="77777777" w:rsidR="006D6E87" w:rsidRPr="00F51795" w:rsidRDefault="006D6E87" w:rsidP="006D6E87">
      <w:pPr>
        <w:tabs>
          <w:tab w:val="right" w:pos="1440"/>
          <w:tab w:val="left" w:pos="1980"/>
        </w:tabs>
        <w:ind w:left="1800"/>
      </w:pPr>
      <w:r w:rsidRPr="00F51795">
        <w:tab/>
        <w:t>9</w:t>
      </w:r>
      <w:r w:rsidRPr="00F51795">
        <w:tab/>
      </w:r>
      <w:r w:rsidRPr="00F51795">
        <w:tab/>
        <w:t>Ocean Resources</w:t>
      </w:r>
    </w:p>
    <w:p w14:paraId="3FBCE901" w14:textId="77777777" w:rsidR="006D6E87" w:rsidRPr="00F51795" w:rsidRDefault="006D6E87" w:rsidP="006D6E87">
      <w:pPr>
        <w:tabs>
          <w:tab w:val="right" w:pos="1440"/>
          <w:tab w:val="left" w:pos="1980"/>
        </w:tabs>
        <w:ind w:left="1980"/>
      </w:pPr>
      <w:r w:rsidRPr="00F51795">
        <w:t xml:space="preserve">11 </w:t>
      </w:r>
      <w:r w:rsidRPr="00F51795">
        <w:tab/>
        <w:t>Public Facilities and Services</w:t>
      </w:r>
    </w:p>
    <w:p w14:paraId="4D43AFD7" w14:textId="77777777" w:rsidR="006D6E87" w:rsidRPr="00F51795" w:rsidRDefault="006D6E87" w:rsidP="006D6E87">
      <w:pPr>
        <w:tabs>
          <w:tab w:val="right" w:pos="1440"/>
          <w:tab w:val="left" w:pos="1980"/>
        </w:tabs>
        <w:ind w:left="1800"/>
      </w:pPr>
      <w:r w:rsidRPr="00F51795">
        <w:tab/>
        <w:t>16</w:t>
      </w:r>
      <w:r w:rsidRPr="00F51795">
        <w:tab/>
        <w:t>Estuarial Resources</w:t>
      </w:r>
      <w:r w:rsidRPr="00F51795">
        <w:tab/>
      </w:r>
    </w:p>
    <w:p w14:paraId="38BDBB33" w14:textId="77777777" w:rsidR="006D6E87" w:rsidRPr="00F51795" w:rsidRDefault="006D6E87" w:rsidP="006D6E87"/>
    <w:p w14:paraId="61C3632D" w14:textId="77777777" w:rsidR="006D6E87" w:rsidRPr="00F51795" w:rsidRDefault="006D6E87" w:rsidP="006D6E87">
      <w:pPr>
        <w:pStyle w:val="ListParagraph"/>
      </w:pPr>
      <w:r w:rsidRPr="00F51795">
        <w:t>Statewide goals also specifically reference the following DEQ programs:</w:t>
      </w:r>
    </w:p>
    <w:p w14:paraId="1FC09269" w14:textId="77777777" w:rsidR="006D6E87" w:rsidRPr="00F51795" w:rsidRDefault="006D6E87" w:rsidP="006D6E87">
      <w:pPr>
        <w:pStyle w:val="ListParagraph"/>
      </w:pPr>
    </w:p>
    <w:p w14:paraId="39BD908D" w14:textId="77777777" w:rsidR="006D6E87" w:rsidRPr="00F51795" w:rsidRDefault="006D6E87" w:rsidP="006D6E87">
      <w:pPr>
        <w:pStyle w:val="ListParagraph"/>
        <w:numPr>
          <w:ilvl w:val="0"/>
          <w:numId w:val="13"/>
        </w:numPr>
      </w:pPr>
      <w:r w:rsidRPr="00F51795">
        <w:t>Nonpoint source discharge water quality program – Goal 16</w:t>
      </w:r>
    </w:p>
    <w:p w14:paraId="385F32DC" w14:textId="77777777" w:rsidR="006D6E87" w:rsidRPr="00F51795" w:rsidRDefault="006D6E87" w:rsidP="006D6E87">
      <w:pPr>
        <w:pStyle w:val="ListParagraph"/>
        <w:numPr>
          <w:ilvl w:val="0"/>
          <w:numId w:val="13"/>
        </w:numPr>
      </w:pPr>
      <w:r w:rsidRPr="00F51795">
        <w:t>Water quality and sewage disposal systems – Goal 16</w:t>
      </w:r>
    </w:p>
    <w:p w14:paraId="372F0042" w14:textId="77777777" w:rsidR="006D6E87" w:rsidRPr="00F51795" w:rsidRDefault="006D6E87" w:rsidP="006D6E87">
      <w:pPr>
        <w:pStyle w:val="ListParagraph"/>
        <w:numPr>
          <w:ilvl w:val="0"/>
          <w:numId w:val="13"/>
        </w:numPr>
      </w:pPr>
      <w:r w:rsidRPr="00F51795">
        <w:t>Water quality permits and oil spill regulations – Goal 19</w:t>
      </w:r>
    </w:p>
    <w:p w14:paraId="2129B1C1" w14:textId="77777777" w:rsidR="006D6E87" w:rsidRDefault="006D6E87" w:rsidP="006D6E87">
      <w:pPr>
        <w:pStyle w:val="ListParagraph"/>
      </w:pPr>
    </w:p>
    <w:p w14:paraId="5795016B"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Determination</w:t>
      </w:r>
    </w:p>
    <w:p w14:paraId="0A644A94" w14:textId="77777777" w:rsidR="006D6E87" w:rsidRPr="00F51795" w:rsidRDefault="006D6E87" w:rsidP="006D6E87">
      <w:r w:rsidRPr="00F51795">
        <w:t>DEQ determined that these proposed rules do not affect</w:t>
      </w:r>
      <w:r w:rsidRPr="00F51795">
        <w:rPr>
          <w:b/>
        </w:rPr>
        <w:t xml:space="preserve"> </w:t>
      </w:r>
      <w:r w:rsidRPr="00F51795">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269CD623" w14:textId="70FCBBF1" w:rsidR="00D80AC5" w:rsidRPr="00F51795" w:rsidRDefault="006D6E87" w:rsidP="00DA3F7F">
      <w:pPr>
        <w:pStyle w:val="Heading2"/>
        <w:rPr>
          <w:rFonts w:ascii="Arial" w:hAnsi="Arial" w:cs="Arial"/>
          <w:b/>
          <w:sz w:val="24"/>
          <w:szCs w:val="24"/>
        </w:rPr>
      </w:pPr>
      <w:bookmarkStart w:id="4" w:name="AdvisoryCommittee"/>
      <w:r w:rsidRPr="00F51795">
        <w:rPr>
          <w:rFonts w:ascii="Arial" w:hAnsi="Arial" w:cs="Arial"/>
          <w:b/>
          <w:sz w:val="24"/>
          <w:szCs w:val="24"/>
        </w:rPr>
        <w:t>Advisory committee</w:t>
      </w:r>
      <w:bookmarkEnd w:id="4"/>
    </w:p>
    <w:p w14:paraId="03A2317A"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Background</w:t>
      </w:r>
    </w:p>
    <w:p w14:paraId="0050D7B6" w14:textId="0EA48B25" w:rsidR="006D6E87" w:rsidRPr="00F51795" w:rsidRDefault="006D6E87" w:rsidP="006D6E87">
      <w:pPr>
        <w:ind w:left="547"/>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  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9" w:history="1">
        <w:r w:rsidRPr="00F51795">
          <w:rPr>
            <w:rStyle w:val="Hyperlink"/>
          </w:rPr>
          <w:t>http://www.oregon.gov/deq/RulesandRegulations/Pages/Advisory/ballast2016.aspx</w:t>
        </w:r>
      </w:hyperlink>
      <w:r w:rsidRPr="00F51795">
        <w:t xml:space="preserve">  </w:t>
      </w:r>
    </w:p>
    <w:p w14:paraId="3870120C" w14:textId="77777777" w:rsidR="006D6E87" w:rsidRPr="00F51795" w:rsidRDefault="006D6E87" w:rsidP="006D6E87">
      <w:pPr>
        <w:ind w:left="547"/>
        <w:rPr>
          <w:color w:val="C45911" w:themeColor="accent2" w:themeShade="BF"/>
        </w:rPr>
      </w:pPr>
    </w:p>
    <w:p w14:paraId="3E71214A" w14:textId="77777777" w:rsidR="006D6E87" w:rsidRPr="00F51795" w:rsidRDefault="006D6E87" w:rsidP="006D6E87">
      <w:pPr>
        <w:ind w:left="547"/>
      </w:pPr>
      <w:r w:rsidRPr="00F51795">
        <w:rPr>
          <w:color w:val="000000" w:themeColor="text1"/>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Pr="00D80AC5" w:rsidRDefault="006D6E87" w:rsidP="006D6E87">
            <w:pPr>
              <w:ind w:left="0" w:right="0"/>
              <w:outlineLvl w:val="9"/>
              <w:rPr>
                <w:rFonts w:cs="Times New Roman"/>
              </w:rPr>
            </w:pPr>
            <w:r w:rsidRPr="00D80AC5">
              <w:rPr>
                <w:rFonts w:cs="Times New Roman"/>
              </w:rPr>
              <w:t>Mark Sytsma, Chair</w:t>
            </w:r>
          </w:p>
        </w:tc>
        <w:tc>
          <w:tcPr>
            <w:tcW w:w="4950" w:type="dxa"/>
            <w:vAlign w:val="center"/>
          </w:tcPr>
          <w:p w14:paraId="0A19FC88" w14:textId="77777777" w:rsidR="006D6E87" w:rsidRPr="00D80AC5" w:rsidRDefault="006D6E87" w:rsidP="006D6E87">
            <w:pPr>
              <w:ind w:left="0" w:right="0"/>
              <w:outlineLvl w:val="9"/>
              <w:rPr>
                <w:rFonts w:cs="Times New Roman"/>
              </w:rPr>
            </w:pPr>
            <w:r w:rsidRPr="00D80AC5">
              <w:rPr>
                <w:rFonts w:cs="Times New Roman"/>
              </w:rP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14:paraId="59428C2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Pr="00D80AC5" w:rsidRDefault="006D6E87" w:rsidP="006D6E87">
            <w:pPr>
              <w:ind w:left="0" w:right="0"/>
              <w:outlineLvl w:val="9"/>
              <w:rPr>
                <w:rFonts w:cs="Times New Roman"/>
                <w:color w:val="000000"/>
              </w:rPr>
            </w:pPr>
            <w:r w:rsidRPr="00D80AC5">
              <w:rPr>
                <w:rFonts w:cs="Times New Roman"/>
                <w:color w:val="000000"/>
              </w:rPr>
              <w:t>Michelle Hollis</w:t>
            </w:r>
          </w:p>
        </w:tc>
        <w:tc>
          <w:tcPr>
            <w:tcW w:w="4950" w:type="dxa"/>
            <w:vAlign w:val="center"/>
          </w:tcPr>
          <w:p w14:paraId="26694E85"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14:paraId="41A4358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Pr="00D80AC5" w:rsidRDefault="006D6E87" w:rsidP="006D6E87">
            <w:pPr>
              <w:ind w:left="0" w:right="0"/>
              <w:outlineLvl w:val="9"/>
              <w:rPr>
                <w:rFonts w:cs="Times New Roman"/>
                <w:color w:val="000000"/>
              </w:rPr>
            </w:pPr>
            <w:r w:rsidRPr="00D80AC5">
              <w:rPr>
                <w:rFonts w:cs="Times New Roman"/>
                <w:color w:val="000000"/>
              </w:rPr>
              <w:t>Ross McDonald</w:t>
            </w:r>
          </w:p>
        </w:tc>
        <w:tc>
          <w:tcPr>
            <w:tcW w:w="4950" w:type="dxa"/>
            <w:vAlign w:val="center"/>
          </w:tcPr>
          <w:p w14:paraId="4244E0A6" w14:textId="77777777" w:rsidR="006D6E87" w:rsidRPr="00D80AC5" w:rsidRDefault="006D6E87" w:rsidP="006D6E87">
            <w:pPr>
              <w:ind w:left="0" w:right="0"/>
              <w:outlineLvl w:val="9"/>
              <w:rPr>
                <w:rFonts w:cs="Times New Roman"/>
                <w:color w:val="000000"/>
              </w:rPr>
            </w:pPr>
            <w:r w:rsidRPr="00D80AC5">
              <w:rPr>
                <w:rFonts w:cs="Times New Roman"/>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14:paraId="3A5A2048"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Pr="00D80AC5" w:rsidRDefault="006D6E87" w:rsidP="006D6E87">
            <w:pPr>
              <w:ind w:left="0" w:right="0"/>
              <w:outlineLvl w:val="9"/>
              <w:rPr>
                <w:rFonts w:cs="Times New Roman"/>
                <w:color w:val="000000"/>
              </w:rPr>
            </w:pPr>
            <w:r w:rsidRPr="00D80AC5">
              <w:rPr>
                <w:rFonts w:cs="Times New Roman"/>
                <w:color w:val="000000"/>
              </w:rPr>
              <w:t>Fred Myer</w:t>
            </w:r>
          </w:p>
        </w:tc>
        <w:tc>
          <w:tcPr>
            <w:tcW w:w="4950" w:type="dxa"/>
            <w:vAlign w:val="center"/>
          </w:tcPr>
          <w:p w14:paraId="114986D9" w14:textId="77777777" w:rsidR="006D6E87" w:rsidRPr="00D80AC5" w:rsidRDefault="006D6E87" w:rsidP="006D6E87">
            <w:pPr>
              <w:ind w:left="0" w:right="0"/>
              <w:outlineLvl w:val="9"/>
              <w:rPr>
                <w:rFonts w:cs="Times New Roman"/>
                <w:color w:val="000000"/>
              </w:rPr>
            </w:pPr>
            <w:r w:rsidRPr="00D80AC5">
              <w:rPr>
                <w:rFonts w:cs="Times New Roman"/>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14:paraId="3E8A719A"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Pr="00D80AC5" w:rsidRDefault="006D6E87" w:rsidP="006D6E87">
            <w:pPr>
              <w:ind w:left="0" w:right="0"/>
              <w:outlineLvl w:val="9"/>
              <w:rPr>
                <w:rFonts w:cs="Times New Roman"/>
                <w:color w:val="000000"/>
              </w:rPr>
            </w:pPr>
            <w:r w:rsidRPr="00D80AC5">
              <w:rPr>
                <w:rFonts w:cs="Times New Roman"/>
                <w:color w:val="000000"/>
              </w:rPr>
              <w:t>Kate Mickelson</w:t>
            </w:r>
          </w:p>
        </w:tc>
        <w:tc>
          <w:tcPr>
            <w:tcW w:w="4950" w:type="dxa"/>
            <w:vAlign w:val="center"/>
          </w:tcPr>
          <w:p w14:paraId="58953927" w14:textId="77777777" w:rsidR="006D6E87" w:rsidRPr="00D80AC5" w:rsidRDefault="006D6E87" w:rsidP="006D6E87">
            <w:pPr>
              <w:ind w:left="0" w:right="0"/>
              <w:outlineLvl w:val="9"/>
              <w:rPr>
                <w:rFonts w:cs="Times New Roman"/>
                <w:color w:val="000000"/>
              </w:rPr>
            </w:pPr>
            <w:r w:rsidRPr="00D80AC5">
              <w:rPr>
                <w:rFonts w:cs="Times New Roman"/>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14:paraId="7D1737D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Pr="00D80AC5" w:rsidRDefault="006D6E87" w:rsidP="006D6E87">
            <w:pPr>
              <w:ind w:left="0" w:right="0"/>
              <w:outlineLvl w:val="9"/>
              <w:rPr>
                <w:rFonts w:cs="Times New Roman"/>
                <w:color w:val="000000"/>
              </w:rPr>
            </w:pPr>
            <w:r w:rsidRPr="00D80AC5">
              <w:rPr>
                <w:rFonts w:cs="Times New Roman"/>
                <w:color w:val="000000"/>
              </w:rPr>
              <w:t>Travis Williams</w:t>
            </w:r>
          </w:p>
        </w:tc>
        <w:tc>
          <w:tcPr>
            <w:tcW w:w="4950" w:type="dxa"/>
            <w:vAlign w:val="center"/>
          </w:tcPr>
          <w:p w14:paraId="2AD4E6DD" w14:textId="77777777" w:rsidR="006D6E87" w:rsidRPr="00D80AC5" w:rsidRDefault="006D6E87" w:rsidP="006D6E87">
            <w:pPr>
              <w:ind w:left="0" w:right="0"/>
              <w:outlineLvl w:val="9"/>
              <w:rPr>
                <w:rFonts w:cs="Times New Roman"/>
                <w:color w:val="000000"/>
              </w:rPr>
            </w:pPr>
            <w:r w:rsidRPr="00D80AC5">
              <w:rPr>
                <w:rFonts w:cs="Times New Roman"/>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14:paraId="372E8D90"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Pr="00D80AC5" w:rsidRDefault="006D6E87" w:rsidP="006D6E87">
            <w:pPr>
              <w:ind w:left="0" w:right="0"/>
              <w:outlineLvl w:val="9"/>
              <w:rPr>
                <w:rFonts w:cs="Times New Roman"/>
                <w:color w:val="000000"/>
              </w:rPr>
            </w:pPr>
            <w:r w:rsidRPr="00D80AC5">
              <w:rPr>
                <w:rFonts w:cs="Times New Roman"/>
                <w:color w:val="000000"/>
              </w:rPr>
              <w:t>Nicole Dobroski</w:t>
            </w:r>
          </w:p>
        </w:tc>
        <w:tc>
          <w:tcPr>
            <w:tcW w:w="4950" w:type="dxa"/>
            <w:vAlign w:val="center"/>
          </w:tcPr>
          <w:p w14:paraId="30C8F054" w14:textId="77777777" w:rsidR="006D6E87" w:rsidRPr="00D80AC5" w:rsidRDefault="006D6E87" w:rsidP="006D6E87">
            <w:pPr>
              <w:ind w:left="0" w:right="0"/>
              <w:outlineLvl w:val="9"/>
              <w:rPr>
                <w:rFonts w:cs="Times New Roman"/>
                <w:color w:val="000000"/>
              </w:rPr>
            </w:pPr>
            <w:r w:rsidRPr="00D80AC5">
              <w:rPr>
                <w:rFonts w:cs="Times New Roman"/>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27850713"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14:paraId="2F5F0E63"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Pr="00D80AC5" w:rsidRDefault="006D6E87" w:rsidP="006D6E87">
            <w:pPr>
              <w:ind w:left="0" w:right="0"/>
              <w:outlineLvl w:val="9"/>
              <w:rPr>
                <w:rFonts w:cs="Times New Roman"/>
                <w:color w:val="000000"/>
              </w:rPr>
            </w:pPr>
            <w:r w:rsidRPr="00D80AC5">
              <w:rPr>
                <w:rFonts w:cs="Times New Roman"/>
                <w:color w:val="000000"/>
              </w:rPr>
              <w:t>Michael Pearson</w:t>
            </w:r>
          </w:p>
        </w:tc>
        <w:tc>
          <w:tcPr>
            <w:tcW w:w="4950" w:type="dxa"/>
            <w:vAlign w:val="center"/>
          </w:tcPr>
          <w:p w14:paraId="54FC55C3" w14:textId="77777777" w:rsidR="006D6E87" w:rsidRPr="00D80AC5" w:rsidRDefault="006D6E87" w:rsidP="006D6E87">
            <w:pPr>
              <w:ind w:left="0" w:right="0"/>
              <w:outlineLvl w:val="9"/>
              <w:rPr>
                <w:rFonts w:cs="Times New Roman"/>
                <w:color w:val="000000"/>
              </w:rPr>
            </w:pPr>
            <w:r w:rsidRPr="00D80AC5">
              <w:rPr>
                <w:rFonts w:cs="Times New Roman"/>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lastRenderedPageBreak/>
              <w:t>Allen Pleus</w:t>
            </w:r>
          </w:p>
        </w:tc>
        <w:tc>
          <w:tcPr>
            <w:tcW w:w="4950" w:type="dxa"/>
            <w:vAlign w:val="center"/>
          </w:tcPr>
          <w:p w14:paraId="1354864D" w14:textId="77777777" w:rsidR="006D6E87" w:rsidRPr="00D80AC5" w:rsidRDefault="006D6E87" w:rsidP="006D6E87">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14:paraId="1A53CBCE" w14:textId="77777777" w:rsidR="006D6E87" w:rsidRDefault="006D6E87" w:rsidP="006D6E87"/>
    <w:p w14:paraId="71DA3DDB" w14:textId="37A9CE99" w:rsidR="006D6E87" w:rsidRPr="00F51795" w:rsidRDefault="006D6E87" w:rsidP="00F51795">
      <w:pPr>
        <w:pStyle w:val="Heading2"/>
        <w:rPr>
          <w:rFonts w:ascii="Arial" w:hAnsi="Arial" w:cs="Arial"/>
          <w:b/>
          <w:sz w:val="24"/>
          <w:szCs w:val="24"/>
        </w:rPr>
      </w:pPr>
      <w:r w:rsidRPr="00F51795">
        <w:rPr>
          <w:rFonts w:ascii="Arial" w:hAnsi="Arial" w:cs="Arial"/>
          <w:b/>
          <w:sz w:val="24"/>
          <w:szCs w:val="24"/>
        </w:rPr>
        <w:t>Meeting notifications</w:t>
      </w:r>
    </w:p>
    <w:p w14:paraId="5C84016E" w14:textId="77777777" w:rsidR="006D6E87" w:rsidRPr="00F51795" w:rsidRDefault="006D6E87" w:rsidP="006D6E87">
      <w:r w:rsidRPr="00F51795">
        <w:t>To notify people about the advisory committee’s activities, DEQ:</w:t>
      </w:r>
    </w:p>
    <w:p w14:paraId="4F37B100" w14:textId="77777777" w:rsidR="006D6E87" w:rsidRPr="00F51795" w:rsidRDefault="006D6E87" w:rsidP="006D6E87"/>
    <w:p w14:paraId="268E3740" w14:textId="77777777" w:rsidR="006D6E87" w:rsidRPr="00F51795" w:rsidRDefault="006D6E87" w:rsidP="006D6E87">
      <w:pPr>
        <w:pStyle w:val="ListParagraph"/>
        <w:numPr>
          <w:ilvl w:val="0"/>
          <w:numId w:val="14"/>
        </w:numPr>
        <w:rPr>
          <w:color w:val="000000" w:themeColor="text1"/>
        </w:rPr>
      </w:pPr>
      <w:r w:rsidRPr="00F51795">
        <w:rPr>
          <w:color w:val="000000" w:themeColor="text1"/>
        </w:rPr>
        <w:t xml:space="preserve">Sent GovDelivery bulletins, </w:t>
      </w:r>
      <w:r w:rsidRPr="00F51795">
        <w:rPr>
          <w:rFonts w:eastAsiaTheme="minorHAnsi"/>
          <w:color w:val="000000" w:themeColor="text1"/>
        </w:rPr>
        <w:t xml:space="preserve">a free e-mail subscription service, </w:t>
      </w:r>
      <w:r w:rsidRPr="00F51795">
        <w:rPr>
          <w:color w:val="000000" w:themeColor="text1"/>
        </w:rPr>
        <w:t>to the following lists:</w:t>
      </w:r>
    </w:p>
    <w:p w14:paraId="38EA5B75" w14:textId="492B9194" w:rsidR="006D6E87" w:rsidRPr="00F51795" w:rsidRDefault="006D6E87" w:rsidP="006D6E87">
      <w:pPr>
        <w:pStyle w:val="ListParagraph"/>
        <w:numPr>
          <w:ilvl w:val="1"/>
          <w:numId w:val="14"/>
        </w:numPr>
        <w:ind w:right="378"/>
      </w:pPr>
      <w:r w:rsidRPr="00F51795">
        <w:rPr>
          <w:color w:val="000000" w:themeColor="text1"/>
        </w:rPr>
        <w:t xml:space="preserve">On 10/5/16 and 1/12/16  DEQ sent notice to </w:t>
      </w:r>
      <w:r w:rsidRPr="00F51795">
        <w:rPr>
          <w:rStyle w:val="Emphasis"/>
          <w:color w:val="000000" w:themeColor="text1"/>
          <w:sz w:val="24"/>
        </w:rPr>
        <w:t>members of the Shipping Transport of Aquatic Invasive Species Task Force</w:t>
      </w:r>
      <w:r w:rsidRPr="00F51795">
        <w:rPr>
          <w:color w:val="000000" w:themeColor="text1"/>
        </w:rPr>
        <w:t xml:space="preserve"> subscribers to </w:t>
      </w:r>
      <w:r w:rsidRPr="00F51795">
        <w:t>describe how to sign up for advisory committee meeting notices, and</w:t>
      </w:r>
    </w:p>
    <w:p w14:paraId="11C35CBE" w14:textId="77777777" w:rsidR="006D6E87" w:rsidRPr="00F51795" w:rsidRDefault="006D6E87" w:rsidP="006D6E87">
      <w:pPr>
        <w:pStyle w:val="ListParagraph"/>
        <w:numPr>
          <w:ilvl w:val="1"/>
          <w:numId w:val="14"/>
        </w:numPr>
        <w:ind w:right="378"/>
      </w:pPr>
      <w:r w:rsidRPr="00F51795">
        <w:t>People who signed up for the advisory committee bulletin.</w:t>
      </w:r>
    </w:p>
    <w:p w14:paraId="0EC99235" w14:textId="77777777" w:rsidR="006D6E87" w:rsidRPr="00F51795" w:rsidRDefault="006D6E87" w:rsidP="006D6E87">
      <w:pPr>
        <w:pStyle w:val="ListParagraph"/>
        <w:numPr>
          <w:ilvl w:val="0"/>
          <w:numId w:val="14"/>
        </w:numPr>
        <w:ind w:right="378"/>
      </w:pPr>
      <w:r w:rsidRPr="00F51795">
        <w:t xml:space="preserve">Added advisory committee announcements to DEQ’s calendar of public meetings at </w:t>
      </w:r>
      <w:hyperlink r:id="rId30" w:history="1">
        <w:r w:rsidRPr="00F51795">
          <w:rPr>
            <w:rStyle w:val="Hyperlink"/>
          </w:rPr>
          <w:t>DEQ Calendar</w:t>
        </w:r>
      </w:hyperlink>
      <w:r w:rsidRPr="00F51795">
        <w:t>.</w:t>
      </w:r>
    </w:p>
    <w:p w14:paraId="65FAC309" w14:textId="7AEAAFD8" w:rsidR="006D6E87" w:rsidRPr="00F51795" w:rsidRDefault="007D152E" w:rsidP="006D6E87">
      <w:pPr>
        <w:pStyle w:val="ListParagraph"/>
        <w:numPr>
          <w:ilvl w:val="0"/>
          <w:numId w:val="14"/>
        </w:numPr>
        <w:ind w:right="378"/>
      </w:pPr>
      <w:r w:rsidRPr="00F51795">
        <w:t xml:space="preserve">On 1/13/16, </w:t>
      </w:r>
      <w:r w:rsidR="006D6E87" w:rsidRPr="00F51795">
        <w:t>2/17/16</w:t>
      </w:r>
      <w:r w:rsidRPr="00F51795">
        <w:t xml:space="preserve">, and </w:t>
      </w:r>
      <w:r w:rsidR="006D6E87" w:rsidRPr="00F51795">
        <w:t xml:space="preserve"> DEQ provided news release statements announcing advisory committee meeting details</w:t>
      </w:r>
    </w:p>
    <w:p w14:paraId="60190A8E" w14:textId="77777777" w:rsidR="006D6E87" w:rsidRPr="00F51795" w:rsidRDefault="006D6E87" w:rsidP="006D6E87">
      <w:pPr>
        <w:pStyle w:val="ListParagraph"/>
        <w:numPr>
          <w:ilvl w:val="0"/>
          <w:numId w:val="14"/>
        </w:numPr>
        <w:ind w:right="378"/>
      </w:pPr>
      <w:r w:rsidRPr="00F51795">
        <w:t>On 1/13/16 and 2/17/16 DEQ provided notice of meetings and links to committee information through postings on Facebook and Twitter.</w:t>
      </w:r>
    </w:p>
    <w:p w14:paraId="3BB6E511" w14:textId="77777777" w:rsidR="006D6E87" w:rsidRPr="00F51795" w:rsidRDefault="006D6E87" w:rsidP="006D6E87">
      <w:pPr>
        <w:pStyle w:val="Heading2"/>
        <w:rPr>
          <w:rFonts w:ascii="Arial" w:hAnsi="Arial" w:cs="Arial"/>
          <w:b/>
          <w:sz w:val="24"/>
          <w:szCs w:val="24"/>
        </w:rPr>
      </w:pPr>
      <w:r w:rsidRPr="00F51795">
        <w:rPr>
          <w:rFonts w:ascii="Arial" w:hAnsi="Arial" w:cs="Arial"/>
          <w:b/>
          <w:sz w:val="24"/>
          <w:szCs w:val="24"/>
        </w:rPr>
        <w:t>Committee discussions</w:t>
      </w:r>
    </w:p>
    <w:p w14:paraId="727EA433" w14:textId="3C5BA16C" w:rsidR="006D6E87" w:rsidRPr="00F51795" w:rsidRDefault="006D6E87" w:rsidP="002F0640">
      <w:pPr>
        <w:ind w:left="547"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  The </w:t>
      </w:r>
      <w:r w:rsidR="00D80AC5" w:rsidRPr="00F51795">
        <w:t xml:space="preserve">advisory </w:t>
      </w:r>
      <w:r w:rsidRPr="00F51795">
        <w:t>committee</w:t>
      </w:r>
      <w:r w:rsidR="00D80AC5" w:rsidRPr="00F51795">
        <w:t>, as well its precursor the 2014 Task Force on Shipping Transport of Aquatic Invasive Species)</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w:t>
      </w:r>
      <w:r w:rsidR="00B75426" w:rsidRPr="00F51795">
        <w:t xml:space="preserve"> and</w:t>
      </w:r>
      <w:r w:rsidRPr="00F51795">
        <w:t xml:space="preserve"> does not need to be applied to all vessel operators discharging ballast. Some other jurisdictions have adopted this strategy.  </w:t>
      </w:r>
    </w:p>
    <w:p w14:paraId="7F6E2F5C" w14:textId="77777777" w:rsidR="006D6E87" w:rsidRPr="00F51795" w:rsidRDefault="006D6E87" w:rsidP="002F0640">
      <w:pPr>
        <w:ind w:left="547" w:right="378"/>
      </w:pPr>
    </w:p>
    <w:p w14:paraId="411BDFEC" w14:textId="41DEDE44" w:rsidR="006D6E87" w:rsidRPr="00F51795" w:rsidRDefault="006D6E87" w:rsidP="002F0640">
      <w:pPr>
        <w:ind w:left="547" w:right="378"/>
      </w:pPr>
      <w:r w:rsidRPr="00F51795">
        <w:t xml:space="preserve">Although regional consistency is an important guiding objective for most advisory committee members, the committee was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 xml:space="preserve">.  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14:paraId="656A322E" w14:textId="77777777" w:rsidR="006D6E87" w:rsidRPr="00F51795" w:rsidRDefault="006D6E87" w:rsidP="002F0640">
      <w:pPr>
        <w:ind w:left="547" w:right="378"/>
      </w:pPr>
      <w:r w:rsidRPr="00F51795">
        <w:t xml:space="preserve"> </w:t>
      </w:r>
    </w:p>
    <w:p w14:paraId="3613F98F" w14:textId="77777777" w:rsidR="006D6E87" w:rsidRPr="00F51795" w:rsidRDefault="006D6E87" w:rsidP="002F0640">
      <w:pPr>
        <w:ind w:left="547" w:right="378"/>
      </w:pPr>
      <w:r w:rsidRPr="00F51795">
        <w:t xml:space="preserve">Moreover, the committee’s participation was important in developing detailed exemptions that will make the regulations more adaptable to rapidly evolving shipboard treatment technologies.  </w:t>
      </w:r>
    </w:p>
    <w:p w14:paraId="56B17B96" w14:textId="77777777" w:rsidR="00934149" w:rsidRPr="00F51795" w:rsidRDefault="00934149" w:rsidP="002F0640">
      <w:pPr>
        <w:ind w:left="547" w:right="378"/>
      </w:pPr>
    </w:p>
    <w:p w14:paraId="71DF13F6" w14:textId="284B3225" w:rsidR="00934149" w:rsidRPr="00F51795" w:rsidRDefault="00934149" w:rsidP="002F0640">
      <w:pPr>
        <w:ind w:left="547" w:right="378"/>
      </w:pPr>
      <w:r w:rsidRPr="00F51795">
        <w:t xml:space="preserve">In order to facilitate further discussion and full transparency with all stakeholders, DEQ convened a fourth meeting on 10 October during the final open public comment period.  This meeting provided an opportunity for DEQ to identify revisions to the proposed rules that were being considered based on comments received during earlier public comment periods, and for all </w:t>
      </w:r>
      <w:r w:rsidRPr="00F51795">
        <w:lastRenderedPageBreak/>
        <w:t xml:space="preserve">stakeholders to identify their support or concerns.  In particular, the advisory committee was able to further discuss </w:t>
      </w:r>
      <w:r w:rsidR="008D1B0E" w:rsidRPr="00F51795">
        <w:t>individual members positions on the</w:t>
      </w:r>
      <w:r w:rsidRPr="00F51795">
        <w:t xml:space="preserve"> BWE+BWT proposal and specific elements related to defining criteria, exemptions, sunset date, and regional coordination with neighboring states.  In addition, DEQ was able to present results from a re-analysis of anticipated vessel arrivals that would be affected by the proposed rule (at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 xml:space="preserve">become available.  These results showed </w:t>
      </w:r>
      <w:r w:rsidR="008D1B0E" w:rsidRPr="00F51795">
        <w:t>that an estimated 8.8% of vessels arrivals to Oregon may be subject to the BWE+BWT requirement: less than the 10.7% estimated in earlier analyses.  It is also important to note that the modeled data used for the updated analysis is highly conservative in estimating which San Francisco Bay ports may have low-salinity conditions where uptake of ballast may be subject to the proposed rule.  As a result, the percentage of vessels affected is likely to be less than 8.8%.</w:t>
      </w:r>
    </w:p>
    <w:p w14:paraId="224C7BCF" w14:textId="77777777" w:rsidR="00B75426" w:rsidRPr="00F51795" w:rsidRDefault="00B75426" w:rsidP="002F0640">
      <w:pPr>
        <w:ind w:left="547" w:right="378"/>
      </w:pPr>
    </w:p>
    <w:p w14:paraId="3759BD8A" w14:textId="6B368A4A" w:rsidR="006D6E87" w:rsidRPr="00F51795" w:rsidRDefault="006D6E87" w:rsidP="002F0640">
      <w:pPr>
        <w:ind w:left="547" w:right="378"/>
      </w:pPr>
      <w:r w:rsidRPr="00F51795">
        <w:t xml:space="preserve">Meeting minutes and recordings are available </w:t>
      </w:r>
      <w:r w:rsidR="00B75426" w:rsidRPr="00F51795">
        <w:t xml:space="preserve">by request from DEQ or </w:t>
      </w:r>
      <w:r w:rsidRPr="00F51795">
        <w:t xml:space="preserve">from the advisory committee webpage at:  </w:t>
      </w:r>
      <w:hyperlink r:id="rId31" w:history="1">
        <w:r w:rsidRPr="00F51795">
          <w:rPr>
            <w:rStyle w:val="Hyperlink"/>
          </w:rPr>
          <w:t>http://www.oregon.gov/deq/RulesandRegulations/Pages/Advisory/ballast2016.aspx</w:t>
        </w:r>
      </w:hyperlink>
      <w:r w:rsidRPr="00F51795">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t>EQC prior involvemen</w:t>
      </w:r>
      <w:r w:rsidRPr="0036375F">
        <w:rPr>
          <w:rFonts w:ascii="Arial" w:hAnsi="Arial" w:cs="Arial"/>
          <w:b/>
        </w:rPr>
        <w:t>t</w:t>
      </w:r>
    </w:p>
    <w:p w14:paraId="27210C62" w14:textId="38E7FEB7" w:rsidR="006D6E87" w:rsidRPr="00F51795" w:rsidRDefault="006D6E87" w:rsidP="00C25CFC">
      <w:pPr>
        <w:ind w:left="547"/>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14:paraId="39E4DD93" w14:textId="77777777" w:rsidR="006D6E87" w:rsidRPr="00F51795" w:rsidRDefault="006D6E87" w:rsidP="006D6E87">
      <w:pPr>
        <w:rPr>
          <w:highlight w:val="yellow"/>
        </w:rPr>
      </w:pPr>
    </w:p>
    <w:p w14:paraId="1C151F4E" w14:textId="77777777" w:rsidR="006D6E87" w:rsidRPr="00F51795" w:rsidRDefault="006D6E87" w:rsidP="002F0640">
      <w:pPr>
        <w:ind w:left="547"/>
      </w:pPr>
      <w:r w:rsidRPr="00F51795">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AC3015E" w:rsidR="0036375F" w:rsidRPr="00F51795" w:rsidRDefault="0036375F" w:rsidP="0036375F">
      <w:pPr>
        <w:ind w:left="547"/>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Notice of Proposed Rulemaking with Public Hearing by:</w:t>
      </w:r>
    </w:p>
    <w:p w14:paraId="74F05BC5" w14:textId="4C71AFF0" w:rsidR="0036375F" w:rsidRPr="00F51795" w:rsidRDefault="0036375F" w:rsidP="0036375F">
      <w:pPr>
        <w:pStyle w:val="ListParagraph"/>
        <w:numPr>
          <w:ilvl w:val="0"/>
          <w:numId w:val="17"/>
        </w:numPr>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14:paraId="6CCCCBB7" w14:textId="38DF6E42" w:rsidR="0036375F" w:rsidRPr="00F51795" w:rsidRDefault="0036375F" w:rsidP="0036375F">
      <w:pPr>
        <w:pStyle w:val="ListParagraph"/>
        <w:numPr>
          <w:ilvl w:val="0"/>
          <w:numId w:val="17"/>
        </w:numPr>
        <w:rPr>
          <w:color w:val="000000" w:themeColor="text1"/>
        </w:rPr>
      </w:pPr>
      <w:r w:rsidRPr="00F51795">
        <w:rPr>
          <w:color w:val="000000" w:themeColor="text1"/>
        </w:rPr>
        <w:t>Posting notice on the rulemaking web page:</w:t>
      </w:r>
      <w:r w:rsidR="00F45D15" w:rsidRPr="00F51795">
        <w:rPr>
          <w:color w:val="000000" w:themeColor="text1"/>
        </w:rPr>
        <w:t xml:space="preserve"> </w:t>
      </w:r>
      <w:hyperlink r:id="rId32" w:history="1">
        <w:r w:rsidR="00F45D15" w:rsidRPr="00F51795">
          <w:rPr>
            <w:rStyle w:val="Hyperlink"/>
          </w:rPr>
          <w:t>Ballast Water 2016 Rulemaking Web Page</w:t>
        </w:r>
      </w:hyperlink>
    </w:p>
    <w:p w14:paraId="07B02F95" w14:textId="33A849C0" w:rsidR="0036375F" w:rsidRPr="00F51795" w:rsidRDefault="0036375F" w:rsidP="0036375F">
      <w:pPr>
        <w:pStyle w:val="ListParagraph"/>
        <w:numPr>
          <w:ilvl w:val="0"/>
          <w:numId w:val="17"/>
        </w:numPr>
        <w:rPr>
          <w:color w:val="000000" w:themeColor="text1"/>
        </w:rPr>
      </w:pPr>
      <w:r w:rsidRPr="00F51795">
        <w:rPr>
          <w:color w:val="000000" w:themeColor="text1"/>
        </w:rPr>
        <w:t>Emailing</w:t>
      </w:r>
      <w:r w:rsidR="00F45D15" w:rsidRPr="00F51795">
        <w:rPr>
          <w:color w:val="000000" w:themeColor="text1"/>
        </w:rPr>
        <w:t xml:space="preserve"> 7566 i</w:t>
      </w:r>
      <w:r w:rsidRPr="00F51795">
        <w:rPr>
          <w:color w:val="000000" w:themeColor="text1"/>
        </w:rPr>
        <w:t>nterested parties on the Agency Rulemaking</w:t>
      </w:r>
      <w:r w:rsidR="00F45D15" w:rsidRPr="00F51795">
        <w:rPr>
          <w:color w:val="000000" w:themeColor="text1"/>
        </w:rPr>
        <w:t xml:space="preserve">, DEQ Public Notices and Ballast Water Management mailing lists </w:t>
      </w:r>
      <w:r w:rsidRPr="00F51795">
        <w:rPr>
          <w:color w:val="000000" w:themeColor="text1"/>
        </w:rPr>
        <w:t xml:space="preserve">through GovDelivery </w:t>
      </w:r>
    </w:p>
    <w:p w14:paraId="0D1E2399" w14:textId="4ED77D2B" w:rsidR="0036375F" w:rsidRPr="00F51795" w:rsidRDefault="0036375F" w:rsidP="0036375F">
      <w:pPr>
        <w:pStyle w:val="ListParagraph"/>
        <w:numPr>
          <w:ilvl w:val="0"/>
          <w:numId w:val="17"/>
        </w:numPr>
        <w:rPr>
          <w:color w:val="000000" w:themeColor="text1"/>
        </w:rPr>
      </w:pPr>
      <w:r w:rsidRPr="00F51795">
        <w:rPr>
          <w:color w:val="000000" w:themeColor="text1"/>
        </w:rPr>
        <w:t xml:space="preserve">Issuing a press release </w:t>
      </w:r>
    </w:p>
    <w:p w14:paraId="41212D1A" w14:textId="42AEA76F" w:rsidR="0036375F" w:rsidRPr="00F51795" w:rsidRDefault="0036375F" w:rsidP="0036375F">
      <w:pPr>
        <w:pStyle w:val="ListParagraph"/>
        <w:numPr>
          <w:ilvl w:val="0"/>
          <w:numId w:val="17"/>
        </w:numPr>
        <w:rPr>
          <w:color w:val="000000" w:themeColor="text1"/>
        </w:rPr>
      </w:pPr>
      <w:r w:rsidRPr="00F51795">
        <w:rPr>
          <w:color w:val="000000" w:themeColor="text1"/>
        </w:rPr>
        <w:t>Emailing the following key legislators:</w:t>
      </w:r>
    </w:p>
    <w:p w14:paraId="2F4D2C90"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Edwards (as Chair of Environment and Natural Resources Committee)</w:t>
      </w:r>
    </w:p>
    <w:p w14:paraId="3EB36236"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Witt (as Chair of Agriculture and Natural Resources Committee)</w:t>
      </w:r>
    </w:p>
    <w:p w14:paraId="1765CB57" w14:textId="77777777" w:rsidR="001C25B6" w:rsidRPr="00F51795" w:rsidRDefault="001C25B6" w:rsidP="001C25B6">
      <w:pPr>
        <w:pStyle w:val="ListParagraph"/>
        <w:numPr>
          <w:ilvl w:val="1"/>
          <w:numId w:val="17"/>
        </w:numPr>
        <w:rPr>
          <w:color w:val="000000" w:themeColor="text1"/>
        </w:rPr>
      </w:pPr>
      <w:r w:rsidRPr="00F51795">
        <w:rPr>
          <w:color w:val="000000" w:themeColor="text1"/>
        </w:rPr>
        <w:t>Sen Roblan (as 2014/15 legislative liaison to STAIS task force)</w:t>
      </w:r>
    </w:p>
    <w:p w14:paraId="373680BA" w14:textId="77777777" w:rsidR="001C25B6" w:rsidRPr="00F51795" w:rsidRDefault="001C25B6" w:rsidP="001C25B6">
      <w:pPr>
        <w:pStyle w:val="ListParagraph"/>
        <w:numPr>
          <w:ilvl w:val="1"/>
          <w:numId w:val="17"/>
        </w:numPr>
        <w:rPr>
          <w:color w:val="000000" w:themeColor="text1"/>
        </w:rPr>
      </w:pPr>
      <w:r w:rsidRPr="00F51795">
        <w:rPr>
          <w:color w:val="000000" w:themeColor="text1"/>
        </w:rPr>
        <w:t>Rep McKeown (as 2014/15 legislative liaison to STAIS task force)</w:t>
      </w:r>
    </w:p>
    <w:p w14:paraId="5551C122" w14:textId="77777777" w:rsidR="0036375F" w:rsidRPr="00F51795" w:rsidRDefault="0036375F" w:rsidP="0036375F"/>
    <w:p w14:paraId="02CB908E" w14:textId="36CEC1AD" w:rsidR="001C25B6" w:rsidRPr="00F51795" w:rsidRDefault="001C25B6" w:rsidP="0036375F">
      <w:r w:rsidRPr="00F51795">
        <w:t>In addition, notice of subsequent re-opening of public comment periods in June and September were provided by:</w:t>
      </w:r>
    </w:p>
    <w:p w14:paraId="42843E42" w14:textId="1C714B07" w:rsidR="001C25B6" w:rsidRPr="00F51795" w:rsidRDefault="001C25B6" w:rsidP="00F45D15">
      <w:pPr>
        <w:pStyle w:val="ListParagraph"/>
        <w:numPr>
          <w:ilvl w:val="0"/>
          <w:numId w:val="17"/>
        </w:numPr>
        <w:rPr>
          <w:color w:val="000000" w:themeColor="text1"/>
        </w:rPr>
      </w:pPr>
      <w:r w:rsidRPr="00F51795">
        <w:rPr>
          <w:color w:val="000000" w:themeColor="text1"/>
        </w:rPr>
        <w:t xml:space="preserve">Posting notice on the rulemaking web page: </w:t>
      </w:r>
      <w:r w:rsidR="00F45D15" w:rsidRPr="00F51795">
        <w:rPr>
          <w:color w:val="000000" w:themeColor="text1"/>
        </w:rPr>
        <w:t xml:space="preserve"> </w:t>
      </w:r>
      <w:hyperlink r:id="rId33" w:history="1">
        <w:r w:rsidR="00F45D15" w:rsidRPr="00F51795">
          <w:rPr>
            <w:rStyle w:val="Hyperlink"/>
          </w:rPr>
          <w:t>Ballast Water 2016 Rulemaking Web Page</w:t>
        </w:r>
      </w:hyperlink>
    </w:p>
    <w:p w14:paraId="66554EE7" w14:textId="268EE069" w:rsidR="001C25B6" w:rsidRPr="00F51795" w:rsidRDefault="001C25B6" w:rsidP="001C25B6">
      <w:pPr>
        <w:pStyle w:val="ListParagraph"/>
        <w:numPr>
          <w:ilvl w:val="0"/>
          <w:numId w:val="17"/>
        </w:numPr>
        <w:rPr>
          <w:color w:val="000000" w:themeColor="text1"/>
        </w:rPr>
      </w:pPr>
      <w:r w:rsidRPr="00F51795">
        <w:rPr>
          <w:color w:val="000000" w:themeColor="text1"/>
        </w:rPr>
        <w:t xml:space="preserve">Emailing </w:t>
      </w:r>
      <w:r w:rsidR="00F45D15" w:rsidRPr="00F51795">
        <w:rPr>
          <w:color w:val="000000" w:themeColor="text1"/>
        </w:rPr>
        <w:t xml:space="preserve">7566 </w:t>
      </w:r>
      <w:r w:rsidRPr="00F51795">
        <w:rPr>
          <w:color w:val="000000" w:themeColor="text1"/>
        </w:rPr>
        <w:t>interested p</w:t>
      </w:r>
      <w:r w:rsidR="00F45D15" w:rsidRPr="00F51795">
        <w:rPr>
          <w:color w:val="000000" w:themeColor="text1"/>
        </w:rPr>
        <w:t xml:space="preserve">arties on the Agency Rulemaking, DEQ Public Notices and Ballast Water Management mailing lists </w:t>
      </w:r>
      <w:r w:rsidRPr="00F51795">
        <w:rPr>
          <w:color w:val="000000" w:themeColor="text1"/>
        </w:rPr>
        <w:t xml:space="preserve">through GovDelivery </w:t>
      </w:r>
    </w:p>
    <w:p w14:paraId="71C0E774" w14:textId="77777777" w:rsidR="001C25B6" w:rsidRPr="00F51795" w:rsidRDefault="001C25B6" w:rsidP="001C25B6">
      <w:pPr>
        <w:pStyle w:val="ListParagraph"/>
        <w:numPr>
          <w:ilvl w:val="0"/>
          <w:numId w:val="17"/>
        </w:numPr>
        <w:rPr>
          <w:color w:val="000000" w:themeColor="text1"/>
        </w:rPr>
      </w:pPr>
      <w:r w:rsidRPr="00F51795">
        <w:rPr>
          <w:color w:val="000000" w:themeColor="text1"/>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F51795" w:rsidRDefault="00377FA3" w:rsidP="002F0640">
      <w:pPr>
        <w:ind w:left="547"/>
        <w:rPr>
          <w:color w:val="000000" w:themeColor="text1"/>
        </w:rPr>
      </w:pPr>
      <w:r w:rsidRPr="00F51795">
        <w:rPr>
          <w:color w:val="000000" w:themeColor="text1"/>
        </w:rPr>
        <w:lastRenderedPageBreak/>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15FD0E71"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hearings </w:t>
      </w:r>
    </w:p>
    <w:p w14:paraId="33EA0F9B" w14:textId="77777777" w:rsidR="00A72D66" w:rsidRPr="00F51795" w:rsidRDefault="00A72D66" w:rsidP="00A72D66"/>
    <w:p w14:paraId="33EA0F9C" w14:textId="1DDBD8BA" w:rsidR="00377FA3" w:rsidRPr="00F51795" w:rsidRDefault="00377FA3" w:rsidP="002F0640">
      <w:pPr>
        <w:ind w:left="547"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49</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F51795">
      <w:pPr>
        <w:pStyle w:val="Heading3"/>
        <w:spacing w:before="0"/>
        <w:ind w:left="54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F51795">
      <w:pPr>
        <w:ind w:left="540"/>
      </w:pPr>
    </w:p>
    <w:p w14:paraId="33EA0FA2" w14:textId="474AF1B2" w:rsidR="00377FA3" w:rsidRPr="00F51795" w:rsidRDefault="00377FA3" w:rsidP="00F51795">
      <w:pPr>
        <w:ind w:left="54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14:paraId="33EA0FA3" w14:textId="6BB53870" w:rsidR="00377FA3" w:rsidRPr="00F51795" w:rsidRDefault="00B1715A" w:rsidP="00F51795">
      <w:pPr>
        <w:ind w:left="540"/>
        <w:rPr>
          <w:color w:val="000000" w:themeColor="text1"/>
        </w:rPr>
      </w:pPr>
      <w:r w:rsidRPr="00F51795">
        <w:rPr>
          <w:rStyle w:val="Emphasis"/>
          <w:vanish w:val="0"/>
          <w:color w:val="000000" w:themeColor="text1"/>
          <w:sz w:val="24"/>
        </w:rPr>
        <w:t>Meeting date and time: May 18, 2016; 3-5 pm</w:t>
      </w:r>
    </w:p>
    <w:p w14:paraId="33EA0FA4" w14:textId="21270E2F"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14:paraId="33EA0FA5" w14:textId="77777777" w:rsidR="00377FA3" w:rsidRPr="00F51795" w:rsidRDefault="00377FA3" w:rsidP="00F51795">
      <w:pPr>
        <w:tabs>
          <w:tab w:val="left" w:pos="-1440"/>
          <w:tab w:val="left" w:pos="-720"/>
        </w:tabs>
        <w:suppressAutoHyphens/>
        <w:ind w:left="540" w:right="558"/>
        <w:rPr>
          <w:color w:val="000000" w:themeColor="text1"/>
        </w:rPr>
      </w:pPr>
    </w:p>
    <w:p w14:paraId="33EA0FA6"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14:paraId="33EA0FA7" w14:textId="77777777" w:rsidR="00377FA3" w:rsidRPr="00F51795" w:rsidRDefault="00377FA3" w:rsidP="00F51795">
      <w:pPr>
        <w:tabs>
          <w:tab w:val="left" w:pos="-1440"/>
          <w:tab w:val="left" w:pos="-720"/>
        </w:tabs>
        <w:suppressAutoHyphens/>
        <w:ind w:left="540" w:right="558"/>
        <w:rPr>
          <w:color w:val="000000" w:themeColor="text1"/>
        </w:rPr>
      </w:pPr>
    </w:p>
    <w:p w14:paraId="33EA0FA8"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As Oregon Administrative Rule 137-001-0030 requires, the presiding officer summarized the content of the rulemaking notice.</w:t>
      </w:r>
    </w:p>
    <w:p w14:paraId="33EA0FA9" w14:textId="77777777" w:rsidR="00377FA3" w:rsidRPr="00F51795" w:rsidRDefault="00377FA3" w:rsidP="00F51795">
      <w:pPr>
        <w:tabs>
          <w:tab w:val="left" w:pos="-1440"/>
          <w:tab w:val="left" w:pos="-720"/>
        </w:tabs>
        <w:suppressAutoHyphens/>
        <w:ind w:left="540" w:right="558"/>
        <w:rPr>
          <w:color w:val="000000" w:themeColor="text1"/>
        </w:rPr>
      </w:pPr>
    </w:p>
    <w:p w14:paraId="33EA0FAA" w14:textId="77777777" w:rsidR="00377FA3" w:rsidRPr="00F51795" w:rsidRDefault="00377FA3" w:rsidP="00F51795">
      <w:pPr>
        <w:tabs>
          <w:tab w:val="left" w:pos="-1440"/>
          <w:tab w:val="left" w:pos="-720"/>
        </w:tabs>
        <w:suppressAutoHyphens/>
        <w:ind w:left="540" w:right="558"/>
        <w:rPr>
          <w:color w:val="000000" w:themeColor="text1"/>
        </w:rPr>
      </w:pPr>
      <w:r w:rsidRPr="00F51795">
        <w:rPr>
          <w:color w:val="000000" w:themeColor="text1"/>
        </w:rPr>
        <w:t>DEQ added all names</w:t>
      </w:r>
      <w:r w:rsidR="00746C81" w:rsidRPr="00F51795">
        <w:rPr>
          <w:color w:val="000000" w:themeColor="text1"/>
        </w:rPr>
        <w:t xml:space="preserve"> and </w:t>
      </w:r>
      <w:r w:rsidRPr="00F51795">
        <w:rPr>
          <w:color w:val="000000" w:themeColor="text1"/>
        </w:rPr>
        <w:t xml:space="preserve">affiliations of </w:t>
      </w:r>
      <w:r w:rsidR="00746C81" w:rsidRPr="00F51795">
        <w:rPr>
          <w:color w:val="000000" w:themeColor="text1"/>
        </w:rPr>
        <w:t xml:space="preserve">hearing </w:t>
      </w:r>
      <w:r w:rsidRPr="00F51795">
        <w:rPr>
          <w:color w:val="000000" w:themeColor="text1"/>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60FC166D" w14:textId="77777777" w:rsidR="00183896" w:rsidRDefault="00183896" w:rsidP="002F0640">
      <w:pPr>
        <w:tabs>
          <w:tab w:val="left" w:pos="-1440"/>
          <w:tab w:val="left" w:pos="-720"/>
        </w:tabs>
        <w:suppressAutoHyphens/>
        <w:ind w:left="450" w:right="558"/>
        <w:rPr>
          <w:color w:val="000000" w:themeColor="text1"/>
          <w:sz w:val="22"/>
          <w:szCs w:val="22"/>
        </w:rPr>
      </w:pPr>
    </w:p>
    <w:p w14:paraId="7AED5908" w14:textId="70B467BB" w:rsidR="00183896" w:rsidRPr="002F0640" w:rsidRDefault="00183896" w:rsidP="0018389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 xml:space="preserve">Public </w:t>
      </w:r>
      <w:r>
        <w:rPr>
          <w:rFonts w:ascii="Arial" w:hAnsi="Arial" w:cs="Arial"/>
          <w:b/>
          <w:color w:val="000000" w:themeColor="text1"/>
          <w:sz w:val="24"/>
          <w:szCs w:val="24"/>
        </w:rPr>
        <w:t>comment period(s)</w:t>
      </w:r>
    </w:p>
    <w:p w14:paraId="7E7D767F" w14:textId="77777777" w:rsidR="00183896" w:rsidRPr="002F0640" w:rsidRDefault="00183896" w:rsidP="00183896">
      <w:pPr>
        <w:rPr>
          <w:sz w:val="22"/>
          <w:szCs w:val="22"/>
        </w:rPr>
      </w:pPr>
    </w:p>
    <w:p w14:paraId="2E37EA3D" w14:textId="55E4AF24" w:rsidR="00183896" w:rsidRPr="00F51795" w:rsidRDefault="00183896" w:rsidP="00183896">
      <w:pPr>
        <w:ind w:left="547" w:right="828"/>
        <w:rPr>
          <w:bCs/>
          <w:color w:val="000000" w:themeColor="text1"/>
        </w:rPr>
      </w:pPr>
      <w:r w:rsidRPr="00F51795">
        <w:rPr>
          <w:bCs/>
          <w:color w:val="000000" w:themeColor="text1"/>
        </w:rPr>
        <w:t>DEQ accepted public comments on the proposed rulemaking during three comment periods: between 15 April and 25 May; 20 June and 08 July; and 07 September and 24 October. A summary of the 49 comments received, DEQ’s responses, and a list of the commenters is available in the following sections. Original comments are on file with DEQ.</w:t>
      </w:r>
    </w:p>
    <w:p w14:paraId="41F54F3B" w14:textId="77777777" w:rsidR="00183896" w:rsidRPr="002F0640" w:rsidRDefault="00183896" w:rsidP="002F0640">
      <w:pPr>
        <w:tabs>
          <w:tab w:val="left" w:pos="-1440"/>
          <w:tab w:val="left" w:pos="-720"/>
        </w:tabs>
        <w:suppressAutoHyphens/>
        <w:ind w:left="450" w:right="558"/>
        <w:rPr>
          <w:color w:val="000000" w:themeColor="text1"/>
          <w:sz w:val="22"/>
          <w:szCs w:val="22"/>
        </w:rPr>
      </w:pP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42D78452" w14:textId="77777777" w:rsidR="00183896" w:rsidRPr="00377FA3" w:rsidRDefault="00183896" w:rsidP="00183896">
      <w:pPr>
        <w:ind w:left="0"/>
        <w:rPr>
          <w:rStyle w:val="Emphasis"/>
        </w:rPr>
        <w:sectPr w:rsidR="00183896"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76AF8829" w14:textId="6A0C2186" w:rsidR="00924404" w:rsidRDefault="00183896" w:rsidP="004646AA">
      <w:pPr>
        <w:ind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14:paraId="33EA0FC7" w14:textId="77777777" w:rsidR="00377FA3" w:rsidRPr="00377FA3" w:rsidRDefault="00377FA3" w:rsidP="00924404">
      <w:pPr>
        <w:ind w:left="0" w:right="630"/>
        <w:rPr>
          <w:bCs/>
          <w:color w:val="000000" w:themeColor="text1"/>
        </w:rPr>
      </w:pPr>
    </w:p>
    <w:p w14:paraId="32412549" w14:textId="147FC737"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sidR="001134E7">
        <w:rPr>
          <w:bCs/>
        </w:rPr>
        <w:t>General response to</w:t>
      </w:r>
      <w:r>
        <w:rPr>
          <w:bCs/>
        </w:rPr>
        <w:t xml:space="preserve"> DEQ</w:t>
      </w:r>
      <w:r w:rsidR="001134E7">
        <w:rPr>
          <w:bCs/>
        </w:rPr>
        <w:t>’s</w:t>
      </w:r>
      <w:r>
        <w:rPr>
          <w:bCs/>
        </w:rPr>
        <w:t xml:space="preserve"> </w:t>
      </w:r>
      <w:r w:rsidR="001134E7">
        <w:rPr>
          <w:bCs/>
        </w:rPr>
        <w:t xml:space="preserve">substantive goal of </w:t>
      </w:r>
      <w:r w:rsidR="002445EE">
        <w:rPr>
          <w:bCs/>
        </w:rPr>
        <w:t xml:space="preserve">preventing the transfer of non-indigenous species to Oregon </w:t>
      </w:r>
      <w:r>
        <w:rPr>
          <w:bCs/>
        </w:rPr>
        <w:t xml:space="preserve">by </w:t>
      </w:r>
      <w:r w:rsidR="00FD45D3">
        <w:rPr>
          <w:bCs/>
        </w:rPr>
        <w:t>maintaining</w:t>
      </w:r>
      <w:r>
        <w:rPr>
          <w:bCs/>
        </w:rPr>
        <w:t xml:space="preserve"> ballast water exchange </w:t>
      </w:r>
      <w:r w:rsidR="002445EE">
        <w:rPr>
          <w:bCs/>
        </w:rPr>
        <w:t>requirements</w:t>
      </w:r>
      <w:r w:rsidR="00FD45D3">
        <w:rPr>
          <w:bCs/>
        </w:rPr>
        <w:t xml:space="preserve"> (under 340-143-0050(2))</w:t>
      </w:r>
      <w:r w:rsidR="00787916">
        <w:rPr>
          <w:bCs/>
        </w:rPr>
        <w:t xml:space="preserve">, </w:t>
      </w:r>
      <w:r>
        <w:rPr>
          <w:bCs/>
        </w:rPr>
        <w:t xml:space="preserve">in addition to </w:t>
      </w:r>
      <w:r w:rsidR="00FD45D3">
        <w:rPr>
          <w:bCs/>
        </w:rPr>
        <w:t xml:space="preserve">implementation of </w:t>
      </w:r>
      <w:r>
        <w:rPr>
          <w:bCs/>
        </w:rPr>
        <w:t>new federal ballast water discharge standards</w:t>
      </w:r>
      <w:r w:rsidR="00787916">
        <w:rPr>
          <w:bCs/>
        </w:rPr>
        <w:t xml:space="preserve"> </w:t>
      </w:r>
      <w:r w:rsidR="00FD45D3">
        <w:rPr>
          <w:bCs/>
        </w:rPr>
        <w:t>that require the use of shipboard ballast water treatment systems</w:t>
      </w:r>
      <w:r>
        <w:rPr>
          <w:bCs/>
        </w:rPr>
        <w:t>.</w:t>
      </w:r>
    </w:p>
    <w:p w14:paraId="0B8944BA" w14:textId="49308FEF" w:rsidR="00396E80" w:rsidRDefault="00396E80" w:rsidP="00F35AE7">
      <w:pPr>
        <w:tabs>
          <w:tab w:val="left" w:pos="1080"/>
        </w:tabs>
        <w:ind w:left="1080" w:right="634"/>
      </w:pPr>
      <w:r>
        <w:tab/>
      </w:r>
    </w:p>
    <w:p w14:paraId="670E9857" w14:textId="7D9FB9CC"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14:paraId="35F756B2" w14:textId="77777777" w:rsidR="00A71647" w:rsidRPr="00305BDC" w:rsidRDefault="00A71647" w:rsidP="00F35AE7">
      <w:pPr>
        <w:tabs>
          <w:tab w:val="left" w:pos="1080"/>
        </w:tabs>
        <w:ind w:left="1080" w:right="634"/>
        <w:rPr>
          <w:highlight w:val="yellow"/>
        </w:rPr>
      </w:pPr>
    </w:p>
    <w:p w14:paraId="790AC64D" w14:textId="7C5852CD"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1,2,3,5,6,7,8,9,10,11,12,13,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14:paraId="23BA200A" w14:textId="77777777" w:rsidR="00A71647" w:rsidRPr="002B5E54" w:rsidRDefault="00A71647" w:rsidP="00F35AE7">
      <w:pPr>
        <w:tabs>
          <w:tab w:val="left" w:pos="1080"/>
        </w:tabs>
        <w:ind w:left="1080" w:right="634"/>
      </w:pPr>
    </w:p>
    <w:p w14:paraId="366BDF66" w14:textId="3C3BBBF2" w:rsidR="00A71647" w:rsidRPr="002B5E54" w:rsidRDefault="00A71647" w:rsidP="00F35AE7">
      <w:pPr>
        <w:tabs>
          <w:tab w:val="left" w:pos="1080"/>
        </w:tabs>
        <w:ind w:left="108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 xml:space="preserve">unwarranted at this time and have questioned whether sufficient proof exists to demonstrate that it will have appreciable benefits.  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14:paraId="36F8EA18" w14:textId="77777777" w:rsidR="00A71647" w:rsidRPr="00305BDC" w:rsidRDefault="00A71647" w:rsidP="00A71647">
      <w:pPr>
        <w:tabs>
          <w:tab w:val="left" w:pos="2700"/>
        </w:tabs>
        <w:ind w:left="2700" w:right="634"/>
        <w:rPr>
          <w:highlight w:val="yellow"/>
        </w:rPr>
      </w:pPr>
    </w:p>
    <w:p w14:paraId="023EE595" w14:textId="1E24954A" w:rsidR="00895341" w:rsidRDefault="00C3461A" w:rsidP="00C52D93">
      <w:pPr>
        <w:pStyle w:val="ListParagraph"/>
        <w:tabs>
          <w:tab w:val="left" w:pos="2700"/>
        </w:tabs>
        <w:ind w:left="1080" w:right="634"/>
        <w:rPr>
          <w:bCs/>
        </w:rPr>
      </w:pPr>
      <w:r w:rsidRPr="00BE0FF3">
        <w:rPr>
          <w:b/>
          <w:bCs/>
        </w:rPr>
        <w:t>Response:</w:t>
      </w:r>
      <w:r w:rsidR="00396E80" w:rsidRPr="00BE0FF3">
        <w:rPr>
          <w:b/>
          <w:bCs/>
        </w:rPr>
        <w:tab/>
      </w:r>
      <w:r w:rsidR="002B5E54"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 xml:space="preserve">has proven to be a valuable strategy for preventing the transfer of aquatic invasive species – particularly when ballast is being transferred from low-salinity source conditions to </w:t>
      </w:r>
      <w:r w:rsidR="00872185">
        <w:rPr>
          <w:bCs/>
        </w:rPr>
        <w:t xml:space="preserve">low-salinity ports.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 and the significant decline in introduction of new non-indigenous species is largely due to these management efforts.  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BE0FF3">
        <w:rPr>
          <w:bCs/>
        </w:rPr>
        <w:t xml:space="preserve">  </w:t>
      </w:r>
    </w:p>
    <w:p w14:paraId="38295AAC" w14:textId="77777777" w:rsidR="00895341" w:rsidRDefault="00895341" w:rsidP="00C52D93">
      <w:pPr>
        <w:pStyle w:val="ListParagraph"/>
        <w:tabs>
          <w:tab w:val="left" w:pos="2700"/>
        </w:tabs>
        <w:ind w:left="1080" w:right="634"/>
        <w:rPr>
          <w:bCs/>
        </w:rPr>
      </w:pPr>
    </w:p>
    <w:p w14:paraId="524F0F8B" w14:textId="55C255CF" w:rsidR="00BE0FF3" w:rsidRDefault="00BE0FF3" w:rsidP="00C52D93">
      <w:pPr>
        <w:pStyle w:val="ListParagraph"/>
        <w:tabs>
          <w:tab w:val="left" w:pos="2700"/>
        </w:tabs>
        <w:ind w:left="1080" w:right="634"/>
        <w:rPr>
          <w:bCs/>
        </w:rPr>
      </w:pPr>
      <w:r>
        <w:rPr>
          <w:bCs/>
        </w:rPr>
        <w:t xml:space="preserve">Although </w:t>
      </w:r>
      <w:r w:rsidR="00E23897">
        <w:rPr>
          <w:bCs/>
        </w:rPr>
        <w:t xml:space="preserve">DEQ believes that </w:t>
      </w:r>
      <w:r>
        <w:rPr>
          <w:bCs/>
        </w:rPr>
        <w:t xml:space="preserve">the </w:t>
      </w:r>
      <w:r w:rsidR="00E23897">
        <w:rPr>
          <w:bCs/>
        </w:rPr>
        <w:t>implementation</w:t>
      </w:r>
      <w:r>
        <w:rPr>
          <w:bCs/>
        </w:rPr>
        <w:t xml:space="preserve"> of numeric discharge standards promises to eventually provide a more standardized and protective one-size-fits-all </w:t>
      </w:r>
      <w:r w:rsidR="00E23897">
        <w:rPr>
          <w:bCs/>
        </w:rPr>
        <w:t xml:space="preserve">ballast </w:t>
      </w:r>
      <w:r>
        <w:rPr>
          <w:bCs/>
        </w:rPr>
        <w:t xml:space="preserve">management strategy, </w:t>
      </w:r>
      <w:r w:rsidR="00E23897">
        <w:rPr>
          <w:bCs/>
        </w:rPr>
        <w:t>the Department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 xml:space="preserve">we are concerned that </w:t>
      </w:r>
      <w:r w:rsidR="00701A8C">
        <w:rPr>
          <w:bCs/>
        </w:rPr>
        <w:lastRenderedPageBreak/>
        <w:t xml:space="preserve">some of the current best-available treatment systems have not been adequately tested for all environmental conditions </w:t>
      </w:r>
      <w:r w:rsidR="00895341">
        <w:rPr>
          <w:bCs/>
        </w:rPr>
        <w:t>(including low-salinity</w:t>
      </w:r>
      <w:r w:rsidR="00701A8C">
        <w:rPr>
          <w:bCs/>
        </w:rPr>
        <w:t xml:space="preserve"> and high-turbidity</w:t>
      </w:r>
      <w:r w:rsidR="00895341">
        <w:rPr>
          <w:bCs/>
        </w:rPr>
        <w:t>)</w:t>
      </w:r>
      <w:r w:rsidR="00701A8C">
        <w:rPr>
          <w:bCs/>
        </w:rPr>
        <w:t xml:space="preserve">.  Also, the reliability of first-generation technology to perform consistently and under heavy use operational conditions in the marine environment has not been verified.  In order to provide adequate protection against the threat of AIS during this </w:t>
      </w:r>
      <w:r w:rsidR="00E76ACE">
        <w:rPr>
          <w:bCs/>
        </w:rPr>
        <w:t>transition towards a new management paradigm (prompted by new federal policies) Because</w:t>
      </w:r>
      <w:r w:rsidR="00701A8C">
        <w:rPr>
          <w:bCs/>
        </w:rPr>
        <w:t xml:space="preserve"> Oregon port conditions where ballast discharge routinely oc</w:t>
      </w:r>
      <w:r w:rsidR="00E76ACE">
        <w:rPr>
          <w:bCs/>
        </w:rPr>
        <w:t xml:space="preserve">curs is primarily low-salinity – and because </w:t>
      </w:r>
      <w:r w:rsidR="00701A8C">
        <w:rPr>
          <w:bCs/>
        </w:rPr>
        <w:t xml:space="preserve">‘exchange + treatment’ has </w:t>
      </w:r>
      <w:r w:rsidR="00E76ACE">
        <w:rPr>
          <w:bCs/>
        </w:rPr>
        <w:t>been adopted by other jurisdictions and shown to be a practicable solution to ensure environmental protection of low-salinity ports – DEQ recommends that EQC adopt these rules as a temporary measure until treatment system efficacy can be enhanced and verified.</w:t>
      </w:r>
    </w:p>
    <w:p w14:paraId="2488A3EF" w14:textId="77777777" w:rsidR="00C52D93" w:rsidRPr="00701A8C" w:rsidRDefault="00C52D93" w:rsidP="00701A8C">
      <w:pPr>
        <w:tabs>
          <w:tab w:val="left" w:pos="2700"/>
        </w:tabs>
        <w:ind w:left="0" w:right="634"/>
        <w:rPr>
          <w:bCs/>
        </w:rPr>
      </w:pPr>
    </w:p>
    <w:p w14:paraId="1A283208" w14:textId="18DE93DF" w:rsidR="00872185" w:rsidRDefault="00C52D93" w:rsidP="00C52D93">
      <w:pPr>
        <w:pStyle w:val="ListParagraph"/>
        <w:tabs>
          <w:tab w:val="left" w:pos="2700"/>
        </w:tabs>
        <w:ind w:left="1080" w:right="634"/>
        <w:rPr>
          <w:bCs/>
        </w:rPr>
      </w:pPr>
      <w:r>
        <w:rPr>
          <w:bCs/>
        </w:rPr>
        <w:t xml:space="preserve">DEQ disagrees with </w:t>
      </w:r>
      <w:r w:rsidR="00DB6F90">
        <w:rPr>
          <w:bCs/>
        </w:rPr>
        <w:t>commenters #4, 15 and 16</w:t>
      </w:r>
      <w:r>
        <w:rPr>
          <w:bCs/>
        </w:rPr>
        <w:t xml:space="preserve"> suggestion that </w:t>
      </w:r>
      <w:r w:rsidR="00662A2F">
        <w:rPr>
          <w:bCs/>
        </w:rPr>
        <w:t>‘exchange + treatment’</w:t>
      </w:r>
      <w:r>
        <w:rPr>
          <w:bCs/>
        </w:rPr>
        <w:t xml:space="preserve"> is unwarranted for protecting Oregon waters at this time</w:t>
      </w:r>
      <w:r w:rsidR="009441E0">
        <w:rPr>
          <w:bCs/>
        </w:rPr>
        <w:t xml:space="preserve">.  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  </w:t>
      </w:r>
      <w:r w:rsidR="00367527">
        <w:rPr>
          <w:bCs/>
        </w:rPr>
        <w:t xml:space="preserve">DEQ continues to be concerned about the use of first-generation systems under a discharge standard threshold that is less protective than desired.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14:paraId="07EFC14C" w14:textId="04B1041C" w:rsidR="00872185" w:rsidRPr="00872185" w:rsidRDefault="00872185" w:rsidP="00872185">
      <w:pPr>
        <w:pStyle w:val="ListParagraph"/>
        <w:tabs>
          <w:tab w:val="left" w:pos="2700"/>
        </w:tabs>
        <w:ind w:left="1080" w:right="634"/>
        <w:rPr>
          <w:bCs/>
        </w:rPr>
      </w:pPr>
      <w:r>
        <w:rPr>
          <w:bCs/>
        </w:rPr>
        <w:t xml:space="preserve">DEQ </w:t>
      </w:r>
      <w:r w:rsidR="00662A2F">
        <w:rPr>
          <w:bCs/>
        </w:rPr>
        <w:t>also disagrees</w:t>
      </w:r>
      <w:r>
        <w:rPr>
          <w:bCs/>
        </w:rPr>
        <w:t xml:space="preserve"> with </w:t>
      </w:r>
      <w:r w:rsidR="00662A2F">
        <w:rPr>
          <w:bCs/>
        </w:rPr>
        <w:t>these commenter’s</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 xml:space="preserve">.  </w:t>
      </w:r>
      <w:r w:rsidR="00367527">
        <w:rPr>
          <w:bCs/>
        </w:rPr>
        <w:t xml:space="preserve">Based on new scientific studies that only support (and not refute) the value of ‘exchange + treatment’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 xml:space="preserve">.  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 adoption of these rules.  </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547EB4A6"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742BDE">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sidR="00742BDE">
        <w:rPr>
          <w:bCs/>
        </w:rPr>
        <w:t>‘exchange + treatment’</w:t>
      </w:r>
      <w:r w:rsidR="00D927AF">
        <w:rPr>
          <w:bCs/>
        </w:rPr>
        <w:t xml:space="preserve"> proposal under 340-143-0050(2)</w:t>
      </w:r>
      <w:r w:rsidR="00742BDE">
        <w:rPr>
          <w:bCs/>
        </w:rPr>
        <w:t>.</w:t>
      </w:r>
    </w:p>
    <w:p w14:paraId="52612094" w14:textId="77777777" w:rsidR="00F35AE7" w:rsidRDefault="00F35AE7" w:rsidP="00F35AE7">
      <w:pPr>
        <w:tabs>
          <w:tab w:val="left" w:pos="1080"/>
        </w:tabs>
        <w:ind w:left="1080" w:right="634"/>
      </w:pPr>
      <w:r>
        <w:tab/>
      </w:r>
    </w:p>
    <w:p w14:paraId="732B9D1D" w14:textId="230CEB69" w:rsidR="00F35AE7" w:rsidRPr="00305BDC" w:rsidRDefault="00427309" w:rsidP="00F35AE7">
      <w:pPr>
        <w:tabs>
          <w:tab w:val="left" w:pos="1080"/>
        </w:tabs>
        <w:ind w:left="108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B374915" w14:textId="77777777" w:rsidR="00F35AE7" w:rsidRPr="00305BDC" w:rsidRDefault="00F35AE7" w:rsidP="00F35AE7">
      <w:pPr>
        <w:tabs>
          <w:tab w:val="left" w:pos="1080"/>
        </w:tabs>
        <w:ind w:left="1080" w:right="634"/>
        <w:rPr>
          <w:highlight w:val="yellow"/>
        </w:rPr>
      </w:pPr>
    </w:p>
    <w:p w14:paraId="42FBAC08" w14:textId="3864BDA2" w:rsidR="00F35AE7" w:rsidRPr="00FE06C7" w:rsidRDefault="00F35AE7" w:rsidP="00F35AE7">
      <w:pPr>
        <w:tabs>
          <w:tab w:val="left" w:pos="1080"/>
        </w:tabs>
        <w:ind w:left="108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This alternative model for </w:t>
      </w:r>
      <w:r w:rsidR="003C7012">
        <w:rPr>
          <w:bCs/>
        </w:rPr>
        <w:t xml:space="preserve">‘exchange + treatment’ </w:t>
      </w:r>
      <w:r w:rsidR="00BE60A7" w:rsidRPr="00FE06C7">
        <w:t>implementation has been adopted by various states under their 401 certification conditions to the 2013 EPA Vessel General Permit</w:t>
      </w:r>
      <w:r w:rsidR="00FE06C7" w:rsidRPr="00FE06C7">
        <w:t xml:space="preserve"> (MA, MI, MN, NY, RI, and WI)</w:t>
      </w:r>
      <w:r w:rsidR="00BE60A7" w:rsidRPr="00FE06C7">
        <w:t>, and these commenters suggest a comparable strategy should be adopted by Oregon.</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14:paraId="4C037D0E" w14:textId="77777777" w:rsidR="00F35AE7" w:rsidRPr="00305BDC" w:rsidRDefault="00F35AE7" w:rsidP="00F35AE7">
      <w:pPr>
        <w:tabs>
          <w:tab w:val="left" w:pos="1080"/>
        </w:tabs>
        <w:ind w:left="1080" w:right="634"/>
        <w:rPr>
          <w:highlight w:val="yellow"/>
        </w:rPr>
      </w:pPr>
    </w:p>
    <w:p w14:paraId="3CE16D3C" w14:textId="18C37BB1" w:rsidR="00F35AE7" w:rsidRPr="00D927AF" w:rsidRDefault="00F35AE7" w:rsidP="00F35AE7">
      <w:pPr>
        <w:tabs>
          <w:tab w:val="left" w:pos="1080"/>
        </w:tabs>
        <w:ind w:left="108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established </w:t>
      </w:r>
      <w:r w:rsidR="00FE06C7">
        <w:t>by EPA under the 2013</w:t>
      </w:r>
      <w:r w:rsidR="00D927AF" w:rsidRPr="00D927AF">
        <w:t xml:space="preserve"> Vessel General Permit for vessels voyaging into the Great Lakes.</w:t>
      </w:r>
    </w:p>
    <w:p w14:paraId="2F2866E6" w14:textId="77777777" w:rsidR="00F35AE7" w:rsidRPr="00305BDC" w:rsidRDefault="00F35AE7" w:rsidP="00F35AE7">
      <w:pPr>
        <w:tabs>
          <w:tab w:val="left" w:pos="2700"/>
        </w:tabs>
        <w:ind w:left="2700" w:right="634"/>
        <w:rPr>
          <w:highlight w:val="yellow"/>
        </w:rPr>
      </w:pPr>
    </w:p>
    <w:p w14:paraId="3C003FB3" w14:textId="0CF64CB4" w:rsidR="00F35AE7" w:rsidRDefault="00F35AE7" w:rsidP="00F35AE7">
      <w:pPr>
        <w:pStyle w:val="ListParagraph"/>
        <w:tabs>
          <w:tab w:val="left" w:pos="2700"/>
        </w:tabs>
        <w:ind w:left="1080" w:right="634"/>
        <w:rPr>
          <w:bCs/>
        </w:rPr>
      </w:pPr>
      <w:r w:rsidRPr="00C52D93">
        <w:rPr>
          <w:b/>
          <w:bCs/>
        </w:rPr>
        <w:t>Response:</w:t>
      </w:r>
      <w:r w:rsidRPr="00C52D93">
        <w:rPr>
          <w:b/>
          <w:bCs/>
        </w:rPr>
        <w:tab/>
      </w: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  </w:t>
      </w:r>
    </w:p>
    <w:p w14:paraId="66C4A036" w14:textId="77777777" w:rsidR="00F35AE7" w:rsidRDefault="00F35AE7" w:rsidP="00F35AE7">
      <w:pPr>
        <w:pStyle w:val="ListParagraph"/>
        <w:tabs>
          <w:tab w:val="left" w:pos="2700"/>
        </w:tabs>
        <w:ind w:left="1080" w:right="634"/>
        <w:rPr>
          <w:bCs/>
        </w:rPr>
      </w:pPr>
    </w:p>
    <w:p w14:paraId="70988E11" w14:textId="1198FE48"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742BDE">
        <w:rPr>
          <w:bCs/>
        </w:rPr>
        <w:t>Identifying criteria of the receiving environment (e.g. geographic location, salinity threshold, etc.) that is used to determine</w:t>
      </w:r>
      <w:r w:rsidR="00FE06C7">
        <w:rPr>
          <w:bCs/>
        </w:rPr>
        <w:t xml:space="preserve"> </w:t>
      </w:r>
      <w:r w:rsidR="00742BDE">
        <w:rPr>
          <w:bCs/>
        </w:rPr>
        <w:t xml:space="preserve">whether ‘exchange + treatment’ requirements </w:t>
      </w:r>
      <w:r w:rsidR="00FE06C7">
        <w:rPr>
          <w:bCs/>
        </w:rPr>
        <w:t>propos</w:t>
      </w:r>
      <w:r w:rsidR="00742BDE">
        <w:rPr>
          <w:bCs/>
        </w:rPr>
        <w:t xml:space="preserve">ed </w:t>
      </w:r>
      <w:r w:rsidR="00FE06C7">
        <w:rPr>
          <w:bCs/>
        </w:rPr>
        <w:t xml:space="preserve">under 340-143-0050(2) </w:t>
      </w:r>
      <w:r w:rsidR="00742BDE">
        <w:rPr>
          <w:bCs/>
        </w:rPr>
        <w:t xml:space="preserve">are required </w:t>
      </w:r>
      <w:r w:rsidR="006B249A">
        <w:rPr>
          <w:bCs/>
        </w:rPr>
        <w:t xml:space="preserve">prior to the discharge </w:t>
      </w:r>
      <w:r w:rsidR="00742BDE">
        <w:rPr>
          <w:bCs/>
        </w:rPr>
        <w:t>of ballast water.</w:t>
      </w:r>
    </w:p>
    <w:p w14:paraId="278F0C6D" w14:textId="77777777" w:rsidR="00F35AE7" w:rsidRDefault="00F35AE7" w:rsidP="00F35AE7">
      <w:pPr>
        <w:tabs>
          <w:tab w:val="left" w:pos="1080"/>
        </w:tabs>
        <w:ind w:left="1080" w:right="634"/>
      </w:pPr>
      <w:r>
        <w:tab/>
      </w:r>
    </w:p>
    <w:p w14:paraId="35DC7AF4" w14:textId="155B6CDA"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14:paraId="5BE116A8" w14:textId="77777777" w:rsidR="00A518D2" w:rsidRDefault="00A518D2" w:rsidP="00A518D2">
      <w:pPr>
        <w:tabs>
          <w:tab w:val="left" w:pos="1080"/>
        </w:tabs>
        <w:ind w:left="0" w:right="634"/>
      </w:pPr>
    </w:p>
    <w:p w14:paraId="66FCB7DD" w14:textId="4C007053" w:rsidR="00F35AE7" w:rsidRPr="00652F9A" w:rsidRDefault="00F35AE7" w:rsidP="00F35AE7">
      <w:pPr>
        <w:tabs>
          <w:tab w:val="left" w:pos="1080"/>
        </w:tabs>
        <w:ind w:left="108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6B249A">
        <w:t xml:space="preserve">within waters of the state where </w:t>
      </w:r>
      <w:r w:rsidR="00742BDE">
        <w:rPr>
          <w:bCs/>
        </w:rPr>
        <w:t xml:space="preserve">‘exchange + treatment’ </w:t>
      </w:r>
      <w:r w:rsidR="00C656F5">
        <w:t>requirement</w:t>
      </w:r>
      <w:r w:rsidR="006B249A">
        <w:t>s may apply</w:t>
      </w:r>
      <w:r w:rsidR="00652F9A">
        <w:t xml:space="preserve">.  </w:t>
      </w:r>
      <w:r w:rsidR="00742BDE">
        <w:t>Rather than</w:t>
      </w:r>
      <w:r w:rsidR="006B249A">
        <w:t xml:space="preserve"> applying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14:paraId="0826882F" w14:textId="77777777" w:rsidR="00F35AE7" w:rsidRPr="00305BDC" w:rsidRDefault="00F35AE7" w:rsidP="00F35AE7">
      <w:pPr>
        <w:tabs>
          <w:tab w:val="left" w:pos="1080"/>
        </w:tabs>
        <w:ind w:left="1080" w:right="634"/>
        <w:rPr>
          <w:highlight w:val="yellow"/>
        </w:rPr>
      </w:pPr>
    </w:p>
    <w:p w14:paraId="49431FF5" w14:textId="656E31A6" w:rsidR="00F35AE7" w:rsidRPr="00305BDC" w:rsidRDefault="00F35AE7" w:rsidP="00F35AE7">
      <w:pPr>
        <w:tabs>
          <w:tab w:val="left" w:pos="1080"/>
        </w:tabs>
        <w:ind w:left="1080" w:right="634"/>
        <w:rPr>
          <w:highlight w:val="yellow"/>
        </w:rPr>
      </w:pPr>
      <w:r w:rsidRPr="00094DE5">
        <w:t>Commenter #</w:t>
      </w:r>
      <w:r w:rsidR="00094DE5" w:rsidRPr="00094DE5">
        <w:t>1</w:t>
      </w:r>
      <w:r w:rsidR="00AD2FCB">
        <w:t>,2,9</w:t>
      </w:r>
      <w:r w:rsidR="00094DE5" w:rsidRPr="00094DE5">
        <w:t xml:space="preserve"> and 13 </w:t>
      </w:r>
      <w:r w:rsidR="00A518D2">
        <w:t>generally indicate a</w:t>
      </w:r>
      <w:r w:rsidR="00AD2FCB" w:rsidRPr="00AD2FCB">
        <w:t xml:space="preserve"> preference for applying BWE+BWT requirements to all ballast discharge to Oregon, regardless of receiving port salinity conditions.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14:paraId="2F2DCC47" w14:textId="77777777" w:rsidR="00F35AE7" w:rsidRPr="00305BDC" w:rsidRDefault="00F35AE7" w:rsidP="00F35AE7">
      <w:pPr>
        <w:tabs>
          <w:tab w:val="left" w:pos="2700"/>
        </w:tabs>
        <w:ind w:left="2700" w:right="634"/>
        <w:rPr>
          <w:highlight w:val="yellow"/>
        </w:rPr>
      </w:pPr>
    </w:p>
    <w:p w14:paraId="00006427" w14:textId="6C1C4F92" w:rsidR="00582F06" w:rsidRDefault="00F35AE7" w:rsidP="0054311C">
      <w:pPr>
        <w:tabs>
          <w:tab w:val="left" w:pos="1080"/>
        </w:tabs>
        <w:ind w:left="1080" w:right="634"/>
        <w:rPr>
          <w:bCs/>
        </w:rPr>
      </w:pPr>
      <w:r w:rsidRPr="00582F06">
        <w:rPr>
          <w:b/>
          <w:bCs/>
        </w:rPr>
        <w:t>Response:</w:t>
      </w:r>
      <w:r w:rsidRPr="00582F06">
        <w:rPr>
          <w:b/>
          <w:bCs/>
        </w:rPr>
        <w:tab/>
      </w:r>
      <w:r w:rsidR="0020612E"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 xml:space="preserve">that are deemed to exhibit low-salinity surface water conditions during some if not all of the year.  Therefore, defining greater specificity of locations within the state subject to the rule (either by river mile of major ports or by salinity threshold) is expected to have little to no </w:t>
      </w:r>
      <w:r w:rsidR="00727B97">
        <w:t>effect</w:t>
      </w:r>
      <w:r w:rsidR="00582F06">
        <w:t xml:space="preserve"> on the amount of ballast discharge that may be subject to the </w:t>
      </w:r>
      <w:r w:rsidR="00582F06">
        <w:rPr>
          <w:bCs/>
        </w:rPr>
        <w:t xml:space="preserve">‘exchange + treatment’ proposal.  </w:t>
      </w:r>
      <w:r w:rsidR="00986469">
        <w:rPr>
          <w:bCs/>
        </w:rPr>
        <w:t>Because the difference in approaches is semantic, the proposed rule language was preferred by DEQ for clarity and simplicity of communication and outreach.</w:t>
      </w:r>
    </w:p>
    <w:p w14:paraId="171F74B2" w14:textId="77777777" w:rsidR="00582F06" w:rsidRDefault="00582F06" w:rsidP="0054311C">
      <w:pPr>
        <w:tabs>
          <w:tab w:val="left" w:pos="1080"/>
        </w:tabs>
        <w:ind w:left="1080" w:right="634"/>
        <w:rPr>
          <w:bCs/>
          <w:highlight w:val="yellow"/>
        </w:rPr>
      </w:pPr>
    </w:p>
    <w:p w14:paraId="7757E1C1" w14:textId="32B2B29D" w:rsidR="0054311C" w:rsidRPr="00B047CE" w:rsidRDefault="003C7012" w:rsidP="0054311C">
      <w:pPr>
        <w:tabs>
          <w:tab w:val="left" w:pos="1080"/>
        </w:tabs>
        <w:ind w:left="108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  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  The Columbia </w:t>
      </w:r>
      <w:r w:rsidR="00727B97">
        <w:rPr>
          <w:bCs/>
        </w:rPr>
        <w:lastRenderedPageBreak/>
        <w:t xml:space="preserve">River has low-salinity surface water conditions out to the mouth and beyond (at least during ebb-tide conditions) throughout the year.  Coos Bay surface waters exhibit </w:t>
      </w:r>
      <w:r w:rsidR="00960D68">
        <w:rPr>
          <w:bCs/>
        </w:rPr>
        <w:t xml:space="preserve">low-salinity conditions out to the mouth under some ebb tide conditions during heavy river flow conditions, but routinely are low-salinity in the mid-to-upper bay locations where most vessel terminals and ballast discharge occur.  In light of proposals to re-open the international terminal in Yaquina Bay (which may result in new ballast discharge activity from regulated vessels) and the fact that tidal and seasonal variability produce low-salinity conditions through much of the year,  the revised rule would also require ‘exchange + treatment’ for vessels that are transporting low-salinity ballast to that port.  </w:t>
      </w:r>
      <w:r w:rsidR="00C17229">
        <w:rPr>
          <w:bCs/>
        </w:rPr>
        <w:t>Although fixed locations defined by river mile (as suggested by commenters #4, 15, and 16) provide additional clarity, DEQ found that salinity values fluctuate substantially at these locations and as such it would be arbitrary with respect to environmental protection intent of the rule.  In addition, DEQ found that establishing the criteria based on receiving environment salinity at the time of discharge (as suggested by commenter #1) would result in additional and unnecessary potential for confusion and uncertainty by vessel operators to determine whether or not the ‘exchange + treatment’ rule applied to their ballast discharge events.</w:t>
      </w:r>
    </w:p>
    <w:p w14:paraId="20431774" w14:textId="77777777" w:rsidR="00F35AE7" w:rsidRDefault="00F35AE7" w:rsidP="00F35AE7">
      <w:pPr>
        <w:pStyle w:val="ListParagraph"/>
        <w:tabs>
          <w:tab w:val="left" w:pos="2700"/>
        </w:tabs>
        <w:ind w:left="1080" w:right="634"/>
        <w:rPr>
          <w:bCs/>
        </w:rPr>
      </w:pPr>
    </w:p>
    <w:p w14:paraId="7A969282" w14:textId="6FE26F36"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w:t>
      </w:r>
      <w:r w:rsidR="0020612E">
        <w:rPr>
          <w:bCs/>
        </w:rPr>
        <w:t xml:space="preserve">changes to the proposed rule </w:t>
      </w:r>
      <w:r w:rsidR="00305BDC">
        <w:rPr>
          <w:bCs/>
        </w:rPr>
        <w:t xml:space="preserve">that are technical or </w:t>
      </w:r>
      <w:r w:rsidR="0020612E">
        <w:rPr>
          <w:bCs/>
        </w:rPr>
        <w:t>editorial</w:t>
      </w:r>
      <w:r w:rsidR="00305BDC">
        <w:rPr>
          <w:bCs/>
        </w:rPr>
        <w:t xml:space="preserve"> in nature aimed at greater clarity of the </w:t>
      </w:r>
      <w:r w:rsidR="0095653C">
        <w:rPr>
          <w:bCs/>
        </w:rPr>
        <w:t>final rule.</w:t>
      </w:r>
    </w:p>
    <w:p w14:paraId="7D7F7A56" w14:textId="77777777" w:rsidR="00F35AE7" w:rsidRDefault="00F35AE7" w:rsidP="00F35AE7">
      <w:pPr>
        <w:tabs>
          <w:tab w:val="left" w:pos="1080"/>
        </w:tabs>
        <w:ind w:left="1080" w:right="634"/>
      </w:pPr>
      <w:r>
        <w:tab/>
      </w:r>
    </w:p>
    <w:p w14:paraId="76D62E5E" w14:textId="050B18F8" w:rsidR="00F35AE7" w:rsidRDefault="00F35AE7" w:rsidP="0095653C">
      <w:pPr>
        <w:tabs>
          <w:tab w:val="left" w:pos="1080"/>
        </w:tabs>
        <w:ind w:left="108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4E67E6E" w14:textId="77777777" w:rsidR="0065293D" w:rsidRDefault="0065293D" w:rsidP="0095653C">
      <w:pPr>
        <w:tabs>
          <w:tab w:val="left" w:pos="1080"/>
        </w:tabs>
        <w:ind w:left="1080" w:right="634"/>
      </w:pPr>
    </w:p>
    <w:p w14:paraId="498D2EFB" w14:textId="0D400F3B" w:rsidR="0065293D" w:rsidRDefault="0065293D" w:rsidP="0095653C">
      <w:pPr>
        <w:tabs>
          <w:tab w:val="left" w:pos="1080"/>
        </w:tabs>
        <w:ind w:left="108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  Also, commenter made sentence structure suggestion related to ‘vessel operators unable to verify ballast salinity’ to OAR 340-143-0050(2) for clarity and consistency with similar language proposed under OAR 340-143-0010(3).</w:t>
      </w:r>
    </w:p>
    <w:p w14:paraId="2EFB2ABA" w14:textId="77777777" w:rsidR="0065293D" w:rsidRDefault="0065293D" w:rsidP="0095653C">
      <w:pPr>
        <w:tabs>
          <w:tab w:val="left" w:pos="1080"/>
        </w:tabs>
        <w:ind w:left="1080" w:right="634"/>
      </w:pPr>
    </w:p>
    <w:p w14:paraId="2BD8B9B7" w14:textId="04C17C2B" w:rsidR="0065293D" w:rsidRPr="0095653C" w:rsidRDefault="0065293D" w:rsidP="0095653C">
      <w:pPr>
        <w:tabs>
          <w:tab w:val="left" w:pos="1080"/>
        </w:tabs>
        <w:ind w:left="1080" w:right="634"/>
      </w:pPr>
      <w:r>
        <w:t>Commenter #10 provided word choice and sentence structure suggestions includin</w:t>
      </w:r>
      <w:r w:rsidR="007B5794">
        <w:t>g: using ‘must’ rather than ‘shall’; using ‘before’ rather than ‘prior to’</w:t>
      </w:r>
      <w:r w:rsidR="00E342D2">
        <w:t>.</w:t>
      </w:r>
    </w:p>
    <w:p w14:paraId="076B4730" w14:textId="77777777" w:rsidR="00F35AE7" w:rsidRPr="00305BDC" w:rsidRDefault="00F35AE7" w:rsidP="00F35AE7">
      <w:pPr>
        <w:tabs>
          <w:tab w:val="left" w:pos="2700"/>
        </w:tabs>
        <w:ind w:left="2700" w:right="634"/>
        <w:rPr>
          <w:highlight w:val="yellow"/>
        </w:rPr>
      </w:pPr>
    </w:p>
    <w:p w14:paraId="3996BC5A" w14:textId="189326D4" w:rsidR="00F35AE7" w:rsidRDefault="00F35AE7" w:rsidP="00F35AE7">
      <w:pPr>
        <w:pStyle w:val="ListParagraph"/>
        <w:tabs>
          <w:tab w:val="left" w:pos="2700"/>
        </w:tabs>
        <w:ind w:left="1080" w:right="634"/>
        <w:rPr>
          <w:bCs/>
        </w:rPr>
      </w:pPr>
      <w:r w:rsidRPr="00B6424F">
        <w:rPr>
          <w:b/>
          <w:bCs/>
        </w:rPr>
        <w:t>Response:</w:t>
      </w:r>
      <w:r w:rsidRPr="00B6424F">
        <w:rPr>
          <w:b/>
          <w:bCs/>
        </w:rPr>
        <w:tab/>
      </w:r>
      <w:r w:rsidR="00B6424F">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14:paraId="48E77CD4" w14:textId="77777777" w:rsidR="00F35AE7" w:rsidRDefault="00F35AE7" w:rsidP="00F35AE7">
      <w:pPr>
        <w:pStyle w:val="ListParagraph"/>
        <w:tabs>
          <w:tab w:val="left" w:pos="2700"/>
        </w:tabs>
        <w:ind w:left="1080" w:right="634"/>
        <w:rPr>
          <w:bCs/>
        </w:rPr>
      </w:pPr>
    </w:p>
    <w:p w14:paraId="34D49507" w14:textId="3752C426" w:rsidR="00427309" w:rsidRPr="00396E80" w:rsidRDefault="00427309" w:rsidP="00427309">
      <w:pPr>
        <w:pStyle w:val="ListParagraph"/>
        <w:numPr>
          <w:ilvl w:val="0"/>
          <w:numId w:val="15"/>
        </w:numPr>
        <w:tabs>
          <w:tab w:val="left" w:pos="2700"/>
        </w:tabs>
        <w:ind w:right="634"/>
      </w:pPr>
      <w:r>
        <w:rPr>
          <w:b/>
          <w:bCs/>
        </w:rPr>
        <w:t>Comment 5</w:t>
      </w:r>
      <w:r w:rsidRPr="00C3461A">
        <w:rPr>
          <w:b/>
          <w:bCs/>
        </w:rPr>
        <w:t xml:space="preserve"> </w:t>
      </w:r>
      <w:r>
        <w:rPr>
          <w:b/>
          <w:bCs/>
        </w:rPr>
        <w:t xml:space="preserve">  </w:t>
      </w:r>
      <w:r>
        <w:rPr>
          <w:b/>
          <w:bCs/>
        </w:rPr>
        <w:tab/>
      </w:r>
      <w:r w:rsidR="002C668C">
        <w:rPr>
          <w:bCs/>
        </w:rPr>
        <w:t>Recommends providing greater specificity</w:t>
      </w:r>
      <w:r>
        <w:rPr>
          <w:bCs/>
        </w:rPr>
        <w:t xml:space="preserve"> </w:t>
      </w:r>
      <w:r w:rsidR="002C668C">
        <w:rPr>
          <w:bCs/>
        </w:rPr>
        <w:t xml:space="preserve">for exemptions to the </w:t>
      </w:r>
      <w:r w:rsidR="0048497C">
        <w:rPr>
          <w:bCs/>
        </w:rPr>
        <w:t>‘</w:t>
      </w:r>
      <w:r w:rsidR="002C668C">
        <w:rPr>
          <w:bCs/>
        </w:rPr>
        <w:t>exchange</w:t>
      </w:r>
      <w:r w:rsidR="0048497C">
        <w:rPr>
          <w:bCs/>
        </w:rPr>
        <w:t xml:space="preserve"> + treatment’</w:t>
      </w:r>
      <w:r w:rsidR="002C668C">
        <w:rPr>
          <w:bCs/>
        </w:rPr>
        <w:t xml:space="preserve"> portion of the rule</w:t>
      </w:r>
      <w:r w:rsidR="0048497C" w:rsidRPr="0048497C">
        <w:rPr>
          <w:bCs/>
        </w:rPr>
        <w:t xml:space="preserve"> </w:t>
      </w:r>
      <w:r w:rsidR="0048497C">
        <w:rPr>
          <w:bCs/>
        </w:rPr>
        <w:t>under OAR 340-143-0050(2)(c)</w:t>
      </w:r>
      <w:r w:rsidR="002C668C">
        <w:rPr>
          <w:bCs/>
        </w:rPr>
        <w:t>.</w:t>
      </w:r>
    </w:p>
    <w:p w14:paraId="5A660B80" w14:textId="77777777" w:rsidR="00427309" w:rsidRDefault="00427309" w:rsidP="00427309">
      <w:pPr>
        <w:tabs>
          <w:tab w:val="left" w:pos="1080"/>
        </w:tabs>
        <w:ind w:left="1080" w:right="634"/>
      </w:pPr>
      <w:r>
        <w:tab/>
      </w:r>
    </w:p>
    <w:p w14:paraId="17D4252A" w14:textId="2E5F6D57" w:rsidR="00427309" w:rsidRPr="00305BDC" w:rsidRDefault="00427309" w:rsidP="00427309">
      <w:pPr>
        <w:tabs>
          <w:tab w:val="left" w:pos="1080"/>
        </w:tabs>
        <w:ind w:left="108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40A272CE" w14:textId="77777777" w:rsidR="00427309" w:rsidRPr="00305BDC" w:rsidRDefault="00427309" w:rsidP="00427309">
      <w:pPr>
        <w:tabs>
          <w:tab w:val="left" w:pos="1080"/>
        </w:tabs>
        <w:ind w:left="1080" w:right="634"/>
        <w:rPr>
          <w:highlight w:val="yellow"/>
        </w:rPr>
      </w:pPr>
    </w:p>
    <w:p w14:paraId="331B2BAB" w14:textId="148F7A19" w:rsidR="00427309" w:rsidRPr="00305BDC" w:rsidRDefault="00427309" w:rsidP="00427309">
      <w:pPr>
        <w:tabs>
          <w:tab w:val="left" w:pos="1080"/>
        </w:tabs>
        <w:ind w:left="1080" w:right="634"/>
        <w:rPr>
          <w:highlight w:val="yellow"/>
        </w:rPr>
      </w:pPr>
      <w:r w:rsidRPr="00B6424F">
        <w:t>Commenter #</w:t>
      </w:r>
      <w:r w:rsidR="00B6424F" w:rsidRPr="00B6424F">
        <w:t>4</w:t>
      </w:r>
      <w:r w:rsidRPr="00B6424F">
        <w:t xml:space="preserve"> and </w:t>
      </w:r>
      <w:r w:rsidR="00B6424F" w:rsidRPr="00B6424F">
        <w:t>16</w:t>
      </w:r>
      <w:r w:rsidRPr="00B6424F">
        <w:t xml:space="preserve"> </w:t>
      </w:r>
      <w:r w:rsidR="00B6424F" w:rsidRPr="00D927AF">
        <w:t xml:space="preserve">suggest that if DEQ is unwilling to delay implementation of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w:t>
      </w:r>
      <w:r w:rsidR="00B6424F">
        <w:lastRenderedPageBreak/>
        <w:t>incompatible with proper use of treatment systems due to vessel design or system configuration.  In these cases, vessel operators should be exempt from the exchange portion of the rules management requirements.</w:t>
      </w:r>
    </w:p>
    <w:p w14:paraId="34670900" w14:textId="77777777" w:rsidR="00427309" w:rsidRPr="00305BDC" w:rsidRDefault="00427309" w:rsidP="00427309">
      <w:pPr>
        <w:tabs>
          <w:tab w:val="left" w:pos="1080"/>
        </w:tabs>
        <w:ind w:left="1080" w:right="634"/>
        <w:rPr>
          <w:highlight w:val="yellow"/>
        </w:rPr>
      </w:pPr>
    </w:p>
    <w:p w14:paraId="6FD12295" w14:textId="5E10F0FF" w:rsidR="00427309" w:rsidRPr="00C3274A" w:rsidRDefault="00427309" w:rsidP="00427309">
      <w:pPr>
        <w:tabs>
          <w:tab w:val="left" w:pos="1080"/>
        </w:tabs>
        <w:ind w:left="108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  </w:t>
      </w:r>
    </w:p>
    <w:p w14:paraId="4528A950" w14:textId="77777777" w:rsidR="00427309" w:rsidRPr="00305BDC" w:rsidRDefault="00427309" w:rsidP="00427309">
      <w:pPr>
        <w:tabs>
          <w:tab w:val="left" w:pos="2700"/>
        </w:tabs>
        <w:ind w:left="2700" w:right="634"/>
        <w:rPr>
          <w:highlight w:val="yellow"/>
        </w:rPr>
      </w:pPr>
    </w:p>
    <w:p w14:paraId="43F42D37" w14:textId="37EE64DA" w:rsidR="00427309" w:rsidRDefault="00427309" w:rsidP="00427309">
      <w:pPr>
        <w:pStyle w:val="ListParagraph"/>
        <w:tabs>
          <w:tab w:val="left" w:pos="2700"/>
        </w:tabs>
        <w:ind w:left="1080" w:right="634"/>
        <w:rPr>
          <w:bCs/>
        </w:rPr>
      </w:pPr>
      <w:r w:rsidRPr="00B6424F">
        <w:rPr>
          <w:b/>
          <w:bCs/>
        </w:rPr>
        <w:t>Response:</w:t>
      </w:r>
      <w:r w:rsidRPr="00B6424F">
        <w:rPr>
          <w:b/>
          <w:bCs/>
        </w:rPr>
        <w:tab/>
      </w:r>
      <w:r w:rsidRPr="00B6424F">
        <w:rPr>
          <w:bCs/>
        </w:rPr>
        <w:t>DEQ</w:t>
      </w:r>
      <w:r w:rsidR="00B6424F">
        <w:rPr>
          <w:bCs/>
        </w:rPr>
        <w:t xml:space="preserve"> </w:t>
      </w:r>
      <w:r w:rsidR="009E0F21">
        <w:rPr>
          <w:bCs/>
        </w:rPr>
        <w:t xml:space="preserve">has revised the proposed rule in order to address the concerns raised by all commenters in this comment category.  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 xml:space="preserve">compatible with conducting exchange prior to treatment.  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 xml:space="preserve">times that are longer than would be feasible for normal vessel operations under a short voyage to an Oregon port.  In order to prevent this rule from causing economic impacts due to delayed operations – or from causing inadvertent discharge of active biocides to waters of the state –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14:paraId="3F83FC61" w14:textId="77777777" w:rsidR="00427309" w:rsidRDefault="00427309" w:rsidP="00427309">
      <w:pPr>
        <w:pStyle w:val="ListParagraph"/>
        <w:tabs>
          <w:tab w:val="left" w:pos="2700"/>
        </w:tabs>
        <w:ind w:left="1080" w:right="634"/>
        <w:rPr>
          <w:bCs/>
        </w:rPr>
      </w:pPr>
    </w:p>
    <w:p w14:paraId="097777F1" w14:textId="6F8E4353"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FA7545">
        <w:rPr>
          <w:bCs/>
        </w:rPr>
        <w:t xml:space="preserve">Recommendations regarding </w:t>
      </w:r>
      <w:r w:rsidR="00C50C07">
        <w:rPr>
          <w:bCs/>
        </w:rPr>
        <w:t>revisions to the</w:t>
      </w:r>
      <w:r w:rsidR="00FA7545">
        <w:rPr>
          <w:bCs/>
        </w:rPr>
        <w:t xml:space="preserve"> </w:t>
      </w:r>
      <w:r w:rsidR="002D4611">
        <w:rPr>
          <w:bCs/>
        </w:rPr>
        <w:t>sunset date for the</w:t>
      </w:r>
      <w:r w:rsidR="00FA7545">
        <w:rPr>
          <w:bCs/>
        </w:rPr>
        <w:t xml:space="preserve"> </w:t>
      </w:r>
      <w:r w:rsidR="002D4611">
        <w:rPr>
          <w:bCs/>
        </w:rPr>
        <w:t>‘exchange + treatment’</w:t>
      </w:r>
      <w:r w:rsidR="00FA7545">
        <w:rPr>
          <w:bCs/>
        </w:rPr>
        <w:t xml:space="preserve"> rule proposed under OAR 340-143-0050(2)</w:t>
      </w:r>
      <w:r w:rsidR="00C50C07">
        <w:rPr>
          <w:bCs/>
        </w:rPr>
        <w:t>.</w:t>
      </w:r>
    </w:p>
    <w:p w14:paraId="47410DAD" w14:textId="77777777" w:rsidR="00427309" w:rsidRDefault="00427309" w:rsidP="00427309">
      <w:pPr>
        <w:tabs>
          <w:tab w:val="left" w:pos="1080"/>
        </w:tabs>
        <w:ind w:left="1080" w:right="634"/>
      </w:pPr>
      <w:r>
        <w:tab/>
      </w:r>
    </w:p>
    <w:p w14:paraId="25B6775F" w14:textId="1134F241" w:rsidR="00427309" w:rsidRPr="00305BDC" w:rsidRDefault="00427309" w:rsidP="00427309">
      <w:pPr>
        <w:tabs>
          <w:tab w:val="left" w:pos="1080"/>
        </w:tabs>
        <w:ind w:left="108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640E42F6" w14:textId="77777777" w:rsidR="00427309" w:rsidRPr="00305BDC" w:rsidRDefault="00427309" w:rsidP="00427309">
      <w:pPr>
        <w:tabs>
          <w:tab w:val="left" w:pos="1080"/>
        </w:tabs>
        <w:ind w:left="1080" w:right="634"/>
        <w:rPr>
          <w:highlight w:val="yellow"/>
        </w:rPr>
      </w:pPr>
    </w:p>
    <w:p w14:paraId="122BD433" w14:textId="0BC4A600" w:rsidR="00427309" w:rsidRDefault="00427309" w:rsidP="00427309">
      <w:pPr>
        <w:tabs>
          <w:tab w:val="left" w:pos="1080"/>
        </w:tabs>
        <w:ind w:left="108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  </w:t>
      </w:r>
    </w:p>
    <w:p w14:paraId="0FDC26AE" w14:textId="77777777" w:rsidR="00FA7545" w:rsidRDefault="00FA7545" w:rsidP="00427309">
      <w:pPr>
        <w:tabs>
          <w:tab w:val="left" w:pos="1080"/>
        </w:tabs>
        <w:ind w:left="1080" w:right="634"/>
      </w:pPr>
    </w:p>
    <w:p w14:paraId="1220F7BD" w14:textId="721F9EE4" w:rsidR="00FA7545" w:rsidRPr="00305BDC" w:rsidRDefault="00FA7545" w:rsidP="00427309">
      <w:pPr>
        <w:tabs>
          <w:tab w:val="left" w:pos="1080"/>
        </w:tabs>
        <w:ind w:left="1080" w:right="634"/>
        <w:rPr>
          <w:highlight w:val="yellow"/>
        </w:rPr>
      </w:pPr>
      <w:r>
        <w:t>In response to advisory committee discussions during subsequent re-opened comment periods</w:t>
      </w:r>
      <w:r w:rsidR="00276D13">
        <w:t xml:space="preserve"> where DEQ noted inadequate rationale to justify a </w:t>
      </w:r>
      <w:r w:rsidR="00C50C07">
        <w:t xml:space="preserve">sunset date less than two years after establishment - </w:t>
      </w:r>
      <w:r w:rsidR="00276D13">
        <w:t>but a willingness to shorten the sunset date to be in alignmen</w:t>
      </w:r>
      <w:r w:rsidR="00C50C07">
        <w:t>t with the 2023 VGP re-issuance - commenter</w:t>
      </w:r>
      <w:r>
        <w:t xml:space="preserve"> #16 supports </w:t>
      </w:r>
      <w:r w:rsidR="00276D13">
        <w:t xml:space="preserve">revising the repeal date effective December 2023.  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14:paraId="625E6853" w14:textId="77777777" w:rsidR="00427309" w:rsidRPr="00305BDC" w:rsidRDefault="00427309" w:rsidP="00276D13">
      <w:pPr>
        <w:tabs>
          <w:tab w:val="left" w:pos="2700"/>
        </w:tabs>
        <w:ind w:left="0" w:right="634"/>
        <w:rPr>
          <w:highlight w:val="yellow"/>
        </w:rPr>
      </w:pPr>
    </w:p>
    <w:p w14:paraId="2905BD40" w14:textId="1F8E7C55" w:rsidR="00C52D93" w:rsidRDefault="00427309" w:rsidP="00E80426">
      <w:pPr>
        <w:pStyle w:val="ListParagraph"/>
        <w:tabs>
          <w:tab w:val="left" w:pos="2700"/>
        </w:tabs>
        <w:ind w:left="1080" w:right="634"/>
        <w:rPr>
          <w:bCs/>
        </w:rPr>
      </w:pPr>
      <w:r w:rsidRPr="00276D13">
        <w:rPr>
          <w:b/>
          <w:bCs/>
        </w:rPr>
        <w:t>Response:</w:t>
      </w:r>
      <w:r w:rsidRPr="00276D13">
        <w:rPr>
          <w:b/>
          <w:bCs/>
        </w:rPr>
        <w:tab/>
      </w: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 xml:space="preserve">.  In response to commenters #4, 15, and 16 request that the repeal data be aligned with </w:t>
      </w:r>
      <w:r w:rsidR="00E80426">
        <w:rPr>
          <w:bCs/>
        </w:rPr>
        <w:t xml:space="preserve">5-year </w:t>
      </w:r>
      <w:r w:rsidR="00276D13">
        <w:rPr>
          <w:bCs/>
        </w:rPr>
        <w:t>timelines for re-issuance of the EPA Vessel General Permit</w:t>
      </w:r>
      <w:r w:rsidR="00E80426">
        <w:rPr>
          <w:bCs/>
        </w:rPr>
        <w:t xml:space="preserve">, DEQ has agreed to </w:t>
      </w:r>
      <w:r w:rsidR="00C50C07">
        <w:rPr>
          <w:bCs/>
        </w:rPr>
        <w:t>shorten the sunset date period from January 2025 to December 2023.</w:t>
      </w:r>
    </w:p>
    <w:p w14:paraId="3936367D" w14:textId="77777777" w:rsidR="00C52D93" w:rsidRDefault="00C52D93" w:rsidP="00E80426">
      <w:pPr>
        <w:pStyle w:val="ListParagraph"/>
        <w:tabs>
          <w:tab w:val="left" w:pos="2700"/>
        </w:tabs>
        <w:ind w:left="1080" w:right="634"/>
        <w:rPr>
          <w:bCs/>
        </w:rPr>
      </w:pPr>
    </w:p>
    <w:p w14:paraId="7977B9CC" w14:textId="77777777" w:rsidR="0084043C" w:rsidRPr="00E80426" w:rsidRDefault="0084043C" w:rsidP="0084043C">
      <w:pPr>
        <w:pStyle w:val="ListParagraph"/>
        <w:tabs>
          <w:tab w:val="left" w:pos="2700"/>
        </w:tabs>
        <w:ind w:left="1080" w:right="634"/>
        <w:rPr>
          <w:bCs/>
        </w:rPr>
      </w:pPr>
      <w:r>
        <w:rPr>
          <w:bCs/>
        </w:rPr>
        <w:lastRenderedPageBreak/>
        <w:t>DEQ also revised the wording for the sunset date to reflect the fact the DEQ cannot repeal a rule (only EQC may do so).  Instead, the revised rule establishes a date beyond which the rule will no longer be in effect.</w:t>
      </w:r>
    </w:p>
    <w:p w14:paraId="79BD97DC" w14:textId="77777777" w:rsidR="0084043C" w:rsidRDefault="0084043C" w:rsidP="00E80426">
      <w:pPr>
        <w:pStyle w:val="ListParagraph"/>
        <w:tabs>
          <w:tab w:val="left" w:pos="2700"/>
        </w:tabs>
        <w:ind w:left="1080" w:right="634"/>
        <w:rPr>
          <w:bCs/>
        </w:rPr>
      </w:pPr>
    </w:p>
    <w:p w14:paraId="23AE21ED" w14:textId="4CD5CE9D" w:rsidR="00E80426" w:rsidRDefault="00C50C07" w:rsidP="00E80426">
      <w:pPr>
        <w:pStyle w:val="ListParagraph"/>
        <w:tabs>
          <w:tab w:val="left" w:pos="2700"/>
        </w:tabs>
        <w:ind w:left="1080" w:right="634"/>
        <w:rPr>
          <w:bCs/>
        </w:rPr>
      </w:pPr>
      <w:r>
        <w:rPr>
          <w:bCs/>
        </w:rPr>
        <w:t xml:space="preserve">DEQ has not revised the implementation of </w:t>
      </w:r>
      <w:r>
        <w:t xml:space="preserve">‘exchange + treatment’ requirements to be contingent upon the actions of other enforcement jurisdictions.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 xml:space="preserve">is </w:t>
      </w:r>
      <w:r w:rsidR="00E80426">
        <w:rPr>
          <w:bCs/>
        </w:rPr>
        <w:t>not advised according to Department of Justice review.</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 xml:space="preserve">.  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 xml:space="preserve">.  Alternatively, if DEQ fails to respond to such hypothetical circumstances, other parties may petition EQC </w:t>
      </w:r>
      <w:r w:rsidR="0084043C">
        <w:rPr>
          <w:bCs/>
        </w:rPr>
        <w:t>to repeal the rule</w:t>
      </w:r>
      <w:r w:rsidR="00C52D93">
        <w:rPr>
          <w:bCs/>
        </w:rPr>
        <w:t>.</w:t>
      </w:r>
      <w:r w:rsidR="00EB395D">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  </w:t>
      </w:r>
    </w:p>
    <w:p w14:paraId="733E1521" w14:textId="77777777" w:rsidR="00427309" w:rsidRPr="0084043C" w:rsidRDefault="00427309" w:rsidP="0084043C">
      <w:pPr>
        <w:tabs>
          <w:tab w:val="left" w:pos="2700"/>
        </w:tabs>
        <w:ind w:left="0" w:right="634"/>
        <w:rPr>
          <w:bCs/>
        </w:rPr>
      </w:pPr>
    </w:p>
    <w:p w14:paraId="143ED8BD" w14:textId="09716B9C" w:rsidR="00F53433" w:rsidRPr="00396E80" w:rsidRDefault="00427309" w:rsidP="00F53433">
      <w:pPr>
        <w:pStyle w:val="ListParagraph"/>
        <w:numPr>
          <w:ilvl w:val="0"/>
          <w:numId w:val="15"/>
        </w:numPr>
        <w:tabs>
          <w:tab w:val="left" w:pos="2700"/>
        </w:tabs>
        <w:ind w:right="634"/>
      </w:pPr>
      <w:r>
        <w:rPr>
          <w:b/>
          <w:bCs/>
        </w:rPr>
        <w:t>Comment 7</w:t>
      </w:r>
      <w:r w:rsidRPr="00C3461A">
        <w:rPr>
          <w:b/>
          <w:bCs/>
        </w:rPr>
        <w:t xml:space="preserve"> </w:t>
      </w:r>
      <w:r>
        <w:rPr>
          <w:b/>
          <w:bCs/>
        </w:rPr>
        <w:t xml:space="preserve">  </w:t>
      </w:r>
      <w:r>
        <w:rPr>
          <w:b/>
          <w:bCs/>
        </w:rPr>
        <w:tab/>
      </w:r>
      <w:r w:rsidR="00F53433">
        <w:rPr>
          <w:bCs/>
        </w:rPr>
        <w:t>Support for salt</w:t>
      </w:r>
      <w:r w:rsidR="0015133C">
        <w:rPr>
          <w:bCs/>
        </w:rPr>
        <w:t>water flushing requirements of empty</w:t>
      </w:r>
      <w:r w:rsidR="00F53433">
        <w:rPr>
          <w:bCs/>
        </w:rPr>
        <w:t xml:space="preserve"> ballast tanks that will be used for ballasting and subsequent de-ballasting while in state waters.</w:t>
      </w:r>
    </w:p>
    <w:p w14:paraId="4A0D7658" w14:textId="77777777" w:rsidR="00F53433" w:rsidRDefault="00F53433" w:rsidP="00F53433">
      <w:pPr>
        <w:tabs>
          <w:tab w:val="left" w:pos="1080"/>
        </w:tabs>
        <w:ind w:left="1080" w:right="634"/>
      </w:pPr>
      <w:r>
        <w:tab/>
      </w:r>
    </w:p>
    <w:p w14:paraId="0181E3D7" w14:textId="77777777" w:rsidR="00F53433" w:rsidRPr="00305BDC" w:rsidRDefault="00F53433" w:rsidP="00F53433">
      <w:pPr>
        <w:tabs>
          <w:tab w:val="left" w:pos="1080"/>
        </w:tabs>
        <w:ind w:left="108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14:paraId="6F0E68B9" w14:textId="77777777" w:rsidR="00F53433" w:rsidRPr="00305BDC" w:rsidRDefault="00F53433" w:rsidP="00F53433">
      <w:pPr>
        <w:tabs>
          <w:tab w:val="left" w:pos="1080"/>
        </w:tabs>
        <w:ind w:left="0" w:right="634"/>
        <w:rPr>
          <w:highlight w:val="yellow"/>
        </w:rPr>
      </w:pPr>
    </w:p>
    <w:p w14:paraId="16D47533" w14:textId="77777777" w:rsidR="00F53433" w:rsidRPr="00305BDC" w:rsidRDefault="00F53433" w:rsidP="00F53433">
      <w:pPr>
        <w:tabs>
          <w:tab w:val="left" w:pos="1080"/>
        </w:tabs>
        <w:ind w:left="1080" w:right="634"/>
        <w:rPr>
          <w:highlight w:val="yellow"/>
        </w:rPr>
      </w:pPr>
      <w:r>
        <w:t>All six commenters</w:t>
      </w:r>
      <w:r w:rsidRPr="00A0477F">
        <w:t xml:space="preserve"> </w:t>
      </w:r>
      <w:r w:rsidRPr="00F53433">
        <w:t>indicate support for the proposed rule.</w:t>
      </w:r>
    </w:p>
    <w:p w14:paraId="0B74ED39" w14:textId="77777777" w:rsidR="00F53433" w:rsidRPr="00305BDC" w:rsidRDefault="00F53433" w:rsidP="00B047CE">
      <w:pPr>
        <w:tabs>
          <w:tab w:val="left" w:pos="2700"/>
        </w:tabs>
        <w:ind w:left="0" w:right="634"/>
        <w:rPr>
          <w:highlight w:val="yellow"/>
        </w:rPr>
      </w:pPr>
    </w:p>
    <w:p w14:paraId="1FBD6CC4" w14:textId="77777777" w:rsidR="00F53433" w:rsidRDefault="00F53433" w:rsidP="00F53433">
      <w:pPr>
        <w:pStyle w:val="ListParagraph"/>
        <w:tabs>
          <w:tab w:val="left" w:pos="2700"/>
        </w:tabs>
        <w:ind w:left="1080" w:right="634"/>
        <w:rPr>
          <w:bCs/>
        </w:rPr>
      </w:pPr>
      <w:r w:rsidRPr="00F53433">
        <w:rPr>
          <w:b/>
          <w:bCs/>
        </w:rPr>
        <w:t>Response:</w:t>
      </w:r>
      <w:r w:rsidRPr="00F53433">
        <w:rPr>
          <w:b/>
          <w:bCs/>
        </w:rPr>
        <w:tab/>
      </w:r>
      <w:r w:rsidRPr="00F53433">
        <w:rPr>
          <w:bCs/>
        </w:rPr>
        <w:t>DEQ</w:t>
      </w:r>
      <w:r>
        <w:rPr>
          <w:bCs/>
        </w:rPr>
        <w:t xml:space="preserve"> agrees with and appreciates the comments in support of this proposed rule.</w:t>
      </w:r>
    </w:p>
    <w:p w14:paraId="2B7CE138" w14:textId="1BFB56D5" w:rsidR="00427309" w:rsidRDefault="00427309" w:rsidP="00F53433">
      <w:pPr>
        <w:pStyle w:val="ListParagraph"/>
        <w:tabs>
          <w:tab w:val="left" w:pos="2700"/>
        </w:tabs>
        <w:ind w:left="1080" w:right="634"/>
        <w:rPr>
          <w:bCs/>
        </w:rPr>
      </w:pPr>
    </w:p>
    <w:p w14:paraId="43749858" w14:textId="50F55FD7" w:rsidR="00427309" w:rsidRPr="00396E80" w:rsidRDefault="00427309" w:rsidP="00427309">
      <w:pPr>
        <w:pStyle w:val="ListParagraph"/>
        <w:numPr>
          <w:ilvl w:val="0"/>
          <w:numId w:val="15"/>
        </w:numPr>
        <w:tabs>
          <w:tab w:val="left" w:pos="2700"/>
        </w:tabs>
        <w:ind w:right="634"/>
      </w:pPr>
      <w:r>
        <w:rPr>
          <w:b/>
          <w:bCs/>
        </w:rPr>
        <w:t>Comment 8</w:t>
      </w:r>
      <w:r w:rsidRPr="00C3461A">
        <w:rPr>
          <w:b/>
          <w:bCs/>
        </w:rPr>
        <w:t xml:space="preserve"> </w:t>
      </w:r>
      <w:r>
        <w:rPr>
          <w:b/>
          <w:bCs/>
        </w:rPr>
        <w:t xml:space="preserve">  </w:t>
      </w:r>
      <w:r>
        <w:rPr>
          <w:b/>
          <w:bCs/>
        </w:rPr>
        <w:tab/>
      </w:r>
      <w:r w:rsidR="008F328D">
        <w:rPr>
          <w:bCs/>
        </w:rPr>
        <w:t>Expressing concerns that the absence of rules in Washington State identical to those proposed under OAR 340-143-0050(2) could result in competitive disadvantage circumstances for Oregon maritime industry port facilities.</w:t>
      </w:r>
    </w:p>
    <w:p w14:paraId="6B055330" w14:textId="77777777" w:rsidR="00427309" w:rsidRDefault="00427309" w:rsidP="00427309">
      <w:pPr>
        <w:tabs>
          <w:tab w:val="left" w:pos="1080"/>
        </w:tabs>
        <w:ind w:left="1080" w:right="634"/>
      </w:pPr>
      <w:r>
        <w:tab/>
      </w:r>
    </w:p>
    <w:p w14:paraId="465555DE" w14:textId="5B6D2926" w:rsidR="00427309" w:rsidRPr="00305BDC" w:rsidRDefault="00427309" w:rsidP="00427309">
      <w:pPr>
        <w:tabs>
          <w:tab w:val="left" w:pos="1080"/>
        </w:tabs>
        <w:ind w:left="108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04C95316" w14:textId="77777777" w:rsidR="00427309" w:rsidRPr="00305BDC" w:rsidRDefault="00427309" w:rsidP="00D90375">
      <w:pPr>
        <w:tabs>
          <w:tab w:val="left" w:pos="1080"/>
        </w:tabs>
        <w:ind w:left="0" w:right="634"/>
        <w:rPr>
          <w:highlight w:val="yellow"/>
        </w:rPr>
      </w:pPr>
    </w:p>
    <w:p w14:paraId="2340ADD3" w14:textId="2AEA7F0F" w:rsidR="00A0477F" w:rsidRPr="00305BDC" w:rsidRDefault="00BE4AA5" w:rsidP="002115FC">
      <w:pPr>
        <w:tabs>
          <w:tab w:val="left" w:pos="1080"/>
        </w:tabs>
        <w:ind w:left="108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  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14:paraId="216C57E8" w14:textId="77777777" w:rsidR="00427309" w:rsidRPr="00305BDC" w:rsidRDefault="00427309" w:rsidP="00B047CE">
      <w:pPr>
        <w:tabs>
          <w:tab w:val="left" w:pos="2700"/>
        </w:tabs>
        <w:ind w:left="0" w:right="634"/>
        <w:rPr>
          <w:highlight w:val="yellow"/>
        </w:rPr>
      </w:pPr>
    </w:p>
    <w:p w14:paraId="77FF626D" w14:textId="77777777" w:rsidR="00AD28F2" w:rsidRDefault="00427309" w:rsidP="00AD28F2">
      <w:pPr>
        <w:pStyle w:val="ListParagraph"/>
        <w:tabs>
          <w:tab w:val="left" w:pos="2700"/>
        </w:tabs>
        <w:ind w:left="1080" w:right="634"/>
        <w:rPr>
          <w:bCs/>
        </w:rPr>
      </w:pPr>
      <w:r w:rsidRPr="00F53433">
        <w:rPr>
          <w:b/>
          <w:bCs/>
        </w:rPr>
        <w:lastRenderedPageBreak/>
        <w:t>Response:</w:t>
      </w:r>
      <w:r w:rsidRPr="00F53433">
        <w:rPr>
          <w:b/>
          <w:bCs/>
        </w:rPr>
        <w:tab/>
      </w:r>
      <w:r w:rsidR="00AD28F2">
        <w:rPr>
          <w:bCs/>
        </w:rPr>
        <w:t xml:space="preserve">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  For Washington State, that would mean adopting regulations that establish consistency with these proposed rules for vessels operating on the shared waters of the Columbia River.  </w:t>
      </w:r>
    </w:p>
    <w:p w14:paraId="1B6FF233" w14:textId="77777777" w:rsidR="00AD28F2" w:rsidRDefault="00AD28F2" w:rsidP="00AD28F2">
      <w:pPr>
        <w:pStyle w:val="ListParagraph"/>
        <w:tabs>
          <w:tab w:val="left" w:pos="2700"/>
        </w:tabs>
        <w:ind w:left="1080" w:right="634"/>
        <w:rPr>
          <w:bCs/>
        </w:rPr>
      </w:pPr>
    </w:p>
    <w:p w14:paraId="51110954" w14:textId="13B4A5B7" w:rsidR="00BE4AA5" w:rsidRDefault="008F328D" w:rsidP="00BE4AA5">
      <w:pPr>
        <w:pStyle w:val="ListParagraph"/>
        <w:tabs>
          <w:tab w:val="left" w:pos="2700"/>
        </w:tabs>
        <w:ind w:left="108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 xml:space="preserve">.  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  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  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 xml:space="preserve">.  </w:t>
      </w:r>
      <w:r w:rsidR="0029779F">
        <w:rPr>
          <w:bCs/>
        </w:rPr>
        <w:t xml:space="preserve">There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14:paraId="0748E3B1" w14:textId="77777777" w:rsidR="00B047CE" w:rsidRDefault="00B047CE" w:rsidP="002115FC">
      <w:pPr>
        <w:pStyle w:val="ListParagraph"/>
        <w:tabs>
          <w:tab w:val="left" w:pos="2700"/>
        </w:tabs>
        <w:ind w:left="1080" w:right="634"/>
        <w:rPr>
          <w:bCs/>
        </w:rPr>
      </w:pPr>
    </w:p>
    <w:p w14:paraId="1253B8F2" w14:textId="7B875C61" w:rsidR="00B047CE" w:rsidRPr="002115FC" w:rsidRDefault="00B047CE" w:rsidP="002115FC">
      <w:pPr>
        <w:pStyle w:val="ListParagraph"/>
        <w:tabs>
          <w:tab w:val="left" w:pos="2700"/>
        </w:tabs>
        <w:ind w:left="108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14:paraId="310F931F" w14:textId="77777777" w:rsidR="00427309" w:rsidRDefault="00427309" w:rsidP="00427309">
      <w:pPr>
        <w:pStyle w:val="ListParagraph"/>
        <w:tabs>
          <w:tab w:val="left" w:pos="2700"/>
        </w:tabs>
        <w:ind w:left="1080" w:right="634"/>
        <w:rPr>
          <w:bCs/>
        </w:rPr>
      </w:pPr>
    </w:p>
    <w:p w14:paraId="70D8DE42" w14:textId="16C76C61"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EE389B">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 xml:space="preserve">to Oregon that may be affected by proposed rule under OAR 340-143-0050(2).  Specifically, the </w:t>
      </w:r>
      <w:r w:rsidR="00EF1774">
        <w:rPr>
          <w:bCs/>
        </w:rPr>
        <w:t>commenter asserts that the number of affected vessel arrivals could be higher than DEQ estimated during advisory committee meetings and in the notice of proposed rulemaking.</w:t>
      </w:r>
    </w:p>
    <w:p w14:paraId="4AD37DAA" w14:textId="77777777" w:rsidR="00427309" w:rsidRDefault="00427309" w:rsidP="00427309">
      <w:pPr>
        <w:tabs>
          <w:tab w:val="left" w:pos="1080"/>
        </w:tabs>
        <w:ind w:left="1080" w:right="634"/>
      </w:pPr>
      <w:r>
        <w:tab/>
      </w:r>
    </w:p>
    <w:p w14:paraId="2E88CDFB" w14:textId="4BB1757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53BF6051" w:rsidR="00427309" w:rsidRPr="00F23F15" w:rsidRDefault="00427309" w:rsidP="00A0477F">
      <w:pPr>
        <w:tabs>
          <w:tab w:val="left" w:pos="1080"/>
        </w:tabs>
        <w:ind w:left="1080" w:right="634"/>
      </w:pPr>
      <w:r w:rsidRPr="00F23F15">
        <w:t>Commenter #</w:t>
      </w:r>
      <w:r w:rsidR="00F53433" w:rsidRPr="00F23F15">
        <w:t xml:space="preserve">4 </w:t>
      </w:r>
      <w:r w:rsidR="00F23F15" w:rsidRPr="00F23F15">
        <w:t>requested a more detailed list of global ports where salinity is below the 18 part per thousand threshold and suggested that the inclusion of ports from upper San Francisco Bay may increase the estimate of voyages affected beyond the 10% per year that had been originally forecasted by DEQ.</w:t>
      </w:r>
    </w:p>
    <w:p w14:paraId="021D8CF3" w14:textId="77777777" w:rsidR="00427309" w:rsidRPr="00305BDC" w:rsidRDefault="00427309" w:rsidP="00427309">
      <w:pPr>
        <w:tabs>
          <w:tab w:val="left" w:pos="2700"/>
        </w:tabs>
        <w:ind w:left="2700" w:right="634"/>
        <w:rPr>
          <w:highlight w:val="yellow"/>
        </w:rPr>
      </w:pPr>
    </w:p>
    <w:p w14:paraId="42B4E705" w14:textId="1C7B273A" w:rsidR="00427309" w:rsidRDefault="00427309" w:rsidP="00427309">
      <w:pPr>
        <w:pStyle w:val="ListParagraph"/>
        <w:tabs>
          <w:tab w:val="left" w:pos="2700"/>
        </w:tabs>
        <w:ind w:left="1080" w:right="634"/>
        <w:rPr>
          <w:bCs/>
        </w:rPr>
      </w:pPr>
      <w:r w:rsidRPr="005C033F">
        <w:rPr>
          <w:b/>
          <w:bCs/>
        </w:rPr>
        <w:t>Response:</w:t>
      </w:r>
      <w:r w:rsidRPr="005C033F">
        <w:rPr>
          <w:b/>
          <w:bCs/>
        </w:rPr>
        <w:tab/>
      </w:r>
      <w:r w:rsidR="005C033F">
        <w:rPr>
          <w:bCs/>
        </w:rPr>
        <w:t xml:space="preserve">DEQ </w:t>
      </w:r>
      <w:r w:rsidR="00A0477F">
        <w:rPr>
          <w:bCs/>
        </w:rPr>
        <w:t>conducted a new analysis using more robust data sources</w:t>
      </w:r>
      <w:r w:rsidR="005C033F">
        <w:rPr>
          <w:bCs/>
        </w:rPr>
        <w:t xml:space="preserve"> prior to the 10 October Advisory Committee meeting and associated public comment period. Rather than relying on </w:t>
      </w:r>
      <w:r w:rsidR="000761B8">
        <w:rPr>
          <w:bCs/>
        </w:rPr>
        <w:t xml:space="preserve">data estimates from </w:t>
      </w:r>
      <w:r w:rsidR="005C033F">
        <w:rPr>
          <w:bCs/>
        </w:rPr>
        <w:t>a 2007 Portland State University Masters Thesis, DEQ’s more recent analysis used 2013-2015 vessel arrival data and a more robust dataset of global port salinity estimates (Keller et al. 2015).  The result of the revised analysis indicate that fewer vessel arrivals are likely to be affected than originally estimated, not more</w:t>
      </w:r>
      <w:r w:rsidR="00A0477F">
        <w:rPr>
          <w:bCs/>
        </w:rPr>
        <w:t xml:space="preserve">.  </w:t>
      </w:r>
      <w:r w:rsidR="005C033F">
        <w:rPr>
          <w:bCs/>
        </w:rPr>
        <w:t xml:space="preserve">Originally, DEQ estimated that approximately 10.7% of arrivals to Oregon waters may be required to meet the ‘exchange + treatment’ requirement, whereas the revised analysis indicates a lower estimate of </w:t>
      </w:r>
      <w:r w:rsidR="005C033F" w:rsidRPr="000761B8">
        <w:rPr>
          <w:bCs/>
        </w:rPr>
        <w:t>8.</w:t>
      </w:r>
      <w:r w:rsidR="000761B8">
        <w:rPr>
          <w:bCs/>
        </w:rPr>
        <w:t>8</w:t>
      </w:r>
      <w:r w:rsidR="005C033F">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xml:space="preserve">, as confirmed by DEQ. </w:t>
      </w:r>
      <w:r w:rsidR="00A0477F">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0761B8">
        <w:rPr>
          <w:bCs/>
        </w:rPr>
        <w:t xml:space="preserve">  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14:paraId="20F87BE2" w14:textId="77777777" w:rsidR="00427309" w:rsidRDefault="00427309" w:rsidP="00427309">
      <w:pPr>
        <w:pStyle w:val="ListParagraph"/>
        <w:tabs>
          <w:tab w:val="left" w:pos="2700"/>
        </w:tabs>
        <w:ind w:left="1080" w:right="634"/>
        <w:rPr>
          <w:bCs/>
        </w:rPr>
      </w:pPr>
    </w:p>
    <w:p w14:paraId="3D8BD0BF" w14:textId="3B9CA6ED"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EE389B">
        <w:rPr>
          <w:bCs/>
        </w:rPr>
        <w:t>Recommends</w:t>
      </w:r>
      <w:r w:rsidR="00A0477F">
        <w:rPr>
          <w:bCs/>
        </w:rPr>
        <w:t xml:space="preserve"> that DEQ remove ballast water </w:t>
      </w:r>
      <w:r w:rsidR="00EE389B">
        <w:rPr>
          <w:bCs/>
        </w:rPr>
        <w:t xml:space="preserve">discharge prohibition </w:t>
      </w:r>
      <w:r w:rsidR="00A0477F">
        <w:rPr>
          <w:bCs/>
        </w:rPr>
        <w:t xml:space="preserve">exemptions </w:t>
      </w:r>
      <w:r w:rsidR="00EE389B">
        <w:rPr>
          <w:bCs/>
        </w:rPr>
        <w:t xml:space="preserve">under OAR 340-143-0010(2)(d) </w:t>
      </w:r>
      <w:r w:rsidR="00FB6F63">
        <w:rPr>
          <w:bCs/>
        </w:rPr>
        <w:t>which</w:t>
      </w:r>
      <w:r w:rsidR="00A0477F">
        <w:rPr>
          <w:bCs/>
        </w:rPr>
        <w:t xml:space="preserve"> allow vessels transferring ballast within our ‘common water</w:t>
      </w:r>
      <w:r w:rsidR="002736F1">
        <w:rPr>
          <w:bCs/>
        </w:rPr>
        <w:t>s</w:t>
      </w:r>
      <w:r w:rsidR="00A0477F">
        <w:rPr>
          <w:bCs/>
        </w:rPr>
        <w:t xml:space="preserve"> zone’ </w:t>
      </w:r>
      <w:r w:rsidR="00EE389B">
        <w:rPr>
          <w:bCs/>
        </w:rPr>
        <w:t xml:space="preserve">(as defined under OAR 340-143-0005(4)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14:paraId="37D409FA" w14:textId="77777777" w:rsidR="00427309" w:rsidRDefault="00427309" w:rsidP="00427309">
      <w:pPr>
        <w:tabs>
          <w:tab w:val="left" w:pos="1080"/>
        </w:tabs>
        <w:ind w:left="1080" w:right="634"/>
      </w:pPr>
      <w:r>
        <w:tab/>
      </w:r>
    </w:p>
    <w:p w14:paraId="5C8F8673" w14:textId="65787B32"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7AAE96BC" w14:textId="77777777" w:rsidR="00427309" w:rsidRPr="00EE4753" w:rsidRDefault="00427309" w:rsidP="00EE4753">
      <w:pPr>
        <w:tabs>
          <w:tab w:val="left" w:pos="1080"/>
        </w:tabs>
        <w:ind w:left="0" w:right="634"/>
      </w:pPr>
    </w:p>
    <w:p w14:paraId="16D9B4C4" w14:textId="44D19B9F" w:rsidR="00427309" w:rsidRPr="00EE4753" w:rsidRDefault="00427309" w:rsidP="00427309">
      <w:pPr>
        <w:tabs>
          <w:tab w:val="left" w:pos="1080"/>
        </w:tabs>
        <w:ind w:left="108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 or ports in northern California poses a threat for introducing invasive species that are established in those locations but not yet established in Oregon.</w:t>
      </w:r>
    </w:p>
    <w:p w14:paraId="38F89074" w14:textId="77777777" w:rsidR="00427309" w:rsidRPr="00305BDC" w:rsidRDefault="00427309" w:rsidP="00427309">
      <w:pPr>
        <w:tabs>
          <w:tab w:val="left" w:pos="2700"/>
        </w:tabs>
        <w:ind w:left="2700" w:right="634"/>
        <w:rPr>
          <w:highlight w:val="yellow"/>
        </w:rPr>
      </w:pPr>
    </w:p>
    <w:p w14:paraId="32CA9665" w14:textId="384C091D" w:rsidR="00427309" w:rsidRDefault="00427309" w:rsidP="00427309">
      <w:pPr>
        <w:pStyle w:val="ListParagraph"/>
        <w:tabs>
          <w:tab w:val="left" w:pos="2700"/>
        </w:tabs>
        <w:ind w:left="1080" w:right="634"/>
        <w:rPr>
          <w:bCs/>
        </w:rPr>
      </w:pPr>
      <w:r w:rsidRPr="0028292E">
        <w:rPr>
          <w:b/>
          <w:bCs/>
        </w:rPr>
        <w:t>Response:</w:t>
      </w:r>
      <w:r w:rsidRPr="0028292E">
        <w:rPr>
          <w:b/>
          <w:bCs/>
        </w:rPr>
        <w:tab/>
      </w:r>
      <w:r w:rsidR="00FB6F63">
        <w:rPr>
          <w:bCs/>
        </w:rPr>
        <w:t>This is an issue</w:t>
      </w:r>
      <w:r w:rsidR="00A0477F">
        <w:rPr>
          <w:bCs/>
        </w:rPr>
        <w:t xml:space="preserve"> outside the scope of </w:t>
      </w:r>
      <w:r w:rsidR="00FB6F63">
        <w:rPr>
          <w:bCs/>
        </w:rPr>
        <w:t>the topics discussed by the rulemaking advisory committee or proposed under the Notice of proposed rulemaking and as such DEQ will decline to address it in the final rule.</w:t>
      </w:r>
      <w:r w:rsidR="00EE4753">
        <w:rPr>
          <w:bCs/>
        </w:rPr>
        <w:t xml:space="preserve">  </w:t>
      </w:r>
    </w:p>
    <w:p w14:paraId="77B542BF" w14:textId="77777777" w:rsidR="00427309" w:rsidRDefault="00427309" w:rsidP="00427309">
      <w:pPr>
        <w:pStyle w:val="ListParagraph"/>
        <w:tabs>
          <w:tab w:val="left" w:pos="2700"/>
        </w:tabs>
        <w:ind w:left="1080" w:right="634"/>
        <w:rPr>
          <w:bCs/>
        </w:rPr>
      </w:pPr>
    </w:p>
    <w:p w14:paraId="7FCE9BAF" w14:textId="3D5060A1"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sidR="0028292E">
        <w:rPr>
          <w:bCs/>
        </w:rPr>
        <w:t>Recommends that in addition to revising rules regarding implementation of shipboard ballast water treatment systems under OAR 340-143-0050, DEQ should also propose rules addressing the use of onshore or barge-based ballast water treatment systems.</w:t>
      </w:r>
    </w:p>
    <w:p w14:paraId="343783FB" w14:textId="77777777" w:rsidR="00427309" w:rsidRDefault="00427309" w:rsidP="00427309">
      <w:pPr>
        <w:tabs>
          <w:tab w:val="left" w:pos="1080"/>
        </w:tabs>
        <w:ind w:left="1080" w:right="634"/>
      </w:pPr>
      <w:r>
        <w:tab/>
      </w:r>
    </w:p>
    <w:p w14:paraId="50CF1451" w14:textId="14B1EB66" w:rsidR="00427309" w:rsidRPr="00305BDC" w:rsidRDefault="00427309" w:rsidP="00427309">
      <w:pPr>
        <w:tabs>
          <w:tab w:val="left" w:pos="1080"/>
        </w:tabs>
        <w:ind w:left="1080" w:right="634"/>
      </w:pPr>
      <w:r w:rsidRPr="00305BDC">
        <w:lastRenderedPageBreak/>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14:paraId="192982C1" w14:textId="77777777" w:rsidR="00427309" w:rsidRPr="00305BDC" w:rsidRDefault="00427309" w:rsidP="00A0477F">
      <w:pPr>
        <w:tabs>
          <w:tab w:val="left" w:pos="1080"/>
        </w:tabs>
        <w:ind w:left="0" w:right="634"/>
        <w:rPr>
          <w:highlight w:val="yellow"/>
        </w:rPr>
      </w:pPr>
    </w:p>
    <w:p w14:paraId="6889D697" w14:textId="7CB570E8" w:rsidR="00427309" w:rsidRPr="0028292E" w:rsidRDefault="00427309" w:rsidP="00427309">
      <w:pPr>
        <w:tabs>
          <w:tab w:val="left" w:pos="1080"/>
        </w:tabs>
        <w:ind w:left="1080" w:right="634"/>
      </w:pPr>
      <w:r w:rsidRPr="0028292E">
        <w:t>Commenter #</w:t>
      </w:r>
      <w:r w:rsidR="0028292E" w:rsidRPr="0028292E">
        <w:t>13</w:t>
      </w:r>
      <w:r w:rsidR="00430A6A">
        <w:t xml:space="preserve"> expressed concerns that the proposed rules do not address the use of on</w:t>
      </w:r>
      <w:r w:rsidR="002736F1">
        <w:t>s</w:t>
      </w:r>
      <w:r w:rsidR="00430A6A">
        <w:t xml:space="preserve">hore or barge based treatment systems.  Even though no facilities or operations of this variety have been proposed in Oregon </w:t>
      </w:r>
      <w:r w:rsidR="002736F1">
        <w:t xml:space="preserve">(or elsewhere in North America)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14:paraId="0AFA4CB4" w14:textId="77777777" w:rsidR="00427309" w:rsidRPr="00305BDC" w:rsidRDefault="00427309" w:rsidP="00427309">
      <w:pPr>
        <w:tabs>
          <w:tab w:val="left" w:pos="2700"/>
        </w:tabs>
        <w:ind w:left="2700" w:right="634"/>
        <w:rPr>
          <w:highlight w:val="yellow"/>
        </w:rPr>
      </w:pPr>
    </w:p>
    <w:p w14:paraId="3F5D53CE" w14:textId="3723AB51" w:rsidR="00427309" w:rsidRDefault="00427309" w:rsidP="00427309">
      <w:pPr>
        <w:pStyle w:val="ListParagraph"/>
        <w:tabs>
          <w:tab w:val="left" w:pos="2700"/>
        </w:tabs>
        <w:ind w:left="1080" w:right="634"/>
        <w:rPr>
          <w:bCs/>
        </w:rPr>
      </w:pPr>
      <w:r w:rsidRPr="0028292E">
        <w:rPr>
          <w:b/>
          <w:bCs/>
        </w:rPr>
        <w:t>Response:</w:t>
      </w:r>
      <w:r w:rsidRPr="0028292E">
        <w:rPr>
          <w:b/>
          <w:bCs/>
        </w:rPr>
        <w:tab/>
      </w:r>
      <w:r w:rsidR="0028292E">
        <w:rPr>
          <w:bCs/>
        </w:rPr>
        <w:t xml:space="preserve">DEQ is monitoring developments related to the feasibility and practicability of alternative approaches to achieving </w:t>
      </w:r>
      <w:r w:rsidR="00430A6A">
        <w:rPr>
          <w:bCs/>
        </w:rPr>
        <w:t xml:space="preserve">sufficiently protective </w:t>
      </w:r>
      <w:r w:rsidR="0028292E">
        <w:rPr>
          <w:bCs/>
        </w:rPr>
        <w:t xml:space="preserve">ballast </w:t>
      </w:r>
      <w:r w:rsidR="00430A6A">
        <w:rPr>
          <w:bCs/>
        </w:rPr>
        <w:t xml:space="preserve">discharge standards, including the potential for shore-based or barge-based treatment strategies.  At this time, however, there are no active proposals for this type of activity in Oregon for which DEQ could evaluate as a basis for rule development.  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 xml:space="preserve">.  Therefore, DEQ has determined that this issue is outside the scope of this rulemaking effort and it is not addressed in the </w:t>
      </w:r>
      <w:r w:rsidR="00D27DFF">
        <w:rPr>
          <w:bCs/>
        </w:rPr>
        <w:t>draft</w:t>
      </w:r>
      <w:r w:rsidR="00430A6A">
        <w:rPr>
          <w:bCs/>
        </w:rPr>
        <w:t xml:space="preserve"> rule.</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53893B03" w14:textId="77777777" w:rsidR="005A0475" w:rsidRDefault="005A0475" w:rsidP="00377FA3">
      <w:pPr>
        <w:pStyle w:val="Heading2"/>
        <w:rPr>
          <w:rFonts w:ascii="Times New Roman" w:hAnsi="Times New Roman" w:cs="Times New Roman"/>
        </w:rPr>
      </w:pPr>
    </w:p>
    <w:p w14:paraId="33EA0FEA" w14:textId="77777777" w:rsidR="00377FA3" w:rsidRPr="00F51795" w:rsidRDefault="00377FA3" w:rsidP="00377FA3">
      <w:pPr>
        <w:pStyle w:val="Heading2"/>
        <w:rPr>
          <w:rFonts w:ascii="Times New Roman" w:hAnsi="Times New Roman" w:cs="Times New Roman"/>
          <w:b/>
          <w:color w:val="auto"/>
          <w:sz w:val="24"/>
          <w:szCs w:val="24"/>
        </w:rPr>
      </w:pPr>
      <w:r w:rsidRPr="00F51795">
        <w:rPr>
          <w:rFonts w:ascii="Times New Roman" w:hAnsi="Times New Roman" w:cs="Times New Roman"/>
          <w:b/>
          <w:color w:val="auto"/>
          <w:sz w:val="24"/>
          <w:szCs w:val="24"/>
        </w:rPr>
        <w:t>Comments received by close of public comment period</w:t>
      </w:r>
    </w:p>
    <w:p w14:paraId="33EA0FFE" w14:textId="2781984B" w:rsidR="00D8597B" w:rsidRDefault="00377FA3" w:rsidP="005A0475">
      <w:pPr>
        <w:spacing w:after="120"/>
        <w:ind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14:paraId="1CDFF6F2" w14:textId="77777777" w:rsidR="005A0475" w:rsidRPr="005A0475" w:rsidRDefault="005A0475" w:rsidP="005A0475">
      <w:pPr>
        <w:spacing w:after="120"/>
        <w:ind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8F328D">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14:paraId="33EA1003" w14:textId="37DED52C" w:rsidR="00A71647" w:rsidRPr="00F45D15" w:rsidRDefault="00E31399" w:rsidP="002B207D">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8F328D">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42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14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3236E71D" w:rsidR="00A71647" w:rsidRPr="005E261F" w:rsidRDefault="005E261F" w:rsidP="005E261F">
            <w:pPr>
              <w:ind w:left="0" w:right="0"/>
              <w:outlineLvl w:val="9"/>
              <w:rPr>
                <w:rFonts w:ascii="Arial" w:hAnsi="Arial" w:cs="Arial"/>
                <w:color w:val="000000"/>
              </w:rPr>
            </w:pPr>
            <w:r>
              <w:rPr>
                <w:rFonts w:ascii="Arial" w:hAnsi="Arial" w:cs="Arial"/>
                <w:color w:val="000000"/>
              </w:rPr>
              <w:t>1,2,3</w:t>
            </w:r>
          </w:p>
        </w:tc>
      </w:tr>
      <w:tr w:rsidR="00A71647" w:rsidRPr="00E16CB8" w14:paraId="33EA1012" w14:textId="77777777" w:rsidTr="008F328D">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42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Doug Heiken</w:t>
            </w:r>
          </w:p>
        </w:tc>
        <w:tc>
          <w:tcPr>
            <w:tcW w:w="414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68C40075" w:rsidR="00A71647" w:rsidRPr="005E261F" w:rsidRDefault="005E261F" w:rsidP="005E261F">
            <w:pPr>
              <w:ind w:left="0" w:right="0"/>
              <w:outlineLvl w:val="9"/>
              <w:rPr>
                <w:rFonts w:ascii="Arial" w:hAnsi="Arial" w:cs="Arial"/>
                <w:color w:val="000000"/>
              </w:rPr>
            </w:pPr>
            <w:r>
              <w:rPr>
                <w:rFonts w:ascii="Arial" w:hAnsi="Arial" w:cs="Arial"/>
                <w:color w:val="000000"/>
              </w:rPr>
              <w:t>1,2</w:t>
            </w:r>
            <w:r w:rsidR="001134E7">
              <w:rPr>
                <w:rFonts w:ascii="Arial" w:hAnsi="Arial" w:cs="Arial"/>
                <w:color w:val="000000"/>
              </w:rPr>
              <w:t>,3</w:t>
            </w:r>
          </w:p>
        </w:tc>
      </w:tr>
      <w:tr w:rsidR="00A71647" w:rsidRPr="00E16CB8" w14:paraId="33EA1018" w14:textId="77777777" w:rsidTr="008F328D">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42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14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048C1160" w:rsidR="00A71647" w:rsidRPr="005E261F" w:rsidRDefault="005E261F" w:rsidP="005E261F">
            <w:pPr>
              <w:ind w:left="0" w:right="0"/>
              <w:outlineLvl w:val="9"/>
              <w:rPr>
                <w:rFonts w:ascii="Arial" w:hAnsi="Arial" w:cs="Arial"/>
                <w:color w:val="000000"/>
              </w:rPr>
            </w:pPr>
            <w:r>
              <w:rPr>
                <w:rFonts w:ascii="Arial" w:hAnsi="Arial" w:cs="Arial"/>
                <w:color w:val="000000"/>
              </w:rPr>
              <w:t>1,3,7</w:t>
            </w:r>
          </w:p>
        </w:tc>
      </w:tr>
      <w:tr w:rsidR="007B21FA" w:rsidRPr="00E16CB8" w14:paraId="7F094725" w14:textId="77777777" w:rsidTr="008F328D">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420" w:type="dxa"/>
            <w:vAlign w:val="center"/>
          </w:tcPr>
          <w:p w14:paraId="75F3749F" w14:textId="14DFB78E" w:rsidR="007B21FA" w:rsidRDefault="007B21FA" w:rsidP="001134E7">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134E7">
              <w:rPr>
                <w:rFonts w:ascii="Arial" w:hAnsi="Arial" w:cs="Arial"/>
                <w:vertAlign w:val="superscript"/>
              </w:rPr>
              <w:t>4</w:t>
            </w:r>
            <w:r>
              <w:rPr>
                <w:rFonts w:ascii="Arial" w:hAnsi="Arial" w:cs="Arial"/>
              </w:rPr>
              <w:t>, Frank Holmes</w:t>
            </w:r>
            <w:r w:rsidR="001134E7">
              <w:rPr>
                <w:rFonts w:ascii="Arial" w:hAnsi="Arial" w:cs="Arial"/>
                <w:vertAlign w:val="superscript"/>
              </w:rPr>
              <w:t>5</w:t>
            </w:r>
            <w:r w:rsidR="001134E7">
              <w:rPr>
                <w:rFonts w:ascii="Arial" w:hAnsi="Arial" w:cs="Arial"/>
              </w:rPr>
              <w:t>, Fred Myer</w:t>
            </w:r>
            <w:r w:rsidR="001134E7">
              <w:rPr>
                <w:rFonts w:ascii="Arial" w:hAnsi="Arial" w:cs="Arial"/>
                <w:vertAlign w:val="superscript"/>
              </w:rPr>
              <w:t>6</w:t>
            </w:r>
            <w:r w:rsidR="001134E7">
              <w:rPr>
                <w:rFonts w:ascii="Arial" w:hAnsi="Arial" w:cs="Arial"/>
              </w:rPr>
              <w:t xml:space="preserve"> </w:t>
            </w:r>
            <w:r w:rsidR="00666D7D">
              <w:rPr>
                <w:rFonts w:ascii="Arial" w:hAnsi="Arial" w:cs="Arial"/>
              </w:rPr>
              <w:t>(5/24/16; 7/8/16)</w:t>
            </w:r>
          </w:p>
        </w:tc>
        <w:tc>
          <w:tcPr>
            <w:tcW w:w="4140" w:type="dxa"/>
            <w:tcMar>
              <w:top w:w="43" w:type="dxa"/>
              <w:left w:w="43" w:type="dxa"/>
              <w:bottom w:w="43" w:type="dxa"/>
              <w:right w:w="43" w:type="dxa"/>
            </w:tcMar>
            <w:vAlign w:val="center"/>
          </w:tcPr>
          <w:p w14:paraId="17CDE71C" w14:textId="08CD4F34" w:rsidR="007B21FA" w:rsidRDefault="00183896" w:rsidP="001134E7">
            <w:pPr>
              <w:ind w:left="0" w:right="0"/>
              <w:rPr>
                <w:rFonts w:ascii="Arial" w:hAnsi="Arial" w:cs="Arial"/>
              </w:rPr>
            </w:pPr>
            <w:r w:rsidRPr="00183896">
              <w:rPr>
                <w:rFonts w:ascii="Arial" w:hAnsi="Arial" w:cs="Arial"/>
                <w:vertAlign w:val="superscript"/>
              </w:rPr>
              <w:t>1</w:t>
            </w:r>
            <w:r w:rsidR="007B21FA">
              <w:rPr>
                <w:rFonts w:ascii="Arial" w:hAnsi="Arial" w:cs="Arial"/>
              </w:rPr>
              <w:t xml:space="preserve">American Waterways Operators, </w:t>
            </w:r>
            <w:r w:rsidRPr="00183896">
              <w:rPr>
                <w:rFonts w:ascii="Arial" w:hAnsi="Arial" w:cs="Arial"/>
                <w:vertAlign w:val="superscript"/>
              </w:rPr>
              <w:t>2</w:t>
            </w:r>
            <w:r w:rsidR="007B21FA">
              <w:rPr>
                <w:rFonts w:ascii="Arial" w:hAnsi="Arial" w:cs="Arial"/>
              </w:rPr>
              <w:t xml:space="preserve">Columbia River Steamship Operators Assn., </w:t>
            </w:r>
            <w:r w:rsidRPr="00183896">
              <w:rPr>
                <w:rFonts w:ascii="Arial" w:hAnsi="Arial" w:cs="Arial"/>
                <w:vertAlign w:val="superscript"/>
              </w:rPr>
              <w:t>3</w:t>
            </w:r>
            <w:r w:rsidR="007B21FA">
              <w:rPr>
                <w:rFonts w:ascii="Arial" w:hAnsi="Arial" w:cs="Arial"/>
              </w:rPr>
              <w:t xml:space="preserve">Oregon Public Ports Association, </w:t>
            </w:r>
            <w:r w:rsidR="001134E7">
              <w:rPr>
                <w:rFonts w:ascii="Arial" w:hAnsi="Arial" w:cs="Arial"/>
                <w:vertAlign w:val="superscript"/>
              </w:rPr>
              <w:t>4</w:t>
            </w:r>
            <w:r w:rsidR="007B21FA">
              <w:rPr>
                <w:rFonts w:ascii="Arial" w:hAnsi="Arial" w:cs="Arial"/>
              </w:rPr>
              <w:t xml:space="preserve">Sause Bros., </w:t>
            </w:r>
            <w:r w:rsidR="001134E7">
              <w:rPr>
                <w:rFonts w:ascii="Arial" w:hAnsi="Arial" w:cs="Arial"/>
                <w:vertAlign w:val="superscript"/>
              </w:rPr>
              <w:t>5</w:t>
            </w:r>
            <w:r w:rsidR="007B21FA">
              <w:rPr>
                <w:rFonts w:ascii="Arial" w:hAnsi="Arial" w:cs="Arial"/>
              </w:rPr>
              <w:t>States Petroleum Association</w:t>
            </w:r>
            <w:r w:rsidR="001134E7">
              <w:rPr>
                <w:rFonts w:ascii="Arial" w:hAnsi="Arial" w:cs="Arial"/>
              </w:rPr>
              <w:t xml:space="preserve">, </w:t>
            </w:r>
            <w:r w:rsidR="001134E7">
              <w:rPr>
                <w:rFonts w:ascii="Arial" w:hAnsi="Arial" w:cs="Arial"/>
                <w:vertAlign w:val="superscript"/>
              </w:rPr>
              <w:t>6</w:t>
            </w:r>
            <w:r w:rsidR="001134E7">
              <w:rPr>
                <w:rFonts w:ascii="Arial" w:hAnsi="Arial" w:cs="Arial"/>
              </w:rPr>
              <w:t>Port of Portland</w:t>
            </w:r>
          </w:p>
        </w:tc>
        <w:tc>
          <w:tcPr>
            <w:tcW w:w="1620" w:type="dxa"/>
            <w:tcMar>
              <w:top w:w="43" w:type="dxa"/>
              <w:left w:w="43" w:type="dxa"/>
              <w:bottom w:w="43" w:type="dxa"/>
              <w:right w:w="43" w:type="dxa"/>
            </w:tcMar>
            <w:vAlign w:val="center"/>
          </w:tcPr>
          <w:p w14:paraId="7F8BEEF4" w14:textId="77777777" w:rsidR="005E261F" w:rsidRDefault="005E261F" w:rsidP="005E261F">
            <w:pPr>
              <w:ind w:left="0" w:right="0"/>
              <w:outlineLvl w:val="9"/>
              <w:rPr>
                <w:rFonts w:ascii="Arial" w:hAnsi="Arial" w:cs="Arial"/>
                <w:color w:val="000000"/>
              </w:rPr>
            </w:pPr>
            <w:r>
              <w:rPr>
                <w:rFonts w:ascii="Arial" w:hAnsi="Arial" w:cs="Arial"/>
                <w:color w:val="000000"/>
              </w:rPr>
              <w:t>1,3,5,6,8,9</w:t>
            </w:r>
          </w:p>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8F328D">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420" w:type="dxa"/>
            <w:vAlign w:val="center"/>
          </w:tcPr>
          <w:p w14:paraId="00C55779" w14:textId="13ED4021" w:rsidR="007B21FA" w:rsidRDefault="007B21FA" w:rsidP="002B207D">
            <w:pPr>
              <w:ind w:left="0" w:right="0"/>
              <w:rPr>
                <w:rFonts w:ascii="Arial" w:hAnsi="Arial" w:cs="Arial"/>
              </w:rPr>
            </w:pPr>
            <w:r>
              <w:rPr>
                <w:rFonts w:ascii="Arial" w:hAnsi="Arial" w:cs="Arial"/>
              </w:rPr>
              <w:t>James Unsworth</w:t>
            </w:r>
          </w:p>
        </w:tc>
        <w:tc>
          <w:tcPr>
            <w:tcW w:w="414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DC38512" w14:textId="15739391" w:rsidR="005E261F" w:rsidRDefault="005E261F" w:rsidP="005E261F">
            <w:pPr>
              <w:ind w:left="0" w:right="0"/>
              <w:outlineLvl w:val="9"/>
              <w:rPr>
                <w:rFonts w:ascii="Arial" w:hAnsi="Arial" w:cs="Arial"/>
                <w:color w:val="000000"/>
              </w:rPr>
            </w:pPr>
            <w:r>
              <w:rPr>
                <w:rFonts w:ascii="Arial" w:hAnsi="Arial" w:cs="Arial"/>
                <w:color w:val="000000"/>
              </w:rPr>
              <w:t>1,7,8</w:t>
            </w:r>
          </w:p>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8F328D">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42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14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7A0156C0" w14:textId="77777777" w:rsidR="005E261F" w:rsidRDefault="005E261F" w:rsidP="005E261F">
            <w:pPr>
              <w:ind w:left="0" w:right="0"/>
              <w:outlineLvl w:val="9"/>
              <w:rPr>
                <w:rFonts w:ascii="Arial" w:hAnsi="Arial" w:cs="Arial"/>
                <w:color w:val="000000"/>
              </w:rPr>
            </w:pPr>
            <w:r>
              <w:rPr>
                <w:rFonts w:ascii="Arial" w:hAnsi="Arial" w:cs="Arial"/>
                <w:color w:val="000000"/>
              </w:rPr>
              <w:t>1,4,7</w:t>
            </w:r>
          </w:p>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8F328D">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420" w:type="dxa"/>
            <w:vAlign w:val="center"/>
          </w:tcPr>
          <w:p w14:paraId="2646F7A1" w14:textId="40F86DB3" w:rsidR="007B21FA" w:rsidRDefault="007B21FA" w:rsidP="002B207D">
            <w:pPr>
              <w:ind w:left="0" w:right="0"/>
              <w:rPr>
                <w:rFonts w:ascii="Arial" w:hAnsi="Arial" w:cs="Arial"/>
              </w:rPr>
            </w:pPr>
            <w:r>
              <w:rPr>
                <w:rFonts w:ascii="Arial" w:hAnsi="Arial" w:cs="Arial"/>
              </w:rPr>
              <w:t>Debrah Marriot</w:t>
            </w:r>
          </w:p>
        </w:tc>
        <w:tc>
          <w:tcPr>
            <w:tcW w:w="414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1AC388C5" w:rsidR="007B21FA" w:rsidRPr="005E261F" w:rsidRDefault="005E261F" w:rsidP="005E261F">
            <w:pPr>
              <w:ind w:left="0" w:right="0"/>
              <w:outlineLvl w:val="9"/>
              <w:rPr>
                <w:rFonts w:ascii="Arial" w:hAnsi="Arial" w:cs="Arial"/>
                <w:color w:val="000000"/>
              </w:rPr>
            </w:pPr>
            <w:r>
              <w:rPr>
                <w:rFonts w:ascii="Arial" w:hAnsi="Arial" w:cs="Arial"/>
                <w:color w:val="000000"/>
              </w:rPr>
              <w:t>1,5,7,3</w:t>
            </w:r>
          </w:p>
        </w:tc>
      </w:tr>
      <w:tr w:rsidR="00666D7D" w:rsidRPr="00E16CB8" w14:paraId="594B80F1" w14:textId="77777777" w:rsidTr="008F328D">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42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14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5A629FC4" w:rsidR="00666D7D" w:rsidRPr="002C2E35" w:rsidRDefault="005E261F" w:rsidP="00666D7D">
            <w:pPr>
              <w:ind w:left="0" w:right="0"/>
              <w:rPr>
                <w:rFonts w:ascii="Arial" w:hAnsi="Arial" w:cs="Arial"/>
              </w:rPr>
            </w:pPr>
            <w:r>
              <w:rPr>
                <w:rFonts w:ascii="Arial" w:hAnsi="Arial" w:cs="Arial"/>
              </w:rPr>
              <w:t>1</w:t>
            </w:r>
          </w:p>
        </w:tc>
      </w:tr>
      <w:tr w:rsidR="00666D7D" w:rsidRPr="00E16CB8" w14:paraId="4130E19A" w14:textId="77777777" w:rsidTr="008F328D">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42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14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47642A9F" w:rsidR="00666D7D" w:rsidRPr="002C2E35" w:rsidRDefault="005E261F" w:rsidP="00666D7D">
            <w:pPr>
              <w:ind w:left="0" w:right="0"/>
              <w:rPr>
                <w:rFonts w:ascii="Arial" w:hAnsi="Arial" w:cs="Arial"/>
              </w:rPr>
            </w:pPr>
            <w:r>
              <w:rPr>
                <w:rFonts w:ascii="Arial" w:hAnsi="Arial" w:cs="Arial"/>
              </w:rPr>
              <w:t>1,2</w:t>
            </w:r>
            <w:r w:rsidR="001134E7">
              <w:rPr>
                <w:rFonts w:ascii="Arial" w:hAnsi="Arial" w:cs="Arial"/>
              </w:rPr>
              <w:t>,3</w:t>
            </w:r>
          </w:p>
        </w:tc>
      </w:tr>
      <w:tr w:rsidR="00666D7D" w:rsidRPr="00E16CB8" w14:paraId="082F4324" w14:textId="77777777" w:rsidTr="008F328D">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42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140" w:type="dxa"/>
            <w:tcMar>
              <w:top w:w="43" w:type="dxa"/>
              <w:left w:w="43" w:type="dxa"/>
              <w:bottom w:w="43" w:type="dxa"/>
              <w:right w:w="43" w:type="dxa"/>
            </w:tcMar>
            <w:vAlign w:val="center"/>
          </w:tcPr>
          <w:p w14:paraId="4F889D0B" w14:textId="2033EE5F" w:rsidR="00666D7D" w:rsidRDefault="00E31399" w:rsidP="00666D7D">
            <w:pPr>
              <w:ind w:left="0" w:right="0"/>
              <w:rPr>
                <w:rFonts w:ascii="Arial" w:hAnsi="Arial" w:cs="Arial"/>
              </w:rPr>
            </w:pPr>
            <w:r>
              <w:rPr>
                <w:rFonts w:ascii="Arial" w:hAnsi="Arial" w:cs="Arial"/>
              </w:rPr>
              <w:t>Citizen (retired DOJ)</w:t>
            </w:r>
          </w:p>
        </w:tc>
        <w:tc>
          <w:tcPr>
            <w:tcW w:w="1620" w:type="dxa"/>
            <w:tcMar>
              <w:top w:w="43" w:type="dxa"/>
              <w:left w:w="43" w:type="dxa"/>
              <w:bottom w:w="43" w:type="dxa"/>
              <w:right w:w="43" w:type="dxa"/>
            </w:tcMar>
            <w:vAlign w:val="center"/>
          </w:tcPr>
          <w:p w14:paraId="46FD8DA1" w14:textId="29B2155F" w:rsidR="00666D7D" w:rsidRPr="002C2E35" w:rsidRDefault="005E261F" w:rsidP="00666D7D">
            <w:pPr>
              <w:ind w:left="0" w:right="0"/>
              <w:rPr>
                <w:rFonts w:ascii="Arial" w:hAnsi="Arial" w:cs="Arial"/>
              </w:rPr>
            </w:pPr>
            <w:r>
              <w:rPr>
                <w:rFonts w:ascii="Arial" w:hAnsi="Arial" w:cs="Arial"/>
              </w:rPr>
              <w:t>1,4</w:t>
            </w:r>
          </w:p>
        </w:tc>
      </w:tr>
      <w:tr w:rsidR="00F521FB" w:rsidRPr="00E16CB8" w14:paraId="386E66D5" w14:textId="77777777" w:rsidTr="008F328D">
        <w:tc>
          <w:tcPr>
            <w:tcW w:w="715" w:type="dxa"/>
            <w:tcMar>
              <w:top w:w="43" w:type="dxa"/>
              <w:left w:w="43" w:type="dxa"/>
              <w:bottom w:w="43" w:type="dxa"/>
              <w:right w:w="43" w:type="dxa"/>
            </w:tcMar>
            <w:vAlign w:val="center"/>
          </w:tcPr>
          <w:p w14:paraId="1E659501" w14:textId="5286F029" w:rsidR="00F521FB" w:rsidRDefault="00F521FB" w:rsidP="00F521FB">
            <w:pPr>
              <w:ind w:left="0" w:right="0"/>
              <w:rPr>
                <w:rFonts w:ascii="Arial" w:hAnsi="Arial" w:cs="Arial"/>
              </w:rPr>
            </w:pPr>
            <w:r>
              <w:rPr>
                <w:rFonts w:ascii="Arial" w:hAnsi="Arial" w:cs="Arial"/>
              </w:rPr>
              <w:t>11</w:t>
            </w:r>
          </w:p>
        </w:tc>
        <w:tc>
          <w:tcPr>
            <w:tcW w:w="3420" w:type="dxa"/>
            <w:vAlign w:val="center"/>
          </w:tcPr>
          <w:p w14:paraId="3A121165" w14:textId="5FC0E8DD" w:rsidR="00F521FB" w:rsidRPr="00087876" w:rsidRDefault="00F521FB" w:rsidP="00F521FB">
            <w:pPr>
              <w:ind w:left="0" w:right="0"/>
              <w:rPr>
                <w:rFonts w:ascii="Arial" w:hAnsi="Arial" w:cs="Arial"/>
                <w:highlight w:val="yellow"/>
              </w:rPr>
            </w:pPr>
            <w:r>
              <w:rPr>
                <w:rFonts w:ascii="Arial" w:hAnsi="Arial" w:cs="Arial"/>
              </w:rPr>
              <w:t>Dorothy Shoemaker</w:t>
            </w:r>
          </w:p>
        </w:tc>
        <w:tc>
          <w:tcPr>
            <w:tcW w:w="4140" w:type="dxa"/>
            <w:tcMar>
              <w:top w:w="43" w:type="dxa"/>
              <w:left w:w="43" w:type="dxa"/>
              <w:bottom w:w="43" w:type="dxa"/>
              <w:right w:w="43" w:type="dxa"/>
            </w:tcMar>
            <w:vAlign w:val="center"/>
          </w:tcPr>
          <w:p w14:paraId="623214D9" w14:textId="06B24513" w:rsidR="00F521FB" w:rsidRPr="00087876" w:rsidRDefault="00F521FB" w:rsidP="00F521FB">
            <w:pPr>
              <w:ind w:left="0" w:right="0"/>
              <w:rPr>
                <w:rFonts w:ascii="Arial" w:hAnsi="Arial" w:cs="Arial"/>
                <w:highlight w:val="yellow"/>
              </w:rPr>
            </w:pPr>
            <w:r>
              <w:rPr>
                <w:rFonts w:ascii="Arial" w:hAnsi="Arial" w:cs="Arial"/>
              </w:rPr>
              <w:t>Citizen</w:t>
            </w:r>
          </w:p>
        </w:tc>
        <w:tc>
          <w:tcPr>
            <w:tcW w:w="1620" w:type="dxa"/>
            <w:tcMar>
              <w:top w:w="43" w:type="dxa"/>
              <w:left w:w="43" w:type="dxa"/>
              <w:bottom w:w="43" w:type="dxa"/>
              <w:right w:w="43" w:type="dxa"/>
            </w:tcMar>
            <w:vAlign w:val="center"/>
          </w:tcPr>
          <w:p w14:paraId="3656BBC6" w14:textId="2FEAA55F" w:rsidR="00F521FB" w:rsidRPr="002C2E35" w:rsidRDefault="005E261F" w:rsidP="00F521FB">
            <w:pPr>
              <w:ind w:left="0" w:right="0"/>
              <w:rPr>
                <w:rFonts w:ascii="Arial" w:hAnsi="Arial" w:cs="Arial"/>
              </w:rPr>
            </w:pPr>
            <w:r>
              <w:rPr>
                <w:rFonts w:ascii="Arial" w:hAnsi="Arial" w:cs="Arial"/>
              </w:rPr>
              <w:t>1</w:t>
            </w:r>
          </w:p>
        </w:tc>
      </w:tr>
      <w:tr w:rsidR="00F521FB" w:rsidRPr="00E16CB8" w14:paraId="0953DE99" w14:textId="77777777" w:rsidTr="008F328D">
        <w:tc>
          <w:tcPr>
            <w:tcW w:w="715" w:type="dxa"/>
            <w:tcMar>
              <w:top w:w="43" w:type="dxa"/>
              <w:left w:w="43" w:type="dxa"/>
              <w:bottom w:w="43" w:type="dxa"/>
              <w:right w:w="43" w:type="dxa"/>
            </w:tcMar>
            <w:vAlign w:val="center"/>
          </w:tcPr>
          <w:p w14:paraId="0337E91A" w14:textId="1DB82765" w:rsidR="00F521FB" w:rsidRDefault="00F521FB" w:rsidP="00F521FB">
            <w:pPr>
              <w:ind w:left="0" w:right="0"/>
              <w:rPr>
                <w:rFonts w:ascii="Arial" w:hAnsi="Arial" w:cs="Arial"/>
              </w:rPr>
            </w:pPr>
            <w:r>
              <w:rPr>
                <w:rFonts w:ascii="Arial" w:hAnsi="Arial" w:cs="Arial"/>
              </w:rPr>
              <w:t>12</w:t>
            </w:r>
          </w:p>
        </w:tc>
        <w:tc>
          <w:tcPr>
            <w:tcW w:w="3420" w:type="dxa"/>
            <w:vAlign w:val="center"/>
          </w:tcPr>
          <w:p w14:paraId="12F645B7" w14:textId="001094C4" w:rsidR="00F521FB" w:rsidRDefault="00F521FB" w:rsidP="00F521FB">
            <w:pPr>
              <w:ind w:left="0" w:right="0"/>
              <w:rPr>
                <w:rFonts w:ascii="Arial" w:hAnsi="Arial" w:cs="Arial"/>
              </w:rPr>
            </w:pPr>
            <w:r>
              <w:rPr>
                <w:rFonts w:ascii="Arial" w:hAnsi="Arial" w:cs="Arial"/>
              </w:rPr>
              <w:t>Cybele Knowles and 898 co-signatories</w:t>
            </w:r>
          </w:p>
        </w:tc>
        <w:tc>
          <w:tcPr>
            <w:tcW w:w="4140" w:type="dxa"/>
            <w:tcMar>
              <w:top w:w="43" w:type="dxa"/>
              <w:left w:w="43" w:type="dxa"/>
              <w:bottom w:w="43" w:type="dxa"/>
              <w:right w:w="43" w:type="dxa"/>
            </w:tcMar>
            <w:vAlign w:val="center"/>
          </w:tcPr>
          <w:p w14:paraId="0CDD4AF6" w14:textId="1727D2C9" w:rsidR="00F521FB" w:rsidRDefault="00F521FB" w:rsidP="00F521FB">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209182CE" w14:textId="57D6E867" w:rsidR="00F521FB" w:rsidRPr="002C2E35" w:rsidRDefault="005E261F" w:rsidP="00F521FB">
            <w:pPr>
              <w:ind w:left="0" w:right="0"/>
              <w:rPr>
                <w:rFonts w:ascii="Arial" w:hAnsi="Arial" w:cs="Arial"/>
              </w:rPr>
            </w:pPr>
            <w:r>
              <w:rPr>
                <w:rFonts w:ascii="Arial" w:hAnsi="Arial" w:cs="Arial"/>
              </w:rPr>
              <w:t>1,7</w:t>
            </w:r>
          </w:p>
        </w:tc>
      </w:tr>
      <w:tr w:rsidR="00F521FB" w:rsidRPr="00E16CB8" w14:paraId="064679CD" w14:textId="77777777" w:rsidTr="008F328D">
        <w:tc>
          <w:tcPr>
            <w:tcW w:w="715" w:type="dxa"/>
            <w:tcMar>
              <w:top w:w="43" w:type="dxa"/>
              <w:left w:w="43" w:type="dxa"/>
              <w:bottom w:w="43" w:type="dxa"/>
              <w:right w:w="43" w:type="dxa"/>
            </w:tcMar>
            <w:vAlign w:val="center"/>
          </w:tcPr>
          <w:p w14:paraId="005B352E" w14:textId="3CCC00A5" w:rsidR="00F521FB" w:rsidRDefault="00F521FB" w:rsidP="00F521FB">
            <w:pPr>
              <w:ind w:left="0" w:right="0"/>
              <w:rPr>
                <w:rFonts w:ascii="Arial" w:hAnsi="Arial" w:cs="Arial"/>
              </w:rPr>
            </w:pPr>
            <w:r>
              <w:rPr>
                <w:rFonts w:ascii="Arial" w:hAnsi="Arial" w:cs="Arial"/>
              </w:rPr>
              <w:t>13</w:t>
            </w:r>
          </w:p>
        </w:tc>
        <w:tc>
          <w:tcPr>
            <w:tcW w:w="3420" w:type="dxa"/>
            <w:vAlign w:val="center"/>
          </w:tcPr>
          <w:p w14:paraId="4613D0B8" w14:textId="6DCE299B" w:rsidR="00F521FB" w:rsidRDefault="00F521FB" w:rsidP="00F521FB">
            <w:pPr>
              <w:ind w:left="0" w:right="0"/>
              <w:rPr>
                <w:rFonts w:ascii="Arial" w:hAnsi="Arial" w:cs="Arial"/>
              </w:rPr>
            </w:pPr>
            <w:r>
              <w:rPr>
                <w:rFonts w:ascii="Arial" w:hAnsi="Arial" w:cs="Arial"/>
              </w:rPr>
              <w:t>Nina Bell and Tierra Curry</w:t>
            </w:r>
          </w:p>
        </w:tc>
        <w:tc>
          <w:tcPr>
            <w:tcW w:w="4140" w:type="dxa"/>
            <w:tcMar>
              <w:top w:w="43" w:type="dxa"/>
              <w:left w:w="43" w:type="dxa"/>
              <w:bottom w:w="43" w:type="dxa"/>
              <w:right w:w="43" w:type="dxa"/>
            </w:tcMar>
            <w:vAlign w:val="center"/>
          </w:tcPr>
          <w:p w14:paraId="013B06BB" w14:textId="191F1CD6" w:rsidR="00F521FB" w:rsidRDefault="00F521FB" w:rsidP="00F521FB">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507DD44D" w14:textId="2A72D839" w:rsidR="00F521FB" w:rsidRPr="005E261F" w:rsidRDefault="005E261F" w:rsidP="005E261F">
            <w:pPr>
              <w:ind w:left="0" w:right="0"/>
              <w:outlineLvl w:val="9"/>
              <w:rPr>
                <w:rFonts w:ascii="Arial" w:hAnsi="Arial" w:cs="Arial"/>
                <w:color w:val="000000"/>
              </w:rPr>
            </w:pPr>
            <w:r>
              <w:rPr>
                <w:rFonts w:ascii="Arial" w:hAnsi="Arial" w:cs="Arial"/>
                <w:color w:val="000000"/>
              </w:rPr>
              <w:t>1,2,3,7,10,11</w:t>
            </w:r>
          </w:p>
        </w:tc>
      </w:tr>
      <w:tr w:rsidR="00F521FB" w:rsidRPr="00E16CB8" w14:paraId="5BA78E67" w14:textId="77777777" w:rsidTr="008F328D">
        <w:tc>
          <w:tcPr>
            <w:tcW w:w="715" w:type="dxa"/>
            <w:tcMar>
              <w:top w:w="43" w:type="dxa"/>
              <w:left w:w="43" w:type="dxa"/>
              <w:bottom w:w="43" w:type="dxa"/>
              <w:right w:w="43" w:type="dxa"/>
            </w:tcMar>
            <w:vAlign w:val="center"/>
          </w:tcPr>
          <w:p w14:paraId="16264192" w14:textId="79418132" w:rsidR="00F521FB" w:rsidRDefault="00F521FB" w:rsidP="00F521FB">
            <w:pPr>
              <w:ind w:left="0" w:right="0"/>
              <w:rPr>
                <w:rFonts w:ascii="Arial" w:hAnsi="Arial" w:cs="Arial"/>
              </w:rPr>
            </w:pPr>
            <w:r>
              <w:rPr>
                <w:rFonts w:ascii="Arial" w:hAnsi="Arial" w:cs="Arial"/>
              </w:rPr>
              <w:t>14</w:t>
            </w:r>
          </w:p>
        </w:tc>
        <w:tc>
          <w:tcPr>
            <w:tcW w:w="3420" w:type="dxa"/>
            <w:vAlign w:val="center"/>
          </w:tcPr>
          <w:p w14:paraId="54AE4D50" w14:textId="59A1F304" w:rsidR="00F521FB" w:rsidRDefault="00F521FB" w:rsidP="00F521FB">
            <w:pPr>
              <w:ind w:left="0" w:right="0"/>
              <w:rPr>
                <w:rFonts w:ascii="Arial" w:hAnsi="Arial" w:cs="Arial"/>
              </w:rPr>
            </w:pPr>
            <w:r>
              <w:rPr>
                <w:rFonts w:ascii="Arial" w:hAnsi="Arial" w:cs="Arial"/>
              </w:rPr>
              <w:t>Paul Henson</w:t>
            </w:r>
          </w:p>
        </w:tc>
        <w:tc>
          <w:tcPr>
            <w:tcW w:w="4140" w:type="dxa"/>
            <w:tcMar>
              <w:top w:w="43" w:type="dxa"/>
              <w:left w:w="43" w:type="dxa"/>
              <w:bottom w:w="43" w:type="dxa"/>
              <w:right w:w="43" w:type="dxa"/>
            </w:tcMar>
            <w:vAlign w:val="center"/>
          </w:tcPr>
          <w:p w14:paraId="3DD8D6A5" w14:textId="34F4BFEA" w:rsidR="00F521FB" w:rsidRDefault="00F521FB" w:rsidP="00F521FB">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42AF56F3" w14:textId="12DDCCE4" w:rsidR="00F521FB" w:rsidRPr="002C2E35" w:rsidRDefault="005E261F" w:rsidP="00F521FB">
            <w:pPr>
              <w:ind w:left="0" w:right="0"/>
              <w:rPr>
                <w:rFonts w:ascii="Arial" w:hAnsi="Arial" w:cs="Arial"/>
              </w:rPr>
            </w:pPr>
            <w:r>
              <w:rPr>
                <w:rFonts w:ascii="Arial" w:hAnsi="Arial" w:cs="Arial"/>
              </w:rPr>
              <w:t>1</w:t>
            </w:r>
          </w:p>
        </w:tc>
      </w:tr>
      <w:tr w:rsidR="00F521FB" w:rsidRPr="00E16CB8" w14:paraId="2E205337" w14:textId="77777777" w:rsidTr="008F328D">
        <w:tc>
          <w:tcPr>
            <w:tcW w:w="715" w:type="dxa"/>
            <w:tcMar>
              <w:top w:w="43" w:type="dxa"/>
              <w:left w:w="43" w:type="dxa"/>
              <w:bottom w:w="43" w:type="dxa"/>
              <w:right w:w="43" w:type="dxa"/>
            </w:tcMar>
            <w:vAlign w:val="center"/>
          </w:tcPr>
          <w:p w14:paraId="28A2A36A" w14:textId="57117383" w:rsidR="00F521FB" w:rsidRDefault="005A0475" w:rsidP="00F521FB">
            <w:pPr>
              <w:ind w:left="0" w:right="0"/>
              <w:rPr>
                <w:rFonts w:ascii="Arial" w:hAnsi="Arial" w:cs="Arial"/>
              </w:rPr>
            </w:pPr>
            <w:r>
              <w:rPr>
                <w:rFonts w:ascii="Arial" w:hAnsi="Arial" w:cs="Arial"/>
              </w:rPr>
              <w:lastRenderedPageBreak/>
              <w:t>15</w:t>
            </w:r>
          </w:p>
        </w:tc>
        <w:tc>
          <w:tcPr>
            <w:tcW w:w="3420" w:type="dxa"/>
            <w:vAlign w:val="center"/>
          </w:tcPr>
          <w:p w14:paraId="0263EA6F" w14:textId="53FCE287" w:rsidR="00F521FB" w:rsidRDefault="00F521FB" w:rsidP="00F521FB">
            <w:pPr>
              <w:ind w:left="0" w:right="0"/>
              <w:rPr>
                <w:rFonts w:ascii="Arial" w:hAnsi="Arial" w:cs="Arial"/>
              </w:rPr>
            </w:pPr>
            <w:r>
              <w:rPr>
                <w:rFonts w:ascii="Arial" w:hAnsi="Arial" w:cs="Arial"/>
              </w:rPr>
              <w:t>Charles Costanzo</w:t>
            </w:r>
            <w:r w:rsidR="00183896" w:rsidRPr="00183896">
              <w:rPr>
                <w:rFonts w:ascii="Arial" w:hAnsi="Arial" w:cs="Arial"/>
                <w:vertAlign w:val="superscript"/>
              </w:rPr>
              <w:t>1</w:t>
            </w:r>
            <w:r>
              <w:rPr>
                <w:rFonts w:ascii="Arial" w:hAnsi="Arial" w:cs="Arial"/>
              </w:rPr>
              <w:t>, Kate Mickelson</w:t>
            </w:r>
            <w:r w:rsidR="00183896" w:rsidRPr="00183896">
              <w:rPr>
                <w:rFonts w:ascii="Arial" w:hAnsi="Arial" w:cs="Arial"/>
                <w:vertAlign w:val="superscript"/>
              </w:rPr>
              <w:t>2</w:t>
            </w:r>
            <w:r>
              <w:rPr>
                <w:rFonts w:ascii="Arial" w:hAnsi="Arial" w:cs="Arial"/>
              </w:rPr>
              <w:t>, Mark Landauer</w:t>
            </w:r>
            <w:r w:rsidR="00183896" w:rsidRPr="00183896">
              <w:rPr>
                <w:rFonts w:ascii="Arial" w:hAnsi="Arial" w:cs="Arial"/>
                <w:vertAlign w:val="superscript"/>
              </w:rPr>
              <w:t>3</w:t>
            </w:r>
            <w:r>
              <w:rPr>
                <w:rFonts w:ascii="Arial" w:hAnsi="Arial" w:cs="Arial"/>
              </w:rPr>
              <w:t>, Ross McDonald</w:t>
            </w:r>
            <w:r w:rsidR="00183896" w:rsidRPr="00183896">
              <w:rPr>
                <w:rFonts w:ascii="Arial" w:hAnsi="Arial" w:cs="Arial"/>
                <w:vertAlign w:val="superscript"/>
              </w:rPr>
              <w:t>4</w:t>
            </w:r>
            <w:r>
              <w:rPr>
                <w:rFonts w:ascii="Arial" w:hAnsi="Arial" w:cs="Arial"/>
              </w:rPr>
              <w:t>, Frank Holmes</w:t>
            </w:r>
            <w:r w:rsidR="00183896" w:rsidRPr="00183896">
              <w:rPr>
                <w:rFonts w:ascii="Arial" w:hAnsi="Arial" w:cs="Arial"/>
                <w:vertAlign w:val="superscript"/>
              </w:rPr>
              <w:t>5</w:t>
            </w:r>
            <w:r>
              <w:rPr>
                <w:rFonts w:ascii="Arial" w:hAnsi="Arial" w:cs="Arial"/>
              </w:rPr>
              <w:t xml:space="preserve"> (10/24/16)</w:t>
            </w:r>
          </w:p>
        </w:tc>
        <w:tc>
          <w:tcPr>
            <w:tcW w:w="4140" w:type="dxa"/>
            <w:tcMar>
              <w:top w:w="43" w:type="dxa"/>
              <w:left w:w="43" w:type="dxa"/>
              <w:bottom w:w="43" w:type="dxa"/>
              <w:right w:w="43" w:type="dxa"/>
            </w:tcMar>
            <w:vAlign w:val="center"/>
          </w:tcPr>
          <w:p w14:paraId="4E255E65" w14:textId="20FC73BF" w:rsidR="00F521FB" w:rsidRDefault="00183896" w:rsidP="00F521FB">
            <w:pPr>
              <w:ind w:left="0" w:right="0"/>
              <w:rPr>
                <w:rFonts w:ascii="Arial" w:hAnsi="Arial" w:cs="Arial"/>
              </w:rPr>
            </w:pPr>
            <w:r w:rsidRPr="00183896">
              <w:rPr>
                <w:rFonts w:ascii="Arial" w:hAnsi="Arial" w:cs="Arial"/>
                <w:vertAlign w:val="superscript"/>
              </w:rPr>
              <w:t>1</w:t>
            </w:r>
            <w:r w:rsidR="00F521FB">
              <w:rPr>
                <w:rFonts w:ascii="Arial" w:hAnsi="Arial" w:cs="Arial"/>
              </w:rPr>
              <w:t xml:space="preserve">American Waterways Operators, </w:t>
            </w:r>
            <w:r w:rsidRPr="00183896">
              <w:rPr>
                <w:rFonts w:ascii="Arial" w:hAnsi="Arial" w:cs="Arial"/>
                <w:vertAlign w:val="superscript"/>
              </w:rPr>
              <w:t>2</w:t>
            </w:r>
            <w:r w:rsidR="00F521FB">
              <w:rPr>
                <w:rFonts w:ascii="Arial" w:hAnsi="Arial" w:cs="Arial"/>
              </w:rPr>
              <w:t xml:space="preserve">Columbia River Steamship Operators Assn., </w:t>
            </w:r>
            <w:r w:rsidRPr="00183896">
              <w:rPr>
                <w:rFonts w:ascii="Arial" w:hAnsi="Arial" w:cs="Arial"/>
                <w:vertAlign w:val="superscript"/>
              </w:rPr>
              <w:t>3</w:t>
            </w:r>
            <w:r w:rsidR="00F521FB">
              <w:rPr>
                <w:rFonts w:ascii="Arial" w:hAnsi="Arial" w:cs="Arial"/>
              </w:rPr>
              <w:t xml:space="preserve">Oregon Public Ports Association, </w:t>
            </w:r>
            <w:r w:rsidRPr="00183896">
              <w:rPr>
                <w:rFonts w:ascii="Arial" w:hAnsi="Arial" w:cs="Arial"/>
                <w:vertAlign w:val="superscript"/>
              </w:rPr>
              <w:t>4</w:t>
            </w:r>
            <w:r w:rsidR="00F521FB">
              <w:rPr>
                <w:rFonts w:ascii="Arial" w:hAnsi="Arial" w:cs="Arial"/>
              </w:rPr>
              <w:t xml:space="preserve">Sause Bros., </w:t>
            </w:r>
            <w:r w:rsidRPr="00183896">
              <w:rPr>
                <w:rFonts w:ascii="Arial" w:hAnsi="Arial" w:cs="Arial"/>
                <w:vertAlign w:val="superscript"/>
              </w:rPr>
              <w:t>5</w:t>
            </w:r>
            <w:r w:rsidR="00F521FB">
              <w:rPr>
                <w:rFonts w:ascii="Arial" w:hAnsi="Arial" w:cs="Arial"/>
              </w:rPr>
              <w:t>Western States Petroleum Association</w:t>
            </w:r>
          </w:p>
        </w:tc>
        <w:tc>
          <w:tcPr>
            <w:tcW w:w="1620" w:type="dxa"/>
            <w:tcMar>
              <w:top w:w="43" w:type="dxa"/>
              <w:left w:w="43" w:type="dxa"/>
              <w:bottom w:w="43" w:type="dxa"/>
              <w:right w:w="43" w:type="dxa"/>
            </w:tcMar>
            <w:vAlign w:val="center"/>
          </w:tcPr>
          <w:p w14:paraId="42E3FDB3" w14:textId="77777777" w:rsidR="005E261F" w:rsidRDefault="005E261F" w:rsidP="005E261F">
            <w:pPr>
              <w:ind w:left="0" w:right="0"/>
              <w:outlineLvl w:val="9"/>
              <w:rPr>
                <w:rFonts w:ascii="Arial" w:hAnsi="Arial" w:cs="Arial"/>
                <w:color w:val="000000"/>
              </w:rPr>
            </w:pPr>
            <w:r>
              <w:rPr>
                <w:rFonts w:ascii="Arial" w:hAnsi="Arial" w:cs="Arial"/>
                <w:color w:val="000000"/>
              </w:rPr>
              <w:t>1,3,6, 8</w:t>
            </w:r>
          </w:p>
          <w:p w14:paraId="0AA319C5" w14:textId="77777777" w:rsidR="00F521FB" w:rsidRPr="002C2E35" w:rsidRDefault="00F521FB" w:rsidP="00F521FB">
            <w:pPr>
              <w:ind w:left="0" w:right="0"/>
              <w:rPr>
                <w:rFonts w:ascii="Arial" w:hAnsi="Arial" w:cs="Arial"/>
              </w:rPr>
            </w:pPr>
          </w:p>
        </w:tc>
      </w:tr>
      <w:tr w:rsidR="00F521FB" w:rsidRPr="00E16CB8" w14:paraId="23768C05" w14:textId="77777777" w:rsidTr="008F328D">
        <w:tc>
          <w:tcPr>
            <w:tcW w:w="715" w:type="dxa"/>
            <w:tcMar>
              <w:top w:w="43" w:type="dxa"/>
              <w:left w:w="43" w:type="dxa"/>
              <w:bottom w:w="43" w:type="dxa"/>
              <w:right w:w="43" w:type="dxa"/>
            </w:tcMar>
            <w:vAlign w:val="center"/>
          </w:tcPr>
          <w:p w14:paraId="02DFE343" w14:textId="4A6DA82C" w:rsidR="00F521FB" w:rsidRDefault="00F521FB" w:rsidP="00F521FB">
            <w:pPr>
              <w:ind w:left="0" w:right="0"/>
              <w:rPr>
                <w:rFonts w:ascii="Arial" w:hAnsi="Arial" w:cs="Arial"/>
              </w:rPr>
            </w:pPr>
            <w:r>
              <w:rPr>
                <w:rFonts w:ascii="Arial" w:hAnsi="Arial" w:cs="Arial"/>
              </w:rPr>
              <w:t>16</w:t>
            </w:r>
          </w:p>
        </w:tc>
        <w:tc>
          <w:tcPr>
            <w:tcW w:w="3420" w:type="dxa"/>
            <w:vAlign w:val="center"/>
          </w:tcPr>
          <w:p w14:paraId="621E2022" w14:textId="668C0DF9" w:rsidR="00F521FB" w:rsidRDefault="00F521FB" w:rsidP="00F521FB">
            <w:pPr>
              <w:ind w:left="0" w:right="0"/>
              <w:rPr>
                <w:rFonts w:ascii="Arial" w:hAnsi="Arial" w:cs="Arial"/>
              </w:rPr>
            </w:pPr>
            <w:r>
              <w:rPr>
                <w:rFonts w:ascii="Arial" w:hAnsi="Arial" w:cs="Arial"/>
              </w:rPr>
              <w:t>Charles Costanzo</w:t>
            </w:r>
          </w:p>
        </w:tc>
        <w:tc>
          <w:tcPr>
            <w:tcW w:w="4140" w:type="dxa"/>
            <w:tcMar>
              <w:top w:w="43" w:type="dxa"/>
              <w:left w:w="43" w:type="dxa"/>
              <w:bottom w:w="43" w:type="dxa"/>
              <w:right w:w="43" w:type="dxa"/>
            </w:tcMar>
            <w:vAlign w:val="center"/>
          </w:tcPr>
          <w:p w14:paraId="38C3AB4B" w14:textId="2600FE1F" w:rsidR="00F521FB" w:rsidRDefault="00F521FB" w:rsidP="00F521FB">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036499B8" w14:textId="77777777" w:rsidR="005E261F" w:rsidRDefault="005E261F" w:rsidP="005E261F">
            <w:pPr>
              <w:ind w:left="0" w:right="0"/>
              <w:outlineLvl w:val="9"/>
              <w:rPr>
                <w:rFonts w:ascii="Arial" w:hAnsi="Arial" w:cs="Arial"/>
                <w:color w:val="000000"/>
              </w:rPr>
            </w:pPr>
            <w:r>
              <w:rPr>
                <w:rFonts w:ascii="Arial" w:hAnsi="Arial" w:cs="Arial"/>
                <w:color w:val="000000"/>
              </w:rPr>
              <w:t>1,3,6</w:t>
            </w:r>
          </w:p>
          <w:p w14:paraId="458F3F27" w14:textId="77777777" w:rsidR="00F521FB" w:rsidRPr="002C2E35" w:rsidRDefault="00F521FB" w:rsidP="00F521FB">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6A05EE46" w14:textId="1BE2718D" w:rsidR="00DC4FE4" w:rsidRDefault="00377FA3" w:rsidP="00DC4FE4">
      <w:pPr>
        <w:ind w:right="1008"/>
        <w:rPr>
          <w:color w:val="000000" w:themeColor="text1"/>
        </w:rPr>
      </w:pPr>
      <w:r w:rsidRPr="009A06A3">
        <w:rPr>
          <w:color w:val="000000" w:themeColor="text1"/>
        </w:rPr>
        <w:t xml:space="preserve">The proposed rules would become effective upon filing on approximately </w:t>
      </w:r>
      <w:r w:rsidR="00DC4FE4">
        <w:rPr>
          <w:color w:val="000000" w:themeColor="text1"/>
        </w:rPr>
        <w:t>March 1, 2017</w:t>
      </w:r>
      <w:r w:rsidRPr="009A06A3">
        <w:rPr>
          <w:color w:val="000000" w:themeColor="text1"/>
        </w:rPr>
        <w:t xml:space="preserve"> </w:t>
      </w:r>
      <w:r w:rsidR="00DC4FE4">
        <w:rPr>
          <w:color w:val="000000" w:themeColor="text1"/>
        </w:rPr>
        <w:t xml:space="preserve">At least 30 days prior to filing, </w:t>
      </w:r>
      <w:r w:rsidRPr="009A06A3">
        <w:rPr>
          <w:color w:val="000000" w:themeColor="text1"/>
        </w:rPr>
        <w:t>DEQ w</w:t>
      </w:r>
      <w:r w:rsidR="00DC4FE4">
        <w:rPr>
          <w:color w:val="000000" w:themeColor="text1"/>
        </w:rPr>
        <w:t>ould notify affected parties by sending email notification to:</w:t>
      </w:r>
    </w:p>
    <w:p w14:paraId="5968BABA" w14:textId="6C860786" w:rsidR="00DC4FE4" w:rsidRDefault="00DC4FE4" w:rsidP="00DC4FE4">
      <w:pPr>
        <w:pStyle w:val="ListParagraph"/>
        <w:numPr>
          <w:ilvl w:val="0"/>
          <w:numId w:val="18"/>
        </w:numPr>
        <w:ind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14:paraId="349998C5" w14:textId="4E073D41" w:rsidR="00DC4FE4" w:rsidRDefault="00DC4FE4" w:rsidP="00DC4FE4">
      <w:pPr>
        <w:pStyle w:val="ListParagraph"/>
        <w:numPr>
          <w:ilvl w:val="0"/>
          <w:numId w:val="18"/>
        </w:numPr>
        <w:ind w:right="1008"/>
        <w:rPr>
          <w:color w:val="000000" w:themeColor="text1"/>
        </w:rPr>
      </w:pPr>
      <w:r>
        <w:rPr>
          <w:color w:val="000000" w:themeColor="text1"/>
        </w:rPr>
        <w:t>local maritime organizations (including, but not limited to the Portland Merchants Exchange and the Columbia River Steamship Operators Association);</w:t>
      </w:r>
    </w:p>
    <w:p w14:paraId="5E3A3924" w14:textId="14BC6E5C" w:rsidR="00DC4FE4" w:rsidRDefault="00DC4FE4" w:rsidP="00DC4FE4">
      <w:pPr>
        <w:pStyle w:val="ListParagraph"/>
        <w:numPr>
          <w:ilvl w:val="0"/>
          <w:numId w:val="18"/>
        </w:numPr>
        <w:ind w:right="1008"/>
        <w:rPr>
          <w:color w:val="000000" w:themeColor="text1"/>
        </w:rPr>
      </w:pPr>
      <w:r w:rsidRPr="00DC4FE4">
        <w:rPr>
          <w:color w:val="000000" w:themeColor="text1"/>
        </w:rPr>
        <w:t>the Pacific Ballast Work Group list</w:t>
      </w:r>
      <w:r>
        <w:rPr>
          <w:color w:val="000000" w:themeColor="text1"/>
        </w:rPr>
        <w:t>serv; and</w:t>
      </w:r>
    </w:p>
    <w:p w14:paraId="6CDB9790" w14:textId="5C2BBB47" w:rsidR="00DC4FE4" w:rsidRDefault="00DC4FE4" w:rsidP="00DC4FE4">
      <w:pPr>
        <w:pStyle w:val="ListParagraph"/>
        <w:numPr>
          <w:ilvl w:val="0"/>
          <w:numId w:val="18"/>
        </w:numPr>
        <w:ind w:right="1008"/>
        <w:rPr>
          <w:color w:val="000000" w:themeColor="text1"/>
        </w:rPr>
      </w:pPr>
      <w:r>
        <w:rPr>
          <w:color w:val="000000" w:themeColor="text1"/>
        </w:rPr>
        <w:t>Washington Department of Fish and Wildlife’s Ballast Water Program.</w:t>
      </w:r>
    </w:p>
    <w:p w14:paraId="66272485" w14:textId="77777777" w:rsidR="00DC4FE4" w:rsidRPr="00DC4FE4" w:rsidRDefault="00DC4FE4" w:rsidP="00DC4FE4">
      <w:pPr>
        <w:pStyle w:val="ListParagraph"/>
        <w:ind w:left="1440" w:right="1008"/>
        <w:rPr>
          <w:color w:val="000000" w:themeColor="text1"/>
        </w:rPr>
      </w:pPr>
    </w:p>
    <w:p w14:paraId="5E90700A" w14:textId="68DF81D4" w:rsidR="00DC4FE4" w:rsidRDefault="00DC4FE4" w:rsidP="00DC4FE4">
      <w:pPr>
        <w:ind w:right="1008"/>
        <w:rPr>
          <w:color w:val="000000" w:themeColor="text1"/>
        </w:rPr>
      </w:pPr>
      <w:r>
        <w:rPr>
          <w:color w:val="000000" w:themeColor="text1"/>
        </w:rPr>
        <w:t>Prior to becoming effective, DEQ would also update the ballast water program webpage and other appropriate agency webpages and factsheets with notice of the newly adopted rules and outreach messaging.</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5FABD37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14:paraId="33EA1027" w14:textId="168A587E"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2E078CBF"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 xml:space="preserve">.  Ballast water reporting to the state would continue to rely on the same reporting form required by the U.S. Coast Guard.  The reporting form revised by U.S. Coast Guard in February 2016 is designed to capture management practices including saltwater flushing of empty tanks and ‘exchange + treatment’. </w:t>
      </w:r>
    </w:p>
    <w:p w14:paraId="33EA102B" w14:textId="3A7C6918"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1A77132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14:paraId="33EA102F" w14:textId="185D1872"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  All changes would be accommodated by DEQ ballast water program staff.</w:t>
      </w:r>
    </w:p>
    <w:p w14:paraId="33EA1030" w14:textId="15E4FAEC"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2692644"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 xml:space="preserve">Regulated entities would receive email notification with links to program webpage, factsheets and informational materials.  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  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14:paraId="33EA1035" w14:textId="49048CDD" w:rsidR="00377FA3" w:rsidRPr="00A0270F" w:rsidRDefault="00377FA3" w:rsidP="00C9782B">
      <w:pPr>
        <w:pStyle w:val="ListParagraph"/>
        <w:numPr>
          <w:ilvl w:val="0"/>
          <w:numId w:val="3"/>
        </w:numPr>
        <w:spacing w:after="120"/>
        <w:ind w:left="1080" w:right="1008"/>
        <w:contextualSpacing w:val="0"/>
        <w:rPr>
          <w:color w:val="000000"/>
        </w:rPr>
        <w:sectPr w:rsidR="00377FA3" w:rsidRPr="00A0270F" w:rsidSect="00964A94">
          <w:footerReference w:type="default" r:id="rId34"/>
          <w:type w:val="continuous"/>
          <w:pgSz w:w="12240" w:h="15840"/>
          <w:pgMar w:top="1080" w:right="990" w:bottom="1080" w:left="36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56" w14:textId="3AA37432" w:rsidR="00377FA3" w:rsidRPr="00377FA3" w:rsidRDefault="00377FA3" w:rsidP="00F51795">
      <w:pPr>
        <w:autoSpaceDE w:val="0"/>
        <w:autoSpaceDN w:val="0"/>
        <w:adjustRightInd w:val="0"/>
        <w:spacing w:after="120"/>
        <w:ind w:left="0"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E1145C" w:rsidRPr="007C0ACD" w:rsidRDefault="00E1145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E1145C" w:rsidRPr="007C0ACD" w:rsidRDefault="00E1145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E1145C" w:rsidRPr="007C0ACD" w:rsidRDefault="00E1145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E1145C" w:rsidRPr="007C0ACD" w:rsidRDefault="00E1145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E1145C" w:rsidRPr="007C0ACD" w:rsidRDefault="00E1145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E1145C" w:rsidRPr="007C0ACD" w:rsidRDefault="00E1145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E1145C" w:rsidRDefault="00E1145C">
      <w:r>
        <w:separator/>
      </w:r>
    </w:p>
  </w:endnote>
  <w:endnote w:type="continuationSeparator" w:id="0">
    <w:p w14:paraId="33EA10B2" w14:textId="77777777" w:rsidR="00E1145C" w:rsidRDefault="00E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E1145C" w:rsidRDefault="00E11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E1145C" w:rsidRDefault="00E1145C" w:rsidP="00964A94">
    <w:pPr>
      <w:pStyle w:val="Footer"/>
    </w:pPr>
  </w:p>
  <w:p w14:paraId="33EA10B7" w14:textId="77777777" w:rsidR="00E1145C" w:rsidRPr="002B4E71" w:rsidRDefault="00E1145C" w:rsidP="00964A94">
    <w:pPr>
      <w:pStyle w:val="Footer"/>
    </w:pPr>
    <w:r>
      <w:t>Staff Report</w:t>
    </w:r>
    <w:r w:rsidRPr="002B4E71">
      <w:t xml:space="preserve"> page | </w:t>
    </w:r>
    <w:r>
      <w:fldChar w:fldCharType="begin"/>
    </w:r>
    <w:r>
      <w:instrText xml:space="preserve"> PAGE   \* MERGEFORMAT </w:instrText>
    </w:r>
    <w:r>
      <w:fldChar w:fldCharType="separate"/>
    </w:r>
    <w:r w:rsidR="00983E6C">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E1145C" w:rsidRDefault="00E114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E1145C" w:rsidRDefault="00E1145C" w:rsidP="00964A94">
    <w:pPr>
      <w:pStyle w:val="Footer"/>
    </w:pPr>
  </w:p>
  <w:p w14:paraId="33EA10BB" w14:textId="77777777" w:rsidR="00E1145C" w:rsidRPr="002B4E71" w:rsidRDefault="00E1145C" w:rsidP="00964A94">
    <w:pPr>
      <w:pStyle w:val="Footer"/>
    </w:pPr>
    <w:r w:rsidRPr="002B4E71">
      <w:t xml:space="preserve">Notice page | </w:t>
    </w:r>
    <w:r>
      <w:fldChar w:fldCharType="begin"/>
    </w:r>
    <w:r>
      <w:instrText xml:space="preserve"> PAGE   \* MERGEFORMAT </w:instrText>
    </w:r>
    <w:r>
      <w:fldChar w:fldCharType="separate"/>
    </w:r>
    <w:r w:rsidR="00A346B2">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E1145C" w:rsidRDefault="00E1145C">
      <w:r>
        <w:separator/>
      </w:r>
    </w:p>
  </w:footnote>
  <w:footnote w:type="continuationSeparator" w:id="0">
    <w:p w14:paraId="33EA10B0" w14:textId="77777777" w:rsidR="00E1145C" w:rsidRDefault="00E1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E1145C" w:rsidRDefault="00E11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E1145C" w:rsidRDefault="00E11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E1145C" w:rsidRDefault="00E11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0"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3"/>
  </w:num>
  <w:num w:numId="4">
    <w:abstractNumId w:val="5"/>
  </w:num>
  <w:num w:numId="5">
    <w:abstractNumId w:val="10"/>
  </w:num>
  <w:num w:numId="6">
    <w:abstractNumId w:val="4"/>
  </w:num>
  <w:num w:numId="7">
    <w:abstractNumId w:val="1"/>
  </w:num>
  <w:num w:numId="8">
    <w:abstractNumId w:val="11"/>
  </w:num>
  <w:num w:numId="9">
    <w:abstractNumId w:val="16"/>
  </w:num>
  <w:num w:numId="10">
    <w:abstractNumId w:val="6"/>
  </w:num>
  <w:num w:numId="11">
    <w:abstractNumId w:val="17"/>
  </w:num>
  <w:num w:numId="12">
    <w:abstractNumId w:val="0"/>
  </w:num>
  <w:num w:numId="13">
    <w:abstractNumId w:val="7"/>
  </w:num>
  <w:num w:numId="14">
    <w:abstractNumId w:val="12"/>
  </w:num>
  <w:num w:numId="15">
    <w:abstractNumId w:val="14"/>
  </w:num>
  <w:num w:numId="16">
    <w:abstractNumId w:val="8"/>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1708B"/>
    <w:rsid w:val="0002001F"/>
    <w:rsid w:val="0003444B"/>
    <w:rsid w:val="00063484"/>
    <w:rsid w:val="000761B8"/>
    <w:rsid w:val="000779A5"/>
    <w:rsid w:val="00087876"/>
    <w:rsid w:val="00094DE5"/>
    <w:rsid w:val="000B0B39"/>
    <w:rsid w:val="000D03CC"/>
    <w:rsid w:val="000D566F"/>
    <w:rsid w:val="001134E7"/>
    <w:rsid w:val="0015133C"/>
    <w:rsid w:val="00177D22"/>
    <w:rsid w:val="00183896"/>
    <w:rsid w:val="001B0B23"/>
    <w:rsid w:val="001B7270"/>
    <w:rsid w:val="001C25B6"/>
    <w:rsid w:val="001C287F"/>
    <w:rsid w:val="001F2622"/>
    <w:rsid w:val="001F7EB4"/>
    <w:rsid w:val="00200B21"/>
    <w:rsid w:val="0020612E"/>
    <w:rsid w:val="002115FC"/>
    <w:rsid w:val="002124BF"/>
    <w:rsid w:val="00214C8D"/>
    <w:rsid w:val="00234ECC"/>
    <w:rsid w:val="002442FB"/>
    <w:rsid w:val="002445EE"/>
    <w:rsid w:val="00262962"/>
    <w:rsid w:val="00264F32"/>
    <w:rsid w:val="002665AF"/>
    <w:rsid w:val="002736F1"/>
    <w:rsid w:val="00276752"/>
    <w:rsid w:val="00276D13"/>
    <w:rsid w:val="0028292E"/>
    <w:rsid w:val="0029779F"/>
    <w:rsid w:val="002B207D"/>
    <w:rsid w:val="002B5E54"/>
    <w:rsid w:val="002C2E35"/>
    <w:rsid w:val="002C668C"/>
    <w:rsid w:val="002D4611"/>
    <w:rsid w:val="002F0640"/>
    <w:rsid w:val="0030544D"/>
    <w:rsid w:val="00305BDC"/>
    <w:rsid w:val="00343445"/>
    <w:rsid w:val="00360F45"/>
    <w:rsid w:val="003623A6"/>
    <w:rsid w:val="00363705"/>
    <w:rsid w:val="0036375F"/>
    <w:rsid w:val="0036639D"/>
    <w:rsid w:val="00367527"/>
    <w:rsid w:val="00377FA3"/>
    <w:rsid w:val="00396E80"/>
    <w:rsid w:val="00396EFA"/>
    <w:rsid w:val="003C7012"/>
    <w:rsid w:val="003D3F4F"/>
    <w:rsid w:val="003E40CF"/>
    <w:rsid w:val="00414FAE"/>
    <w:rsid w:val="004160B1"/>
    <w:rsid w:val="00420496"/>
    <w:rsid w:val="00427309"/>
    <w:rsid w:val="00430A6A"/>
    <w:rsid w:val="004323B7"/>
    <w:rsid w:val="004345C0"/>
    <w:rsid w:val="004646AA"/>
    <w:rsid w:val="00465414"/>
    <w:rsid w:val="00484612"/>
    <w:rsid w:val="0048497C"/>
    <w:rsid w:val="004B460C"/>
    <w:rsid w:val="0054311C"/>
    <w:rsid w:val="00546210"/>
    <w:rsid w:val="005668E9"/>
    <w:rsid w:val="00567FC7"/>
    <w:rsid w:val="00573943"/>
    <w:rsid w:val="00582F06"/>
    <w:rsid w:val="005A0475"/>
    <w:rsid w:val="005B5DB1"/>
    <w:rsid w:val="005B62FA"/>
    <w:rsid w:val="005C033F"/>
    <w:rsid w:val="005E261F"/>
    <w:rsid w:val="00604DD6"/>
    <w:rsid w:val="00616ED0"/>
    <w:rsid w:val="00642E61"/>
    <w:rsid w:val="0065293D"/>
    <w:rsid w:val="00652B8E"/>
    <w:rsid w:val="00652F9A"/>
    <w:rsid w:val="00662A2F"/>
    <w:rsid w:val="00666D7D"/>
    <w:rsid w:val="00695556"/>
    <w:rsid w:val="006B249A"/>
    <w:rsid w:val="006C5CCF"/>
    <w:rsid w:val="006D4500"/>
    <w:rsid w:val="006D6E87"/>
    <w:rsid w:val="006E5165"/>
    <w:rsid w:val="006E54A7"/>
    <w:rsid w:val="00701A8C"/>
    <w:rsid w:val="007038EB"/>
    <w:rsid w:val="00727B97"/>
    <w:rsid w:val="00742BDE"/>
    <w:rsid w:val="00746827"/>
    <w:rsid w:val="00746C81"/>
    <w:rsid w:val="00762378"/>
    <w:rsid w:val="00787916"/>
    <w:rsid w:val="007B21FA"/>
    <w:rsid w:val="007B5794"/>
    <w:rsid w:val="007C1BF9"/>
    <w:rsid w:val="007D152E"/>
    <w:rsid w:val="0084043C"/>
    <w:rsid w:val="00872185"/>
    <w:rsid w:val="0088522B"/>
    <w:rsid w:val="00887F56"/>
    <w:rsid w:val="00895341"/>
    <w:rsid w:val="0089787B"/>
    <w:rsid w:val="008B4ED2"/>
    <w:rsid w:val="008C09AA"/>
    <w:rsid w:val="008C1E0D"/>
    <w:rsid w:val="008D009E"/>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5ABA"/>
    <w:rsid w:val="009B6D76"/>
    <w:rsid w:val="009E0F21"/>
    <w:rsid w:val="00A0270F"/>
    <w:rsid w:val="00A0477F"/>
    <w:rsid w:val="00A346B2"/>
    <w:rsid w:val="00A51138"/>
    <w:rsid w:val="00A518D2"/>
    <w:rsid w:val="00A71647"/>
    <w:rsid w:val="00A72D66"/>
    <w:rsid w:val="00AD28F2"/>
    <w:rsid w:val="00AD2FCB"/>
    <w:rsid w:val="00AE34D8"/>
    <w:rsid w:val="00AE696D"/>
    <w:rsid w:val="00AF7293"/>
    <w:rsid w:val="00B047CE"/>
    <w:rsid w:val="00B1363F"/>
    <w:rsid w:val="00B1715A"/>
    <w:rsid w:val="00B240F4"/>
    <w:rsid w:val="00B6424F"/>
    <w:rsid w:val="00B75426"/>
    <w:rsid w:val="00B83057"/>
    <w:rsid w:val="00BA1900"/>
    <w:rsid w:val="00BE0FF3"/>
    <w:rsid w:val="00BE4AA5"/>
    <w:rsid w:val="00BE60A7"/>
    <w:rsid w:val="00C17229"/>
    <w:rsid w:val="00C25CFC"/>
    <w:rsid w:val="00C3274A"/>
    <w:rsid w:val="00C3461A"/>
    <w:rsid w:val="00C46BB1"/>
    <w:rsid w:val="00C46D54"/>
    <w:rsid w:val="00C50C07"/>
    <w:rsid w:val="00C52D93"/>
    <w:rsid w:val="00C656F5"/>
    <w:rsid w:val="00CB0084"/>
    <w:rsid w:val="00CF33D7"/>
    <w:rsid w:val="00D2135A"/>
    <w:rsid w:val="00D27DFF"/>
    <w:rsid w:val="00D32025"/>
    <w:rsid w:val="00D80AC5"/>
    <w:rsid w:val="00D8597B"/>
    <w:rsid w:val="00D90375"/>
    <w:rsid w:val="00D927AF"/>
    <w:rsid w:val="00DA3D2E"/>
    <w:rsid w:val="00DA3F7F"/>
    <w:rsid w:val="00DB4DA2"/>
    <w:rsid w:val="00DB6F90"/>
    <w:rsid w:val="00DC4FE4"/>
    <w:rsid w:val="00DD6B4C"/>
    <w:rsid w:val="00E04C13"/>
    <w:rsid w:val="00E1145C"/>
    <w:rsid w:val="00E23897"/>
    <w:rsid w:val="00E30322"/>
    <w:rsid w:val="00E31399"/>
    <w:rsid w:val="00E342D2"/>
    <w:rsid w:val="00E372D7"/>
    <w:rsid w:val="00E6642F"/>
    <w:rsid w:val="00E76ACE"/>
    <w:rsid w:val="00E80426"/>
    <w:rsid w:val="00E933A4"/>
    <w:rsid w:val="00EB395D"/>
    <w:rsid w:val="00EE389B"/>
    <w:rsid w:val="00EE4753"/>
    <w:rsid w:val="00EF1774"/>
    <w:rsid w:val="00F23F15"/>
    <w:rsid w:val="00F35AE7"/>
    <w:rsid w:val="00F44AE2"/>
    <w:rsid w:val="00F45D15"/>
    <w:rsid w:val="00F51795"/>
    <w:rsid w:val="00F521FB"/>
    <w:rsid w:val="00F53433"/>
    <w:rsid w:val="00F552BB"/>
    <w:rsid w:val="00F75DAF"/>
    <w:rsid w:val="00F75F76"/>
    <w:rsid w:val="00FA4693"/>
    <w:rsid w:val="00FA7545"/>
    <w:rsid w:val="00FA7B76"/>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2015/ballast2016.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hyperlink" Target="http://www.oregon.gov/deq/RulesandRegulations/Pages/2015/ballast2016.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hyperlink" Target="http://www.oregon.gov/deq/RulesandRegulations/Pages/Advisory/ballast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C6F4-76EF-4D64-8EBA-A16E60270512}">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ListId:docs;"/>
    <ds:schemaRef ds:uri="http://www.w3.org/XML/1998/namespace"/>
    <ds:schemaRef ds:uri="http://purl.org/dc/dcmitype/"/>
  </ds:schemaRefs>
</ds:datastoreItem>
</file>

<file path=customXml/itemProps2.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945B4-D833-480F-BF73-F36BC6E2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11780</Words>
  <Characters>67150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cp:lastPrinted>2016-11-28T17:43:00Z</cp:lastPrinted>
  <dcterms:created xsi:type="dcterms:W3CDTF">2016-11-30T00:33:00Z</dcterms:created>
  <dcterms:modified xsi:type="dcterms:W3CDTF">2016-11-30T00:33:00Z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