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commentRangeStart w:id="0"/>
      <w:r w:rsidRPr="004345C0">
        <w:rPr>
          <w:rFonts w:ascii="Arial" w:hAnsi="Arial" w:cs="Arial"/>
        </w:rPr>
        <w:t>Short summary</w:t>
      </w:r>
      <w:r w:rsidRPr="004345C0">
        <w:rPr>
          <w:rFonts w:ascii="Arial" w:hAnsi="Arial" w:cs="Arial"/>
          <w:vertAlign w:val="subscript"/>
        </w:rPr>
        <w:t> </w:t>
      </w:r>
      <w:commentRangeEnd w:id="0"/>
      <w:r w:rsidR="00D80AC5">
        <w:rPr>
          <w:rStyle w:val="CommentReference"/>
          <w:rFonts w:ascii="Times New Roman" w:hAnsi="Times New Roman" w:cs="Times New Roman"/>
          <w:bCs w:val="0"/>
          <w:color w:val="auto"/>
        </w:rPr>
        <w:commentReference w:id="0"/>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1" w:name="SupportingDocuments"/>
      <w:r w:rsidRPr="00F75F76">
        <w:rPr>
          <w:rStyle w:val="Heading2Char"/>
          <w:rFonts w:ascii="Arial" w:hAnsi="Arial" w:cs="Arial"/>
        </w:rPr>
        <w:t xml:space="preserve">Documents relied on for rulemaking </w:t>
      </w:r>
      <w:bookmarkEnd w:id="1"/>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D80AC5" w:rsidP="00964A94">
            <w:pPr>
              <w:ind w:left="0"/>
              <w:rPr>
                <w:rFonts w:ascii="Times New Roman" w:hAnsi="Times New Roman" w:cs="Times New Roman"/>
                <w:color w:val="000000" w:themeColor="text1"/>
              </w:rPr>
            </w:pPr>
            <w:hyperlink r:id="rId20"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D80AC5"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77777777" w:rsidR="00887F56" w:rsidRPr="00F75F76" w:rsidRDefault="00D80AC5"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D80AC5" w:rsidP="00964A94">
            <w:pPr>
              <w:ind w:left="0"/>
              <w:rPr>
                <w:rFonts w:ascii="Times New Roman" w:hAnsi="Times New Roman" w:cs="Times New Roman"/>
                <w:color w:val="C45911" w:themeColor="accent2" w:themeShade="BF"/>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D80AC5"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D80AC5"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D80AC5"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D80AC5"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D80AC5"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D80AC5" w:rsidP="00964A94">
            <w:pPr>
              <w:ind w:left="0"/>
              <w:rPr>
                <w:rFonts w:ascii="Times New Roman" w:hAnsi="Times New Roman" w:cs="Times New Roman"/>
              </w:rPr>
            </w:pPr>
            <w:hyperlink r:id="rId29"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D80AC5" w:rsidP="00964A94">
            <w:pPr>
              <w:ind w:left="0"/>
              <w:rPr>
                <w:rFonts w:ascii="Times New Roman" w:hAnsi="Times New Roman" w:cs="Times New Roman"/>
              </w:rPr>
            </w:pPr>
            <w:hyperlink r:id="rId3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2" w:name="AlternativesConsidered"/>
      <w:bookmarkStart w:id="3" w:name="RANGE!C35"/>
      <w:r w:rsidRPr="00AE34D8">
        <w:rPr>
          <w:rFonts w:ascii="Arial" w:hAnsi="Arial" w:cs="Arial"/>
        </w:rPr>
        <w:t>What alternatives did DEQ consider</w:t>
      </w:r>
      <w:bookmarkEnd w:id="2"/>
      <w:r w:rsidRPr="00AE34D8">
        <w:rPr>
          <w:rFonts w:ascii="Arial" w:hAnsi="Arial" w:cs="Arial"/>
        </w:rPr>
        <w:t xml:space="preserve"> if any?</w:t>
      </w:r>
      <w:bookmarkEnd w:id="3"/>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D80AC5" w:rsidRPr="001A4DE1" w:rsidRDefault="00D80AC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D80AC5" w:rsidRDefault="00D80AC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Advisory committee</w:t>
      </w:r>
    </w:p>
    <w:p w14:paraId="33EA0F91" w14:textId="77777777" w:rsidR="00377FA3" w:rsidRPr="008D009E" w:rsidRDefault="00377FA3" w:rsidP="00377FA3">
      <w:pPr>
        <w:pStyle w:val="ListParagraph"/>
        <w:numPr>
          <w:ilvl w:val="0"/>
          <w:numId w:val="5"/>
        </w:numPr>
        <w:ind w:left="1800" w:right="0"/>
        <w:outlineLvl w:val="9"/>
        <w:rPr>
          <w:rStyle w:val="Emphasis"/>
          <w:strike/>
          <w:vanish w:val="0"/>
          <w:color w:val="806000" w:themeColor="accent4" w:themeShade="80"/>
        </w:rPr>
      </w:pPr>
      <w:r w:rsidRPr="008D009E">
        <w:rPr>
          <w:rStyle w:val="Emphasis"/>
          <w:strike/>
          <w:vanish w:val="0"/>
          <w:color w:val="806000" w:themeColor="accent4" w:themeShade="80"/>
        </w:rPr>
        <w:t>EQC involvement</w:t>
      </w:r>
    </w:p>
    <w:p w14:paraId="33EA0F92"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5D6B978F" w14:textId="3A1A4B6A" w:rsidR="006D6E87" w:rsidRPr="00D80AC5" w:rsidRDefault="006D6E87" w:rsidP="00D80AC5">
      <w:pPr>
        <w:pStyle w:val="Heading2"/>
        <w:rPr>
          <w:rFonts w:ascii="Arial" w:hAnsi="Arial" w:cs="Arial"/>
        </w:rPr>
      </w:pPr>
      <w:bookmarkStart w:id="4" w:name="AdvisoryCommittee"/>
      <w:r w:rsidRPr="006D6E87">
        <w:rPr>
          <w:rFonts w:ascii="Arial" w:hAnsi="Arial" w:cs="Arial"/>
        </w:rPr>
        <w:t>Advisory committee</w:t>
      </w:r>
      <w:bookmarkEnd w:id="4"/>
    </w:p>
    <w:p w14:paraId="269CD623" w14:textId="77777777" w:rsidR="00D80AC5" w:rsidRDefault="00D80AC5" w:rsidP="006D6E87">
      <w:pPr>
        <w:pStyle w:val="Heading2"/>
        <w:rPr>
          <w:rFonts w:ascii="Arial" w:hAnsi="Arial" w:cs="Arial"/>
        </w:rPr>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0EA48B25"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sz w:val="22"/>
          <w:szCs w:val="22"/>
        </w:rPr>
        <w:t xml:space="preserve">met </w:t>
      </w:r>
      <w:r w:rsidR="00D80AC5">
        <w:rPr>
          <w:sz w:val="22"/>
          <w:szCs w:val="22"/>
        </w:rPr>
        <w:t>four</w:t>
      </w:r>
      <w:r w:rsidRPr="006D6E87">
        <w:rPr>
          <w:sz w:val="22"/>
          <w:szCs w:val="22"/>
        </w:rPr>
        <w:t xml:space="preserve"> times between December </w:t>
      </w:r>
      <w:r w:rsidR="00D80AC5">
        <w:rPr>
          <w:sz w:val="22"/>
          <w:szCs w:val="22"/>
        </w:rPr>
        <w:t xml:space="preserve">2015 </w:t>
      </w:r>
      <w:r w:rsidRPr="006D6E87">
        <w:rPr>
          <w:sz w:val="22"/>
          <w:szCs w:val="22"/>
        </w:rPr>
        <w:t>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31"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lastRenderedPageBreak/>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492B9194"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2" w:history="1">
        <w:r w:rsidRPr="002F0640">
          <w:rPr>
            <w:rStyle w:val="Hyperlink"/>
            <w:sz w:val="22"/>
            <w:szCs w:val="22"/>
          </w:rPr>
          <w:t>DEQ Calendar</w:t>
        </w:r>
      </w:hyperlink>
      <w:r w:rsidRPr="002F0640">
        <w:rPr>
          <w:sz w:val="22"/>
          <w:szCs w:val="22"/>
        </w:rPr>
        <w:t>.</w:t>
      </w:r>
    </w:p>
    <w:p w14:paraId="65FAC309" w14:textId="7AEAAFD8" w:rsidR="006D6E87" w:rsidRPr="002F0640" w:rsidRDefault="007D152E" w:rsidP="006D6E87">
      <w:pPr>
        <w:pStyle w:val="ListParagraph"/>
        <w:numPr>
          <w:ilvl w:val="0"/>
          <w:numId w:val="14"/>
        </w:numPr>
        <w:ind w:right="378"/>
        <w:rPr>
          <w:sz w:val="22"/>
          <w:szCs w:val="22"/>
        </w:rPr>
      </w:pPr>
      <w:r>
        <w:rPr>
          <w:sz w:val="22"/>
          <w:szCs w:val="22"/>
        </w:rPr>
        <w:t xml:space="preserve">On 1/13/16, </w:t>
      </w:r>
      <w:r w:rsidR="006D6E87" w:rsidRPr="002F0640">
        <w:rPr>
          <w:sz w:val="22"/>
          <w:szCs w:val="22"/>
        </w:rPr>
        <w:t>2/17/16</w:t>
      </w:r>
      <w:r>
        <w:rPr>
          <w:sz w:val="22"/>
          <w:szCs w:val="22"/>
        </w:rPr>
        <w:t xml:space="preserve">, and </w:t>
      </w:r>
      <w:r w:rsidR="006D6E87" w:rsidRPr="002F0640">
        <w:rPr>
          <w:sz w:val="22"/>
          <w:szCs w:val="22"/>
        </w:rPr>
        <w:t xml:space="preserve">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3C5BA16C"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w:t>
      </w:r>
      <w:r w:rsidR="00D80AC5">
        <w:rPr>
          <w:sz w:val="22"/>
          <w:szCs w:val="22"/>
        </w:rPr>
        <w:t>time to discussing</w:t>
      </w:r>
      <w:r w:rsidRPr="002F0640">
        <w:rPr>
          <w:sz w:val="22"/>
          <w:szCs w:val="22"/>
        </w:rPr>
        <w:t xml:space="preserve"> the ballast exchange plus treatment proposal.  The </w:t>
      </w:r>
      <w:r w:rsidR="00D80AC5">
        <w:rPr>
          <w:sz w:val="22"/>
          <w:szCs w:val="22"/>
        </w:rPr>
        <w:t xml:space="preserve">advisory </w:t>
      </w:r>
      <w:r w:rsidRPr="002F0640">
        <w:rPr>
          <w:sz w:val="22"/>
          <w:szCs w:val="22"/>
        </w:rPr>
        <w:t>committee</w:t>
      </w:r>
      <w:r w:rsidR="00D80AC5">
        <w:rPr>
          <w:sz w:val="22"/>
          <w:szCs w:val="22"/>
        </w:rPr>
        <w:t>, as well its precursor the 2014 Task Force on Shipping Transport of Aquatic Invasive Species)</w:t>
      </w:r>
      <w:r w:rsidRPr="002F0640">
        <w:rPr>
          <w:sz w:val="22"/>
          <w:szCs w:val="22"/>
        </w:rPr>
        <w:t xml:space="preserve"> played an instrumental role in </w:t>
      </w:r>
      <w:r w:rsidR="00D80AC5">
        <w:rPr>
          <w:sz w:val="22"/>
          <w:szCs w:val="22"/>
        </w:rPr>
        <w:t>identifying</w:t>
      </w:r>
      <w:r w:rsidRPr="002F0640">
        <w:rPr>
          <w:sz w:val="22"/>
          <w:szCs w:val="22"/>
        </w:rPr>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w:t>
      </w:r>
      <w:r w:rsidR="00B75426">
        <w:rPr>
          <w:sz w:val="22"/>
          <w:szCs w:val="22"/>
        </w:rPr>
        <w:t xml:space="preserve"> and</w:t>
      </w:r>
      <w:r w:rsidRPr="002F0640">
        <w:rPr>
          <w:sz w:val="22"/>
          <w:szCs w:val="22"/>
        </w:rPr>
        <w:t xml:space="preserve">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41DEDE44"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w:t>
      </w:r>
      <w:r w:rsidR="00D80AC5">
        <w:rPr>
          <w:sz w:val="22"/>
          <w:szCs w:val="22"/>
        </w:rPr>
        <w:t>Oregon</w:t>
      </w:r>
      <w:r w:rsidRPr="002F0640">
        <w:rPr>
          <w:sz w:val="22"/>
          <w:szCs w:val="22"/>
        </w:rPr>
        <w:t xml:space="preserve"> to take the initiative to </w:t>
      </w:r>
      <w:r w:rsidR="00D80AC5">
        <w:rPr>
          <w:sz w:val="22"/>
          <w:szCs w:val="22"/>
        </w:rPr>
        <w:t xml:space="preserve">first </w:t>
      </w:r>
      <w:r w:rsidRPr="002F0640">
        <w:rPr>
          <w:sz w:val="22"/>
          <w:szCs w:val="22"/>
        </w:rPr>
        <w:t xml:space="preserve">establish </w:t>
      </w:r>
      <w:r w:rsidR="00D80AC5">
        <w:rPr>
          <w:sz w:val="22"/>
          <w:szCs w:val="22"/>
        </w:rPr>
        <w:t>a model regulatory solution</w:t>
      </w:r>
      <w:r w:rsidRPr="002F0640">
        <w:rPr>
          <w:sz w:val="22"/>
          <w:szCs w:val="22"/>
        </w:rPr>
        <w:t xml:space="preserve"> </w:t>
      </w:r>
      <w:r w:rsidR="00D80AC5">
        <w:rPr>
          <w:sz w:val="22"/>
          <w:szCs w:val="22"/>
        </w:rPr>
        <w:t>for these circumstances</w:t>
      </w:r>
      <w:r w:rsidRPr="002F0640">
        <w:rPr>
          <w:sz w:val="22"/>
          <w:szCs w:val="22"/>
        </w:rPr>
        <w:t xml:space="preserve">.  Both Washington, for the Columbia River, and California, for the Sacramento River, have suggested that they will be looking to adopt rules that are substantively comparable to what </w:t>
      </w:r>
      <w:r w:rsidR="00D80AC5">
        <w:rPr>
          <w:sz w:val="22"/>
          <w:szCs w:val="22"/>
        </w:rPr>
        <w:t>has been developed</w:t>
      </w:r>
      <w:r w:rsidRPr="002F0640">
        <w:rPr>
          <w:sz w:val="22"/>
          <w:szCs w:val="22"/>
        </w:rPr>
        <w:t xml:space="preserve"> </w:t>
      </w:r>
      <w:r w:rsidR="00B75426">
        <w:rPr>
          <w:sz w:val="22"/>
          <w:szCs w:val="22"/>
        </w:rPr>
        <w:t>for this rulemaking effort</w:t>
      </w:r>
      <w:r w:rsidRPr="002F0640">
        <w:rPr>
          <w:sz w:val="22"/>
          <w:szCs w:val="22"/>
        </w:rPr>
        <w:t xml:space="preserve">.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56B17B96" w14:textId="77777777" w:rsidR="00934149" w:rsidRDefault="00934149" w:rsidP="002F0640">
      <w:pPr>
        <w:ind w:left="547" w:right="378"/>
        <w:rPr>
          <w:sz w:val="22"/>
          <w:szCs w:val="22"/>
        </w:rPr>
      </w:pPr>
    </w:p>
    <w:p w14:paraId="71DF13F6" w14:textId="284B3225" w:rsidR="00934149" w:rsidRDefault="00934149" w:rsidP="002F0640">
      <w:pPr>
        <w:ind w:left="547" w:right="378"/>
        <w:rPr>
          <w:sz w:val="22"/>
          <w:szCs w:val="22"/>
        </w:rPr>
      </w:pPr>
      <w:r>
        <w:rPr>
          <w:sz w:val="22"/>
          <w:szCs w:val="22"/>
        </w:rPr>
        <w:t xml:space="preserve">In order to facilitate further discussion and full transparency with all stakeholders, DEQ convened a fourth meeting on 10 October during the final open public comment period.  This meeting provided an opportunity </w:t>
      </w:r>
      <w:r>
        <w:rPr>
          <w:sz w:val="22"/>
          <w:szCs w:val="22"/>
        </w:rPr>
        <w:lastRenderedPageBreak/>
        <w:t xml:space="preserve">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Pr>
          <w:sz w:val="22"/>
          <w:szCs w:val="22"/>
        </w:rPr>
        <w:t xml:space="preserve">individual </w:t>
      </w:r>
      <w:proofErr w:type="gramStart"/>
      <w:r w:rsidR="008D1B0E">
        <w:rPr>
          <w:sz w:val="22"/>
          <w:szCs w:val="22"/>
        </w:rPr>
        <w:t>members</w:t>
      </w:r>
      <w:proofErr w:type="gramEnd"/>
      <w:r w:rsidR="008D1B0E">
        <w:rPr>
          <w:sz w:val="22"/>
          <w:szCs w:val="22"/>
        </w:rPr>
        <w:t xml:space="preserve"> positions on the</w:t>
      </w:r>
      <w:r>
        <w:rPr>
          <w:sz w:val="22"/>
          <w:szCs w:val="22"/>
        </w:rPr>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 (at the request of industry representatives during the second public comment period)</w:t>
      </w:r>
      <w:r w:rsidR="008D1B0E">
        <w:rPr>
          <w:sz w:val="22"/>
          <w:szCs w:val="22"/>
        </w:rPr>
        <w:t>, using updated and more robust</w:t>
      </w:r>
      <w:r>
        <w:rPr>
          <w:sz w:val="22"/>
          <w:szCs w:val="22"/>
        </w:rPr>
        <w:t xml:space="preserve"> data </w:t>
      </w:r>
      <w:r w:rsidR="008D1B0E">
        <w:rPr>
          <w:sz w:val="22"/>
          <w:szCs w:val="22"/>
        </w:rPr>
        <w:t xml:space="preserve">sets </w:t>
      </w:r>
      <w:r>
        <w:rPr>
          <w:sz w:val="22"/>
          <w:szCs w:val="22"/>
        </w:rPr>
        <w:t xml:space="preserve">that had </w:t>
      </w:r>
      <w:r w:rsidR="008D1B0E">
        <w:rPr>
          <w:sz w:val="22"/>
          <w:szCs w:val="22"/>
        </w:rPr>
        <w:t xml:space="preserve">recently </w:t>
      </w:r>
      <w:r>
        <w:rPr>
          <w:sz w:val="22"/>
          <w:szCs w:val="22"/>
        </w:rPr>
        <w:t xml:space="preserve">become available.  These results showed </w:t>
      </w:r>
      <w:r w:rsidR="008D1B0E">
        <w:rPr>
          <w:sz w:val="22"/>
          <w:szCs w:val="22"/>
        </w:rPr>
        <w:t>that an estimated 8.8% of vessels arrivals to Oregon may be subject to the BWE+BWT requirement: 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2F0640" w:rsidRDefault="00B75426" w:rsidP="002F0640">
      <w:pPr>
        <w:ind w:left="547" w:right="378"/>
        <w:rPr>
          <w:sz w:val="22"/>
          <w:szCs w:val="22"/>
        </w:rPr>
      </w:pPr>
    </w:p>
    <w:p w14:paraId="3759BD8A" w14:textId="6B368A4A" w:rsidR="006D6E87" w:rsidRPr="002F0640" w:rsidRDefault="006D6E87" w:rsidP="002F0640">
      <w:pPr>
        <w:ind w:left="547" w:right="378"/>
        <w:rPr>
          <w:sz w:val="22"/>
          <w:szCs w:val="22"/>
        </w:rPr>
      </w:pPr>
      <w:r w:rsidRPr="002F0640">
        <w:rPr>
          <w:sz w:val="22"/>
          <w:szCs w:val="22"/>
        </w:rPr>
        <w:t xml:space="preserve">Meeting minutes and recordings are available </w:t>
      </w:r>
      <w:r w:rsidR="00B75426">
        <w:rPr>
          <w:sz w:val="22"/>
          <w:szCs w:val="22"/>
        </w:rPr>
        <w:t xml:space="preserve">by request from DEQ or </w:t>
      </w:r>
      <w:r w:rsidRPr="002F0640">
        <w:rPr>
          <w:sz w:val="22"/>
          <w:szCs w:val="22"/>
        </w:rPr>
        <w:t xml:space="preserve">from the advisory committee webpage at:  </w:t>
      </w:r>
      <w:hyperlink r:id="rId33"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2F0640" w:rsidRDefault="006D6E87" w:rsidP="00C25CFC">
      <w:pPr>
        <w:ind w:left="547"/>
        <w:rPr>
          <w:sz w:val="22"/>
          <w:szCs w:val="22"/>
        </w:rPr>
      </w:pPr>
      <w:r w:rsidRPr="002F0640">
        <w:rPr>
          <w:sz w:val="22"/>
          <w:szCs w:val="22"/>
        </w:rPr>
        <w:t>DEQ share</w:t>
      </w:r>
      <w:r w:rsidR="00C25CFC">
        <w:rPr>
          <w:sz w:val="22"/>
          <w:szCs w:val="22"/>
        </w:rPr>
        <w:t>d</w:t>
      </w:r>
      <w:r w:rsidRPr="002F0640">
        <w:rPr>
          <w:sz w:val="22"/>
          <w:szCs w:val="22"/>
        </w:rPr>
        <w:t xml:space="preserve"> general information with EQC </w:t>
      </w:r>
      <w:r w:rsidR="00C25CFC">
        <w:rPr>
          <w:sz w:val="22"/>
          <w:szCs w:val="22"/>
        </w:rPr>
        <w:t>about this rulemaking proposal in</w:t>
      </w:r>
      <w:r w:rsidRPr="002F0640">
        <w:rPr>
          <w:sz w:val="22"/>
          <w:szCs w:val="22"/>
        </w:rPr>
        <w:t xml:space="preserve"> the monthly Director’s Report</w:t>
      </w:r>
      <w:r w:rsidR="00C25CFC">
        <w:rPr>
          <w:sz w:val="22"/>
          <w:szCs w:val="22"/>
        </w:rPr>
        <w:t xml:space="preserve"> for the </w:t>
      </w:r>
      <w:r w:rsidR="00C25CFC" w:rsidRPr="0002001F">
        <w:rPr>
          <w:sz w:val="22"/>
          <w:szCs w:val="22"/>
        </w:rPr>
        <w:t>August 2016 EQC</w:t>
      </w:r>
      <w:r w:rsidR="00C25CFC">
        <w:rPr>
          <w:sz w:val="22"/>
          <w:szCs w:val="22"/>
        </w:rPr>
        <w:t xml:space="preserve"> meeting in Boardman, Oregon</w:t>
      </w:r>
      <w:r w:rsidRPr="002F0640">
        <w:rPr>
          <w:sz w:val="22"/>
          <w:szCs w:val="22"/>
        </w:rPr>
        <w:t xml:space="preserve">.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3BF175F" w:rsidR="0036375F" w:rsidRDefault="0036375F" w:rsidP="0036375F">
      <w:pPr>
        <w:ind w:left="547"/>
        <w:rPr>
          <w:color w:val="000000" w:themeColor="text1"/>
          <w:sz w:val="22"/>
          <w:szCs w:val="22"/>
        </w:rPr>
      </w:pPr>
      <w:r>
        <w:rPr>
          <w:color w:val="000000" w:themeColor="text1"/>
          <w:sz w:val="22"/>
          <w:szCs w:val="22"/>
        </w:rPr>
        <w:t>DEQ provide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4"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5"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1DDBD8BA" w:rsidR="00377FA3" w:rsidRPr="002F0640" w:rsidRDefault="00377FA3" w:rsidP="002F0640">
      <w:pPr>
        <w:ind w:left="547" w:right="828"/>
        <w:rPr>
          <w:bCs/>
          <w:color w:val="000000" w:themeColor="text1"/>
          <w:sz w:val="22"/>
          <w:szCs w:val="22"/>
        </w:rPr>
      </w:pPr>
      <w:r w:rsidRPr="002F0640">
        <w:rPr>
          <w:bCs/>
          <w:color w:val="000000" w:themeColor="text1"/>
          <w:sz w:val="22"/>
          <w:szCs w:val="22"/>
        </w:rPr>
        <w:lastRenderedPageBreak/>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r w:rsidR="0002001F">
        <w:rPr>
          <w:bCs/>
          <w:color w:val="000000" w:themeColor="text1"/>
          <w:sz w:val="22"/>
          <w:szCs w:val="22"/>
        </w:rPr>
        <w:t>49</w:t>
      </w:r>
      <w:r w:rsidR="008C1E0D">
        <w:rPr>
          <w:bCs/>
          <w:color w:val="000000" w:themeColor="text1"/>
          <w:sz w:val="22"/>
          <w:szCs w:val="22"/>
        </w:rPr>
        <w:t xml:space="preserve"> </w:t>
      </w:r>
      <w:r w:rsidR="00214C8D" w:rsidRPr="002F0640">
        <w:rPr>
          <w:bCs/>
          <w:color w:val="000000" w:themeColor="text1"/>
          <w:sz w:val="22"/>
          <w:szCs w:val="22"/>
        </w:rPr>
        <w:t>comment</w:t>
      </w:r>
      <w:r w:rsidR="0002001F">
        <w:rPr>
          <w:bCs/>
          <w:color w:val="000000" w:themeColor="text1"/>
          <w:sz w:val="22"/>
          <w:szCs w:val="22"/>
        </w:rPr>
        <w:t xml:space="preserve">s </w:t>
      </w:r>
      <w:r w:rsidR="00214C8D" w:rsidRPr="002F0640">
        <w:rPr>
          <w:bCs/>
          <w:color w:val="000000" w:themeColor="text1"/>
          <w:sz w:val="22"/>
          <w:szCs w:val="22"/>
        </w:rPr>
        <w:t>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71F89127" w:rsidR="00924404" w:rsidRDefault="0002001F" w:rsidP="004646AA">
      <w:pPr>
        <w:ind w:right="835"/>
        <w:rPr>
          <w:bCs/>
          <w:color w:val="000000" w:themeColor="text1"/>
        </w:rPr>
      </w:pPr>
      <w:r>
        <w:rPr>
          <w:bCs/>
          <w:color w:val="000000" w:themeColor="text1"/>
        </w:rPr>
        <w:t>Forty-nine individual</w:t>
      </w:r>
      <w:r w:rsidR="00924404" w:rsidRPr="00924404">
        <w:rPr>
          <w:bCs/>
          <w:color w:val="000000" w:themeColor="text1"/>
        </w:rPr>
        <w:t xml:space="preserve"> comments </w:t>
      </w:r>
      <w:r>
        <w:rPr>
          <w:bCs/>
          <w:color w:val="000000" w:themeColor="text1"/>
        </w:rPr>
        <w:t xml:space="preserve">were </w:t>
      </w:r>
      <w:r w:rsidR="00924404" w:rsidRPr="00924404">
        <w:rPr>
          <w:bCs/>
          <w:color w:val="000000" w:themeColor="text1"/>
        </w:rPr>
        <w:t xml:space="preserve">received </w:t>
      </w:r>
      <w:r>
        <w:rPr>
          <w:bCs/>
          <w:color w:val="000000" w:themeColor="text1"/>
        </w:rPr>
        <w:t xml:space="preserve">from 17 commenters </w:t>
      </w:r>
      <w:r w:rsidR="002B5E54">
        <w:rPr>
          <w:bCs/>
          <w:color w:val="000000" w:themeColor="text1"/>
        </w:rPr>
        <w:t xml:space="preserve">during </w:t>
      </w:r>
      <w:r w:rsidR="00924404" w:rsidRPr="00924404">
        <w:rPr>
          <w:bCs/>
          <w:color w:val="000000" w:themeColor="text1"/>
        </w:rPr>
        <w:t xml:space="preserve">the </w:t>
      </w:r>
      <w:r w:rsidR="002B5E54">
        <w:rPr>
          <w:bCs/>
          <w:color w:val="000000" w:themeColor="text1"/>
        </w:rPr>
        <w:t xml:space="preserve">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the commenter number</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1" w14:textId="47077D10" w:rsidR="00377FA3" w:rsidRPr="008C1E0D" w:rsidRDefault="00377FA3" w:rsidP="004646AA">
      <w:pPr>
        <w:ind w:right="835"/>
        <w:rPr>
          <w:rStyle w:val="Emphasis"/>
          <w:caps/>
          <w:strike/>
          <w:vanish w:val="0"/>
          <w:color w:val="806000" w:themeColor="accent4" w:themeShade="80"/>
          <w:sz w:val="24"/>
        </w:rPr>
      </w:pPr>
      <w:r w:rsidRPr="008C1E0D">
        <w:rPr>
          <w:rStyle w:val="Emphasis"/>
          <w:caps/>
          <w:strike/>
          <w:vanish w:val="0"/>
          <w:color w:val="806000" w:themeColor="accent4" w:themeShade="80"/>
          <w:sz w:val="24"/>
        </w:rPr>
        <w:fldChar w:fldCharType="begin"/>
      </w:r>
      <w:r w:rsidRPr="008C1E0D">
        <w:rPr>
          <w:rStyle w:val="Emphasis"/>
          <w:caps/>
          <w:strike/>
          <w:color w:val="806000" w:themeColor="accent4" w:themeShade="80"/>
          <w:sz w:val="24"/>
        </w:rPr>
        <w:instrText xml:space="preserve"> COMMENTS  \* FirstCap  \* MERGEFORMAT </w:instrText>
      </w:r>
      <w:r w:rsidRPr="008C1E0D">
        <w:rPr>
          <w:rStyle w:val="Emphasis"/>
          <w:caps/>
          <w:strike/>
          <w:vanish w:val="0"/>
          <w:color w:val="806000" w:themeColor="accent4" w:themeShade="80"/>
          <w:sz w:val="24"/>
        </w:rPr>
        <w:fldChar w:fldCharType="end"/>
      </w:r>
      <w:r w:rsidRPr="008C1E0D">
        <w:rPr>
          <w:rStyle w:val="Emphasis"/>
          <w:caps/>
          <w:strike/>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B5184EB" w14:textId="28A0672E" w:rsidR="00396E80" w:rsidRPr="00762378" w:rsidRDefault="00377FA3" w:rsidP="00762378">
      <w:pPr>
        <w:ind w:right="828"/>
        <w:rPr>
          <w:strike/>
          <w:color w:val="806000" w:themeColor="accent4" w:themeShade="80"/>
        </w:rPr>
      </w:pPr>
      <w:r w:rsidRPr="008C1E0D">
        <w:rPr>
          <w:strike/>
          <w:color w:val="806000" w:themeColor="accent4" w:themeShade="80"/>
        </w:rPr>
        <w:t>DEQ did not change the proposed rules in response to comments.</w:t>
      </w:r>
    </w:p>
    <w:p w14:paraId="4164F879" w14:textId="77777777" w:rsidR="00396E80" w:rsidRDefault="00396E80" w:rsidP="004646AA">
      <w:pPr>
        <w:ind w:right="828"/>
        <w:rPr>
          <w:b/>
          <w:color w:val="000000" w:themeColor="text1"/>
          <w:u w:val="single"/>
        </w:rPr>
      </w:pPr>
    </w:p>
    <w:p w14:paraId="33EA0FC5" w14:textId="77777777" w:rsidR="00377FA3" w:rsidRPr="00924404" w:rsidRDefault="00377FA3" w:rsidP="004646AA">
      <w:pPr>
        <w:ind w:right="828"/>
        <w:rPr>
          <w:b/>
          <w:strike/>
          <w:color w:val="000000" w:themeColor="text1"/>
          <w:u w:val="single"/>
        </w:rPr>
      </w:pPr>
      <w:r w:rsidRPr="00924404">
        <w:rPr>
          <w:b/>
          <w:strike/>
          <w:color w:val="000000" w:themeColor="text1"/>
          <w:u w:val="single"/>
        </w:rPr>
        <w:t>DEQ changed the proposed rules in response to comments described in the response sections below.</w:t>
      </w:r>
    </w:p>
    <w:p w14:paraId="33EA0FC7" w14:textId="77777777" w:rsidR="00377FA3" w:rsidRPr="00377FA3" w:rsidRDefault="00377FA3" w:rsidP="00924404">
      <w:pPr>
        <w:ind w:left="0" w:right="630"/>
        <w:rPr>
          <w:bCs/>
          <w:color w:val="000000" w:themeColor="text1"/>
        </w:rPr>
      </w:pPr>
    </w:p>
    <w:p w14:paraId="32412549" w14:textId="319B9369"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Pr>
          <w:bCs/>
        </w:rPr>
        <w:t>Response to DEQ proposal to mitigate high-risk ballast water discharge by retaining ballast water exchange management practices, in addition to the use of ballast water treatment systems required under new federal ballast water discharge standards.</w:t>
      </w:r>
    </w:p>
    <w:p w14:paraId="0B8944BA" w14:textId="49308FEF" w:rsidR="00396E80" w:rsidRDefault="00396E80" w:rsidP="00F35AE7">
      <w:pPr>
        <w:tabs>
          <w:tab w:val="left" w:pos="1080"/>
        </w:tabs>
        <w:ind w:left="1080" w:right="634"/>
      </w:pPr>
      <w:r>
        <w:tab/>
      </w:r>
    </w:p>
    <w:p w14:paraId="670E9857" w14:textId="021E1DAF"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p>
    <w:p w14:paraId="35F756B2" w14:textId="77777777" w:rsidR="00A71647" w:rsidRPr="00305BDC" w:rsidRDefault="00A71647" w:rsidP="00F35AE7">
      <w:pPr>
        <w:tabs>
          <w:tab w:val="left" w:pos="1080"/>
        </w:tabs>
        <w:ind w:left="1080" w:right="634"/>
        <w:rPr>
          <w:highlight w:val="yellow"/>
        </w:rPr>
      </w:pPr>
    </w:p>
    <w:p w14:paraId="790AC64D" w14:textId="39C85115"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0B0B39" w:rsidRPr="002B5E54">
        <w:t>proposal that high-risk ballast discharge must continue to be managed with mid-ocean ballast water exchange practices, in addition to implementing shipboard ballast water treatment systems under federal ballast discharge standards.</w:t>
      </w:r>
    </w:p>
    <w:p w14:paraId="23BA200A" w14:textId="77777777" w:rsidR="00A71647" w:rsidRPr="002B5E54" w:rsidRDefault="00A71647" w:rsidP="00F35AE7">
      <w:pPr>
        <w:tabs>
          <w:tab w:val="left" w:pos="1080"/>
        </w:tabs>
        <w:ind w:left="1080" w:right="634"/>
      </w:pPr>
    </w:p>
    <w:p w14:paraId="366BDF66" w14:textId="1A965439"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proofErr w:type="gramStart"/>
      <w:r w:rsidR="005E261F">
        <w:t>,</w:t>
      </w:r>
      <w:r w:rsidR="000B0B39" w:rsidRPr="002B5E54">
        <w:t>15</w:t>
      </w:r>
      <w:proofErr w:type="gramEnd"/>
      <w:r w:rsidR="000B0B39" w:rsidRPr="002B5E54">
        <w:t>, and 16</w:t>
      </w:r>
      <w:r w:rsidRPr="002B5E54">
        <w:t xml:space="preserve"> </w:t>
      </w:r>
      <w:r w:rsidR="00305BDC" w:rsidRPr="002B5E54">
        <w:t xml:space="preserve">noted concerns that </w:t>
      </w:r>
      <w:r w:rsidR="005E261F">
        <w:t>BWE+BWT is</w:t>
      </w:r>
      <w:r w:rsidR="00305BDC" w:rsidRPr="002B5E54">
        <w:t xml:space="preserve"> </w:t>
      </w:r>
      <w:r w:rsidR="005E261F">
        <w:t>unwarranted at this time.</w:t>
      </w:r>
    </w:p>
    <w:p w14:paraId="36F8EA18" w14:textId="77777777" w:rsidR="00A71647" w:rsidRPr="00305BDC" w:rsidRDefault="00A71647" w:rsidP="00A71647">
      <w:pPr>
        <w:tabs>
          <w:tab w:val="left" w:pos="2700"/>
        </w:tabs>
        <w:ind w:left="2700" w:right="634"/>
        <w:rPr>
          <w:highlight w:val="yellow"/>
        </w:rPr>
      </w:pPr>
    </w:p>
    <w:p w14:paraId="64238B3E" w14:textId="37C449A2" w:rsidR="00C3461A" w:rsidRDefault="00C3461A" w:rsidP="00396E80">
      <w:pPr>
        <w:pStyle w:val="ListParagraph"/>
        <w:tabs>
          <w:tab w:val="left" w:pos="2700"/>
        </w:tabs>
        <w:ind w:left="1080" w:right="634"/>
        <w:rPr>
          <w:bCs/>
        </w:rPr>
      </w:pPr>
      <w:r w:rsidRPr="00305BDC">
        <w:rPr>
          <w:b/>
          <w:bCs/>
          <w:highlight w:val="yellow"/>
        </w:rPr>
        <w:t>Response:</w:t>
      </w:r>
      <w:r w:rsidR="00396E80" w:rsidRPr="00305BDC">
        <w:rPr>
          <w:b/>
          <w:bCs/>
          <w:highlight w:val="yellow"/>
        </w:rPr>
        <w:tab/>
      </w:r>
      <w:r w:rsidR="002B5E54">
        <w:rPr>
          <w:bCs/>
          <w:highlight w:val="yellow"/>
        </w:rPr>
        <w:t>DEQ maintains that …</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00ED3D54"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305BDC">
        <w:rPr>
          <w:bCs/>
        </w:rPr>
        <w:t>Source water criteria that determines which vessels/voyages are affected by the BWE+BWT requirement.</w:t>
      </w:r>
    </w:p>
    <w:p w14:paraId="52612094" w14:textId="77777777" w:rsidR="00F35AE7" w:rsidRDefault="00F35AE7" w:rsidP="00F35AE7">
      <w:pPr>
        <w:tabs>
          <w:tab w:val="left" w:pos="1080"/>
        </w:tabs>
        <w:ind w:left="1080" w:right="634"/>
      </w:pPr>
      <w:r>
        <w:tab/>
      </w:r>
    </w:p>
    <w:p w14:paraId="732B9D1D" w14:textId="0100BE64" w:rsidR="00F35AE7" w:rsidRPr="00305BDC" w:rsidRDefault="00427309" w:rsidP="00F35AE7">
      <w:pPr>
        <w:tabs>
          <w:tab w:val="left" w:pos="1080"/>
        </w:tabs>
        <w:ind w:left="1080" w:right="634"/>
      </w:pPr>
      <w:r>
        <w:t>DEQ received</w:t>
      </w:r>
      <w:r w:rsidR="00F35AE7" w:rsidRPr="00305BDC">
        <w:t xml:space="preserve"> comments in this category from commenters #</w:t>
      </w:r>
      <w:r w:rsidR="00305BDC" w:rsidRPr="00305BDC">
        <w:t xml:space="preserve">1, 2, 3, </w:t>
      </w:r>
      <w:r w:rsidR="00094DE5">
        <w:t>9, and 13</w:t>
      </w:r>
      <w:r w:rsidR="00305BDC" w:rsidRPr="00305BDC">
        <w:t>.</w:t>
      </w:r>
    </w:p>
    <w:p w14:paraId="6B374915" w14:textId="77777777" w:rsidR="00F35AE7" w:rsidRPr="00305BDC" w:rsidRDefault="00F35AE7" w:rsidP="00F35AE7">
      <w:pPr>
        <w:tabs>
          <w:tab w:val="left" w:pos="1080"/>
        </w:tabs>
        <w:ind w:left="1080" w:right="634"/>
        <w:rPr>
          <w:highlight w:val="yellow"/>
        </w:rPr>
      </w:pPr>
    </w:p>
    <w:p w14:paraId="42FBAC08"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C037D0E" w14:textId="77777777" w:rsidR="00F35AE7" w:rsidRPr="00305BDC" w:rsidRDefault="00F35AE7" w:rsidP="00F35AE7">
      <w:pPr>
        <w:tabs>
          <w:tab w:val="left" w:pos="1080"/>
        </w:tabs>
        <w:ind w:left="1080" w:right="634"/>
        <w:rPr>
          <w:highlight w:val="yellow"/>
        </w:rPr>
      </w:pPr>
    </w:p>
    <w:p w14:paraId="3CE16D3C"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2F2866E6" w14:textId="77777777" w:rsidR="00F35AE7" w:rsidRPr="00305BDC" w:rsidRDefault="00F35AE7" w:rsidP="00F35AE7">
      <w:pPr>
        <w:tabs>
          <w:tab w:val="left" w:pos="2700"/>
        </w:tabs>
        <w:ind w:left="2700" w:right="634"/>
        <w:rPr>
          <w:highlight w:val="yellow"/>
        </w:rPr>
      </w:pPr>
    </w:p>
    <w:p w14:paraId="3C003FB3" w14:textId="33153F08"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maintained the proposed language……</w:t>
      </w:r>
    </w:p>
    <w:p w14:paraId="66C4A036" w14:textId="77777777" w:rsidR="00F35AE7" w:rsidRDefault="00F35AE7" w:rsidP="00F35AE7">
      <w:pPr>
        <w:pStyle w:val="ListParagraph"/>
        <w:tabs>
          <w:tab w:val="left" w:pos="2700"/>
        </w:tabs>
        <w:ind w:left="1080" w:right="634"/>
        <w:rPr>
          <w:bCs/>
        </w:rPr>
      </w:pPr>
    </w:p>
    <w:p w14:paraId="70988E11" w14:textId="4A9C1E6B"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652F9A">
        <w:rPr>
          <w:bCs/>
        </w:rPr>
        <w:t>Criteria language</w:t>
      </w:r>
      <w:r w:rsidR="00305BDC">
        <w:rPr>
          <w:bCs/>
        </w:rPr>
        <w:t xml:space="preserve"> that identifies locations within Oregon waters where ballast discharge may be affected by BWE+BWT requirement.</w:t>
      </w:r>
    </w:p>
    <w:p w14:paraId="278F0C6D" w14:textId="77777777" w:rsidR="00F35AE7" w:rsidRDefault="00F35AE7" w:rsidP="00F35AE7">
      <w:pPr>
        <w:tabs>
          <w:tab w:val="left" w:pos="1080"/>
        </w:tabs>
        <w:ind w:left="1080" w:right="634"/>
      </w:pPr>
      <w:r>
        <w:tab/>
      </w:r>
    </w:p>
    <w:p w14:paraId="35DC7AF4" w14:textId="1A1A87E9"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4, 7, </w:t>
      </w:r>
      <w:r w:rsidR="00AD2FCB">
        <w:t>9</w:t>
      </w:r>
      <w:proofErr w:type="gramStart"/>
      <w:r w:rsidR="00AD2FCB">
        <w:t>,</w:t>
      </w:r>
      <w:r w:rsidR="00427309" w:rsidRPr="00305BDC">
        <w:t>13</w:t>
      </w:r>
      <w:proofErr w:type="gramEnd"/>
      <w:r w:rsidR="00427309" w:rsidRPr="00305BDC">
        <w:t>, 15, and</w:t>
      </w:r>
      <w:r w:rsidR="00305BDC" w:rsidRPr="00305BDC">
        <w:t xml:space="preserve"> 16.</w:t>
      </w:r>
    </w:p>
    <w:p w14:paraId="6665B5CF" w14:textId="77777777" w:rsidR="00F35AE7" w:rsidRPr="00305BDC" w:rsidRDefault="00F35AE7" w:rsidP="00F35AE7">
      <w:pPr>
        <w:tabs>
          <w:tab w:val="left" w:pos="1080"/>
        </w:tabs>
        <w:ind w:left="1080" w:right="634"/>
        <w:rPr>
          <w:highlight w:val="yellow"/>
        </w:rPr>
      </w:pPr>
    </w:p>
    <w:p w14:paraId="66FCB7DD" w14:textId="6C12713C"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the rule provide greater specificity for locations within state waters where vessel operators discharging ballast may be subject to the BWE+BWT requirement.  </w:t>
      </w:r>
      <w:r w:rsidR="00094DE5">
        <w:t xml:space="preserve">Specifically, they would prefer that affected low salinity waters of the state that the rule is designed to protect be identified by specific ports and river mile marker, therein. </w:t>
      </w:r>
    </w:p>
    <w:p w14:paraId="0826882F" w14:textId="77777777" w:rsidR="00F35AE7" w:rsidRPr="00305BDC" w:rsidRDefault="00F35AE7" w:rsidP="00F35AE7">
      <w:pPr>
        <w:tabs>
          <w:tab w:val="left" w:pos="1080"/>
        </w:tabs>
        <w:ind w:left="1080" w:right="634"/>
        <w:rPr>
          <w:highlight w:val="yellow"/>
        </w:rPr>
      </w:pPr>
    </w:p>
    <w:p w14:paraId="49431FF5" w14:textId="2FC4A7D6" w:rsidR="00F35AE7" w:rsidRPr="00305BDC" w:rsidRDefault="00F35AE7" w:rsidP="00F35AE7">
      <w:pPr>
        <w:tabs>
          <w:tab w:val="left" w:pos="1080"/>
        </w:tabs>
        <w:ind w:left="1080" w:right="634"/>
        <w:rPr>
          <w:highlight w:val="yellow"/>
        </w:rPr>
      </w:pPr>
      <w:r w:rsidRPr="00094DE5">
        <w:t>Commenter #</w:t>
      </w:r>
      <w:r w:rsidR="00094DE5" w:rsidRPr="00094DE5">
        <w:t>1</w:t>
      </w:r>
      <w:proofErr w:type="gramStart"/>
      <w:r w:rsidR="00AD2FCB">
        <w:t>,2,9</w:t>
      </w:r>
      <w:proofErr w:type="gramEnd"/>
      <w:r w:rsidR="00094DE5" w:rsidRPr="00094DE5">
        <w:t xml:space="preserve"> and 13 </w:t>
      </w:r>
      <w:r w:rsidR="00AD2FCB" w:rsidRPr="00AD2FCB">
        <w:t xml:space="preserve">indicate a preference for applying BWE+BWT requirements to all ballast discharge to Oregon, regardless of receiving port salinity conditions.  </w:t>
      </w:r>
      <w:r w:rsidR="00AD2FCB">
        <w:t xml:space="preserve">Comments from these entities and others during the advisory committee discussions suggested that if greater specificity of rule language is necessary than it should be based on salinity conditions at the time of discharge, not on river mile markers – locations that experience wide ranging salinity variability due to tides and seasonal conditions. </w:t>
      </w:r>
    </w:p>
    <w:p w14:paraId="2F2DCC47" w14:textId="77777777" w:rsidR="00F35AE7" w:rsidRPr="00305BDC" w:rsidRDefault="00F35AE7" w:rsidP="00F35AE7">
      <w:pPr>
        <w:tabs>
          <w:tab w:val="left" w:pos="2700"/>
        </w:tabs>
        <w:ind w:left="2700" w:right="634"/>
        <w:rPr>
          <w:highlight w:val="yellow"/>
        </w:rPr>
      </w:pPr>
    </w:p>
    <w:p w14:paraId="0B028435" w14:textId="3D70C5F1"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modified……</w:t>
      </w:r>
      <w:r w:rsidR="00094DE5" w:rsidRPr="00094DE5">
        <w:t xml:space="preserve"> </w:t>
      </w:r>
      <w:r w:rsidR="00094DE5">
        <w:t>Although the proposed ru</w:t>
      </w:r>
      <w:r w:rsidR="00234ECC">
        <w:t>le would require BWE+BWT for ballast discharge of any ballast that had been sourced outside the region from low-salinity conditions</w:t>
      </w:r>
      <w:r w:rsidR="00604DD6">
        <w:t>… According to information provided to DEQ by industry representatives, discharge of ballast to Oregon waters from regulated commercial vessels occurs to low-salinity environments (i.e. &lt; 18 parts per thousand) under almost all circumstances.</w:t>
      </w:r>
      <w:bookmarkStart w:id="5" w:name="_GoBack"/>
      <w:bookmarkEnd w:id="5"/>
    </w:p>
    <w:p w14:paraId="20431774" w14:textId="77777777" w:rsidR="00F35AE7" w:rsidRDefault="00F35AE7" w:rsidP="00F35AE7">
      <w:pPr>
        <w:pStyle w:val="ListParagraph"/>
        <w:tabs>
          <w:tab w:val="left" w:pos="2700"/>
        </w:tabs>
        <w:ind w:left="1080" w:right="634"/>
        <w:rPr>
          <w:bCs/>
        </w:rPr>
      </w:pPr>
    </w:p>
    <w:p w14:paraId="7A969282" w14:textId="4B260103"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edits that are technical or </w:t>
      </w:r>
      <w:r w:rsidR="00652B8E">
        <w:rPr>
          <w:bCs/>
        </w:rPr>
        <w:t>semantic</w:t>
      </w:r>
      <w:r w:rsidR="00305BDC">
        <w:rPr>
          <w:bCs/>
        </w:rPr>
        <w:t xml:space="preserve"> in nature aimed at greater clarity of the rule revisions and are not deemed to be controversial.</w:t>
      </w:r>
    </w:p>
    <w:p w14:paraId="7D7F7A56" w14:textId="77777777" w:rsidR="00F35AE7" w:rsidRDefault="00F35AE7" w:rsidP="00F35AE7">
      <w:pPr>
        <w:tabs>
          <w:tab w:val="left" w:pos="1080"/>
        </w:tabs>
        <w:ind w:left="1080" w:right="634"/>
      </w:pPr>
      <w:r>
        <w:tab/>
      </w:r>
    </w:p>
    <w:p w14:paraId="1E8531DA" w14:textId="54056F6A" w:rsidR="00F35AE7" w:rsidRPr="00305BDC" w:rsidRDefault="00F35AE7" w:rsidP="00F35AE7">
      <w:pPr>
        <w:tabs>
          <w:tab w:val="left" w:pos="1080"/>
        </w:tabs>
        <w:ind w:left="1080" w:right="634"/>
      </w:pPr>
      <w:r w:rsidRPr="00305BDC">
        <w:t>DEQ received comments in this category from commenters #</w:t>
      </w:r>
      <w:r w:rsidR="00305BDC" w:rsidRPr="00305BDC">
        <w:t>6, and 10.</w:t>
      </w:r>
    </w:p>
    <w:p w14:paraId="76D62E5E" w14:textId="77777777" w:rsidR="00F35AE7" w:rsidRPr="00305BDC" w:rsidRDefault="00F35AE7" w:rsidP="00F35AE7">
      <w:pPr>
        <w:tabs>
          <w:tab w:val="left" w:pos="1080"/>
        </w:tabs>
        <w:ind w:left="1080" w:right="634"/>
        <w:rPr>
          <w:highlight w:val="yellow"/>
        </w:rPr>
      </w:pPr>
    </w:p>
    <w:p w14:paraId="11BDB281"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575B723" w14:textId="77777777" w:rsidR="00F35AE7" w:rsidRPr="00305BDC" w:rsidRDefault="00F35AE7" w:rsidP="00F35AE7">
      <w:pPr>
        <w:tabs>
          <w:tab w:val="left" w:pos="1080"/>
        </w:tabs>
        <w:ind w:left="1080" w:right="634"/>
        <w:rPr>
          <w:highlight w:val="yellow"/>
        </w:rPr>
      </w:pPr>
    </w:p>
    <w:p w14:paraId="7FFF7CFF"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76B4730" w14:textId="77777777" w:rsidR="00F35AE7" w:rsidRPr="00305BDC" w:rsidRDefault="00F35AE7" w:rsidP="00F35AE7">
      <w:pPr>
        <w:tabs>
          <w:tab w:val="left" w:pos="2700"/>
        </w:tabs>
        <w:ind w:left="2700" w:right="634"/>
        <w:rPr>
          <w:highlight w:val="yellow"/>
        </w:rPr>
      </w:pPr>
    </w:p>
    <w:p w14:paraId="3996BC5A" w14:textId="3D67020A"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modified……</w:t>
      </w:r>
    </w:p>
    <w:p w14:paraId="48E77CD4" w14:textId="77777777" w:rsidR="00F35AE7" w:rsidRDefault="00F35AE7" w:rsidP="00F35AE7">
      <w:pPr>
        <w:pStyle w:val="ListParagraph"/>
        <w:tabs>
          <w:tab w:val="left" w:pos="2700"/>
        </w:tabs>
        <w:ind w:left="1080" w:right="634"/>
        <w:rPr>
          <w:bCs/>
        </w:rPr>
      </w:pPr>
    </w:p>
    <w:p w14:paraId="34D49507" w14:textId="7E58B76A"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Pr>
          <w:bCs/>
        </w:rPr>
        <w:t xml:space="preserve">Suggestions for edits to exemption criteria language proposed under </w:t>
      </w:r>
      <w:r w:rsidRPr="00427309">
        <w:rPr>
          <w:bCs/>
          <w:highlight w:val="yellow"/>
        </w:rPr>
        <w:t>-</w:t>
      </w:r>
      <w:r w:rsidRPr="00427309">
        <w:rPr>
          <w:highlight w:val="yellow"/>
        </w:rPr>
        <w:t>0050 (</w:t>
      </w:r>
    </w:p>
    <w:p w14:paraId="5A660B80" w14:textId="77777777" w:rsidR="00427309" w:rsidRDefault="00427309" w:rsidP="00427309">
      <w:pPr>
        <w:tabs>
          <w:tab w:val="left" w:pos="1080"/>
        </w:tabs>
        <w:ind w:left="1080" w:right="634"/>
      </w:pPr>
      <w:r>
        <w:tab/>
      </w:r>
    </w:p>
    <w:p w14:paraId="17D4252A" w14:textId="5AE3A076" w:rsidR="00427309" w:rsidRPr="00305BDC" w:rsidRDefault="00427309" w:rsidP="00427309">
      <w:pPr>
        <w:tabs>
          <w:tab w:val="left" w:pos="1080"/>
        </w:tabs>
        <w:ind w:left="1080" w:right="634"/>
      </w:pPr>
      <w:r w:rsidRPr="00305BDC">
        <w:t>DEQ received comments in this category from commenters #</w:t>
      </w:r>
      <w:r>
        <w:t>4, 7, and 16</w:t>
      </w:r>
      <w:r w:rsidRPr="00305BDC">
        <w:t>.</w:t>
      </w:r>
    </w:p>
    <w:p w14:paraId="40A272CE" w14:textId="77777777" w:rsidR="00427309" w:rsidRPr="00305BDC" w:rsidRDefault="00427309" w:rsidP="00427309">
      <w:pPr>
        <w:tabs>
          <w:tab w:val="left" w:pos="1080"/>
        </w:tabs>
        <w:ind w:left="1080" w:right="634"/>
        <w:rPr>
          <w:highlight w:val="yellow"/>
        </w:rPr>
      </w:pPr>
    </w:p>
    <w:p w14:paraId="331B2BAB"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4670900" w14:textId="77777777" w:rsidR="00427309" w:rsidRPr="00305BDC" w:rsidRDefault="00427309" w:rsidP="00427309">
      <w:pPr>
        <w:tabs>
          <w:tab w:val="left" w:pos="1080"/>
        </w:tabs>
        <w:ind w:left="1080" w:right="634"/>
        <w:rPr>
          <w:highlight w:val="yellow"/>
        </w:rPr>
      </w:pPr>
    </w:p>
    <w:p w14:paraId="6FD12295"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4528A950" w14:textId="77777777" w:rsidR="00427309" w:rsidRPr="00305BDC" w:rsidRDefault="00427309" w:rsidP="00427309">
      <w:pPr>
        <w:tabs>
          <w:tab w:val="left" w:pos="2700"/>
        </w:tabs>
        <w:ind w:left="2700" w:right="634"/>
        <w:rPr>
          <w:highlight w:val="yellow"/>
        </w:rPr>
      </w:pPr>
    </w:p>
    <w:p w14:paraId="43F42D37" w14:textId="633C14B6"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has modified…….</w:t>
      </w:r>
    </w:p>
    <w:p w14:paraId="3F83FC61" w14:textId="77777777" w:rsidR="00427309" w:rsidRDefault="00427309" w:rsidP="00427309">
      <w:pPr>
        <w:pStyle w:val="ListParagraph"/>
        <w:tabs>
          <w:tab w:val="left" w:pos="2700"/>
        </w:tabs>
        <w:ind w:left="1080" w:right="634"/>
        <w:rPr>
          <w:bCs/>
        </w:rPr>
      </w:pPr>
    </w:p>
    <w:p w14:paraId="097777F1" w14:textId="1341EAEC"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47410DAD" w14:textId="77777777" w:rsidR="00427309" w:rsidRDefault="00427309" w:rsidP="00427309">
      <w:pPr>
        <w:tabs>
          <w:tab w:val="left" w:pos="1080"/>
        </w:tabs>
        <w:ind w:left="1080" w:right="634"/>
      </w:pPr>
      <w:r>
        <w:tab/>
      </w:r>
    </w:p>
    <w:p w14:paraId="25B6775F" w14:textId="0D3745E7" w:rsidR="00427309" w:rsidRPr="00305BDC" w:rsidRDefault="00427309" w:rsidP="00427309">
      <w:pPr>
        <w:tabs>
          <w:tab w:val="left" w:pos="1080"/>
        </w:tabs>
        <w:ind w:left="1080" w:right="634"/>
      </w:pPr>
      <w:r w:rsidRPr="00305BDC">
        <w:lastRenderedPageBreak/>
        <w:t>DEQ received comments in this category from commenters #</w:t>
      </w:r>
      <w:r>
        <w:t>4, 15, 16</w:t>
      </w:r>
      <w:r w:rsidRPr="00305BDC">
        <w:t>.</w:t>
      </w:r>
    </w:p>
    <w:p w14:paraId="640E42F6" w14:textId="77777777" w:rsidR="00427309" w:rsidRPr="00305BDC" w:rsidRDefault="00427309" w:rsidP="00427309">
      <w:pPr>
        <w:tabs>
          <w:tab w:val="left" w:pos="1080"/>
        </w:tabs>
        <w:ind w:left="1080" w:right="634"/>
        <w:rPr>
          <w:highlight w:val="yellow"/>
        </w:rPr>
      </w:pPr>
    </w:p>
    <w:p w14:paraId="122BD433"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6787388" w14:textId="77777777" w:rsidR="00427309" w:rsidRPr="00305BDC" w:rsidRDefault="00427309" w:rsidP="00427309">
      <w:pPr>
        <w:tabs>
          <w:tab w:val="left" w:pos="1080"/>
        </w:tabs>
        <w:ind w:left="1080" w:right="634"/>
        <w:rPr>
          <w:highlight w:val="yellow"/>
        </w:rPr>
      </w:pPr>
    </w:p>
    <w:p w14:paraId="625E6853" w14:textId="77777777" w:rsidR="00427309" w:rsidRPr="00305BDC" w:rsidRDefault="00427309" w:rsidP="00427309">
      <w:pPr>
        <w:tabs>
          <w:tab w:val="left" w:pos="2700"/>
        </w:tabs>
        <w:ind w:left="2700" w:right="634"/>
        <w:rPr>
          <w:highlight w:val="yellow"/>
        </w:rPr>
      </w:pPr>
    </w:p>
    <w:p w14:paraId="5AD52F49" w14:textId="596D9405"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has modified the sunset date…..</w:t>
      </w:r>
    </w:p>
    <w:p w14:paraId="733E1521" w14:textId="77777777" w:rsidR="00427309" w:rsidRDefault="00427309" w:rsidP="00427309">
      <w:pPr>
        <w:pStyle w:val="ListParagraph"/>
        <w:tabs>
          <w:tab w:val="left" w:pos="2700"/>
        </w:tabs>
        <w:ind w:left="1080" w:right="634"/>
        <w:rPr>
          <w:bCs/>
        </w:rPr>
      </w:pPr>
    </w:p>
    <w:p w14:paraId="7530A864" w14:textId="266816A4" w:rsidR="00427309" w:rsidRPr="00396E80" w:rsidRDefault="00427309" w:rsidP="00427309">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Pr>
          <w:bCs/>
        </w:rPr>
        <w:t>Response to DEQ proposal to adopt saltwater flushing requirements of empty ballast tanks that are comparable to federal requirements established under the 2013 EPA Vessel General Permit.</w:t>
      </w:r>
    </w:p>
    <w:p w14:paraId="66B909A0" w14:textId="77777777" w:rsidR="00427309" w:rsidRDefault="00427309" w:rsidP="00427309">
      <w:pPr>
        <w:tabs>
          <w:tab w:val="left" w:pos="1080"/>
        </w:tabs>
        <w:ind w:left="1080" w:right="634"/>
      </w:pPr>
      <w:r>
        <w:tab/>
      </w:r>
    </w:p>
    <w:p w14:paraId="63B31E5B" w14:textId="6AB619A4" w:rsidR="00427309" w:rsidRPr="00305BDC" w:rsidRDefault="00427309" w:rsidP="00427309">
      <w:pPr>
        <w:tabs>
          <w:tab w:val="left" w:pos="1080"/>
        </w:tabs>
        <w:ind w:left="1080" w:right="634"/>
      </w:pPr>
      <w:r w:rsidRPr="00305BDC">
        <w:t>DEQ received comments in this category from commenters #</w:t>
      </w:r>
      <w:r>
        <w:t>3, 5, 6, 7, 12, 13</w:t>
      </w:r>
      <w:r w:rsidRPr="00305BDC">
        <w:t>.</w:t>
      </w:r>
    </w:p>
    <w:p w14:paraId="69A08417" w14:textId="77777777" w:rsidR="00427309" w:rsidRPr="00305BDC" w:rsidRDefault="00427309" w:rsidP="00427309">
      <w:pPr>
        <w:tabs>
          <w:tab w:val="left" w:pos="1080"/>
        </w:tabs>
        <w:ind w:left="1080" w:right="634"/>
        <w:rPr>
          <w:highlight w:val="yellow"/>
        </w:rPr>
      </w:pPr>
    </w:p>
    <w:p w14:paraId="4DF849EF"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9393F06" w14:textId="77777777" w:rsidR="00427309" w:rsidRPr="00305BDC" w:rsidRDefault="00427309" w:rsidP="00427309">
      <w:pPr>
        <w:tabs>
          <w:tab w:val="left" w:pos="1080"/>
        </w:tabs>
        <w:ind w:left="1080" w:right="634"/>
        <w:rPr>
          <w:highlight w:val="yellow"/>
        </w:rPr>
      </w:pPr>
    </w:p>
    <w:p w14:paraId="3C2446F0" w14:textId="77777777" w:rsidR="00427309" w:rsidRPr="00305BDC" w:rsidRDefault="00427309" w:rsidP="00427309">
      <w:pPr>
        <w:tabs>
          <w:tab w:val="left" w:pos="2700"/>
        </w:tabs>
        <w:ind w:left="2700" w:right="634"/>
        <w:rPr>
          <w:highlight w:val="yellow"/>
        </w:rPr>
      </w:pPr>
    </w:p>
    <w:p w14:paraId="56C2337D" w14:textId="10C9A4FF"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Pr>
          <w:bCs/>
        </w:rPr>
        <w:t xml:space="preserve"> has maintained the rule as proposed.</w:t>
      </w:r>
    </w:p>
    <w:p w14:paraId="2B7CE138" w14:textId="77777777" w:rsidR="00427309" w:rsidRDefault="00427309" w:rsidP="00427309">
      <w:pPr>
        <w:pStyle w:val="ListParagraph"/>
        <w:tabs>
          <w:tab w:val="left" w:pos="2700"/>
        </w:tabs>
        <w:ind w:left="1080" w:right="634"/>
        <w:rPr>
          <w:bCs/>
        </w:rPr>
      </w:pPr>
    </w:p>
    <w:p w14:paraId="43749858" w14:textId="40E6E5B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D90375">
        <w:rPr>
          <w:bCs/>
        </w:rPr>
        <w:t xml:space="preserve">Suggestions that </w:t>
      </w:r>
      <w:r w:rsidR="00D90375" w:rsidRPr="00D90375">
        <w:t xml:space="preserve">failure to establish </w:t>
      </w:r>
      <w:r w:rsidR="00D90375">
        <w:t xml:space="preserve">regulations comparable to </w:t>
      </w:r>
      <w:r w:rsidR="00D90375" w:rsidRPr="00D90375">
        <w:rPr>
          <w:highlight w:val="yellow"/>
        </w:rPr>
        <w:t>-0050()</w:t>
      </w:r>
      <w:r w:rsidR="00D90375" w:rsidRPr="00D90375">
        <w:t xml:space="preserve"> in neighboring jurisdictions may result in economic competitive disadvantages for some Oregon port facilities.</w:t>
      </w:r>
    </w:p>
    <w:p w14:paraId="6B055330" w14:textId="77777777" w:rsidR="00427309" w:rsidRDefault="00427309" w:rsidP="00427309">
      <w:pPr>
        <w:tabs>
          <w:tab w:val="left" w:pos="1080"/>
        </w:tabs>
        <w:ind w:left="1080" w:right="634"/>
      </w:pPr>
      <w:r>
        <w:tab/>
      </w:r>
    </w:p>
    <w:p w14:paraId="465555DE" w14:textId="0994C0BA" w:rsidR="00427309" w:rsidRPr="00305BDC" w:rsidRDefault="00427309" w:rsidP="00427309">
      <w:pPr>
        <w:tabs>
          <w:tab w:val="left" w:pos="1080"/>
        </w:tabs>
        <w:ind w:left="1080" w:right="634"/>
      </w:pPr>
      <w:r w:rsidRPr="00305BDC">
        <w:t>DEQ received comments in this category from commenters #</w:t>
      </w:r>
      <w:r>
        <w:t>4</w:t>
      </w:r>
      <w:r w:rsidR="00A0477F">
        <w:t>, 5</w:t>
      </w:r>
      <w:r w:rsidR="00D90375">
        <w:t xml:space="preserve"> and 15</w:t>
      </w:r>
      <w:r w:rsidRPr="00305BDC">
        <w:t>.</w:t>
      </w:r>
    </w:p>
    <w:p w14:paraId="04C95316" w14:textId="77777777" w:rsidR="00427309" w:rsidRPr="00305BDC" w:rsidRDefault="00427309" w:rsidP="00D90375">
      <w:pPr>
        <w:tabs>
          <w:tab w:val="left" w:pos="1080"/>
        </w:tabs>
        <w:ind w:left="0" w:right="634"/>
        <w:rPr>
          <w:highlight w:val="yellow"/>
        </w:rPr>
      </w:pPr>
    </w:p>
    <w:p w14:paraId="2340ADD3" w14:textId="33F44221" w:rsidR="00A0477F" w:rsidRPr="00305BDC" w:rsidRDefault="00A0477F" w:rsidP="00A0477F">
      <w:pPr>
        <w:tabs>
          <w:tab w:val="left" w:pos="1080"/>
        </w:tabs>
        <w:ind w:left="1080" w:right="634"/>
        <w:rPr>
          <w:highlight w:val="yellow"/>
        </w:rPr>
      </w:pPr>
      <w:r w:rsidRPr="00A0477F">
        <w:t xml:space="preserve">Commenter #4 and 15 </w:t>
      </w:r>
      <w:r w:rsidRPr="00305BDC">
        <w:rPr>
          <w:highlight w:val="yellow"/>
        </w:rPr>
        <w:t>suggest that the rule is premature and unwarranted at this time.  They suggest that if DEQ opts to proceed with implementing BWE+BWT requirements that it only apply to vessels……</w:t>
      </w:r>
    </w:p>
    <w:p w14:paraId="140BC992" w14:textId="77777777" w:rsidR="00A0477F" w:rsidRDefault="00A0477F" w:rsidP="00427309">
      <w:pPr>
        <w:tabs>
          <w:tab w:val="left" w:pos="1080"/>
        </w:tabs>
        <w:ind w:left="1080" w:right="634"/>
        <w:rPr>
          <w:highlight w:val="yellow"/>
        </w:rPr>
      </w:pPr>
    </w:p>
    <w:p w14:paraId="3A85286B" w14:textId="0C50F4C4" w:rsidR="00427309" w:rsidRPr="00305BDC" w:rsidRDefault="00427309" w:rsidP="00427309">
      <w:pPr>
        <w:tabs>
          <w:tab w:val="left" w:pos="1080"/>
        </w:tabs>
        <w:ind w:left="1080" w:right="634"/>
        <w:rPr>
          <w:highlight w:val="yellow"/>
        </w:rPr>
      </w:pPr>
      <w:r w:rsidRPr="00A0477F">
        <w:t>Commenter #</w:t>
      </w:r>
      <w:r w:rsidR="00A0477F" w:rsidRPr="00A0477F">
        <w:t>5</w:t>
      </w:r>
      <w:r w:rsidRPr="00A0477F">
        <w:t xml:space="preserve"> </w:t>
      </w:r>
      <w:r w:rsidR="00A0477F">
        <w:t>notes that WDFW is …..</w:t>
      </w:r>
    </w:p>
    <w:p w14:paraId="216C57E8" w14:textId="77777777" w:rsidR="00427309" w:rsidRPr="00305BDC" w:rsidRDefault="00427309" w:rsidP="00427309">
      <w:pPr>
        <w:tabs>
          <w:tab w:val="left" w:pos="2700"/>
        </w:tabs>
        <w:ind w:left="2700" w:right="634"/>
        <w:rPr>
          <w:highlight w:val="yellow"/>
        </w:rPr>
      </w:pPr>
    </w:p>
    <w:p w14:paraId="54751A40" w14:textId="49BCB2D1"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has worked in close coordination with other west coast states in the development of consistent BWM regulations since……</w:t>
      </w:r>
    </w:p>
    <w:p w14:paraId="310F931F" w14:textId="77777777" w:rsidR="00427309" w:rsidRDefault="00427309" w:rsidP="00427309">
      <w:pPr>
        <w:pStyle w:val="ListParagraph"/>
        <w:tabs>
          <w:tab w:val="left" w:pos="2700"/>
        </w:tabs>
        <w:ind w:left="1080" w:right="634"/>
        <w:rPr>
          <w:bCs/>
        </w:rPr>
      </w:pPr>
    </w:p>
    <w:p w14:paraId="70D8DE42" w14:textId="57D10178"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A0477F">
        <w:rPr>
          <w:bCs/>
        </w:rPr>
        <w:t>Suggestions/assertions questioning whether DEQ estimates of the number of vessels/voyages affected were accurate.</w:t>
      </w:r>
    </w:p>
    <w:p w14:paraId="4AD37DAA" w14:textId="77777777" w:rsidR="00427309" w:rsidRDefault="00427309" w:rsidP="00427309">
      <w:pPr>
        <w:tabs>
          <w:tab w:val="left" w:pos="1080"/>
        </w:tabs>
        <w:ind w:left="1080" w:right="634"/>
      </w:pPr>
      <w:r>
        <w:tab/>
      </w:r>
    </w:p>
    <w:p w14:paraId="2E88CDFB" w14:textId="26E720FE"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7D07BA44" w:rsidR="00427309" w:rsidRPr="00305BDC" w:rsidRDefault="00427309" w:rsidP="00A0477F">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021D8CF3" w14:textId="77777777" w:rsidR="00427309" w:rsidRPr="00305BDC" w:rsidRDefault="00427309" w:rsidP="00427309">
      <w:pPr>
        <w:tabs>
          <w:tab w:val="left" w:pos="2700"/>
        </w:tabs>
        <w:ind w:left="2700" w:right="634"/>
        <w:rPr>
          <w:highlight w:val="yellow"/>
        </w:rPr>
      </w:pPr>
    </w:p>
    <w:p w14:paraId="42B4E705" w14:textId="4AC89073"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conducted a new analysis using more robust data sources….showed decrease in number of vessels per year that would be likely to be affected.  These numbers are likely to be more conservative because they included modeled salinity data for global ports that were deemed to underestimate surface salinity values at some ports in California where ballast is occasionally sourced before being discharged to Oregon waters.</w:t>
      </w:r>
    </w:p>
    <w:p w14:paraId="20F87BE2" w14:textId="77777777" w:rsidR="00427309" w:rsidRDefault="00427309" w:rsidP="00427309">
      <w:pPr>
        <w:pStyle w:val="ListParagraph"/>
        <w:tabs>
          <w:tab w:val="left" w:pos="2700"/>
        </w:tabs>
        <w:ind w:left="1080" w:right="634"/>
        <w:rPr>
          <w:bCs/>
        </w:rPr>
      </w:pPr>
    </w:p>
    <w:p w14:paraId="3D8BD0BF" w14:textId="7F6F19C1"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A0477F">
        <w:rPr>
          <w:bCs/>
        </w:rPr>
        <w:t>Suggestion that DEQ remove ballast water management exemptions that allow vessels transferring ballast within our ‘common water zone’ (</w:t>
      </w:r>
      <w:r w:rsidR="00A0477F" w:rsidRPr="00A0477F">
        <w:rPr>
          <w:bCs/>
          <w:highlight w:val="yellow"/>
        </w:rPr>
        <w:t>per OAR -00xxx</w:t>
      </w:r>
      <w:r w:rsidR="00A0477F">
        <w:rPr>
          <w:bCs/>
        </w:rPr>
        <w:t>)</w:t>
      </w:r>
      <w:r w:rsidR="00A0477F" w:rsidRPr="00A0477F">
        <w:rPr>
          <w:bCs/>
        </w:rPr>
        <w:t xml:space="preserve"> </w:t>
      </w:r>
      <w:r w:rsidR="00A0477F">
        <w:rPr>
          <w:bCs/>
        </w:rPr>
        <w:t>to do so without conducting invasive species risk-reduction practices.</w:t>
      </w:r>
    </w:p>
    <w:p w14:paraId="37D409FA" w14:textId="77777777" w:rsidR="00427309" w:rsidRDefault="00427309" w:rsidP="00427309">
      <w:pPr>
        <w:tabs>
          <w:tab w:val="left" w:pos="1080"/>
        </w:tabs>
        <w:ind w:left="1080" w:right="634"/>
      </w:pPr>
      <w:r>
        <w:tab/>
      </w:r>
    </w:p>
    <w:p w14:paraId="5C8F8673" w14:textId="415B86E4"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0925C053" w14:textId="77777777" w:rsidR="00427309" w:rsidRPr="00305BDC" w:rsidRDefault="00427309" w:rsidP="00427309">
      <w:pPr>
        <w:tabs>
          <w:tab w:val="left" w:pos="1080"/>
        </w:tabs>
        <w:ind w:left="1080" w:right="634"/>
        <w:rPr>
          <w:highlight w:val="yellow"/>
        </w:rPr>
      </w:pPr>
    </w:p>
    <w:p w14:paraId="7AAE96BC" w14:textId="77777777" w:rsidR="00427309" w:rsidRPr="00305BDC" w:rsidRDefault="00427309" w:rsidP="00A0477F">
      <w:pPr>
        <w:tabs>
          <w:tab w:val="left" w:pos="1080"/>
        </w:tabs>
        <w:ind w:right="634"/>
        <w:rPr>
          <w:highlight w:val="yellow"/>
        </w:rPr>
      </w:pPr>
    </w:p>
    <w:p w14:paraId="16D9B4C4"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38F89074" w14:textId="77777777" w:rsidR="00427309" w:rsidRPr="00305BDC" w:rsidRDefault="00427309" w:rsidP="00427309">
      <w:pPr>
        <w:tabs>
          <w:tab w:val="left" w:pos="2700"/>
        </w:tabs>
        <w:ind w:left="2700" w:right="634"/>
        <w:rPr>
          <w:highlight w:val="yellow"/>
        </w:rPr>
      </w:pPr>
    </w:p>
    <w:p w14:paraId="32CA9665" w14:textId="09620C69"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77B542BF" w14:textId="77777777" w:rsidR="00427309" w:rsidRDefault="00427309" w:rsidP="00427309">
      <w:pPr>
        <w:pStyle w:val="ListParagraph"/>
        <w:tabs>
          <w:tab w:val="left" w:pos="2700"/>
        </w:tabs>
        <w:ind w:left="1080" w:right="634"/>
        <w:rPr>
          <w:bCs/>
        </w:rPr>
      </w:pPr>
    </w:p>
    <w:p w14:paraId="7FCE9BAF" w14:textId="77777777"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343783FB" w14:textId="77777777" w:rsidR="00427309" w:rsidRDefault="00427309" w:rsidP="00427309">
      <w:pPr>
        <w:tabs>
          <w:tab w:val="left" w:pos="1080"/>
        </w:tabs>
        <w:ind w:left="1080" w:right="634"/>
      </w:pPr>
      <w:r>
        <w:tab/>
      </w:r>
    </w:p>
    <w:p w14:paraId="50CF1451" w14:textId="67D9EDB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192982C1" w14:textId="77777777" w:rsidR="00427309" w:rsidRPr="00305BDC" w:rsidRDefault="00427309" w:rsidP="00A0477F">
      <w:pPr>
        <w:tabs>
          <w:tab w:val="left" w:pos="1080"/>
        </w:tabs>
        <w:ind w:left="0" w:right="634"/>
        <w:rPr>
          <w:highlight w:val="yellow"/>
        </w:rPr>
      </w:pPr>
    </w:p>
    <w:p w14:paraId="6889D697"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AFA4CB4" w14:textId="77777777" w:rsidR="00427309" w:rsidRPr="00305BDC" w:rsidRDefault="00427309" w:rsidP="00427309">
      <w:pPr>
        <w:tabs>
          <w:tab w:val="left" w:pos="2700"/>
        </w:tabs>
        <w:ind w:left="2700" w:right="634"/>
        <w:rPr>
          <w:highlight w:val="yellow"/>
        </w:rPr>
      </w:pPr>
    </w:p>
    <w:p w14:paraId="3F5D53CE" w14:textId="40E71B1B"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2E718B60" w:rsidR="00377FA3" w:rsidRDefault="00377FA3" w:rsidP="00377FA3">
      <w:pPr>
        <w:spacing w:after="120"/>
        <w:ind w:right="630"/>
        <w:rPr>
          <w:bCs/>
          <w:color w:val="000000" w:themeColor="text1"/>
        </w:rPr>
      </w:pPr>
      <w:r w:rsidRPr="00377FA3">
        <w:rPr>
          <w:color w:val="000000" w:themeColor="text1"/>
        </w:rPr>
        <w:t xml:space="preserve">The table below lists </w:t>
      </w:r>
      <w:commentRangeStart w:id="6"/>
      <w:r w:rsidR="00262962" w:rsidRPr="00FB4ACF">
        <w:rPr>
          <w:rStyle w:val="Emphasis"/>
          <w:caps/>
          <w:color w:val="auto"/>
        </w:rPr>
        <w:t>1</w:t>
      </w:r>
      <w:r w:rsidR="00E31399">
        <w:rPr>
          <w:rStyle w:val="Emphasis"/>
          <w:caps/>
          <w:color w:val="auto"/>
        </w:rPr>
        <w:t>6</w:t>
      </w:r>
      <w:r w:rsidRPr="00FB4ACF">
        <w:rPr>
          <w:color w:val="000000" w:themeColor="text1"/>
        </w:rPr>
        <w:t xml:space="preserve"> people</w:t>
      </w:r>
      <w:r w:rsidR="00262962" w:rsidRPr="00FB4ACF">
        <w:rPr>
          <w:color w:val="000000" w:themeColor="text1"/>
        </w:rPr>
        <w:t>,</w:t>
      </w:r>
      <w:r w:rsidRPr="00FB4ACF">
        <w:rPr>
          <w:color w:val="000000" w:themeColor="text1"/>
        </w:rPr>
        <w:t xml:space="preserve"> organizations</w:t>
      </w:r>
      <w:r w:rsidR="00262962" w:rsidRPr="00FB4ACF">
        <w:rPr>
          <w:color w:val="000000" w:themeColor="text1"/>
        </w:rPr>
        <w:t>, or coalitions</w:t>
      </w:r>
      <w:r w:rsidRPr="00377FA3">
        <w:rPr>
          <w:color w:val="000000" w:themeColor="text1"/>
        </w:rPr>
        <w:t xml:space="preserve"> </w:t>
      </w:r>
      <w:commentRangeEnd w:id="6"/>
      <w:r w:rsidR="00E31399">
        <w:rPr>
          <w:rStyle w:val="CommentReference"/>
        </w:rPr>
        <w:commentReference w:id="6"/>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 xml:space="preserve">during public comment periods that were open between </w:t>
      </w:r>
      <w:r w:rsidR="0036375F">
        <w:rPr>
          <w:bCs/>
          <w:color w:val="000000" w:themeColor="text1"/>
        </w:rPr>
        <w:t>15 April</w:t>
      </w:r>
      <w:r w:rsidR="00A71647">
        <w:rPr>
          <w:bCs/>
          <w:color w:val="000000" w:themeColor="text1"/>
        </w:rPr>
        <w:t xml:space="preserve"> and </w:t>
      </w:r>
      <w:r w:rsidR="00087876">
        <w:rPr>
          <w:bCs/>
          <w:color w:val="000000" w:themeColor="text1"/>
        </w:rPr>
        <w:t>25 May</w:t>
      </w:r>
      <w:r w:rsidR="00A71647">
        <w:rPr>
          <w:bCs/>
          <w:color w:val="000000" w:themeColor="text1"/>
        </w:rPr>
        <w:t xml:space="preserve">, </w:t>
      </w:r>
      <w:r w:rsidR="0036375F">
        <w:rPr>
          <w:bCs/>
          <w:color w:val="000000" w:themeColor="text1"/>
        </w:rPr>
        <w:t>20</w:t>
      </w:r>
      <w:r w:rsidR="00087876">
        <w:rPr>
          <w:bCs/>
          <w:color w:val="000000" w:themeColor="text1"/>
        </w:rPr>
        <w:t xml:space="preserve"> June</w:t>
      </w:r>
      <w:r w:rsidR="00A71647">
        <w:rPr>
          <w:bCs/>
          <w:color w:val="000000" w:themeColor="text1"/>
        </w:rPr>
        <w:t xml:space="preserve"> and </w:t>
      </w:r>
      <w:r w:rsidR="00087876">
        <w:rPr>
          <w:bCs/>
          <w:color w:val="000000" w:themeColor="text1"/>
        </w:rPr>
        <w:t>08 July</w:t>
      </w:r>
      <w:r w:rsidR="00200B21">
        <w:rPr>
          <w:bCs/>
          <w:color w:val="000000" w:themeColor="text1"/>
        </w:rPr>
        <w:t>,</w:t>
      </w:r>
      <w:r w:rsidR="00A71647">
        <w:rPr>
          <w:bCs/>
          <w:color w:val="000000" w:themeColor="text1"/>
        </w:rPr>
        <w:t xml:space="preserve"> and </w:t>
      </w:r>
      <w:r w:rsidR="00087876">
        <w:rPr>
          <w:bCs/>
          <w:color w:val="000000" w:themeColor="text1"/>
        </w:rPr>
        <w:t>07 September</w:t>
      </w:r>
      <w:r w:rsidR="00A71647">
        <w:rPr>
          <w:bCs/>
          <w:color w:val="000000" w:themeColor="text1"/>
        </w:rPr>
        <w:t xml:space="preserve"> and </w:t>
      </w:r>
      <w:r w:rsidR="00087876">
        <w:rPr>
          <w:bCs/>
          <w:color w:val="000000" w:themeColor="text1"/>
        </w:rPr>
        <w:t>24 October</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240"/>
        <w:gridCol w:w="432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F45D15">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24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32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7B21FA">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24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32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3236E71D" w:rsidR="00A71647" w:rsidRPr="005E261F" w:rsidRDefault="005E261F" w:rsidP="005E261F">
            <w:pPr>
              <w:ind w:left="0" w:right="0"/>
              <w:outlineLvl w:val="9"/>
              <w:rPr>
                <w:rFonts w:ascii="Arial" w:hAnsi="Arial" w:cs="Arial"/>
                <w:color w:val="000000"/>
              </w:rPr>
            </w:pPr>
            <w:r>
              <w:rPr>
                <w:rFonts w:ascii="Arial" w:hAnsi="Arial" w:cs="Arial"/>
                <w:color w:val="000000"/>
              </w:rPr>
              <w:t>1,2,3</w:t>
            </w:r>
          </w:p>
        </w:tc>
      </w:tr>
      <w:tr w:rsidR="00A71647" w:rsidRPr="00E16CB8" w14:paraId="33EA1012" w14:textId="77777777" w:rsidTr="007B21FA">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24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32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222DA851" w:rsidR="00A71647" w:rsidRPr="005E261F" w:rsidRDefault="005E261F" w:rsidP="005E261F">
            <w:pPr>
              <w:ind w:left="0" w:right="0"/>
              <w:outlineLvl w:val="9"/>
              <w:rPr>
                <w:rFonts w:ascii="Arial" w:hAnsi="Arial" w:cs="Arial"/>
                <w:color w:val="000000"/>
              </w:rPr>
            </w:pPr>
            <w:r>
              <w:rPr>
                <w:rFonts w:ascii="Arial" w:hAnsi="Arial" w:cs="Arial"/>
                <w:color w:val="000000"/>
              </w:rPr>
              <w:t>1,2</w:t>
            </w:r>
          </w:p>
        </w:tc>
      </w:tr>
      <w:tr w:rsidR="00A71647" w:rsidRPr="00E16CB8" w14:paraId="33EA1018" w14:textId="77777777" w:rsidTr="007B21FA">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24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32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048C1160" w:rsidR="00A71647" w:rsidRPr="005E261F" w:rsidRDefault="005E261F" w:rsidP="005E261F">
            <w:pPr>
              <w:ind w:left="0" w:right="0"/>
              <w:outlineLvl w:val="9"/>
              <w:rPr>
                <w:rFonts w:ascii="Arial" w:hAnsi="Arial" w:cs="Arial"/>
                <w:color w:val="000000"/>
              </w:rPr>
            </w:pPr>
            <w:r>
              <w:rPr>
                <w:rFonts w:ascii="Arial" w:hAnsi="Arial" w:cs="Arial"/>
                <w:color w:val="000000"/>
              </w:rPr>
              <w:t>1,3,7</w:t>
            </w:r>
          </w:p>
        </w:tc>
      </w:tr>
      <w:tr w:rsidR="007B21FA" w:rsidRPr="00E16CB8" w14:paraId="7F094725" w14:textId="77777777" w:rsidTr="007B21FA">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240" w:type="dxa"/>
            <w:vAlign w:val="center"/>
          </w:tcPr>
          <w:p w14:paraId="75F3749F" w14:textId="7297A8E4" w:rsidR="007B21FA" w:rsidRDefault="007B21FA" w:rsidP="002B207D">
            <w:pPr>
              <w:ind w:left="0" w:right="0"/>
              <w:rPr>
                <w:rFonts w:ascii="Arial" w:hAnsi="Arial" w:cs="Arial"/>
              </w:rPr>
            </w:pPr>
            <w:r>
              <w:rPr>
                <w:rFonts w:ascii="Arial" w:hAnsi="Arial" w:cs="Arial"/>
              </w:rPr>
              <w:t>Charles Costanzo, Kate Mickelson, Mark Landauer, Fred Myer, Ross McDonald, Frank Holmes</w:t>
            </w:r>
            <w:r w:rsidR="00666D7D">
              <w:rPr>
                <w:rFonts w:ascii="Arial" w:hAnsi="Arial" w:cs="Arial"/>
              </w:rPr>
              <w:t xml:space="preserve"> (5/24/16; 7/8/16)</w:t>
            </w:r>
          </w:p>
        </w:tc>
        <w:tc>
          <w:tcPr>
            <w:tcW w:w="4320" w:type="dxa"/>
            <w:tcMar>
              <w:top w:w="43" w:type="dxa"/>
              <w:left w:w="43" w:type="dxa"/>
              <w:bottom w:w="43" w:type="dxa"/>
              <w:right w:w="43" w:type="dxa"/>
            </w:tcMar>
            <w:vAlign w:val="center"/>
          </w:tcPr>
          <w:p w14:paraId="17CDE71C" w14:textId="27297635" w:rsidR="007B21FA" w:rsidRDefault="007B21FA" w:rsidP="002B207D">
            <w:pPr>
              <w:ind w:left="0" w:right="0"/>
              <w:rPr>
                <w:rFonts w:ascii="Arial" w:hAnsi="Arial" w:cs="Arial"/>
              </w:rPr>
            </w:pPr>
            <w:r>
              <w:rPr>
                <w:rFonts w:ascii="Arial" w:hAnsi="Arial" w:cs="Arial"/>
              </w:rPr>
              <w:t>American Waterways Operators, Columbia River Steamship Operators Assn., Oregon Public Ports Association, Port of Portland, Sause Bros., Western States Petroleum Association</w:t>
            </w:r>
          </w:p>
        </w:tc>
        <w:tc>
          <w:tcPr>
            <w:tcW w:w="1620" w:type="dxa"/>
            <w:tcMar>
              <w:top w:w="43" w:type="dxa"/>
              <w:left w:w="43" w:type="dxa"/>
              <w:bottom w:w="43" w:type="dxa"/>
              <w:right w:w="43" w:type="dxa"/>
            </w:tcMar>
            <w:vAlign w:val="center"/>
          </w:tcPr>
          <w:p w14:paraId="7F8BEEF4" w14:textId="77777777" w:rsidR="005E261F" w:rsidRDefault="005E261F" w:rsidP="005E261F">
            <w:pPr>
              <w:ind w:left="0" w:right="0"/>
              <w:outlineLvl w:val="9"/>
              <w:rPr>
                <w:rFonts w:ascii="Arial" w:hAnsi="Arial" w:cs="Arial"/>
                <w:color w:val="000000"/>
              </w:rPr>
            </w:pPr>
            <w:r>
              <w:rPr>
                <w:rFonts w:ascii="Arial" w:hAnsi="Arial" w:cs="Arial"/>
                <w:color w:val="000000"/>
              </w:rPr>
              <w:t>1,3,5,6,8,9</w:t>
            </w:r>
          </w:p>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7B21FA">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24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32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DC38512" w14:textId="15739391" w:rsidR="005E261F" w:rsidRDefault="005E261F" w:rsidP="005E261F">
            <w:pPr>
              <w:ind w:left="0" w:right="0"/>
              <w:outlineLvl w:val="9"/>
              <w:rPr>
                <w:rFonts w:ascii="Arial" w:hAnsi="Arial" w:cs="Arial"/>
                <w:color w:val="000000"/>
              </w:rPr>
            </w:pPr>
            <w:r>
              <w:rPr>
                <w:rFonts w:ascii="Arial" w:hAnsi="Arial" w:cs="Arial"/>
                <w:color w:val="000000"/>
              </w:rPr>
              <w:t>1,7,</w:t>
            </w:r>
            <w:r>
              <w:rPr>
                <w:rFonts w:ascii="Arial" w:hAnsi="Arial" w:cs="Arial"/>
                <w:color w:val="000000"/>
              </w:rPr>
              <w:t>8</w:t>
            </w:r>
          </w:p>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7B21FA">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24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32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A0156C0" w14:textId="77777777" w:rsidR="005E261F" w:rsidRDefault="005E261F" w:rsidP="005E261F">
            <w:pPr>
              <w:ind w:left="0" w:right="0"/>
              <w:outlineLvl w:val="9"/>
              <w:rPr>
                <w:rFonts w:ascii="Arial" w:hAnsi="Arial" w:cs="Arial"/>
                <w:color w:val="000000"/>
              </w:rPr>
            </w:pPr>
            <w:r>
              <w:rPr>
                <w:rFonts w:ascii="Arial" w:hAnsi="Arial" w:cs="Arial"/>
                <w:color w:val="000000"/>
              </w:rPr>
              <w:t>1,4,7</w:t>
            </w:r>
          </w:p>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7B21FA">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24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32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1AC388C5" w:rsidR="007B21FA" w:rsidRPr="005E261F" w:rsidRDefault="005E261F" w:rsidP="005E261F">
            <w:pPr>
              <w:ind w:left="0" w:right="0"/>
              <w:outlineLvl w:val="9"/>
              <w:rPr>
                <w:rFonts w:ascii="Arial" w:hAnsi="Arial" w:cs="Arial"/>
                <w:color w:val="000000"/>
              </w:rPr>
            </w:pPr>
            <w:r>
              <w:rPr>
                <w:rFonts w:ascii="Arial" w:hAnsi="Arial" w:cs="Arial"/>
                <w:color w:val="000000"/>
              </w:rPr>
              <w:t>1,5,7,3</w:t>
            </w:r>
          </w:p>
        </w:tc>
      </w:tr>
      <w:tr w:rsidR="00666D7D" w:rsidRPr="00E16CB8" w14:paraId="594B80F1" w14:textId="77777777" w:rsidTr="007B21FA">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24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32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2C2E35" w:rsidRDefault="005E261F" w:rsidP="00666D7D">
            <w:pPr>
              <w:ind w:left="0" w:right="0"/>
              <w:rPr>
                <w:rFonts w:ascii="Arial" w:hAnsi="Arial" w:cs="Arial"/>
              </w:rPr>
            </w:pPr>
            <w:r>
              <w:rPr>
                <w:rFonts w:ascii="Arial" w:hAnsi="Arial" w:cs="Arial"/>
              </w:rPr>
              <w:t>1</w:t>
            </w:r>
          </w:p>
        </w:tc>
      </w:tr>
      <w:tr w:rsidR="00666D7D" w:rsidRPr="00E16CB8" w14:paraId="4130E19A" w14:textId="77777777" w:rsidTr="007B21FA">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24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32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149816DF" w:rsidR="00666D7D" w:rsidRPr="002C2E35" w:rsidRDefault="005E261F" w:rsidP="00666D7D">
            <w:pPr>
              <w:ind w:left="0" w:right="0"/>
              <w:rPr>
                <w:rFonts w:ascii="Arial" w:hAnsi="Arial" w:cs="Arial"/>
              </w:rPr>
            </w:pPr>
            <w:r>
              <w:rPr>
                <w:rFonts w:ascii="Arial" w:hAnsi="Arial" w:cs="Arial"/>
              </w:rPr>
              <w:t>1,2</w:t>
            </w:r>
          </w:p>
        </w:tc>
      </w:tr>
      <w:tr w:rsidR="00666D7D" w:rsidRPr="00E16CB8" w14:paraId="082F4324" w14:textId="77777777" w:rsidTr="007B21FA">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24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320" w:type="dxa"/>
            <w:tcMar>
              <w:top w:w="43" w:type="dxa"/>
              <w:left w:w="43" w:type="dxa"/>
              <w:bottom w:w="43" w:type="dxa"/>
              <w:right w:w="43" w:type="dxa"/>
            </w:tcMar>
            <w:vAlign w:val="center"/>
          </w:tcPr>
          <w:p w14:paraId="4F889D0B" w14:textId="2033EE5F" w:rsidR="00666D7D" w:rsidRDefault="00E31399" w:rsidP="00666D7D">
            <w:pPr>
              <w:ind w:left="0" w:right="0"/>
              <w:rPr>
                <w:rFonts w:ascii="Arial" w:hAnsi="Arial" w:cs="Arial"/>
              </w:rPr>
            </w:pPr>
            <w:r>
              <w:rPr>
                <w:rFonts w:ascii="Arial" w:hAnsi="Arial" w:cs="Arial"/>
              </w:rPr>
              <w:t>Citizen (retired DOJ)</w:t>
            </w:r>
          </w:p>
        </w:tc>
        <w:tc>
          <w:tcPr>
            <w:tcW w:w="1620" w:type="dxa"/>
            <w:tcMar>
              <w:top w:w="43" w:type="dxa"/>
              <w:left w:w="43" w:type="dxa"/>
              <w:bottom w:w="43" w:type="dxa"/>
              <w:right w:w="43" w:type="dxa"/>
            </w:tcMar>
            <w:vAlign w:val="center"/>
          </w:tcPr>
          <w:p w14:paraId="46FD8DA1" w14:textId="29B2155F" w:rsidR="00666D7D" w:rsidRPr="002C2E35" w:rsidRDefault="005E261F" w:rsidP="00666D7D">
            <w:pPr>
              <w:ind w:left="0" w:right="0"/>
              <w:rPr>
                <w:rFonts w:ascii="Arial" w:hAnsi="Arial" w:cs="Arial"/>
              </w:rPr>
            </w:pPr>
            <w:r>
              <w:rPr>
                <w:rFonts w:ascii="Arial" w:hAnsi="Arial" w:cs="Arial"/>
              </w:rPr>
              <w:t>1,4</w:t>
            </w:r>
          </w:p>
        </w:tc>
      </w:tr>
      <w:tr w:rsidR="00F521FB" w:rsidRPr="00E16CB8" w14:paraId="386E66D5" w14:textId="77777777" w:rsidTr="007B21FA">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24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32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2FEAA55F" w:rsidR="00F521FB" w:rsidRPr="002C2E35" w:rsidRDefault="005E261F" w:rsidP="00F521FB">
            <w:pPr>
              <w:ind w:left="0" w:right="0"/>
              <w:rPr>
                <w:rFonts w:ascii="Arial" w:hAnsi="Arial" w:cs="Arial"/>
              </w:rPr>
            </w:pPr>
            <w:r>
              <w:rPr>
                <w:rFonts w:ascii="Arial" w:hAnsi="Arial" w:cs="Arial"/>
              </w:rPr>
              <w:t>1</w:t>
            </w:r>
          </w:p>
        </w:tc>
      </w:tr>
      <w:tr w:rsidR="00F521FB" w:rsidRPr="00E16CB8" w14:paraId="0953DE99" w14:textId="77777777" w:rsidTr="007B21FA">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24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32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57D6E867" w:rsidR="00F521FB" w:rsidRPr="002C2E35" w:rsidRDefault="005E261F" w:rsidP="00F521FB">
            <w:pPr>
              <w:ind w:left="0" w:right="0"/>
              <w:rPr>
                <w:rFonts w:ascii="Arial" w:hAnsi="Arial" w:cs="Arial"/>
              </w:rPr>
            </w:pPr>
            <w:r>
              <w:rPr>
                <w:rFonts w:ascii="Arial" w:hAnsi="Arial" w:cs="Arial"/>
              </w:rPr>
              <w:t>1,7</w:t>
            </w:r>
          </w:p>
        </w:tc>
      </w:tr>
      <w:tr w:rsidR="00F521FB" w:rsidRPr="00E16CB8" w14:paraId="064679CD" w14:textId="77777777" w:rsidTr="007B21FA">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24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32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2A72D839" w:rsidR="00F521FB" w:rsidRPr="005E261F" w:rsidRDefault="005E261F" w:rsidP="005E261F">
            <w:pPr>
              <w:ind w:left="0" w:right="0"/>
              <w:outlineLvl w:val="9"/>
              <w:rPr>
                <w:rFonts w:ascii="Arial" w:hAnsi="Arial" w:cs="Arial"/>
                <w:color w:val="000000"/>
              </w:rPr>
            </w:pPr>
            <w:r>
              <w:rPr>
                <w:rFonts w:ascii="Arial" w:hAnsi="Arial" w:cs="Arial"/>
                <w:color w:val="000000"/>
              </w:rPr>
              <w:t>1,2,3,7,10,11</w:t>
            </w:r>
          </w:p>
        </w:tc>
      </w:tr>
      <w:tr w:rsidR="00F521FB" w:rsidRPr="00E16CB8" w14:paraId="5BA78E67" w14:textId="77777777" w:rsidTr="007B21FA">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24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32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12DDCCE4" w:rsidR="00F521FB" w:rsidRPr="002C2E35" w:rsidRDefault="005E261F" w:rsidP="00F521FB">
            <w:pPr>
              <w:ind w:left="0" w:right="0"/>
              <w:rPr>
                <w:rFonts w:ascii="Arial" w:hAnsi="Arial" w:cs="Arial"/>
              </w:rPr>
            </w:pPr>
            <w:r>
              <w:rPr>
                <w:rFonts w:ascii="Arial" w:hAnsi="Arial" w:cs="Arial"/>
              </w:rPr>
              <w:t>1</w:t>
            </w:r>
          </w:p>
        </w:tc>
      </w:tr>
      <w:tr w:rsidR="00F521FB" w:rsidRPr="00E16CB8" w14:paraId="2E205337" w14:textId="77777777" w:rsidTr="007B21FA">
        <w:tc>
          <w:tcPr>
            <w:tcW w:w="715" w:type="dxa"/>
            <w:tcMar>
              <w:top w:w="43" w:type="dxa"/>
              <w:left w:w="43" w:type="dxa"/>
              <w:bottom w:w="43" w:type="dxa"/>
              <w:right w:w="43" w:type="dxa"/>
            </w:tcMar>
            <w:vAlign w:val="center"/>
          </w:tcPr>
          <w:p w14:paraId="28A2A36A" w14:textId="61065166" w:rsidR="00F521FB" w:rsidRDefault="00F521FB" w:rsidP="00F521FB">
            <w:pPr>
              <w:ind w:left="0" w:right="0"/>
              <w:rPr>
                <w:rFonts w:ascii="Arial" w:hAnsi="Arial" w:cs="Arial"/>
              </w:rPr>
            </w:pPr>
            <w:r>
              <w:rPr>
                <w:rFonts w:ascii="Arial" w:hAnsi="Arial" w:cs="Arial"/>
              </w:rPr>
              <w:t>15</w:t>
            </w:r>
          </w:p>
        </w:tc>
        <w:tc>
          <w:tcPr>
            <w:tcW w:w="3240" w:type="dxa"/>
            <w:vAlign w:val="center"/>
          </w:tcPr>
          <w:p w14:paraId="0263EA6F" w14:textId="6463FD49" w:rsidR="00F521FB" w:rsidRDefault="00F521FB" w:rsidP="00F521FB">
            <w:pPr>
              <w:ind w:left="0" w:right="0"/>
              <w:rPr>
                <w:rFonts w:ascii="Arial" w:hAnsi="Arial" w:cs="Arial"/>
              </w:rPr>
            </w:pPr>
            <w:r>
              <w:rPr>
                <w:rFonts w:ascii="Arial" w:hAnsi="Arial" w:cs="Arial"/>
              </w:rPr>
              <w:t xml:space="preserve">Charles Costanzo, Kate Mickelson, Mark Landauer, </w:t>
            </w:r>
            <w:r>
              <w:rPr>
                <w:rFonts w:ascii="Arial" w:hAnsi="Arial" w:cs="Arial"/>
              </w:rPr>
              <w:lastRenderedPageBreak/>
              <w:t>Ross McDonald, Frank Holmes (10/24/16)</w:t>
            </w:r>
          </w:p>
        </w:tc>
        <w:tc>
          <w:tcPr>
            <w:tcW w:w="4320" w:type="dxa"/>
            <w:tcMar>
              <w:top w:w="43" w:type="dxa"/>
              <w:left w:w="43" w:type="dxa"/>
              <w:bottom w:w="43" w:type="dxa"/>
              <w:right w:w="43" w:type="dxa"/>
            </w:tcMar>
            <w:vAlign w:val="center"/>
          </w:tcPr>
          <w:p w14:paraId="4E255E65" w14:textId="6AF8D18D" w:rsidR="00F521FB" w:rsidRDefault="00F521FB" w:rsidP="00F521FB">
            <w:pPr>
              <w:ind w:left="0" w:right="0"/>
              <w:rPr>
                <w:rFonts w:ascii="Arial" w:hAnsi="Arial" w:cs="Arial"/>
              </w:rPr>
            </w:pPr>
            <w:r>
              <w:rPr>
                <w:rFonts w:ascii="Arial" w:hAnsi="Arial" w:cs="Arial"/>
              </w:rPr>
              <w:lastRenderedPageBreak/>
              <w:t xml:space="preserve">American Waterways Operators, Columbia River Steamship Operators Assn., Oregon </w:t>
            </w:r>
            <w:r>
              <w:rPr>
                <w:rFonts w:ascii="Arial" w:hAnsi="Arial" w:cs="Arial"/>
              </w:rPr>
              <w:lastRenderedPageBreak/>
              <w:t>Public Ports Association, Sause Bros., Western States Petroleum Association</w:t>
            </w:r>
          </w:p>
        </w:tc>
        <w:tc>
          <w:tcPr>
            <w:tcW w:w="1620" w:type="dxa"/>
            <w:tcMar>
              <w:top w:w="43" w:type="dxa"/>
              <w:left w:w="43" w:type="dxa"/>
              <w:bottom w:w="43" w:type="dxa"/>
              <w:right w:w="43" w:type="dxa"/>
            </w:tcMar>
            <w:vAlign w:val="center"/>
          </w:tcPr>
          <w:p w14:paraId="42E3FDB3" w14:textId="77777777" w:rsidR="005E261F" w:rsidRDefault="005E261F" w:rsidP="005E261F">
            <w:pPr>
              <w:ind w:left="0" w:right="0"/>
              <w:outlineLvl w:val="9"/>
              <w:rPr>
                <w:rFonts w:ascii="Arial" w:hAnsi="Arial" w:cs="Arial"/>
                <w:color w:val="000000"/>
              </w:rPr>
            </w:pPr>
            <w:r>
              <w:rPr>
                <w:rFonts w:ascii="Arial" w:hAnsi="Arial" w:cs="Arial"/>
                <w:color w:val="000000"/>
              </w:rPr>
              <w:lastRenderedPageBreak/>
              <w:t>1,3,6, 8</w:t>
            </w:r>
          </w:p>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7B21FA">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24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32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036499B8" w14:textId="77777777" w:rsidR="005E261F" w:rsidRDefault="005E261F" w:rsidP="005E261F">
            <w:pPr>
              <w:ind w:left="0" w:right="0"/>
              <w:outlineLvl w:val="9"/>
              <w:rPr>
                <w:rFonts w:ascii="Arial" w:hAnsi="Arial" w:cs="Arial"/>
                <w:color w:val="000000"/>
              </w:rPr>
            </w:pPr>
            <w:r>
              <w:rPr>
                <w:rFonts w:ascii="Arial" w:hAnsi="Arial" w:cs="Arial"/>
                <w:color w:val="000000"/>
              </w:rPr>
              <w:t>1,3,6</w:t>
            </w:r>
          </w:p>
          <w:p w14:paraId="458F3F27"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D80AC5" w:rsidRPr="007C0ACD" w:rsidRDefault="00D80AC5"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D80AC5" w:rsidRPr="007C0ACD" w:rsidRDefault="00D80AC5"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D80AC5" w:rsidRPr="007C0ACD" w:rsidRDefault="00D80AC5"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D80AC5" w:rsidRPr="007C0ACD" w:rsidRDefault="00D80AC5"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D80AC5" w:rsidRPr="007C0ACD" w:rsidRDefault="00D80AC5"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D80AC5" w:rsidRPr="007C0ACD" w:rsidRDefault="00D80AC5"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OFF Rian" w:date="2016-11-22T16:08:00Z" w:initials="HR">
    <w:p w14:paraId="2C887063" w14:textId="4DEDE295" w:rsidR="00D80AC5" w:rsidRDefault="00D80AC5">
      <w:pPr>
        <w:pStyle w:val="CommentText"/>
      </w:pPr>
      <w:r>
        <w:rPr>
          <w:rStyle w:val="CommentReference"/>
        </w:rPr>
        <w:annotationRef/>
      </w:r>
      <w:r>
        <w:t>Review this in comparison to EQC info item document, Directors Dialogue/emails, etc.</w:t>
      </w:r>
    </w:p>
  </w:comment>
  <w:comment w:id="6" w:author="HOOFF Rian" w:date="2016-11-22T17:15:00Z" w:initials="HR">
    <w:p w14:paraId="1A8C8721" w14:textId="77777777" w:rsidR="00E31399" w:rsidRDefault="00E31399">
      <w:pPr>
        <w:pStyle w:val="CommentText"/>
      </w:pPr>
      <w:r>
        <w:rPr>
          <w:rStyle w:val="CommentReference"/>
        </w:rPr>
        <w:annotationRef/>
      </w:r>
      <w:r>
        <w:t>As drafted, or revise as:</w:t>
      </w:r>
    </w:p>
    <w:p w14:paraId="54FCA981" w14:textId="7B9C9F74" w:rsidR="00E31399" w:rsidRDefault="00E31399">
      <w:pPr>
        <w:pStyle w:val="CommentText"/>
      </w:pPr>
      <w:r>
        <w:t>‘16 commenters representing 918 people or organizations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87063" w15:done="0"/>
  <w15:commentEx w15:paraId="54FCA9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D80AC5" w:rsidRDefault="00D80AC5">
      <w:r>
        <w:separator/>
      </w:r>
    </w:p>
  </w:endnote>
  <w:endnote w:type="continuationSeparator" w:id="0">
    <w:p w14:paraId="33EA10B2" w14:textId="77777777" w:rsidR="00D80AC5" w:rsidRDefault="00D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D80AC5" w:rsidRDefault="00D80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D80AC5" w:rsidRDefault="00D80AC5" w:rsidP="00964A94">
    <w:pPr>
      <w:pStyle w:val="Footer"/>
    </w:pPr>
  </w:p>
  <w:p w14:paraId="33EA10B7" w14:textId="77777777" w:rsidR="00D80AC5" w:rsidRPr="002B4E71" w:rsidRDefault="00D80AC5" w:rsidP="00964A94">
    <w:pPr>
      <w:pStyle w:val="Footer"/>
    </w:pPr>
    <w:r>
      <w:t>Staff Report</w:t>
    </w:r>
    <w:r w:rsidRPr="002B4E71">
      <w:t xml:space="preserve"> page | </w:t>
    </w:r>
    <w:r>
      <w:fldChar w:fldCharType="begin"/>
    </w:r>
    <w:r>
      <w:instrText xml:space="preserve"> PAGE   \* MERGEFORMAT </w:instrText>
    </w:r>
    <w:r>
      <w:fldChar w:fldCharType="separate"/>
    </w:r>
    <w:r w:rsidR="00177D22">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D80AC5" w:rsidRDefault="00D80A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D80AC5" w:rsidRDefault="00D80AC5" w:rsidP="00964A94">
    <w:pPr>
      <w:pStyle w:val="Footer"/>
    </w:pPr>
  </w:p>
  <w:p w14:paraId="33EA10BB" w14:textId="77777777" w:rsidR="00D80AC5" w:rsidRPr="002B4E71" w:rsidRDefault="00D80AC5" w:rsidP="00964A94">
    <w:pPr>
      <w:pStyle w:val="Footer"/>
    </w:pPr>
    <w:r w:rsidRPr="002B4E71">
      <w:t xml:space="preserve">Notice page | </w:t>
    </w:r>
    <w:r>
      <w:fldChar w:fldCharType="begin"/>
    </w:r>
    <w:r>
      <w:instrText xml:space="preserve"> PAGE   \* MERGEFORMAT </w:instrText>
    </w:r>
    <w:r>
      <w:fldChar w:fldCharType="separate"/>
    </w:r>
    <w:r w:rsidR="00177D22">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D80AC5" w:rsidRDefault="00D80AC5">
      <w:r>
        <w:separator/>
      </w:r>
    </w:p>
  </w:footnote>
  <w:footnote w:type="continuationSeparator" w:id="0">
    <w:p w14:paraId="33EA10B0" w14:textId="77777777" w:rsidR="00D80AC5" w:rsidRDefault="00D8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D80AC5" w:rsidRDefault="00D80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D80AC5" w:rsidRDefault="00D80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D80AC5" w:rsidRDefault="00D80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001F"/>
    <w:rsid w:val="00063484"/>
    <w:rsid w:val="000779A5"/>
    <w:rsid w:val="00087876"/>
    <w:rsid w:val="00094DE5"/>
    <w:rsid w:val="000B0B39"/>
    <w:rsid w:val="000D03CC"/>
    <w:rsid w:val="00177D22"/>
    <w:rsid w:val="001B0B23"/>
    <w:rsid w:val="001B7270"/>
    <w:rsid w:val="001C25B6"/>
    <w:rsid w:val="001F2622"/>
    <w:rsid w:val="00200B21"/>
    <w:rsid w:val="00214C8D"/>
    <w:rsid w:val="00234ECC"/>
    <w:rsid w:val="002442FB"/>
    <w:rsid w:val="00262962"/>
    <w:rsid w:val="00264F32"/>
    <w:rsid w:val="002665AF"/>
    <w:rsid w:val="00276752"/>
    <w:rsid w:val="002B207D"/>
    <w:rsid w:val="002B5E54"/>
    <w:rsid w:val="002C2E35"/>
    <w:rsid w:val="002F0640"/>
    <w:rsid w:val="0030544D"/>
    <w:rsid w:val="00305BDC"/>
    <w:rsid w:val="00360F45"/>
    <w:rsid w:val="0036375F"/>
    <w:rsid w:val="00377FA3"/>
    <w:rsid w:val="00396E80"/>
    <w:rsid w:val="00396EFA"/>
    <w:rsid w:val="003D3F4F"/>
    <w:rsid w:val="003E40CF"/>
    <w:rsid w:val="004160B1"/>
    <w:rsid w:val="00420496"/>
    <w:rsid w:val="00427309"/>
    <w:rsid w:val="004345C0"/>
    <w:rsid w:val="004646AA"/>
    <w:rsid w:val="005668E9"/>
    <w:rsid w:val="00567FC7"/>
    <w:rsid w:val="00573943"/>
    <w:rsid w:val="005B62FA"/>
    <w:rsid w:val="005E261F"/>
    <w:rsid w:val="00604DD6"/>
    <w:rsid w:val="00616ED0"/>
    <w:rsid w:val="00652B8E"/>
    <w:rsid w:val="00652F9A"/>
    <w:rsid w:val="00666D7D"/>
    <w:rsid w:val="006D6E87"/>
    <w:rsid w:val="006E5165"/>
    <w:rsid w:val="006E54A7"/>
    <w:rsid w:val="007038EB"/>
    <w:rsid w:val="00746827"/>
    <w:rsid w:val="00746C81"/>
    <w:rsid w:val="00762378"/>
    <w:rsid w:val="007B21FA"/>
    <w:rsid w:val="007D152E"/>
    <w:rsid w:val="00887F56"/>
    <w:rsid w:val="0089787B"/>
    <w:rsid w:val="008C09AA"/>
    <w:rsid w:val="008C1E0D"/>
    <w:rsid w:val="008D009E"/>
    <w:rsid w:val="008D1B0E"/>
    <w:rsid w:val="008E2A1B"/>
    <w:rsid w:val="00924404"/>
    <w:rsid w:val="00934149"/>
    <w:rsid w:val="00964A94"/>
    <w:rsid w:val="009A06A3"/>
    <w:rsid w:val="009B6D76"/>
    <w:rsid w:val="00A0477F"/>
    <w:rsid w:val="00A71647"/>
    <w:rsid w:val="00A72D66"/>
    <w:rsid w:val="00AD2FCB"/>
    <w:rsid w:val="00AE34D8"/>
    <w:rsid w:val="00AE696D"/>
    <w:rsid w:val="00AF7293"/>
    <w:rsid w:val="00B1715A"/>
    <w:rsid w:val="00B240F4"/>
    <w:rsid w:val="00B75426"/>
    <w:rsid w:val="00B83057"/>
    <w:rsid w:val="00BA1900"/>
    <w:rsid w:val="00C25CFC"/>
    <w:rsid w:val="00C3461A"/>
    <w:rsid w:val="00C46BB1"/>
    <w:rsid w:val="00CF33D7"/>
    <w:rsid w:val="00D2135A"/>
    <w:rsid w:val="00D80AC5"/>
    <w:rsid w:val="00D8597B"/>
    <w:rsid w:val="00D90375"/>
    <w:rsid w:val="00E30322"/>
    <w:rsid w:val="00E31399"/>
    <w:rsid w:val="00E372D7"/>
    <w:rsid w:val="00F35AE7"/>
    <w:rsid w:val="00F45D15"/>
    <w:rsid w:val="00F521FB"/>
    <w:rsid w:val="00F552BB"/>
    <w:rsid w:val="00F75F76"/>
    <w:rsid w:val="00FA4693"/>
    <w:rsid w:val="00FA7B76"/>
    <w:rsid w:val="00FB4ACF"/>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www.oregon.gov/deq/RulesandRegulations/Pages/Advisory/ballast201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npdes/vessels-incidental-discharge-permitting-3" TargetMode="External"/><Relationship Id="rId34" Type="http://schemas.openxmlformats.org/officeDocument/2006/relationships/hyperlink" Target="http://www.oregon.gov/deq/RulesandRegulations/Pages/2015/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Advisory/ballast2016.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q.state.or.us/lq/cu/emergency/staistaskforce.htm"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oregon.gov/deq/Pages/Event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www.oregon.gov/deq/RulesandRegulations/Pages/Advisory/ballast2016.aspx" TargetMode="External"/><Relationship Id="rId35" Type="http://schemas.openxmlformats.org/officeDocument/2006/relationships/hyperlink" Target="http://www.oregon.gov/deq/RulesandRegulations/Pages/2015/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http://schemas.microsoft.com/office/2006/documentManagement/types"/>
    <ds:schemaRef ds:uri="http://purl.org/dc/dcmitype/"/>
    <ds:schemaRef ds:uri="$ListId:doc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8E99C5A-E1CF-461A-A855-0FD51D91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8170</Words>
  <Characters>46573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dcterms:created xsi:type="dcterms:W3CDTF">2016-11-23T01:47:00Z</dcterms:created>
  <dcterms:modified xsi:type="dcterms:W3CDTF">2016-11-23T01:47:00Z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