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F75F76">
        <w:rPr>
          <w:rStyle w:val="Heading2Char"/>
          <w:rFonts w:ascii="Arial" w:hAnsi="Arial" w:cs="Arial"/>
        </w:rPr>
        <w:t xml:space="preserve">Documents relied on for rulemaking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F45D15"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F45D15"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F45D15"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F45D15"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F45D15"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F45D15"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F45D15"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F45D15"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F45D15"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F45D15"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F45D15"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1" w:name="AlternativesConsidered"/>
      <w:bookmarkStart w:id="2" w:name="RANGE!C35"/>
      <w:r w:rsidRPr="00AE34D8">
        <w:rPr>
          <w:rFonts w:ascii="Arial" w:hAnsi="Arial" w:cs="Arial"/>
        </w:rPr>
        <w:t>What alternatives did DEQ consider</w:t>
      </w:r>
      <w:bookmarkEnd w:id="1"/>
      <w:r w:rsidRPr="00AE34D8">
        <w:rPr>
          <w:rFonts w:ascii="Arial" w:hAnsi="Arial" w:cs="Arial"/>
        </w:rPr>
        <w:t xml:space="preserve"> if any?</w:t>
      </w:r>
      <w:bookmarkEnd w:id="2"/>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Advisory committee</w:t>
      </w:r>
    </w:p>
    <w:p w14:paraId="33EA0F91" w14:textId="77777777" w:rsidR="00377FA3" w:rsidRPr="008D009E" w:rsidRDefault="00377FA3" w:rsidP="00377FA3">
      <w:pPr>
        <w:pStyle w:val="ListParagraph"/>
        <w:numPr>
          <w:ilvl w:val="0"/>
          <w:numId w:val="5"/>
        </w:numPr>
        <w:ind w:left="1800" w:right="0"/>
        <w:outlineLvl w:val="9"/>
        <w:rPr>
          <w:rStyle w:val="Emphasis"/>
          <w:strike/>
          <w:vanish w:val="0"/>
          <w:color w:val="806000" w:themeColor="accent4" w:themeShade="80"/>
        </w:rPr>
      </w:pPr>
      <w:r w:rsidRPr="008D009E">
        <w:rPr>
          <w:rStyle w:val="Emphasis"/>
          <w:strike/>
          <w:vanish w:val="0"/>
          <w:color w:val="806000" w:themeColor="accent4" w:themeShade="80"/>
        </w:rPr>
        <w:t>EQC involvement</w:t>
      </w:r>
    </w:p>
    <w:p w14:paraId="33EA0F92"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76F984E1" w14:textId="77777777" w:rsidR="006D6E87" w:rsidRPr="006D6E87" w:rsidRDefault="006D6E87" w:rsidP="006D6E87">
      <w:pPr>
        <w:pStyle w:val="Heading2"/>
        <w:rPr>
          <w:rFonts w:ascii="Arial" w:hAnsi="Arial" w:cs="Arial"/>
        </w:rPr>
      </w:pPr>
      <w:bookmarkStart w:id="3" w:name="AdvisoryCommittee"/>
      <w:r w:rsidRPr="006D6E87">
        <w:rPr>
          <w:rFonts w:ascii="Arial" w:hAnsi="Arial" w:cs="Arial"/>
        </w:rPr>
        <w:t>Advisory committee</w:t>
      </w:r>
      <w:bookmarkEnd w:id="3"/>
    </w:p>
    <w:p w14:paraId="5D6B978F" w14:textId="77777777" w:rsidR="006D6E87" w:rsidRDefault="006D6E87" w:rsidP="006D6E87">
      <w:pPr>
        <w:pStyle w:val="Heading2"/>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130618A6"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rStyle w:val="Emphasis"/>
          <w:color w:val="000000" w:themeColor="text1"/>
          <w:sz w:val="22"/>
          <w:szCs w:val="22"/>
        </w:rPr>
        <w:t xml:space="preserve"> </w:t>
      </w:r>
      <w:r w:rsidRPr="006D6E87">
        <w:rPr>
          <w:sz w:val="22"/>
          <w:szCs w:val="22"/>
        </w:rPr>
        <w:t>met three times between December 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29"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Default="006D6E87" w:rsidP="006D6E87">
            <w:pPr>
              <w:ind w:left="0" w:right="0"/>
              <w:outlineLvl w:val="9"/>
            </w:pPr>
            <w:r>
              <w:t>Mark Sytsma, Chair</w:t>
            </w:r>
          </w:p>
        </w:tc>
        <w:tc>
          <w:tcPr>
            <w:tcW w:w="4950" w:type="dxa"/>
            <w:vAlign w:val="center"/>
          </w:tcPr>
          <w:p w14:paraId="0A19FC88" w14:textId="77777777" w:rsidR="006D6E87" w:rsidRDefault="006D6E87" w:rsidP="006D6E87">
            <w:pPr>
              <w:ind w:left="0" w:right="0"/>
              <w:outlineLvl w:val="9"/>
            </w:pPr>
            <w: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Default="006D6E87" w:rsidP="006D6E87">
            <w:pPr>
              <w:ind w:left="0" w:right="0"/>
              <w:outlineLvl w:val="9"/>
              <w:rPr>
                <w:color w:val="000000"/>
              </w:rPr>
            </w:pPr>
            <w:r>
              <w:rPr>
                <w:color w:val="000000"/>
              </w:rPr>
              <w:t>Jas Adams</w:t>
            </w:r>
          </w:p>
        </w:tc>
        <w:tc>
          <w:tcPr>
            <w:tcW w:w="4950" w:type="dxa"/>
            <w:vAlign w:val="center"/>
          </w:tcPr>
          <w:p w14:paraId="59428C27" w14:textId="77777777" w:rsidR="006D6E87" w:rsidRDefault="006D6E87" w:rsidP="006D6E87">
            <w:pPr>
              <w:ind w:left="0" w:right="0"/>
              <w:outlineLvl w:val="9"/>
              <w:rPr>
                <w:color w:val="000000"/>
              </w:rPr>
            </w:pPr>
            <w:r>
              <w:rPr>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Default="006D6E87" w:rsidP="006D6E87">
            <w:pPr>
              <w:ind w:left="0" w:right="0"/>
              <w:outlineLvl w:val="9"/>
              <w:rPr>
                <w:color w:val="000000"/>
              </w:rPr>
            </w:pPr>
            <w:r>
              <w:rPr>
                <w:color w:val="000000"/>
              </w:rPr>
              <w:t>Michelle Hollis</w:t>
            </w:r>
          </w:p>
        </w:tc>
        <w:tc>
          <w:tcPr>
            <w:tcW w:w="4950" w:type="dxa"/>
            <w:vAlign w:val="center"/>
          </w:tcPr>
          <w:p w14:paraId="26694E85" w14:textId="77777777" w:rsidR="006D6E87" w:rsidRDefault="006D6E87" w:rsidP="006D6E87">
            <w:pPr>
              <w:ind w:left="0" w:right="0"/>
              <w:outlineLvl w:val="9"/>
              <w:rPr>
                <w:color w:val="000000"/>
              </w:rPr>
            </w:pPr>
            <w:r>
              <w:rPr>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Default="006D6E87" w:rsidP="006D6E87">
            <w:pPr>
              <w:ind w:left="0" w:right="0"/>
              <w:outlineLvl w:val="9"/>
              <w:rPr>
                <w:color w:val="000000"/>
              </w:rPr>
            </w:pPr>
            <w:r>
              <w:rPr>
                <w:color w:val="000000"/>
              </w:rPr>
              <w:t>Frank Holmes</w:t>
            </w:r>
          </w:p>
        </w:tc>
        <w:tc>
          <w:tcPr>
            <w:tcW w:w="4950" w:type="dxa"/>
            <w:vAlign w:val="center"/>
          </w:tcPr>
          <w:p w14:paraId="41A4358A" w14:textId="77777777" w:rsidR="006D6E87" w:rsidRDefault="006D6E87" w:rsidP="006D6E87">
            <w:pPr>
              <w:ind w:left="0" w:right="0"/>
              <w:outlineLvl w:val="9"/>
              <w:rPr>
                <w:color w:val="000000"/>
              </w:rPr>
            </w:pPr>
            <w:r>
              <w:rPr>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Default="006D6E87" w:rsidP="006D6E87">
            <w:pPr>
              <w:ind w:left="0" w:right="0"/>
              <w:outlineLvl w:val="9"/>
              <w:rPr>
                <w:color w:val="000000"/>
              </w:rPr>
            </w:pPr>
            <w:r>
              <w:rPr>
                <w:color w:val="000000"/>
              </w:rPr>
              <w:t>Ross McDonald</w:t>
            </w:r>
          </w:p>
        </w:tc>
        <w:tc>
          <w:tcPr>
            <w:tcW w:w="4950" w:type="dxa"/>
            <w:vAlign w:val="center"/>
          </w:tcPr>
          <w:p w14:paraId="4244E0A6" w14:textId="77777777" w:rsidR="006D6E87" w:rsidRDefault="006D6E87" w:rsidP="006D6E87">
            <w:pPr>
              <w:ind w:left="0" w:right="0"/>
              <w:outlineLvl w:val="9"/>
              <w:rPr>
                <w:color w:val="000000"/>
              </w:rPr>
            </w:pPr>
            <w:r>
              <w:rPr>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Default="006D6E87" w:rsidP="006D6E87">
            <w:pPr>
              <w:ind w:left="0" w:right="0"/>
              <w:outlineLvl w:val="9"/>
              <w:rPr>
                <w:color w:val="000000"/>
              </w:rPr>
            </w:pPr>
            <w:r>
              <w:rPr>
                <w:color w:val="000000"/>
              </w:rPr>
              <w:t>Hans Meere</w:t>
            </w:r>
          </w:p>
        </w:tc>
        <w:tc>
          <w:tcPr>
            <w:tcW w:w="4950" w:type="dxa"/>
            <w:vAlign w:val="center"/>
          </w:tcPr>
          <w:p w14:paraId="3A5A2048" w14:textId="77777777" w:rsidR="006D6E87" w:rsidRDefault="006D6E87" w:rsidP="006D6E87">
            <w:pPr>
              <w:ind w:left="0" w:right="0"/>
              <w:outlineLvl w:val="9"/>
              <w:rPr>
                <w:color w:val="000000"/>
              </w:rPr>
            </w:pPr>
            <w:r>
              <w:rPr>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Default="006D6E87" w:rsidP="006D6E87">
            <w:pPr>
              <w:ind w:left="0" w:right="0"/>
              <w:outlineLvl w:val="9"/>
              <w:rPr>
                <w:color w:val="000000"/>
              </w:rPr>
            </w:pPr>
            <w:r>
              <w:rPr>
                <w:color w:val="000000"/>
              </w:rPr>
              <w:t>Fred Myer</w:t>
            </w:r>
          </w:p>
        </w:tc>
        <w:tc>
          <w:tcPr>
            <w:tcW w:w="4950" w:type="dxa"/>
            <w:vAlign w:val="center"/>
          </w:tcPr>
          <w:p w14:paraId="114986D9" w14:textId="77777777" w:rsidR="006D6E87" w:rsidRDefault="006D6E87" w:rsidP="006D6E87">
            <w:pPr>
              <w:ind w:left="0" w:right="0"/>
              <w:outlineLvl w:val="9"/>
              <w:rPr>
                <w:color w:val="000000"/>
              </w:rPr>
            </w:pPr>
            <w:r>
              <w:rPr>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Default="006D6E87" w:rsidP="006D6E87">
            <w:pPr>
              <w:ind w:left="0" w:right="0"/>
              <w:outlineLvl w:val="9"/>
              <w:rPr>
                <w:color w:val="000000"/>
              </w:rPr>
            </w:pPr>
            <w:r>
              <w:rPr>
                <w:color w:val="000000"/>
              </w:rPr>
              <w:t>Amanda Hanson</w:t>
            </w:r>
          </w:p>
        </w:tc>
        <w:tc>
          <w:tcPr>
            <w:tcW w:w="4950" w:type="dxa"/>
            <w:vAlign w:val="center"/>
          </w:tcPr>
          <w:p w14:paraId="3E8A719A" w14:textId="77777777" w:rsidR="006D6E87" w:rsidRDefault="006D6E87" w:rsidP="006D6E87">
            <w:pPr>
              <w:ind w:left="0" w:right="0"/>
              <w:outlineLvl w:val="9"/>
              <w:rPr>
                <w:color w:val="000000"/>
              </w:rPr>
            </w:pPr>
            <w:r>
              <w:rPr>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Default="006D6E87" w:rsidP="006D6E87">
            <w:pPr>
              <w:ind w:left="0" w:right="0"/>
              <w:outlineLvl w:val="9"/>
              <w:rPr>
                <w:color w:val="000000"/>
              </w:rPr>
            </w:pPr>
            <w:r>
              <w:rPr>
                <w:color w:val="000000"/>
              </w:rPr>
              <w:t>Kate Mickelson</w:t>
            </w:r>
          </w:p>
        </w:tc>
        <w:tc>
          <w:tcPr>
            <w:tcW w:w="4950" w:type="dxa"/>
            <w:vAlign w:val="center"/>
          </w:tcPr>
          <w:p w14:paraId="58953927" w14:textId="77777777" w:rsidR="006D6E87" w:rsidRDefault="006D6E87" w:rsidP="006D6E87">
            <w:pPr>
              <w:ind w:left="0" w:right="0"/>
              <w:outlineLvl w:val="9"/>
              <w:rPr>
                <w:color w:val="000000"/>
              </w:rPr>
            </w:pPr>
            <w:r>
              <w:rPr>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Default="006D6E87" w:rsidP="006D6E87">
            <w:pPr>
              <w:ind w:left="0" w:right="0"/>
              <w:outlineLvl w:val="9"/>
              <w:rPr>
                <w:color w:val="000000"/>
              </w:rPr>
            </w:pPr>
            <w:r>
              <w:rPr>
                <w:color w:val="000000"/>
              </w:rPr>
              <w:t>Dick Vander Schaaf</w:t>
            </w:r>
          </w:p>
        </w:tc>
        <w:tc>
          <w:tcPr>
            <w:tcW w:w="4950" w:type="dxa"/>
            <w:vAlign w:val="center"/>
          </w:tcPr>
          <w:p w14:paraId="7D1737D0" w14:textId="77777777" w:rsidR="006D6E87" w:rsidRDefault="006D6E87" w:rsidP="006D6E87">
            <w:pPr>
              <w:ind w:left="0" w:right="0"/>
              <w:outlineLvl w:val="9"/>
              <w:rPr>
                <w:color w:val="000000"/>
              </w:rPr>
            </w:pPr>
            <w:r>
              <w:rPr>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Default="006D6E87" w:rsidP="006D6E87">
            <w:pPr>
              <w:ind w:left="0" w:right="0"/>
              <w:outlineLvl w:val="9"/>
              <w:rPr>
                <w:color w:val="000000"/>
              </w:rPr>
            </w:pPr>
            <w:r>
              <w:rPr>
                <w:color w:val="000000"/>
              </w:rPr>
              <w:t>Travis Williams</w:t>
            </w:r>
          </w:p>
        </w:tc>
        <w:tc>
          <w:tcPr>
            <w:tcW w:w="4950" w:type="dxa"/>
            <w:vAlign w:val="center"/>
          </w:tcPr>
          <w:p w14:paraId="2AD4E6DD" w14:textId="77777777" w:rsidR="006D6E87" w:rsidRDefault="006D6E87" w:rsidP="006D6E87">
            <w:pPr>
              <w:ind w:left="0" w:right="0"/>
              <w:outlineLvl w:val="9"/>
              <w:rPr>
                <w:color w:val="000000"/>
              </w:rPr>
            </w:pPr>
            <w:r>
              <w:rPr>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Default="006D6E87" w:rsidP="006D6E87">
            <w:pPr>
              <w:ind w:left="0" w:right="0"/>
              <w:outlineLvl w:val="9"/>
              <w:rPr>
                <w:color w:val="000000"/>
              </w:rPr>
            </w:pPr>
            <w:r>
              <w:rPr>
                <w:color w:val="000000"/>
              </w:rPr>
              <w:t>Rick Boatner</w:t>
            </w:r>
          </w:p>
        </w:tc>
        <w:tc>
          <w:tcPr>
            <w:tcW w:w="4950" w:type="dxa"/>
            <w:vAlign w:val="center"/>
          </w:tcPr>
          <w:p w14:paraId="372E8D90" w14:textId="77777777" w:rsidR="006D6E87" w:rsidRDefault="006D6E87" w:rsidP="006D6E87">
            <w:pPr>
              <w:ind w:left="0" w:right="0"/>
              <w:outlineLvl w:val="9"/>
              <w:rPr>
                <w:color w:val="000000"/>
              </w:rPr>
            </w:pPr>
            <w:r>
              <w:rPr>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Default="006D6E87" w:rsidP="006D6E87">
            <w:pPr>
              <w:ind w:left="0" w:right="0"/>
              <w:outlineLvl w:val="9"/>
              <w:rPr>
                <w:color w:val="000000"/>
              </w:rPr>
            </w:pPr>
            <w:r>
              <w:rPr>
                <w:color w:val="000000"/>
              </w:rPr>
              <w:lastRenderedPageBreak/>
              <w:t>Nicole Dobroski</w:t>
            </w:r>
          </w:p>
        </w:tc>
        <w:tc>
          <w:tcPr>
            <w:tcW w:w="4950" w:type="dxa"/>
            <w:vAlign w:val="center"/>
          </w:tcPr>
          <w:p w14:paraId="30C8F054" w14:textId="77777777" w:rsidR="006D6E87" w:rsidRDefault="006D6E87" w:rsidP="006D6E87">
            <w:pPr>
              <w:ind w:left="0" w:right="0"/>
              <w:outlineLvl w:val="9"/>
              <w:rPr>
                <w:color w:val="000000"/>
              </w:rPr>
            </w:pPr>
            <w:r>
              <w:rPr>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77777777" w:rsidR="006D6E87" w:rsidRDefault="006D6E87" w:rsidP="006D6E87">
            <w:pPr>
              <w:ind w:left="0" w:right="0"/>
              <w:outlineLvl w:val="9"/>
              <w:rPr>
                <w:color w:val="000000"/>
              </w:rPr>
            </w:pPr>
            <w:r>
              <w:rPr>
                <w:color w:val="000000"/>
              </w:rPr>
              <w:t>Robyn Draheim</w:t>
            </w:r>
          </w:p>
        </w:tc>
        <w:tc>
          <w:tcPr>
            <w:tcW w:w="4950" w:type="dxa"/>
            <w:vAlign w:val="center"/>
          </w:tcPr>
          <w:p w14:paraId="2F5F0E63" w14:textId="77777777" w:rsidR="006D6E87" w:rsidRDefault="006D6E87" w:rsidP="006D6E87">
            <w:pPr>
              <w:ind w:left="0" w:right="0"/>
              <w:outlineLvl w:val="9"/>
              <w:rPr>
                <w:color w:val="000000"/>
              </w:rPr>
            </w:pPr>
            <w:r>
              <w:rPr>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Default="006D6E87" w:rsidP="006D6E87">
            <w:pPr>
              <w:ind w:left="0" w:right="0"/>
              <w:outlineLvl w:val="9"/>
              <w:rPr>
                <w:color w:val="000000"/>
              </w:rPr>
            </w:pPr>
            <w:r>
              <w:rPr>
                <w:color w:val="000000"/>
              </w:rPr>
              <w:t>Michael Pearson</w:t>
            </w:r>
          </w:p>
        </w:tc>
        <w:tc>
          <w:tcPr>
            <w:tcW w:w="4950" w:type="dxa"/>
            <w:vAlign w:val="center"/>
          </w:tcPr>
          <w:p w14:paraId="54FC55C3" w14:textId="77777777" w:rsidR="006D6E87" w:rsidRDefault="006D6E87" w:rsidP="006D6E87">
            <w:pPr>
              <w:ind w:left="0" w:right="0"/>
              <w:outlineLvl w:val="9"/>
              <w:rPr>
                <w:color w:val="000000"/>
              </w:rPr>
            </w:pPr>
            <w:r>
              <w:rPr>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Default="006D6E87" w:rsidP="006D6E87">
            <w:pPr>
              <w:ind w:left="0" w:right="0"/>
              <w:outlineLvl w:val="9"/>
              <w:rPr>
                <w:color w:val="000000"/>
              </w:rPr>
            </w:pPr>
            <w:r>
              <w:rPr>
                <w:color w:val="000000"/>
              </w:rPr>
              <w:t>Allen Pleus</w:t>
            </w:r>
          </w:p>
        </w:tc>
        <w:tc>
          <w:tcPr>
            <w:tcW w:w="4950" w:type="dxa"/>
            <w:vAlign w:val="center"/>
          </w:tcPr>
          <w:p w14:paraId="1354864D" w14:textId="77777777" w:rsidR="006D6E87" w:rsidRDefault="006D6E87" w:rsidP="006D6E87">
            <w:pPr>
              <w:ind w:left="0" w:right="0"/>
              <w:outlineLvl w:val="9"/>
              <w:rPr>
                <w:color w:val="000000"/>
              </w:rPr>
            </w:pPr>
            <w:r>
              <w:rPr>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77777777"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a one-time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0" w:history="1">
        <w:r w:rsidRPr="002F0640">
          <w:rPr>
            <w:rStyle w:val="Hyperlink"/>
            <w:sz w:val="22"/>
            <w:szCs w:val="22"/>
          </w:rPr>
          <w:t>DEQ Calendar</w:t>
        </w:r>
      </w:hyperlink>
      <w:r w:rsidRPr="002F0640">
        <w:rPr>
          <w:sz w:val="22"/>
          <w:szCs w:val="22"/>
        </w:rPr>
        <w:t>.</w:t>
      </w:r>
    </w:p>
    <w:p w14:paraId="65FAC309"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77777777"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discussion time to the ballast exchange plus treatment proposal.  The committee played an instrumental role in identifying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 This strategy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77777777"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Pr="002F0640"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3759BD8A" w14:textId="77777777" w:rsidR="006D6E87" w:rsidRPr="002F0640" w:rsidRDefault="006D6E87" w:rsidP="002F0640">
      <w:pPr>
        <w:ind w:left="547" w:right="378"/>
        <w:rPr>
          <w:sz w:val="22"/>
          <w:szCs w:val="22"/>
        </w:rPr>
      </w:pPr>
      <w:r w:rsidRPr="002F0640">
        <w:rPr>
          <w:sz w:val="22"/>
          <w:szCs w:val="22"/>
        </w:rPr>
        <w:t xml:space="preserve">Meeting minutes and recordings are available from the advisory committee webpage at:  </w:t>
      </w:r>
      <w:hyperlink r:id="rId31"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77777777" w:rsidR="006D6E87" w:rsidRPr="002F0640" w:rsidRDefault="006D6E87" w:rsidP="008D009E">
      <w:pPr>
        <w:ind w:left="0" w:firstLine="547"/>
        <w:rPr>
          <w:sz w:val="22"/>
          <w:szCs w:val="22"/>
        </w:rPr>
      </w:pPr>
      <w:r w:rsidRPr="002F0640">
        <w:rPr>
          <w:sz w:val="22"/>
          <w:szCs w:val="22"/>
        </w:rPr>
        <w:t xml:space="preserve">DEQ shares general rulemaking information with EQC through the monthly Director’s Report.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3BF175F" w:rsidR="0036375F" w:rsidRDefault="0036375F" w:rsidP="0036375F">
      <w:pPr>
        <w:ind w:left="547"/>
        <w:rPr>
          <w:color w:val="000000" w:themeColor="text1"/>
          <w:sz w:val="22"/>
          <w:szCs w:val="22"/>
        </w:rPr>
      </w:pPr>
      <w:r>
        <w:rPr>
          <w:color w:val="000000" w:themeColor="text1"/>
          <w:sz w:val="22"/>
          <w:szCs w:val="22"/>
        </w:rPr>
        <w:t>DEQ provide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2"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3"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493A64A8"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r w:rsidR="008C1E0D" w:rsidRPr="008C1E0D">
        <w:rPr>
          <w:bCs/>
          <w:color w:val="000000" w:themeColor="text1"/>
          <w:sz w:val="22"/>
          <w:szCs w:val="22"/>
          <w:highlight w:val="yellow"/>
        </w:rPr>
        <w:t>XX</w:t>
      </w:r>
      <w:r w:rsidR="008C1E0D">
        <w:rPr>
          <w:bCs/>
          <w:color w:val="000000" w:themeColor="text1"/>
          <w:sz w:val="22"/>
          <w:szCs w:val="22"/>
        </w:rPr>
        <w:t xml:space="preserve"> </w:t>
      </w:r>
      <w:r w:rsidR="00214C8D" w:rsidRPr="002F0640">
        <w:rPr>
          <w:bCs/>
          <w:color w:val="000000" w:themeColor="text1"/>
          <w:sz w:val="22"/>
          <w:szCs w:val="22"/>
        </w:rPr>
        <w:t>comments 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lastRenderedPageBreak/>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33EA0FC0" w14:textId="274CFCAA"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8C1E0D" w:rsidRPr="008C1E0D">
        <w:rPr>
          <w:bCs/>
          <w:color w:val="806000" w:themeColor="accent4" w:themeShade="80"/>
          <w:highlight w:val="yellow"/>
        </w:rPr>
        <w:t>XX</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3EA0FC1" w14:textId="77777777" w:rsidR="00377FA3" w:rsidRPr="008C1E0D" w:rsidRDefault="00377FA3" w:rsidP="004646AA">
      <w:pPr>
        <w:ind w:right="835"/>
        <w:rPr>
          <w:rStyle w:val="Emphasis"/>
          <w:caps/>
          <w:strike/>
          <w:vanish w:val="0"/>
          <w:color w:val="806000" w:themeColor="accent4" w:themeShade="80"/>
          <w:sz w:val="24"/>
        </w:rPr>
      </w:pPr>
      <w:r w:rsidRPr="008C1E0D">
        <w:rPr>
          <w:rStyle w:val="Emphasis"/>
          <w:caps/>
          <w:strike/>
          <w:vanish w:val="0"/>
          <w:color w:val="806000" w:themeColor="accent4" w:themeShade="80"/>
          <w:sz w:val="24"/>
        </w:rPr>
        <w:fldChar w:fldCharType="begin"/>
      </w:r>
      <w:r w:rsidRPr="008C1E0D">
        <w:rPr>
          <w:rStyle w:val="Emphasis"/>
          <w:caps/>
          <w:strike/>
          <w:color w:val="806000" w:themeColor="accent4" w:themeShade="80"/>
          <w:sz w:val="24"/>
        </w:rPr>
        <w:instrText xml:space="preserve"> COMMENTS  \* FirstCap  \* MERGEFORMAT </w:instrText>
      </w:r>
      <w:r w:rsidRPr="008C1E0D">
        <w:rPr>
          <w:rStyle w:val="Emphasis"/>
          <w:caps/>
          <w:strike/>
          <w:vanish w:val="0"/>
          <w:color w:val="806000" w:themeColor="accent4" w:themeShade="80"/>
          <w:sz w:val="24"/>
        </w:rPr>
        <w:fldChar w:fldCharType="end"/>
      </w:r>
      <w:r w:rsidRPr="008C1E0D">
        <w:rPr>
          <w:rStyle w:val="Emphasis"/>
          <w:caps/>
          <w:strike/>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B5184EB" w14:textId="28A0672E" w:rsidR="00396E80" w:rsidRPr="00762378" w:rsidRDefault="00377FA3" w:rsidP="00762378">
      <w:pPr>
        <w:ind w:right="828"/>
        <w:rPr>
          <w:strike/>
          <w:color w:val="806000" w:themeColor="accent4" w:themeShade="80"/>
        </w:rPr>
      </w:pPr>
      <w:r w:rsidRPr="008C1E0D">
        <w:rPr>
          <w:strike/>
          <w:color w:val="806000" w:themeColor="accent4" w:themeShade="80"/>
        </w:rPr>
        <w:t>DEQ did not change the proposed rules in response to comments.</w:t>
      </w:r>
    </w:p>
    <w:p w14:paraId="4164F879" w14:textId="77777777" w:rsidR="00396E80" w:rsidRDefault="00396E80" w:rsidP="004646AA">
      <w:pPr>
        <w:ind w:right="828"/>
        <w:rPr>
          <w:b/>
          <w:color w:val="000000" w:themeColor="text1"/>
          <w:u w:val="single"/>
        </w:rPr>
      </w:pPr>
    </w:p>
    <w:p w14:paraId="33EA0FC5" w14:textId="77777777" w:rsidR="00377FA3" w:rsidRPr="00C3461A" w:rsidRDefault="00377FA3" w:rsidP="004646AA">
      <w:pPr>
        <w:ind w:right="828"/>
        <w:rPr>
          <w:b/>
          <w:color w:val="000000" w:themeColor="text1"/>
          <w:u w:val="single"/>
        </w:rPr>
      </w:pPr>
      <w:r w:rsidRPr="00C3461A">
        <w:rPr>
          <w:b/>
          <w:color w:val="000000" w:themeColor="text1"/>
          <w:u w:val="single"/>
        </w:rPr>
        <w:t>DEQ changed the proposed rules in response to comments described in the response sections below.</w:t>
      </w:r>
    </w:p>
    <w:p w14:paraId="33EA0FC6" w14:textId="77777777" w:rsidR="00377FA3" w:rsidRPr="00377FA3" w:rsidRDefault="00377FA3" w:rsidP="004646AA">
      <w:pPr>
        <w:ind w:right="828"/>
        <w:rPr>
          <w:bCs/>
          <w:color w:val="806000" w:themeColor="accent4" w:themeShade="80"/>
        </w:rPr>
      </w:pPr>
    </w:p>
    <w:p w14:paraId="33EA0FC7" w14:textId="77777777" w:rsidR="00377FA3" w:rsidRPr="00377FA3" w:rsidRDefault="00377FA3" w:rsidP="004646AA">
      <w:pPr>
        <w:ind w:right="630"/>
        <w:rPr>
          <w:bCs/>
          <w:color w:val="000000" w:themeColor="text1"/>
        </w:rPr>
      </w:pPr>
    </w:p>
    <w:p w14:paraId="32412549" w14:textId="4FF966E0" w:rsidR="00C3461A" w:rsidRPr="00396E80" w:rsidRDefault="00C3461A" w:rsidP="00C3461A">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sidR="00F35AE7">
        <w:rPr>
          <w:bCs/>
        </w:rPr>
        <w:t xml:space="preserve">Retention of oceanic ballast water exchange requirements - in addition to </w:t>
      </w:r>
      <w:r w:rsidRPr="00396E80">
        <w:rPr>
          <w:bCs/>
        </w:rPr>
        <w:t>(draft rule OAR ……)</w:t>
      </w:r>
      <w:r>
        <w:rPr>
          <w:b/>
          <w:bCs/>
        </w:rPr>
        <w:tab/>
      </w:r>
      <w:r>
        <w:rPr>
          <w:b/>
          <w:bCs/>
        </w:rPr>
        <w:tab/>
      </w:r>
    </w:p>
    <w:p w14:paraId="0B8944BA" w14:textId="49308FEF" w:rsidR="00396E80" w:rsidRDefault="00396E80" w:rsidP="00F35AE7">
      <w:pPr>
        <w:tabs>
          <w:tab w:val="left" w:pos="1080"/>
        </w:tabs>
        <w:ind w:left="1080" w:right="634"/>
      </w:pPr>
      <w:r>
        <w:tab/>
      </w:r>
    </w:p>
    <w:p w14:paraId="670E9857" w14:textId="34FCE93E" w:rsidR="00396E80" w:rsidRDefault="00396E80" w:rsidP="00F35AE7">
      <w:pPr>
        <w:tabs>
          <w:tab w:val="left" w:pos="1080"/>
        </w:tabs>
        <w:ind w:left="1080" w:right="634"/>
      </w:pPr>
      <w:r>
        <w:t>DEQ received XX comments in this category</w:t>
      </w:r>
      <w:r w:rsidR="00A71647">
        <w:t xml:space="preserve"> from </w:t>
      </w:r>
      <w:proofErr w:type="gramStart"/>
      <w:r w:rsidR="00A71647">
        <w:t>commenters</w:t>
      </w:r>
      <w:proofErr w:type="gramEnd"/>
      <w:r w:rsidR="00A71647">
        <w:t xml:space="preserve"> #X, #X, and #X.</w:t>
      </w:r>
    </w:p>
    <w:p w14:paraId="35F756B2" w14:textId="77777777" w:rsidR="00A71647" w:rsidRDefault="00A71647" w:rsidP="00F35AE7">
      <w:pPr>
        <w:tabs>
          <w:tab w:val="left" w:pos="1080"/>
        </w:tabs>
        <w:ind w:left="1080" w:right="634"/>
      </w:pPr>
    </w:p>
    <w:p w14:paraId="790AC64D" w14:textId="4B1946B3" w:rsidR="00A71647" w:rsidRDefault="00A71647" w:rsidP="00F35AE7">
      <w:pPr>
        <w:tabs>
          <w:tab w:val="left" w:pos="1080"/>
        </w:tabs>
        <w:ind w:left="1080" w:right="634"/>
      </w:pPr>
      <w:r>
        <w:t>Commenter #X and #X support the implementation of…… and further suggest that the rule should apply more broadly to ……</w:t>
      </w:r>
    </w:p>
    <w:p w14:paraId="23BA200A" w14:textId="77777777" w:rsidR="00A71647" w:rsidRDefault="00A71647" w:rsidP="00F35AE7">
      <w:pPr>
        <w:tabs>
          <w:tab w:val="left" w:pos="1080"/>
        </w:tabs>
        <w:ind w:left="1080" w:right="634"/>
      </w:pPr>
    </w:p>
    <w:p w14:paraId="366BDF66" w14:textId="4B417132" w:rsidR="00A71647" w:rsidRDefault="00A71647" w:rsidP="00F35AE7">
      <w:pPr>
        <w:tabs>
          <w:tab w:val="left" w:pos="1080"/>
        </w:tabs>
        <w:ind w:left="1080" w:right="634"/>
      </w:pPr>
      <w:r>
        <w:t xml:space="preserve">Commenter #X suggest that the rule is premature and unwarranted at this time.  They suggest that if DEQ opts to proceed with implementing BWE+BWT </w:t>
      </w:r>
      <w:r w:rsidR="00762378">
        <w:t>requirements that</w:t>
      </w:r>
      <w:r>
        <w:t xml:space="preserve"> it only apply to vessels……</w:t>
      </w:r>
    </w:p>
    <w:p w14:paraId="36F8EA18" w14:textId="77777777" w:rsidR="00A71647" w:rsidRPr="00C3461A" w:rsidRDefault="00A71647" w:rsidP="00A71647">
      <w:pPr>
        <w:tabs>
          <w:tab w:val="left" w:pos="2700"/>
        </w:tabs>
        <w:ind w:left="2700" w:right="634"/>
      </w:pPr>
    </w:p>
    <w:p w14:paraId="64238B3E" w14:textId="7FE92BDB" w:rsidR="00C3461A" w:rsidRDefault="00C3461A" w:rsidP="00396E80">
      <w:pPr>
        <w:pStyle w:val="ListParagraph"/>
        <w:tabs>
          <w:tab w:val="left" w:pos="2700"/>
        </w:tabs>
        <w:ind w:left="1080" w:right="634"/>
        <w:rPr>
          <w:bCs/>
        </w:rPr>
      </w:pPr>
      <w:r w:rsidRPr="00F35AE7">
        <w:rPr>
          <w:b/>
          <w:bCs/>
        </w:rPr>
        <w:t>Response:</w:t>
      </w:r>
      <w:r w:rsidR="00396E80">
        <w:rPr>
          <w:b/>
          <w:bCs/>
        </w:rPr>
        <w:tab/>
      </w:r>
      <w:r w:rsidR="00A71647">
        <w:rPr>
          <w:bCs/>
        </w:rPr>
        <w:t>DEQ……</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52612094" w14:textId="77777777" w:rsidR="00F35AE7" w:rsidRDefault="00F35AE7" w:rsidP="00F35AE7">
      <w:pPr>
        <w:tabs>
          <w:tab w:val="left" w:pos="1080"/>
        </w:tabs>
        <w:ind w:left="1080" w:right="634"/>
      </w:pPr>
      <w:r>
        <w:tab/>
      </w:r>
    </w:p>
    <w:p w14:paraId="732B9D1D"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6B374915" w14:textId="77777777" w:rsidR="00F35AE7" w:rsidRDefault="00F35AE7" w:rsidP="00F35AE7">
      <w:pPr>
        <w:tabs>
          <w:tab w:val="left" w:pos="1080"/>
        </w:tabs>
        <w:ind w:left="1080" w:right="634"/>
      </w:pPr>
    </w:p>
    <w:p w14:paraId="42FBAC08" w14:textId="77777777" w:rsidR="00F35AE7" w:rsidRDefault="00F35AE7" w:rsidP="00F35AE7">
      <w:pPr>
        <w:tabs>
          <w:tab w:val="left" w:pos="1080"/>
        </w:tabs>
        <w:ind w:left="1080" w:right="634"/>
      </w:pPr>
      <w:r>
        <w:t>Commenter #X and #X support the implementation of…… and further suggest that the rule should apply more broadly to ……</w:t>
      </w:r>
    </w:p>
    <w:p w14:paraId="4C037D0E" w14:textId="77777777" w:rsidR="00F35AE7" w:rsidRDefault="00F35AE7" w:rsidP="00F35AE7">
      <w:pPr>
        <w:tabs>
          <w:tab w:val="left" w:pos="1080"/>
        </w:tabs>
        <w:ind w:left="1080" w:right="634"/>
      </w:pPr>
    </w:p>
    <w:p w14:paraId="3CE16D3C"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2F2866E6" w14:textId="77777777" w:rsidR="00F35AE7" w:rsidRPr="00C3461A" w:rsidRDefault="00F35AE7" w:rsidP="00F35AE7">
      <w:pPr>
        <w:tabs>
          <w:tab w:val="left" w:pos="2700"/>
        </w:tabs>
        <w:ind w:left="2700" w:right="634"/>
      </w:pPr>
    </w:p>
    <w:p w14:paraId="3C003FB3"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66C4A036" w14:textId="77777777" w:rsidR="00F35AE7" w:rsidRDefault="00F35AE7" w:rsidP="00F35AE7">
      <w:pPr>
        <w:pStyle w:val="ListParagraph"/>
        <w:tabs>
          <w:tab w:val="left" w:pos="2700"/>
        </w:tabs>
        <w:ind w:left="1080" w:right="634"/>
        <w:rPr>
          <w:bCs/>
        </w:rPr>
      </w:pPr>
    </w:p>
    <w:p w14:paraId="70988E11"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278F0C6D" w14:textId="77777777" w:rsidR="00F35AE7" w:rsidRDefault="00F35AE7" w:rsidP="00F35AE7">
      <w:pPr>
        <w:tabs>
          <w:tab w:val="left" w:pos="1080"/>
        </w:tabs>
        <w:ind w:left="1080" w:right="634"/>
      </w:pPr>
      <w:r>
        <w:tab/>
      </w:r>
    </w:p>
    <w:p w14:paraId="35DC7AF4"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6665B5CF" w14:textId="77777777" w:rsidR="00F35AE7" w:rsidRDefault="00F35AE7" w:rsidP="00F35AE7">
      <w:pPr>
        <w:tabs>
          <w:tab w:val="left" w:pos="1080"/>
        </w:tabs>
        <w:ind w:left="1080" w:right="634"/>
      </w:pPr>
    </w:p>
    <w:p w14:paraId="66FCB7DD" w14:textId="77777777" w:rsidR="00F35AE7" w:rsidRDefault="00F35AE7" w:rsidP="00F35AE7">
      <w:pPr>
        <w:tabs>
          <w:tab w:val="left" w:pos="1080"/>
        </w:tabs>
        <w:ind w:left="1080" w:right="634"/>
      </w:pPr>
      <w:r>
        <w:lastRenderedPageBreak/>
        <w:t>Commenter #X and #X support the implementation of…… and further suggest that the rule should apply more broadly to ……</w:t>
      </w:r>
    </w:p>
    <w:p w14:paraId="0826882F" w14:textId="77777777" w:rsidR="00F35AE7" w:rsidRDefault="00F35AE7" w:rsidP="00F35AE7">
      <w:pPr>
        <w:tabs>
          <w:tab w:val="left" w:pos="1080"/>
        </w:tabs>
        <w:ind w:left="1080" w:right="634"/>
      </w:pPr>
    </w:p>
    <w:p w14:paraId="49431FF5"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2F2DCC47" w14:textId="77777777" w:rsidR="00F35AE7" w:rsidRPr="00C3461A" w:rsidRDefault="00F35AE7" w:rsidP="00F35AE7">
      <w:pPr>
        <w:tabs>
          <w:tab w:val="left" w:pos="2700"/>
        </w:tabs>
        <w:ind w:left="2700" w:right="634"/>
      </w:pPr>
    </w:p>
    <w:p w14:paraId="0B028435"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20431774" w14:textId="77777777" w:rsidR="00F35AE7" w:rsidRDefault="00F35AE7" w:rsidP="00F35AE7">
      <w:pPr>
        <w:pStyle w:val="ListParagraph"/>
        <w:tabs>
          <w:tab w:val="left" w:pos="2700"/>
        </w:tabs>
        <w:ind w:left="1080" w:right="634"/>
        <w:rPr>
          <w:bCs/>
        </w:rPr>
      </w:pPr>
    </w:p>
    <w:p w14:paraId="7A969282"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7D7F7A56" w14:textId="77777777" w:rsidR="00F35AE7" w:rsidRDefault="00F35AE7" w:rsidP="00F35AE7">
      <w:pPr>
        <w:tabs>
          <w:tab w:val="left" w:pos="1080"/>
        </w:tabs>
        <w:ind w:left="1080" w:right="634"/>
      </w:pPr>
      <w:r>
        <w:tab/>
      </w:r>
    </w:p>
    <w:p w14:paraId="1E8531DA"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76D62E5E" w14:textId="77777777" w:rsidR="00F35AE7" w:rsidRDefault="00F35AE7" w:rsidP="00F35AE7">
      <w:pPr>
        <w:tabs>
          <w:tab w:val="left" w:pos="1080"/>
        </w:tabs>
        <w:ind w:left="1080" w:right="634"/>
      </w:pPr>
    </w:p>
    <w:p w14:paraId="11BDB281" w14:textId="77777777" w:rsidR="00F35AE7" w:rsidRDefault="00F35AE7" w:rsidP="00F35AE7">
      <w:pPr>
        <w:tabs>
          <w:tab w:val="left" w:pos="1080"/>
        </w:tabs>
        <w:ind w:left="1080" w:right="634"/>
      </w:pPr>
      <w:r>
        <w:t>Commenter #X and #X support the implementation of…… and further suggest that the rule should apply more broadly to ……</w:t>
      </w:r>
    </w:p>
    <w:p w14:paraId="3575B723" w14:textId="77777777" w:rsidR="00F35AE7" w:rsidRDefault="00F35AE7" w:rsidP="00F35AE7">
      <w:pPr>
        <w:tabs>
          <w:tab w:val="left" w:pos="1080"/>
        </w:tabs>
        <w:ind w:left="1080" w:right="634"/>
      </w:pPr>
    </w:p>
    <w:p w14:paraId="7FFF7CFF"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076B4730" w14:textId="77777777" w:rsidR="00F35AE7" w:rsidRPr="00C3461A" w:rsidRDefault="00F35AE7" w:rsidP="00F35AE7">
      <w:pPr>
        <w:tabs>
          <w:tab w:val="left" w:pos="2700"/>
        </w:tabs>
        <w:ind w:left="2700" w:right="634"/>
      </w:pPr>
    </w:p>
    <w:p w14:paraId="3996BC5A"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48E77CD4" w14:textId="77777777" w:rsidR="00F35AE7" w:rsidRDefault="00F35AE7" w:rsidP="00F35AE7">
      <w:pPr>
        <w:pStyle w:val="ListParagraph"/>
        <w:tabs>
          <w:tab w:val="left" w:pos="2700"/>
        </w:tabs>
        <w:ind w:left="1080" w:right="634"/>
        <w:rPr>
          <w:bCs/>
        </w:rPr>
      </w:pPr>
    </w:p>
    <w:p w14:paraId="1CC0BC92" w14:textId="77A6F470" w:rsidR="00396E80" w:rsidRPr="00C3461A" w:rsidRDefault="00396E80" w:rsidP="00396E80">
      <w:pPr>
        <w:pStyle w:val="ListParagraph"/>
        <w:numPr>
          <w:ilvl w:val="0"/>
          <w:numId w:val="15"/>
        </w:numPr>
        <w:tabs>
          <w:tab w:val="left" w:pos="2700"/>
        </w:tabs>
        <w:ind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132A237F" w:rsidR="00377FA3" w:rsidRDefault="00377FA3" w:rsidP="00377FA3">
      <w:pPr>
        <w:spacing w:after="120"/>
        <w:ind w:right="630"/>
        <w:rPr>
          <w:bCs/>
          <w:color w:val="000000" w:themeColor="text1"/>
        </w:rPr>
      </w:pPr>
      <w:r w:rsidRPr="00377FA3">
        <w:rPr>
          <w:color w:val="000000" w:themeColor="text1"/>
        </w:rPr>
        <w:t xml:space="preserve">The table below lists </w:t>
      </w:r>
      <w:r w:rsidR="008D009E" w:rsidRPr="008D009E">
        <w:rPr>
          <w:rStyle w:val="Emphasis"/>
          <w:caps/>
          <w:color w:val="806000" w:themeColor="accent4" w:themeShade="80"/>
          <w:highlight w:val="yellow"/>
        </w:rPr>
        <w:t>XX</w:t>
      </w:r>
      <w:r w:rsidRPr="00377FA3">
        <w:rPr>
          <w:color w:val="000000" w:themeColor="text1"/>
        </w:rPr>
        <w:t xml:space="preserve"> people and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 xml:space="preserve">during public comment periods that were open between </w:t>
      </w:r>
      <w:r w:rsidR="0036375F">
        <w:rPr>
          <w:bCs/>
          <w:color w:val="000000" w:themeColor="text1"/>
        </w:rPr>
        <w:t>15 April</w:t>
      </w:r>
      <w:r w:rsidR="00A71647">
        <w:rPr>
          <w:bCs/>
          <w:color w:val="000000" w:themeColor="text1"/>
        </w:rPr>
        <w:t xml:space="preserve"> and </w:t>
      </w:r>
      <w:r w:rsidR="00087876">
        <w:rPr>
          <w:bCs/>
          <w:color w:val="000000" w:themeColor="text1"/>
        </w:rPr>
        <w:t>25 May</w:t>
      </w:r>
      <w:r w:rsidR="00A71647">
        <w:rPr>
          <w:bCs/>
          <w:color w:val="000000" w:themeColor="text1"/>
        </w:rPr>
        <w:t xml:space="preserve">, </w:t>
      </w:r>
      <w:r w:rsidR="0036375F">
        <w:rPr>
          <w:bCs/>
          <w:color w:val="000000" w:themeColor="text1"/>
        </w:rPr>
        <w:t>20</w:t>
      </w:r>
      <w:r w:rsidR="00087876">
        <w:rPr>
          <w:bCs/>
          <w:color w:val="000000" w:themeColor="text1"/>
        </w:rPr>
        <w:t xml:space="preserve"> June</w:t>
      </w:r>
      <w:r w:rsidR="00A71647">
        <w:rPr>
          <w:bCs/>
          <w:color w:val="000000" w:themeColor="text1"/>
        </w:rPr>
        <w:t xml:space="preserve"> and </w:t>
      </w:r>
      <w:r w:rsidR="00087876">
        <w:rPr>
          <w:bCs/>
          <w:color w:val="000000" w:themeColor="text1"/>
        </w:rPr>
        <w:t>08 July</w:t>
      </w:r>
      <w:r w:rsidR="00200B21">
        <w:rPr>
          <w:bCs/>
          <w:color w:val="000000" w:themeColor="text1"/>
        </w:rPr>
        <w:t>,</w:t>
      </w:r>
      <w:r w:rsidR="00A71647">
        <w:rPr>
          <w:bCs/>
          <w:color w:val="000000" w:themeColor="text1"/>
        </w:rPr>
        <w:t xml:space="preserve"> and </w:t>
      </w:r>
      <w:r w:rsidR="00087876">
        <w:rPr>
          <w:bCs/>
          <w:color w:val="000000" w:themeColor="text1"/>
        </w:rPr>
        <w:t>07 September</w:t>
      </w:r>
      <w:r w:rsidR="00A71647">
        <w:rPr>
          <w:bCs/>
          <w:color w:val="000000" w:themeColor="text1"/>
        </w:rPr>
        <w:t xml:space="preserve"> and </w:t>
      </w:r>
      <w:r w:rsidR="00087876">
        <w:rPr>
          <w:bCs/>
          <w:color w:val="000000" w:themeColor="text1"/>
        </w:rPr>
        <w:t>24 October</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240"/>
        <w:gridCol w:w="432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F45D15">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24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320" w:type="dxa"/>
            <w:shd w:val="clear" w:color="auto" w:fill="A8D08D" w:themeFill="accent6" w:themeFillTint="99"/>
            <w:tcMar>
              <w:top w:w="43" w:type="dxa"/>
              <w:left w:w="43" w:type="dxa"/>
              <w:bottom w:w="43" w:type="dxa"/>
              <w:right w:w="43" w:type="dxa"/>
            </w:tcMar>
            <w:vAlign w:val="center"/>
          </w:tcPr>
          <w:p w14:paraId="33EA1003"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Organization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7B21FA">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24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32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5B253291" w:rsidR="00A71647" w:rsidRPr="002C2E35" w:rsidRDefault="00A71647" w:rsidP="002B207D">
            <w:pPr>
              <w:ind w:left="0" w:right="0"/>
              <w:rPr>
                <w:rFonts w:ascii="Arial" w:hAnsi="Arial" w:cs="Arial"/>
              </w:rPr>
            </w:pPr>
            <w:r>
              <w:rPr>
                <w:rFonts w:ascii="Arial" w:hAnsi="Arial" w:cs="Arial"/>
              </w:rPr>
              <w:t>1</w:t>
            </w:r>
          </w:p>
        </w:tc>
      </w:tr>
      <w:tr w:rsidR="00A71647" w:rsidRPr="00E16CB8" w14:paraId="33EA1012" w14:textId="77777777" w:rsidTr="007B21FA">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24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32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77777777" w:rsidR="00A71647" w:rsidRPr="002C2E35" w:rsidRDefault="00A71647" w:rsidP="002B207D">
            <w:pPr>
              <w:ind w:left="0" w:right="0"/>
              <w:rPr>
                <w:rFonts w:ascii="Arial" w:hAnsi="Arial" w:cs="Arial"/>
              </w:rPr>
            </w:pPr>
          </w:p>
        </w:tc>
      </w:tr>
      <w:tr w:rsidR="00A71647" w:rsidRPr="00E16CB8" w14:paraId="33EA1018" w14:textId="77777777" w:rsidTr="007B21FA">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24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32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77777777" w:rsidR="00A71647" w:rsidRPr="002C2E35" w:rsidRDefault="00A71647" w:rsidP="002B207D">
            <w:pPr>
              <w:ind w:left="0" w:right="0"/>
              <w:rPr>
                <w:rFonts w:ascii="Arial" w:hAnsi="Arial" w:cs="Arial"/>
              </w:rPr>
            </w:pPr>
          </w:p>
        </w:tc>
      </w:tr>
      <w:tr w:rsidR="007B21FA" w:rsidRPr="00E16CB8" w14:paraId="7F094725" w14:textId="77777777" w:rsidTr="007B21FA">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240" w:type="dxa"/>
            <w:vAlign w:val="center"/>
          </w:tcPr>
          <w:p w14:paraId="75F3749F" w14:textId="7297A8E4" w:rsidR="007B21FA" w:rsidRDefault="007B21FA" w:rsidP="002B207D">
            <w:pPr>
              <w:ind w:left="0" w:right="0"/>
              <w:rPr>
                <w:rFonts w:ascii="Arial" w:hAnsi="Arial" w:cs="Arial"/>
              </w:rPr>
            </w:pPr>
            <w:r>
              <w:rPr>
                <w:rFonts w:ascii="Arial" w:hAnsi="Arial" w:cs="Arial"/>
              </w:rPr>
              <w:t>Charles Costanzo, Kate Mickelson, Mark Landauer, Fred Myer, Ross McDonald, Frank Holmes</w:t>
            </w:r>
            <w:r w:rsidR="00666D7D">
              <w:rPr>
                <w:rFonts w:ascii="Arial" w:hAnsi="Arial" w:cs="Arial"/>
              </w:rPr>
              <w:t xml:space="preserve"> (5/24/16; 7/8/16)</w:t>
            </w:r>
          </w:p>
        </w:tc>
        <w:tc>
          <w:tcPr>
            <w:tcW w:w="4320" w:type="dxa"/>
            <w:tcMar>
              <w:top w:w="43" w:type="dxa"/>
              <w:left w:w="43" w:type="dxa"/>
              <w:bottom w:w="43" w:type="dxa"/>
              <w:right w:w="43" w:type="dxa"/>
            </w:tcMar>
            <w:vAlign w:val="center"/>
          </w:tcPr>
          <w:p w14:paraId="17CDE71C" w14:textId="27297635" w:rsidR="007B21FA" w:rsidRDefault="007B21FA" w:rsidP="002B207D">
            <w:pPr>
              <w:ind w:left="0" w:right="0"/>
              <w:rPr>
                <w:rFonts w:ascii="Arial" w:hAnsi="Arial" w:cs="Arial"/>
              </w:rPr>
            </w:pPr>
            <w:r>
              <w:rPr>
                <w:rFonts w:ascii="Arial" w:hAnsi="Arial" w:cs="Arial"/>
              </w:rPr>
              <w:t>American Waterways Operators, Columbia River Steamship Operators Assn., Oregon Public Ports Association, Port of Portland, Sause Bros., Western States Petroleum Association</w:t>
            </w:r>
          </w:p>
        </w:tc>
        <w:tc>
          <w:tcPr>
            <w:tcW w:w="1620" w:type="dxa"/>
            <w:tcMar>
              <w:top w:w="43" w:type="dxa"/>
              <w:left w:w="43" w:type="dxa"/>
              <w:bottom w:w="43" w:type="dxa"/>
              <w:right w:w="43" w:type="dxa"/>
            </w:tcMar>
            <w:vAlign w:val="center"/>
          </w:tcPr>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7B21FA">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24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32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7B21FA">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24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32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7B21FA">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24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32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77777777" w:rsidR="007B21FA" w:rsidRPr="002C2E35" w:rsidRDefault="007B21FA" w:rsidP="002B207D">
            <w:pPr>
              <w:ind w:left="0" w:right="0"/>
              <w:rPr>
                <w:rFonts w:ascii="Arial" w:hAnsi="Arial" w:cs="Arial"/>
              </w:rPr>
            </w:pPr>
          </w:p>
        </w:tc>
      </w:tr>
      <w:tr w:rsidR="00666D7D" w:rsidRPr="00E16CB8" w14:paraId="594B80F1" w14:textId="77777777" w:rsidTr="007B21FA">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24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32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77777777" w:rsidR="00666D7D" w:rsidRPr="002C2E35" w:rsidRDefault="00666D7D" w:rsidP="00666D7D">
            <w:pPr>
              <w:ind w:left="0" w:right="0"/>
              <w:rPr>
                <w:rFonts w:ascii="Arial" w:hAnsi="Arial" w:cs="Arial"/>
              </w:rPr>
            </w:pPr>
          </w:p>
        </w:tc>
      </w:tr>
      <w:tr w:rsidR="00666D7D" w:rsidRPr="00E16CB8" w14:paraId="4130E19A" w14:textId="77777777" w:rsidTr="007B21FA">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24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32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77777777" w:rsidR="00666D7D" w:rsidRPr="002C2E35" w:rsidRDefault="00666D7D" w:rsidP="00666D7D">
            <w:pPr>
              <w:ind w:left="0" w:right="0"/>
              <w:rPr>
                <w:rFonts w:ascii="Arial" w:hAnsi="Arial" w:cs="Arial"/>
              </w:rPr>
            </w:pPr>
          </w:p>
        </w:tc>
      </w:tr>
      <w:tr w:rsidR="00666D7D" w:rsidRPr="00E16CB8" w14:paraId="082F4324" w14:textId="77777777" w:rsidTr="007B21FA">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24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320" w:type="dxa"/>
            <w:tcMar>
              <w:top w:w="43" w:type="dxa"/>
              <w:left w:w="43" w:type="dxa"/>
              <w:bottom w:w="43" w:type="dxa"/>
              <w:right w:w="43" w:type="dxa"/>
            </w:tcMar>
            <w:vAlign w:val="center"/>
          </w:tcPr>
          <w:p w14:paraId="4F889D0B" w14:textId="287646A6"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46FD8DA1" w14:textId="77777777" w:rsidR="00666D7D" w:rsidRPr="002C2E35" w:rsidRDefault="00666D7D" w:rsidP="00666D7D">
            <w:pPr>
              <w:ind w:left="0" w:right="0"/>
              <w:rPr>
                <w:rFonts w:ascii="Arial" w:hAnsi="Arial" w:cs="Arial"/>
              </w:rPr>
            </w:pPr>
          </w:p>
        </w:tc>
      </w:tr>
      <w:tr w:rsidR="00087876" w:rsidRPr="00E16CB8" w14:paraId="386E66D5" w14:textId="77777777" w:rsidTr="007B21FA">
        <w:tc>
          <w:tcPr>
            <w:tcW w:w="715" w:type="dxa"/>
            <w:tcMar>
              <w:top w:w="43" w:type="dxa"/>
              <w:left w:w="43" w:type="dxa"/>
              <w:bottom w:w="43" w:type="dxa"/>
              <w:right w:w="43" w:type="dxa"/>
            </w:tcMar>
            <w:vAlign w:val="center"/>
          </w:tcPr>
          <w:p w14:paraId="1E659501" w14:textId="5286F029" w:rsidR="00087876" w:rsidRDefault="00087876" w:rsidP="00666D7D">
            <w:pPr>
              <w:ind w:left="0" w:right="0"/>
              <w:rPr>
                <w:rFonts w:ascii="Arial" w:hAnsi="Arial" w:cs="Arial"/>
              </w:rPr>
            </w:pPr>
            <w:r>
              <w:rPr>
                <w:rFonts w:ascii="Arial" w:hAnsi="Arial" w:cs="Arial"/>
              </w:rPr>
              <w:t>11</w:t>
            </w:r>
          </w:p>
        </w:tc>
        <w:tc>
          <w:tcPr>
            <w:tcW w:w="3240" w:type="dxa"/>
            <w:vAlign w:val="center"/>
          </w:tcPr>
          <w:p w14:paraId="3A121165" w14:textId="703E88AC" w:rsidR="00087876" w:rsidRPr="00087876" w:rsidRDefault="00087876" w:rsidP="00666D7D">
            <w:pPr>
              <w:ind w:left="0" w:right="0"/>
              <w:rPr>
                <w:rFonts w:ascii="Arial" w:hAnsi="Arial" w:cs="Arial"/>
                <w:highlight w:val="yellow"/>
              </w:rPr>
            </w:pPr>
            <w:r w:rsidRPr="00087876">
              <w:rPr>
                <w:rFonts w:ascii="Arial" w:hAnsi="Arial" w:cs="Arial"/>
                <w:highlight w:val="yellow"/>
              </w:rPr>
              <w:t>Dick Vanderschaaf</w:t>
            </w:r>
          </w:p>
        </w:tc>
        <w:tc>
          <w:tcPr>
            <w:tcW w:w="4320" w:type="dxa"/>
            <w:tcMar>
              <w:top w:w="43" w:type="dxa"/>
              <w:left w:w="43" w:type="dxa"/>
              <w:bottom w:w="43" w:type="dxa"/>
              <w:right w:w="43" w:type="dxa"/>
            </w:tcMar>
            <w:vAlign w:val="center"/>
          </w:tcPr>
          <w:p w14:paraId="623214D9" w14:textId="0995BCE4" w:rsidR="00087876" w:rsidRPr="00087876" w:rsidRDefault="00087876" w:rsidP="00666D7D">
            <w:pPr>
              <w:ind w:left="0" w:right="0"/>
              <w:rPr>
                <w:rFonts w:ascii="Arial" w:hAnsi="Arial" w:cs="Arial"/>
                <w:highlight w:val="yellow"/>
              </w:rPr>
            </w:pPr>
            <w:r w:rsidRPr="00087876">
              <w:rPr>
                <w:rFonts w:ascii="Arial" w:hAnsi="Arial" w:cs="Arial"/>
                <w:highlight w:val="yellow"/>
              </w:rPr>
              <w:t>The Nature Conservancy</w:t>
            </w:r>
          </w:p>
        </w:tc>
        <w:tc>
          <w:tcPr>
            <w:tcW w:w="1620" w:type="dxa"/>
            <w:tcMar>
              <w:top w:w="43" w:type="dxa"/>
              <w:left w:w="43" w:type="dxa"/>
              <w:bottom w:w="43" w:type="dxa"/>
              <w:right w:w="43" w:type="dxa"/>
            </w:tcMar>
            <w:vAlign w:val="center"/>
          </w:tcPr>
          <w:p w14:paraId="3656BBC6" w14:textId="0F0F9D41" w:rsidR="00087876" w:rsidRPr="002C2E35" w:rsidRDefault="00087876" w:rsidP="00666D7D">
            <w:pPr>
              <w:ind w:left="0" w:right="0"/>
              <w:rPr>
                <w:rFonts w:ascii="Arial" w:hAnsi="Arial" w:cs="Arial"/>
              </w:rPr>
            </w:pPr>
            <w:r w:rsidRPr="00087876">
              <w:rPr>
                <w:rFonts w:ascii="Arial" w:hAnsi="Arial" w:cs="Arial"/>
                <w:highlight w:val="yellow"/>
              </w:rPr>
              <w:t>?</w:t>
            </w:r>
          </w:p>
        </w:tc>
      </w:tr>
      <w:tr w:rsidR="00666D7D" w:rsidRPr="00E16CB8" w14:paraId="0953DE99" w14:textId="77777777" w:rsidTr="007B21FA">
        <w:tc>
          <w:tcPr>
            <w:tcW w:w="715" w:type="dxa"/>
            <w:tcMar>
              <w:top w:w="43" w:type="dxa"/>
              <w:left w:w="43" w:type="dxa"/>
              <w:bottom w:w="43" w:type="dxa"/>
              <w:right w:w="43" w:type="dxa"/>
            </w:tcMar>
            <w:vAlign w:val="center"/>
          </w:tcPr>
          <w:p w14:paraId="0337E91A" w14:textId="1DB82765" w:rsidR="00666D7D" w:rsidRDefault="00087876" w:rsidP="00666D7D">
            <w:pPr>
              <w:ind w:left="0" w:right="0"/>
              <w:rPr>
                <w:rFonts w:ascii="Arial" w:hAnsi="Arial" w:cs="Arial"/>
              </w:rPr>
            </w:pPr>
            <w:r>
              <w:rPr>
                <w:rFonts w:ascii="Arial" w:hAnsi="Arial" w:cs="Arial"/>
              </w:rPr>
              <w:t>12</w:t>
            </w:r>
          </w:p>
        </w:tc>
        <w:tc>
          <w:tcPr>
            <w:tcW w:w="3240" w:type="dxa"/>
            <w:vAlign w:val="center"/>
          </w:tcPr>
          <w:p w14:paraId="12F645B7" w14:textId="5C811C4E" w:rsidR="00666D7D" w:rsidRDefault="00666D7D" w:rsidP="00666D7D">
            <w:pPr>
              <w:ind w:left="0" w:right="0"/>
              <w:rPr>
                <w:rFonts w:ascii="Arial" w:hAnsi="Arial" w:cs="Arial"/>
              </w:rPr>
            </w:pPr>
            <w:r>
              <w:rPr>
                <w:rFonts w:ascii="Arial" w:hAnsi="Arial" w:cs="Arial"/>
              </w:rPr>
              <w:t>Dorothy Shoemaker</w:t>
            </w:r>
          </w:p>
        </w:tc>
        <w:tc>
          <w:tcPr>
            <w:tcW w:w="4320" w:type="dxa"/>
            <w:tcMar>
              <w:top w:w="43" w:type="dxa"/>
              <w:left w:w="43" w:type="dxa"/>
              <w:bottom w:w="43" w:type="dxa"/>
              <w:right w:w="43" w:type="dxa"/>
            </w:tcMar>
            <w:vAlign w:val="center"/>
          </w:tcPr>
          <w:p w14:paraId="0CDD4AF6" w14:textId="6027B98C"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209182CE" w14:textId="77777777" w:rsidR="00666D7D" w:rsidRPr="002C2E35" w:rsidRDefault="00666D7D" w:rsidP="00666D7D">
            <w:pPr>
              <w:ind w:left="0" w:right="0"/>
              <w:rPr>
                <w:rFonts w:ascii="Arial" w:hAnsi="Arial" w:cs="Arial"/>
              </w:rPr>
            </w:pPr>
          </w:p>
        </w:tc>
      </w:tr>
      <w:tr w:rsidR="00666D7D" w:rsidRPr="00E16CB8" w14:paraId="064679CD" w14:textId="77777777" w:rsidTr="007B21FA">
        <w:tc>
          <w:tcPr>
            <w:tcW w:w="715" w:type="dxa"/>
            <w:tcMar>
              <w:top w:w="43" w:type="dxa"/>
              <w:left w:w="43" w:type="dxa"/>
              <w:bottom w:w="43" w:type="dxa"/>
              <w:right w:w="43" w:type="dxa"/>
            </w:tcMar>
            <w:vAlign w:val="center"/>
          </w:tcPr>
          <w:p w14:paraId="005B352E" w14:textId="3CCC00A5" w:rsidR="00666D7D" w:rsidRDefault="00087876" w:rsidP="00666D7D">
            <w:pPr>
              <w:ind w:left="0" w:right="0"/>
              <w:rPr>
                <w:rFonts w:ascii="Arial" w:hAnsi="Arial" w:cs="Arial"/>
              </w:rPr>
            </w:pPr>
            <w:r>
              <w:rPr>
                <w:rFonts w:ascii="Arial" w:hAnsi="Arial" w:cs="Arial"/>
              </w:rPr>
              <w:t>13</w:t>
            </w:r>
          </w:p>
        </w:tc>
        <w:tc>
          <w:tcPr>
            <w:tcW w:w="3240" w:type="dxa"/>
            <w:vAlign w:val="center"/>
          </w:tcPr>
          <w:p w14:paraId="4613D0B8" w14:textId="14C80BC2" w:rsidR="00666D7D" w:rsidRDefault="00666D7D" w:rsidP="00666D7D">
            <w:pPr>
              <w:ind w:left="0" w:right="0"/>
              <w:rPr>
                <w:rFonts w:ascii="Arial" w:hAnsi="Arial" w:cs="Arial"/>
              </w:rPr>
            </w:pPr>
            <w:r>
              <w:rPr>
                <w:rFonts w:ascii="Arial" w:hAnsi="Arial" w:cs="Arial"/>
              </w:rPr>
              <w:t>Cybele Knowles and 898 co-signatories</w:t>
            </w:r>
          </w:p>
        </w:tc>
        <w:tc>
          <w:tcPr>
            <w:tcW w:w="4320" w:type="dxa"/>
            <w:tcMar>
              <w:top w:w="43" w:type="dxa"/>
              <w:left w:w="43" w:type="dxa"/>
              <w:bottom w:w="43" w:type="dxa"/>
              <w:right w:w="43" w:type="dxa"/>
            </w:tcMar>
            <w:vAlign w:val="center"/>
          </w:tcPr>
          <w:p w14:paraId="013B06BB" w14:textId="55756C49" w:rsidR="00666D7D" w:rsidRDefault="00666D7D" w:rsidP="00666D7D">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507DD44D" w14:textId="77777777" w:rsidR="00666D7D" w:rsidRPr="002C2E35" w:rsidRDefault="00666D7D" w:rsidP="00666D7D">
            <w:pPr>
              <w:ind w:left="0" w:right="0"/>
              <w:rPr>
                <w:rFonts w:ascii="Arial" w:hAnsi="Arial" w:cs="Arial"/>
              </w:rPr>
            </w:pPr>
          </w:p>
        </w:tc>
      </w:tr>
      <w:tr w:rsidR="00666D7D" w:rsidRPr="00E16CB8" w14:paraId="5BA78E67" w14:textId="77777777" w:rsidTr="007B21FA">
        <w:tc>
          <w:tcPr>
            <w:tcW w:w="715" w:type="dxa"/>
            <w:tcMar>
              <w:top w:w="43" w:type="dxa"/>
              <w:left w:w="43" w:type="dxa"/>
              <w:bottom w:w="43" w:type="dxa"/>
              <w:right w:w="43" w:type="dxa"/>
            </w:tcMar>
            <w:vAlign w:val="center"/>
          </w:tcPr>
          <w:p w14:paraId="16264192" w14:textId="79418132" w:rsidR="00666D7D" w:rsidRDefault="00087876" w:rsidP="00666D7D">
            <w:pPr>
              <w:ind w:left="0" w:right="0"/>
              <w:rPr>
                <w:rFonts w:ascii="Arial" w:hAnsi="Arial" w:cs="Arial"/>
              </w:rPr>
            </w:pPr>
            <w:r>
              <w:rPr>
                <w:rFonts w:ascii="Arial" w:hAnsi="Arial" w:cs="Arial"/>
              </w:rPr>
              <w:t>14</w:t>
            </w:r>
          </w:p>
        </w:tc>
        <w:tc>
          <w:tcPr>
            <w:tcW w:w="3240" w:type="dxa"/>
            <w:vAlign w:val="center"/>
          </w:tcPr>
          <w:p w14:paraId="54AE4D50" w14:textId="7E57C9FE" w:rsidR="00666D7D" w:rsidRDefault="00666D7D" w:rsidP="00666D7D">
            <w:pPr>
              <w:ind w:left="0" w:right="0"/>
              <w:rPr>
                <w:rFonts w:ascii="Arial" w:hAnsi="Arial" w:cs="Arial"/>
              </w:rPr>
            </w:pPr>
            <w:r>
              <w:rPr>
                <w:rFonts w:ascii="Arial" w:hAnsi="Arial" w:cs="Arial"/>
              </w:rPr>
              <w:t>Nina Bell and Tierra Curry</w:t>
            </w:r>
          </w:p>
        </w:tc>
        <w:tc>
          <w:tcPr>
            <w:tcW w:w="4320" w:type="dxa"/>
            <w:tcMar>
              <w:top w:w="43" w:type="dxa"/>
              <w:left w:w="43" w:type="dxa"/>
              <w:bottom w:w="43" w:type="dxa"/>
              <w:right w:w="43" w:type="dxa"/>
            </w:tcMar>
            <w:vAlign w:val="center"/>
          </w:tcPr>
          <w:p w14:paraId="3DD8D6A5" w14:textId="62053F3C" w:rsidR="00666D7D" w:rsidRDefault="00666D7D" w:rsidP="00666D7D">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42AF56F3" w14:textId="77777777" w:rsidR="00666D7D" w:rsidRPr="002C2E35" w:rsidRDefault="00666D7D" w:rsidP="00666D7D">
            <w:pPr>
              <w:ind w:left="0" w:right="0"/>
              <w:rPr>
                <w:rFonts w:ascii="Arial" w:hAnsi="Arial" w:cs="Arial"/>
              </w:rPr>
            </w:pPr>
          </w:p>
        </w:tc>
      </w:tr>
      <w:tr w:rsidR="00087876" w:rsidRPr="00E16CB8" w14:paraId="2E205337" w14:textId="77777777" w:rsidTr="007B21FA">
        <w:tc>
          <w:tcPr>
            <w:tcW w:w="715" w:type="dxa"/>
            <w:tcMar>
              <w:top w:w="43" w:type="dxa"/>
              <w:left w:w="43" w:type="dxa"/>
              <w:bottom w:w="43" w:type="dxa"/>
              <w:right w:w="43" w:type="dxa"/>
            </w:tcMar>
            <w:vAlign w:val="center"/>
          </w:tcPr>
          <w:p w14:paraId="28A2A36A" w14:textId="61065166" w:rsidR="00087876" w:rsidRDefault="00087876" w:rsidP="00666D7D">
            <w:pPr>
              <w:ind w:left="0" w:right="0"/>
              <w:rPr>
                <w:rFonts w:ascii="Arial" w:hAnsi="Arial" w:cs="Arial"/>
              </w:rPr>
            </w:pPr>
            <w:r>
              <w:rPr>
                <w:rFonts w:ascii="Arial" w:hAnsi="Arial" w:cs="Arial"/>
              </w:rPr>
              <w:t>15</w:t>
            </w:r>
          </w:p>
        </w:tc>
        <w:tc>
          <w:tcPr>
            <w:tcW w:w="3240" w:type="dxa"/>
            <w:vAlign w:val="center"/>
          </w:tcPr>
          <w:p w14:paraId="0263EA6F" w14:textId="292524BF" w:rsidR="00087876" w:rsidRDefault="00087876" w:rsidP="00666D7D">
            <w:pPr>
              <w:ind w:left="0" w:right="0"/>
              <w:rPr>
                <w:rFonts w:ascii="Arial" w:hAnsi="Arial" w:cs="Arial"/>
              </w:rPr>
            </w:pPr>
            <w:r>
              <w:rPr>
                <w:rFonts w:ascii="Arial" w:hAnsi="Arial" w:cs="Arial"/>
              </w:rPr>
              <w:t>Paul Henson</w:t>
            </w:r>
          </w:p>
        </w:tc>
        <w:tc>
          <w:tcPr>
            <w:tcW w:w="4320" w:type="dxa"/>
            <w:tcMar>
              <w:top w:w="43" w:type="dxa"/>
              <w:left w:w="43" w:type="dxa"/>
              <w:bottom w:w="43" w:type="dxa"/>
              <w:right w:w="43" w:type="dxa"/>
            </w:tcMar>
            <w:vAlign w:val="center"/>
          </w:tcPr>
          <w:p w14:paraId="4E255E65" w14:textId="10FF7CF8" w:rsidR="00087876" w:rsidRDefault="00087876" w:rsidP="00666D7D">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0AA319C5" w14:textId="77777777" w:rsidR="00087876" w:rsidRPr="002C2E35" w:rsidRDefault="00087876" w:rsidP="00666D7D">
            <w:pPr>
              <w:ind w:left="0" w:right="0"/>
              <w:rPr>
                <w:rFonts w:ascii="Arial" w:hAnsi="Arial" w:cs="Arial"/>
              </w:rPr>
            </w:pPr>
          </w:p>
        </w:tc>
      </w:tr>
      <w:tr w:rsidR="00666D7D" w:rsidRPr="00E16CB8" w14:paraId="23768C05" w14:textId="77777777" w:rsidTr="007B21FA">
        <w:tc>
          <w:tcPr>
            <w:tcW w:w="715" w:type="dxa"/>
            <w:tcMar>
              <w:top w:w="43" w:type="dxa"/>
              <w:left w:w="43" w:type="dxa"/>
              <w:bottom w:w="43" w:type="dxa"/>
              <w:right w:w="43" w:type="dxa"/>
            </w:tcMar>
            <w:vAlign w:val="center"/>
          </w:tcPr>
          <w:p w14:paraId="02DFE343" w14:textId="4A6DA82C" w:rsidR="00666D7D" w:rsidRDefault="00087876" w:rsidP="00666D7D">
            <w:pPr>
              <w:ind w:left="0" w:right="0"/>
              <w:rPr>
                <w:rFonts w:ascii="Arial" w:hAnsi="Arial" w:cs="Arial"/>
              </w:rPr>
            </w:pPr>
            <w:r>
              <w:rPr>
                <w:rFonts w:ascii="Arial" w:hAnsi="Arial" w:cs="Arial"/>
              </w:rPr>
              <w:t>16</w:t>
            </w:r>
          </w:p>
        </w:tc>
        <w:tc>
          <w:tcPr>
            <w:tcW w:w="3240" w:type="dxa"/>
            <w:vAlign w:val="center"/>
          </w:tcPr>
          <w:p w14:paraId="621E2022" w14:textId="59BA491D" w:rsidR="00666D7D" w:rsidRDefault="00666D7D" w:rsidP="00666D7D">
            <w:pPr>
              <w:ind w:left="0" w:right="0"/>
              <w:rPr>
                <w:rFonts w:ascii="Arial" w:hAnsi="Arial" w:cs="Arial"/>
              </w:rPr>
            </w:pPr>
            <w:r>
              <w:rPr>
                <w:rFonts w:ascii="Arial" w:hAnsi="Arial" w:cs="Arial"/>
              </w:rPr>
              <w:t xml:space="preserve">Charles Costanzo, Kate Mickelson, Mark Landauer, </w:t>
            </w:r>
            <w:r>
              <w:rPr>
                <w:rFonts w:ascii="Arial" w:hAnsi="Arial" w:cs="Arial"/>
              </w:rPr>
              <w:lastRenderedPageBreak/>
              <w:t>Ross McDonald, Frank Holmes (10/24/16)</w:t>
            </w:r>
          </w:p>
        </w:tc>
        <w:tc>
          <w:tcPr>
            <w:tcW w:w="4320" w:type="dxa"/>
            <w:tcMar>
              <w:top w:w="43" w:type="dxa"/>
              <w:left w:w="43" w:type="dxa"/>
              <w:bottom w:w="43" w:type="dxa"/>
              <w:right w:w="43" w:type="dxa"/>
            </w:tcMar>
            <w:vAlign w:val="center"/>
          </w:tcPr>
          <w:p w14:paraId="38C3AB4B" w14:textId="5A93D040" w:rsidR="00666D7D" w:rsidRDefault="00666D7D" w:rsidP="00666D7D">
            <w:pPr>
              <w:ind w:left="0" w:right="0"/>
              <w:rPr>
                <w:rFonts w:ascii="Arial" w:hAnsi="Arial" w:cs="Arial"/>
              </w:rPr>
            </w:pPr>
            <w:r>
              <w:rPr>
                <w:rFonts w:ascii="Arial" w:hAnsi="Arial" w:cs="Arial"/>
              </w:rPr>
              <w:lastRenderedPageBreak/>
              <w:t xml:space="preserve">American Waterways Operators, Columbia River Steamship Operators Assn., Oregon </w:t>
            </w:r>
            <w:r>
              <w:rPr>
                <w:rFonts w:ascii="Arial" w:hAnsi="Arial" w:cs="Arial"/>
              </w:rPr>
              <w:lastRenderedPageBreak/>
              <w:t>Public Ports Association, Sause Bros., Western States Petroleum Association</w:t>
            </w:r>
          </w:p>
        </w:tc>
        <w:tc>
          <w:tcPr>
            <w:tcW w:w="1620" w:type="dxa"/>
            <w:tcMar>
              <w:top w:w="43" w:type="dxa"/>
              <w:left w:w="43" w:type="dxa"/>
              <w:bottom w:w="43" w:type="dxa"/>
              <w:right w:w="43" w:type="dxa"/>
            </w:tcMar>
            <w:vAlign w:val="center"/>
          </w:tcPr>
          <w:p w14:paraId="458F3F27" w14:textId="77777777" w:rsidR="00666D7D" w:rsidRPr="002C2E35" w:rsidRDefault="00666D7D" w:rsidP="00666D7D">
            <w:pPr>
              <w:ind w:left="0" w:right="0"/>
              <w:rPr>
                <w:rFonts w:ascii="Arial" w:hAnsi="Arial" w:cs="Arial"/>
              </w:rPr>
            </w:pPr>
          </w:p>
        </w:tc>
      </w:tr>
      <w:tr w:rsidR="00666D7D" w:rsidRPr="00E16CB8" w14:paraId="43D537A8" w14:textId="77777777" w:rsidTr="007B21FA">
        <w:tc>
          <w:tcPr>
            <w:tcW w:w="715" w:type="dxa"/>
            <w:tcMar>
              <w:top w:w="43" w:type="dxa"/>
              <w:left w:w="43" w:type="dxa"/>
              <w:bottom w:w="43" w:type="dxa"/>
              <w:right w:w="43" w:type="dxa"/>
            </w:tcMar>
            <w:vAlign w:val="center"/>
          </w:tcPr>
          <w:p w14:paraId="72683454" w14:textId="6BD96BF6" w:rsidR="00666D7D" w:rsidRDefault="00087876" w:rsidP="00666D7D">
            <w:pPr>
              <w:ind w:left="0" w:right="0"/>
              <w:rPr>
                <w:rFonts w:ascii="Arial" w:hAnsi="Arial" w:cs="Arial"/>
              </w:rPr>
            </w:pPr>
            <w:r>
              <w:rPr>
                <w:rFonts w:ascii="Arial" w:hAnsi="Arial" w:cs="Arial"/>
              </w:rPr>
              <w:t>17</w:t>
            </w:r>
          </w:p>
        </w:tc>
        <w:tc>
          <w:tcPr>
            <w:tcW w:w="3240" w:type="dxa"/>
            <w:vAlign w:val="center"/>
          </w:tcPr>
          <w:p w14:paraId="22AC7F5E" w14:textId="25CDDC44" w:rsidR="00666D7D" w:rsidRDefault="00666D7D" w:rsidP="00666D7D">
            <w:pPr>
              <w:ind w:left="0" w:right="0"/>
              <w:rPr>
                <w:rFonts w:ascii="Arial" w:hAnsi="Arial" w:cs="Arial"/>
              </w:rPr>
            </w:pPr>
            <w:r>
              <w:rPr>
                <w:rFonts w:ascii="Arial" w:hAnsi="Arial" w:cs="Arial"/>
              </w:rPr>
              <w:t>Charles Costanzo</w:t>
            </w:r>
          </w:p>
        </w:tc>
        <w:tc>
          <w:tcPr>
            <w:tcW w:w="4320" w:type="dxa"/>
            <w:tcMar>
              <w:top w:w="43" w:type="dxa"/>
              <w:left w:w="43" w:type="dxa"/>
              <w:bottom w:w="43" w:type="dxa"/>
              <w:right w:w="43" w:type="dxa"/>
            </w:tcMar>
            <w:vAlign w:val="center"/>
          </w:tcPr>
          <w:p w14:paraId="4E9EEE92" w14:textId="79ED964D" w:rsidR="00666D7D" w:rsidRDefault="00666D7D" w:rsidP="00666D7D">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4233446F" w14:textId="77777777" w:rsidR="00666D7D" w:rsidRPr="002C2E35" w:rsidRDefault="00666D7D" w:rsidP="00666D7D">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bookmarkStart w:id="4" w:name="_GoBack"/>
      <w:bookmarkEnd w:id="4"/>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B1715A" w:rsidRPr="007C0ACD" w:rsidRDefault="00B1715A"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B1715A" w:rsidRPr="007C0ACD" w:rsidRDefault="00B1715A"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B1715A" w:rsidRPr="007C0ACD" w:rsidRDefault="00B1715A"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B1715A" w:rsidRPr="007C0ACD" w:rsidRDefault="00B1715A"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B1715A" w:rsidRPr="007C0ACD" w:rsidRDefault="00B1715A"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B1715A" w:rsidRPr="007C0ACD" w:rsidRDefault="00B1715A"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B1715A" w:rsidRDefault="00B1715A">
      <w:r>
        <w:separator/>
      </w:r>
    </w:p>
  </w:endnote>
  <w:endnote w:type="continuationSeparator" w:id="0">
    <w:p w14:paraId="33EA10B2" w14:textId="77777777" w:rsidR="00B1715A" w:rsidRDefault="00B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B1715A" w:rsidRDefault="00B17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B1715A" w:rsidRDefault="00B1715A" w:rsidP="00964A94">
    <w:pPr>
      <w:pStyle w:val="Footer"/>
    </w:pPr>
  </w:p>
  <w:p w14:paraId="33EA10B7" w14:textId="77777777" w:rsidR="00B1715A" w:rsidRPr="002B4E71" w:rsidRDefault="00B1715A" w:rsidP="00964A94">
    <w:pPr>
      <w:pStyle w:val="Footer"/>
    </w:pPr>
    <w:r>
      <w:t>Staff Report</w:t>
    </w:r>
    <w:r w:rsidRPr="002B4E71">
      <w:t xml:space="preserve"> page | </w:t>
    </w:r>
    <w:r>
      <w:fldChar w:fldCharType="begin"/>
    </w:r>
    <w:r>
      <w:instrText xml:space="preserve"> PAGE   \* MERGEFORMAT </w:instrText>
    </w:r>
    <w:r>
      <w:fldChar w:fldCharType="separate"/>
    </w:r>
    <w:r w:rsidR="00F45D15">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B1715A" w:rsidRDefault="00B17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B1715A" w:rsidRDefault="00B1715A" w:rsidP="00964A94">
    <w:pPr>
      <w:pStyle w:val="Footer"/>
    </w:pPr>
  </w:p>
  <w:p w14:paraId="33EA10BB" w14:textId="77777777" w:rsidR="00B1715A" w:rsidRPr="002B4E71" w:rsidRDefault="00B1715A" w:rsidP="00964A94">
    <w:pPr>
      <w:pStyle w:val="Footer"/>
    </w:pPr>
    <w:r w:rsidRPr="002B4E71">
      <w:t xml:space="preserve">Notice page | </w:t>
    </w:r>
    <w:r>
      <w:fldChar w:fldCharType="begin"/>
    </w:r>
    <w:r>
      <w:instrText xml:space="preserve"> PAGE   \* MERGEFORMAT </w:instrText>
    </w:r>
    <w:r>
      <w:fldChar w:fldCharType="separate"/>
    </w:r>
    <w:r w:rsidR="00F45D15">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B1715A" w:rsidRDefault="00B1715A">
      <w:r>
        <w:separator/>
      </w:r>
    </w:p>
  </w:footnote>
  <w:footnote w:type="continuationSeparator" w:id="0">
    <w:p w14:paraId="33EA10B0" w14:textId="77777777" w:rsidR="00B1715A" w:rsidRDefault="00B1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B1715A" w:rsidRDefault="00B17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B1715A" w:rsidRDefault="00B17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B1715A" w:rsidRDefault="00B17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87876"/>
    <w:rsid w:val="000D03CC"/>
    <w:rsid w:val="001B0B23"/>
    <w:rsid w:val="001B7270"/>
    <w:rsid w:val="001C25B6"/>
    <w:rsid w:val="001F2622"/>
    <w:rsid w:val="00200B21"/>
    <w:rsid w:val="00214C8D"/>
    <w:rsid w:val="002442FB"/>
    <w:rsid w:val="00264F32"/>
    <w:rsid w:val="00276752"/>
    <w:rsid w:val="002B207D"/>
    <w:rsid w:val="002C2E35"/>
    <w:rsid w:val="002F0640"/>
    <w:rsid w:val="0030544D"/>
    <w:rsid w:val="00360F45"/>
    <w:rsid w:val="0036375F"/>
    <w:rsid w:val="00377FA3"/>
    <w:rsid w:val="00396E80"/>
    <w:rsid w:val="00396EFA"/>
    <w:rsid w:val="003D3F4F"/>
    <w:rsid w:val="003E40CF"/>
    <w:rsid w:val="004160B1"/>
    <w:rsid w:val="00420496"/>
    <w:rsid w:val="004345C0"/>
    <w:rsid w:val="004646AA"/>
    <w:rsid w:val="005668E9"/>
    <w:rsid w:val="00567FC7"/>
    <w:rsid w:val="00573943"/>
    <w:rsid w:val="005B62FA"/>
    <w:rsid w:val="00616ED0"/>
    <w:rsid w:val="00666D7D"/>
    <w:rsid w:val="006D6E87"/>
    <w:rsid w:val="006E5165"/>
    <w:rsid w:val="006E54A7"/>
    <w:rsid w:val="007038EB"/>
    <w:rsid w:val="00746827"/>
    <w:rsid w:val="00746C81"/>
    <w:rsid w:val="00762378"/>
    <w:rsid w:val="007B21FA"/>
    <w:rsid w:val="00887F56"/>
    <w:rsid w:val="008C09AA"/>
    <w:rsid w:val="008C1E0D"/>
    <w:rsid w:val="008D009E"/>
    <w:rsid w:val="008E2A1B"/>
    <w:rsid w:val="00964A94"/>
    <w:rsid w:val="009A06A3"/>
    <w:rsid w:val="009B6D76"/>
    <w:rsid w:val="00A71647"/>
    <w:rsid w:val="00A72D66"/>
    <w:rsid w:val="00AE34D8"/>
    <w:rsid w:val="00AE696D"/>
    <w:rsid w:val="00AF7293"/>
    <w:rsid w:val="00B1715A"/>
    <w:rsid w:val="00B240F4"/>
    <w:rsid w:val="00B83057"/>
    <w:rsid w:val="00C3461A"/>
    <w:rsid w:val="00C46BB1"/>
    <w:rsid w:val="00CF33D7"/>
    <w:rsid w:val="00D2135A"/>
    <w:rsid w:val="00D8597B"/>
    <w:rsid w:val="00E30322"/>
    <w:rsid w:val="00E372D7"/>
    <w:rsid w:val="00F35AE7"/>
    <w:rsid w:val="00F45D15"/>
    <w:rsid w:val="00F552BB"/>
    <w:rsid w:val="00F75F76"/>
    <w:rsid w:val="00FA4693"/>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C6F4-76EF-4D64-8EBA-A16E60270512}">
  <ds:schemaRefs>
    <ds:schemaRef ds:uri="$ListId:doc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4.xml><?xml version="1.0" encoding="utf-8"?>
<ds:datastoreItem xmlns:ds="http://schemas.openxmlformats.org/officeDocument/2006/customXml" ds:itemID="{00B5A5DA-716B-416A-8B84-5DE0D568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2016-11-17T01:07:00Z</dcterms:created>
  <dcterms:modified xsi:type="dcterms:W3CDTF">2016-11-21T19:28:00Z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