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7C48F" w14:textId="59A23D1A" w:rsidR="00EC0C4F" w:rsidRPr="007B0626" w:rsidRDefault="007B0626" w:rsidP="007B0626">
      <w:pPr>
        <w:rPr>
          <w:rFonts w:asciiTheme="minorHAnsi" w:hAnsiTheme="minorHAnsi" w:cstheme="minorHAnsi"/>
          <w:color w:val="A86C2A" w:themeColor="accent6" w:themeShade="BF"/>
          <w:sz w:val="24"/>
          <w:szCs w:val="24"/>
        </w:rPr>
      </w:pPr>
      <w:bookmarkStart w:id="0" w:name="OLE_LINK5"/>
      <w:r>
        <w:rPr>
          <w:rFonts w:asciiTheme="minorHAnsi" w:hAnsiTheme="minorHAnsi" w:cstheme="minorHAnsi"/>
          <w:sz w:val="24"/>
          <w:szCs w:val="24"/>
        </w:rPr>
        <w:t>T</w:t>
      </w:r>
      <w:r w:rsidR="00755AEA" w:rsidRPr="007B0626">
        <w:rPr>
          <w:rFonts w:asciiTheme="minorHAnsi" w:hAnsiTheme="minorHAnsi" w:cstheme="minorHAnsi"/>
          <w:sz w:val="24"/>
          <w:szCs w:val="24"/>
        </w:rPr>
        <w:t xml:space="preserve">he </w:t>
      </w:r>
      <w:r>
        <w:rPr>
          <w:rFonts w:asciiTheme="minorHAnsi" w:hAnsiTheme="minorHAnsi" w:cstheme="minorHAnsi"/>
          <w:sz w:val="24"/>
          <w:szCs w:val="24"/>
        </w:rPr>
        <w:t>Ballast Water Management and Noise Regulations r</w:t>
      </w:r>
      <w:r w:rsidR="00100459" w:rsidRPr="007B0626">
        <w:rPr>
          <w:rFonts w:asciiTheme="minorHAnsi" w:hAnsiTheme="minorHAnsi" w:cstheme="minorHAnsi"/>
          <w:sz w:val="24"/>
          <w:szCs w:val="24"/>
        </w:rPr>
        <w:t>ulemaking</w:t>
      </w:r>
      <w:r w:rsidR="00C114AD" w:rsidRPr="007B0626">
        <w:rPr>
          <w:rFonts w:asciiTheme="minorHAnsi" w:hAnsiTheme="minorHAnsi" w:cstheme="minorHAnsi"/>
          <w:sz w:val="24"/>
          <w:szCs w:val="24"/>
        </w:rPr>
        <w:t xml:space="preserve"> </w:t>
      </w:r>
      <w:r w:rsidR="00755AEA" w:rsidRPr="007B0626">
        <w:rPr>
          <w:rFonts w:asciiTheme="minorHAnsi" w:hAnsiTheme="minorHAnsi" w:cstheme="minorHAnsi"/>
          <w:sz w:val="24"/>
          <w:szCs w:val="24"/>
        </w:rPr>
        <w:t xml:space="preserve">public notice is ready for preview before we open the public comment period on </w:t>
      </w:r>
      <w:r>
        <w:rPr>
          <w:rFonts w:asciiTheme="minorHAnsi" w:hAnsiTheme="minorHAnsi" w:cstheme="minorHAnsi"/>
          <w:sz w:val="24"/>
          <w:szCs w:val="24"/>
        </w:rPr>
        <w:t xml:space="preserve">April 15, 2016. </w:t>
      </w:r>
      <w:r w:rsidR="00755AEA" w:rsidRPr="007B0626">
        <w:rPr>
          <w:rFonts w:asciiTheme="minorHAnsi" w:hAnsiTheme="minorHAnsi" w:cstheme="minorHAnsi"/>
          <w:sz w:val="24"/>
          <w:szCs w:val="24"/>
        </w:rPr>
        <w:t xml:space="preserve"> </w:t>
      </w:r>
      <w:r w:rsidR="00EE2DB4" w:rsidRPr="007B0626">
        <w:rPr>
          <w:rFonts w:asciiTheme="minorHAnsi" w:hAnsiTheme="minorHAnsi" w:cstheme="minorHAnsi"/>
          <w:sz w:val="24"/>
          <w:szCs w:val="24"/>
        </w:rPr>
        <w:t>If you would like to offer comments or suggestions,</w:t>
      </w:r>
      <w:r>
        <w:rPr>
          <w:rFonts w:asciiTheme="minorHAnsi" w:hAnsiTheme="minorHAnsi" w:cstheme="minorHAnsi"/>
          <w:sz w:val="24"/>
          <w:szCs w:val="24"/>
        </w:rPr>
        <w:t xml:space="preserve"> please submit them </w:t>
      </w:r>
      <w:r w:rsidR="00755AEA" w:rsidRPr="007B0626">
        <w:rPr>
          <w:rFonts w:asciiTheme="minorHAnsi" w:hAnsiTheme="minorHAnsi" w:cstheme="minorHAnsi"/>
          <w:sz w:val="24"/>
          <w:szCs w:val="24"/>
        </w:rPr>
        <w:t>by close of business on</w:t>
      </w:r>
      <w:r w:rsidR="00C114AD" w:rsidRPr="007B0626">
        <w:rPr>
          <w:rFonts w:asciiTheme="minorHAnsi" w:hAnsiTheme="minorHAnsi" w:cstheme="minorHAnsi"/>
          <w:sz w:val="24"/>
          <w:szCs w:val="24"/>
        </w:rPr>
        <w:t xml:space="preserve"> </w:t>
      </w:r>
      <w:r>
        <w:rPr>
          <w:rFonts w:asciiTheme="minorHAnsi" w:hAnsiTheme="minorHAnsi" w:cstheme="minorHAnsi"/>
          <w:sz w:val="24"/>
          <w:szCs w:val="24"/>
        </w:rPr>
        <w:t>Friday, April 8, 2016</w:t>
      </w:r>
      <w:r w:rsidR="00755AEA" w:rsidRPr="007B0626">
        <w:rPr>
          <w:rFonts w:asciiTheme="minorHAnsi" w:hAnsiTheme="minorHAnsi" w:cstheme="minorHAnsi"/>
          <w:sz w:val="24"/>
          <w:szCs w:val="24"/>
        </w:rPr>
        <w:t xml:space="preserve">. To </w:t>
      </w:r>
      <w:r w:rsidR="00EE2DB4" w:rsidRPr="007B0626">
        <w:rPr>
          <w:rFonts w:asciiTheme="minorHAnsi" w:hAnsiTheme="minorHAnsi" w:cstheme="minorHAnsi"/>
          <w:sz w:val="24"/>
          <w:szCs w:val="24"/>
        </w:rPr>
        <w:t xml:space="preserve">provide feedback, </w:t>
      </w:r>
      <w:r w:rsidR="00755AEA" w:rsidRPr="007B0626">
        <w:rPr>
          <w:rFonts w:asciiTheme="minorHAnsi" w:hAnsiTheme="minorHAnsi" w:cstheme="minorHAnsi"/>
          <w:sz w:val="24"/>
          <w:szCs w:val="24"/>
        </w:rPr>
        <w:t>contact</w:t>
      </w:r>
      <w:r>
        <w:rPr>
          <w:rFonts w:asciiTheme="minorHAnsi" w:hAnsiTheme="minorHAnsi" w:cstheme="minorHAnsi"/>
          <w:sz w:val="24"/>
          <w:szCs w:val="24"/>
        </w:rPr>
        <w:t xml:space="preserve"> Rian vanden Hooff; </w:t>
      </w:r>
      <w:hyperlink r:id="rId8" w:history="1">
        <w:r w:rsidRPr="00F72683">
          <w:rPr>
            <w:rStyle w:val="Hyperlink"/>
            <w:rFonts w:asciiTheme="minorHAnsi" w:hAnsiTheme="minorHAnsi" w:cstheme="minorHAnsi"/>
            <w:sz w:val="24"/>
            <w:szCs w:val="24"/>
          </w:rPr>
          <w:t>hooff.rian@deq.state.or.us</w:t>
        </w:r>
      </w:hyperlink>
      <w:r>
        <w:rPr>
          <w:rFonts w:asciiTheme="minorHAnsi" w:hAnsiTheme="minorHAnsi" w:cstheme="minorHAnsi"/>
          <w:sz w:val="24"/>
          <w:szCs w:val="24"/>
        </w:rPr>
        <w:t>; 503-229-6762.</w:t>
      </w:r>
    </w:p>
    <w:p w14:paraId="12E7C492" w14:textId="77777777" w:rsidR="00453AB8" w:rsidRPr="007B0626" w:rsidRDefault="00453AB8" w:rsidP="00453AB8">
      <w:pPr>
        <w:rPr>
          <w:rFonts w:asciiTheme="minorHAnsi" w:hAnsiTheme="minorHAnsi" w:cstheme="minorHAnsi"/>
          <w:sz w:val="24"/>
          <w:szCs w:val="24"/>
        </w:rPr>
      </w:pPr>
      <w:r w:rsidRPr="007B0626">
        <w:rPr>
          <w:rFonts w:asciiTheme="minorHAnsi" w:hAnsiTheme="minorHAnsi" w:cstheme="minorHAnsi"/>
          <w:sz w:val="24"/>
          <w:szCs w:val="24"/>
        </w:rPr>
        <w:t xml:space="preserve"> </w:t>
      </w:r>
    </w:p>
    <w:p w14:paraId="12E7C493" w14:textId="77777777" w:rsidR="00EC0C4F" w:rsidRPr="007B0626" w:rsidRDefault="00EE2DB4" w:rsidP="00EE2DB4">
      <w:pPr>
        <w:ind w:left="1800" w:hanging="1800"/>
        <w:rPr>
          <w:rFonts w:asciiTheme="minorHAnsi" w:hAnsiTheme="minorHAnsi" w:cstheme="minorHAnsi"/>
          <w:b/>
          <w:sz w:val="24"/>
          <w:szCs w:val="24"/>
        </w:rPr>
      </w:pPr>
      <w:r w:rsidRPr="007B0626">
        <w:rPr>
          <w:rFonts w:asciiTheme="minorHAnsi" w:hAnsiTheme="minorHAnsi" w:cstheme="minorHAnsi"/>
          <w:b/>
          <w:sz w:val="24"/>
          <w:szCs w:val="24"/>
        </w:rPr>
        <w:t xml:space="preserve">Notice </w:t>
      </w:r>
      <w:r w:rsidR="00EC0C4F" w:rsidRPr="007B0626">
        <w:rPr>
          <w:rFonts w:asciiTheme="minorHAnsi" w:hAnsiTheme="minorHAnsi" w:cstheme="minorHAnsi"/>
          <w:b/>
          <w:sz w:val="24"/>
          <w:szCs w:val="24"/>
        </w:rPr>
        <w:t>Documents</w:t>
      </w:r>
    </w:p>
    <w:p w14:paraId="12E7C495" w14:textId="77777777" w:rsidR="00EC0C4F" w:rsidRPr="007B0626" w:rsidRDefault="00EC0C4F" w:rsidP="00EC0C4F">
      <w:pPr>
        <w:ind w:left="1800"/>
        <w:rPr>
          <w:rFonts w:asciiTheme="minorHAnsi" w:hAnsiTheme="minorHAnsi" w:cstheme="minorHAnsi"/>
          <w:sz w:val="24"/>
          <w:szCs w:val="24"/>
        </w:rPr>
      </w:pPr>
    </w:p>
    <w:p w14:paraId="740BA01A" w14:textId="77853FD0" w:rsidR="007B0626" w:rsidRDefault="0056627E" w:rsidP="00EC0C4F">
      <w:pPr>
        <w:rPr>
          <w:rFonts w:asciiTheme="minorHAnsi" w:hAnsiTheme="minorHAnsi" w:cstheme="minorHAnsi"/>
          <w:sz w:val="24"/>
          <w:szCs w:val="24"/>
        </w:rPr>
      </w:pPr>
      <w:r w:rsidRPr="007B0626">
        <w:rPr>
          <w:rFonts w:asciiTheme="minorHAnsi" w:hAnsiTheme="minorHAnsi" w:cstheme="minorHAnsi"/>
          <w:sz w:val="24"/>
          <w:szCs w:val="24"/>
        </w:rPr>
        <w:t>The documents for your review are on this SharePoint page:</w:t>
      </w:r>
      <w:r w:rsidR="00262DEF" w:rsidRPr="007B0626">
        <w:rPr>
          <w:rFonts w:asciiTheme="minorHAnsi" w:hAnsiTheme="minorHAnsi" w:cstheme="minorHAnsi"/>
          <w:sz w:val="24"/>
          <w:szCs w:val="24"/>
        </w:rPr>
        <w:t xml:space="preserve"> </w:t>
      </w:r>
      <w:hyperlink r:id="rId9" w:history="1">
        <w:r w:rsidR="007B0626" w:rsidRPr="00F72683">
          <w:rPr>
            <w:rStyle w:val="Hyperlink"/>
            <w:rFonts w:asciiTheme="minorHAnsi" w:hAnsiTheme="minorHAnsi" w:cstheme="minorHAnsi"/>
            <w:sz w:val="24"/>
            <w:szCs w:val="24"/>
          </w:rPr>
          <w:t>http://deqsps/programs/rulemaking/lq/ballast2016/default.aspx</w:t>
        </w:r>
      </w:hyperlink>
    </w:p>
    <w:p w14:paraId="05287BD0" w14:textId="77777777" w:rsidR="007B0626" w:rsidRDefault="007B0626" w:rsidP="00EC0C4F">
      <w:pPr>
        <w:rPr>
          <w:rFonts w:asciiTheme="minorHAnsi" w:hAnsiTheme="minorHAnsi" w:cstheme="minorHAnsi"/>
          <w:sz w:val="24"/>
          <w:szCs w:val="24"/>
        </w:rPr>
      </w:pPr>
    </w:p>
    <w:p w14:paraId="12E7C496" w14:textId="7D0A09D7" w:rsidR="00EE2DB4" w:rsidRPr="007B0626" w:rsidRDefault="00EE2DB4" w:rsidP="00EC0C4F">
      <w:pPr>
        <w:rPr>
          <w:rFonts w:asciiTheme="minorHAnsi" w:hAnsiTheme="minorHAnsi" w:cstheme="minorHAnsi"/>
          <w:sz w:val="24"/>
          <w:szCs w:val="24"/>
        </w:rPr>
      </w:pPr>
      <w:r w:rsidRPr="007B0626">
        <w:rPr>
          <w:rFonts w:asciiTheme="minorHAnsi" w:hAnsiTheme="minorHAnsi" w:cstheme="minorHAnsi"/>
          <w:sz w:val="24"/>
          <w:szCs w:val="24"/>
        </w:rPr>
        <w:t xml:space="preserve">The documents </w:t>
      </w:r>
      <w:r w:rsidR="003737DC" w:rsidRPr="007B0626">
        <w:rPr>
          <w:rFonts w:asciiTheme="minorHAnsi" w:hAnsiTheme="minorHAnsi" w:cstheme="minorHAnsi"/>
          <w:sz w:val="24"/>
          <w:szCs w:val="24"/>
        </w:rPr>
        <w:t>are:</w:t>
      </w:r>
    </w:p>
    <w:p w14:paraId="12E7C497" w14:textId="77777777" w:rsidR="00297263" w:rsidRPr="003023D1" w:rsidRDefault="00297263" w:rsidP="00EC0C4F">
      <w:pPr>
        <w:ind w:left="1080"/>
        <w:rPr>
          <w:rFonts w:asciiTheme="minorHAnsi" w:hAnsiTheme="minorHAnsi" w:cstheme="minorHAnsi"/>
          <w:color w:val="000000" w:themeColor="text1"/>
          <w:sz w:val="24"/>
          <w:szCs w:val="24"/>
        </w:rPr>
      </w:pPr>
      <w:bookmarkStart w:id="1" w:name="_GoBack"/>
      <w:bookmarkEnd w:id="1"/>
    </w:p>
    <w:p w14:paraId="12E7C498" w14:textId="034F75AA" w:rsidR="00100459" w:rsidRPr="003023D1" w:rsidRDefault="007B0626" w:rsidP="00EC0C4F">
      <w:pPr>
        <w:pStyle w:val="ListParagraph"/>
        <w:numPr>
          <w:ilvl w:val="0"/>
          <w:numId w:val="6"/>
        </w:numPr>
        <w:ind w:left="720" w:firstLine="0"/>
        <w:rPr>
          <w:rFonts w:asciiTheme="minorHAnsi" w:hAnsiTheme="minorHAnsi" w:cstheme="minorHAnsi"/>
          <w:color w:val="000000" w:themeColor="text1"/>
          <w:sz w:val="24"/>
          <w:szCs w:val="24"/>
        </w:rPr>
      </w:pPr>
      <w:hyperlink r:id="rId10" w:history="1">
        <w:r w:rsidR="00453AB8" w:rsidRPr="003023D1">
          <w:rPr>
            <w:rStyle w:val="Hyperlink"/>
            <w:rFonts w:asciiTheme="minorHAnsi" w:hAnsiTheme="minorHAnsi" w:cstheme="minorHAnsi"/>
            <w:color w:val="000000" w:themeColor="text1"/>
            <w:sz w:val="24"/>
            <w:szCs w:val="24"/>
          </w:rPr>
          <w:t>Invitation to Commen</w:t>
        </w:r>
      </w:hyperlink>
      <w:r w:rsidR="00453AB8" w:rsidRPr="003023D1">
        <w:rPr>
          <w:rFonts w:asciiTheme="minorHAnsi" w:hAnsiTheme="minorHAnsi" w:cstheme="minorHAnsi"/>
          <w:color w:val="000000" w:themeColor="text1"/>
          <w:sz w:val="24"/>
          <w:szCs w:val="24"/>
        </w:rPr>
        <w:t>t – 2-page fact sheet</w:t>
      </w:r>
      <w:r w:rsidR="00100459" w:rsidRPr="003023D1">
        <w:rPr>
          <w:rFonts w:asciiTheme="minorHAnsi" w:hAnsiTheme="minorHAnsi" w:cstheme="minorHAnsi"/>
          <w:color w:val="000000" w:themeColor="text1"/>
          <w:sz w:val="24"/>
          <w:szCs w:val="24"/>
        </w:rPr>
        <w:t>:</w:t>
      </w:r>
    </w:p>
    <w:p w14:paraId="12E7C499" w14:textId="079A0331" w:rsidR="00100459" w:rsidRPr="003023D1" w:rsidRDefault="007B0626" w:rsidP="00EC0C4F">
      <w:pPr>
        <w:pStyle w:val="ListParagraph"/>
        <w:numPr>
          <w:ilvl w:val="0"/>
          <w:numId w:val="6"/>
        </w:numPr>
        <w:ind w:left="720" w:firstLine="0"/>
        <w:rPr>
          <w:rFonts w:asciiTheme="minorHAnsi" w:hAnsiTheme="minorHAnsi" w:cstheme="minorHAnsi"/>
          <w:color w:val="000000" w:themeColor="text1"/>
          <w:sz w:val="24"/>
          <w:szCs w:val="24"/>
        </w:rPr>
      </w:pPr>
      <w:hyperlink r:id="rId11" w:history="1">
        <w:r w:rsidR="00453AB8" w:rsidRPr="003023D1">
          <w:rPr>
            <w:rStyle w:val="Hyperlink"/>
            <w:rFonts w:asciiTheme="minorHAnsi" w:hAnsiTheme="minorHAnsi" w:cstheme="minorHAnsi"/>
            <w:color w:val="000000" w:themeColor="text1"/>
            <w:sz w:val="24"/>
            <w:szCs w:val="24"/>
          </w:rPr>
          <w:t>Proposed Rules</w:t>
        </w:r>
      </w:hyperlink>
      <w:r w:rsidR="00100459" w:rsidRPr="003023D1">
        <w:rPr>
          <w:rFonts w:asciiTheme="minorHAnsi" w:hAnsiTheme="minorHAnsi" w:cstheme="minorHAnsi"/>
          <w:color w:val="000000" w:themeColor="text1"/>
          <w:sz w:val="24"/>
          <w:szCs w:val="24"/>
        </w:rPr>
        <w:t xml:space="preserve">: </w:t>
      </w:r>
    </w:p>
    <w:p w14:paraId="12E7C49A" w14:textId="05AF33C1" w:rsidR="00A277B9" w:rsidRPr="007B0626" w:rsidRDefault="007B0626" w:rsidP="007B0626">
      <w:pPr>
        <w:pStyle w:val="ListParagraph"/>
        <w:numPr>
          <w:ilvl w:val="0"/>
          <w:numId w:val="6"/>
        </w:numPr>
        <w:ind w:left="1440" w:hanging="720"/>
        <w:rPr>
          <w:rFonts w:asciiTheme="minorHAnsi" w:hAnsiTheme="minorHAnsi" w:cstheme="minorHAnsi"/>
          <w:color w:val="A86C2A" w:themeColor="accent6" w:themeShade="BF"/>
          <w:sz w:val="24"/>
          <w:szCs w:val="24"/>
        </w:rPr>
      </w:pPr>
      <w:hyperlink r:id="rId12" w:history="1">
        <w:r w:rsidR="00453AB8" w:rsidRPr="003023D1">
          <w:rPr>
            <w:rStyle w:val="Hyperlink"/>
            <w:rFonts w:asciiTheme="minorHAnsi" w:hAnsiTheme="minorHAnsi" w:cstheme="minorHAnsi"/>
            <w:color w:val="000000" w:themeColor="text1"/>
            <w:sz w:val="24"/>
            <w:szCs w:val="24"/>
          </w:rPr>
          <w:t>Notice</w:t>
        </w:r>
      </w:hyperlink>
      <w:r w:rsidR="00453AB8" w:rsidRPr="003023D1">
        <w:rPr>
          <w:rFonts w:asciiTheme="minorHAnsi" w:hAnsiTheme="minorHAnsi" w:cstheme="minorHAnsi"/>
          <w:color w:val="000000" w:themeColor="text1"/>
          <w:sz w:val="24"/>
          <w:szCs w:val="24"/>
        </w:rPr>
        <w:t xml:space="preserve"> – information and analysis required by APA; Model Rules; DEQ statutes, </w:t>
      </w:r>
      <w:r w:rsidR="00453AB8" w:rsidRPr="007B0626">
        <w:rPr>
          <w:rFonts w:asciiTheme="minorHAnsi" w:hAnsiTheme="minorHAnsi" w:cstheme="minorHAnsi"/>
          <w:sz w:val="24"/>
          <w:szCs w:val="24"/>
        </w:rPr>
        <w:t>rules and best pra</w:t>
      </w:r>
      <w:r w:rsidR="00A277B9" w:rsidRPr="007B0626">
        <w:rPr>
          <w:rFonts w:asciiTheme="minorHAnsi" w:hAnsiTheme="minorHAnsi" w:cstheme="minorHAnsi"/>
          <w:sz w:val="24"/>
          <w:szCs w:val="24"/>
        </w:rPr>
        <w:t>ctices; and federal regulations</w:t>
      </w:r>
      <w:r w:rsidR="00100459" w:rsidRPr="007B0626">
        <w:rPr>
          <w:rFonts w:asciiTheme="minorHAnsi" w:hAnsiTheme="minorHAnsi" w:cstheme="minorHAnsi"/>
          <w:sz w:val="24"/>
          <w:szCs w:val="24"/>
        </w:rPr>
        <w:t>:</w:t>
      </w:r>
    </w:p>
    <w:p w14:paraId="12E7C49B" w14:textId="77777777" w:rsidR="00453AB8" w:rsidRPr="007B0626" w:rsidRDefault="00453AB8" w:rsidP="00453AB8">
      <w:pPr>
        <w:tabs>
          <w:tab w:val="left" w:pos="1890"/>
        </w:tabs>
        <w:rPr>
          <w:rFonts w:asciiTheme="minorHAnsi" w:hAnsiTheme="minorHAnsi" w:cstheme="minorHAnsi"/>
          <w:sz w:val="24"/>
          <w:szCs w:val="24"/>
          <w:highlight w:val="lightGray"/>
        </w:rPr>
      </w:pPr>
    </w:p>
    <w:p w14:paraId="12E7C49C" w14:textId="77777777" w:rsidR="00EC0C4F" w:rsidRDefault="00453AB8" w:rsidP="00EE2DB4">
      <w:pPr>
        <w:ind w:left="1800" w:hanging="1800"/>
        <w:rPr>
          <w:rFonts w:asciiTheme="minorHAnsi" w:hAnsiTheme="minorHAnsi" w:cstheme="minorHAnsi"/>
          <w:b/>
          <w:color w:val="000000" w:themeColor="text1"/>
          <w:sz w:val="24"/>
          <w:szCs w:val="24"/>
        </w:rPr>
      </w:pPr>
      <w:r w:rsidRPr="007B0626">
        <w:rPr>
          <w:rFonts w:asciiTheme="minorHAnsi" w:hAnsiTheme="minorHAnsi" w:cstheme="minorHAnsi"/>
          <w:b/>
          <w:color w:val="000000" w:themeColor="text1"/>
          <w:sz w:val="24"/>
          <w:szCs w:val="24"/>
        </w:rPr>
        <w:t>Proposal</w:t>
      </w:r>
    </w:p>
    <w:p w14:paraId="6FC60F71" w14:textId="77777777" w:rsidR="007B0626" w:rsidRPr="007B0626" w:rsidRDefault="007B0626" w:rsidP="00EE2DB4">
      <w:pPr>
        <w:ind w:left="1800" w:hanging="1800"/>
        <w:rPr>
          <w:rFonts w:asciiTheme="minorHAnsi" w:hAnsiTheme="minorHAnsi" w:cstheme="minorHAnsi"/>
          <w:b/>
          <w:color w:val="000000" w:themeColor="text1"/>
          <w:sz w:val="24"/>
          <w:szCs w:val="24"/>
        </w:rPr>
      </w:pPr>
    </w:p>
    <w:p w14:paraId="0899CFE5" w14:textId="77777777" w:rsidR="007B0626" w:rsidRPr="007B0626" w:rsidRDefault="007B0626" w:rsidP="007B0626">
      <w:pPr>
        <w:ind w:left="1800" w:hanging="1800"/>
        <w:rPr>
          <w:rFonts w:asciiTheme="minorHAnsi" w:hAnsiTheme="minorHAnsi" w:cstheme="minorHAnsi"/>
          <w:color w:val="000000" w:themeColor="text1"/>
          <w:sz w:val="24"/>
          <w:szCs w:val="24"/>
        </w:rPr>
      </w:pPr>
      <w:r w:rsidRPr="007B0626">
        <w:rPr>
          <w:rFonts w:asciiTheme="minorHAnsi" w:hAnsiTheme="minorHAnsi" w:cstheme="minorHAnsi"/>
          <w:color w:val="000000" w:themeColor="text1"/>
          <w:sz w:val="24"/>
          <w:szCs w:val="24"/>
        </w:rPr>
        <w:t xml:space="preserve">DEQ proposes the following changes to OAR 340, division number </w:t>
      </w:r>
      <w:r w:rsidRPr="007B0626">
        <w:rPr>
          <w:rFonts w:asciiTheme="minorHAnsi" w:hAnsiTheme="minorHAnsi" w:cstheme="minorHAnsi"/>
          <w:b/>
          <w:color w:val="000000" w:themeColor="text1"/>
          <w:sz w:val="24"/>
          <w:szCs w:val="24"/>
        </w:rPr>
        <w:t>143</w:t>
      </w:r>
      <w:r w:rsidRPr="007B0626">
        <w:rPr>
          <w:rFonts w:asciiTheme="minorHAnsi" w:hAnsiTheme="minorHAnsi" w:cstheme="minorHAnsi"/>
          <w:color w:val="000000" w:themeColor="text1"/>
          <w:sz w:val="24"/>
          <w:szCs w:val="24"/>
        </w:rPr>
        <w:t xml:space="preserve"> that will:   </w:t>
      </w:r>
    </w:p>
    <w:p w14:paraId="0FC948E7" w14:textId="77777777" w:rsidR="007B0626" w:rsidRPr="007B0626" w:rsidRDefault="007B0626" w:rsidP="007B0626">
      <w:pPr>
        <w:numPr>
          <w:ilvl w:val="0"/>
          <w:numId w:val="7"/>
        </w:numPr>
        <w:rPr>
          <w:rFonts w:asciiTheme="minorHAnsi" w:hAnsiTheme="minorHAnsi" w:cstheme="minorHAnsi"/>
          <w:color w:val="000000" w:themeColor="text1"/>
          <w:sz w:val="24"/>
          <w:szCs w:val="24"/>
        </w:rPr>
      </w:pPr>
      <w:r w:rsidRPr="007B0626">
        <w:rPr>
          <w:rFonts w:asciiTheme="minorHAnsi" w:hAnsiTheme="minorHAnsi" w:cstheme="minorHAnsi"/>
          <w:color w:val="000000" w:themeColor="text1"/>
          <w:sz w:val="24"/>
          <w:szCs w:val="24"/>
        </w:rPr>
        <w:t>Require vessel operators to conduct a mid-ocean saltwater flush of empty ballast tanks prior to ballasting and subsequently  de-ballasting from such tanks while in state waters, and</w:t>
      </w:r>
    </w:p>
    <w:p w14:paraId="37FE8F0C" w14:textId="77777777" w:rsidR="007B0626" w:rsidRDefault="007B0626" w:rsidP="007B0626">
      <w:pPr>
        <w:numPr>
          <w:ilvl w:val="0"/>
          <w:numId w:val="7"/>
        </w:numPr>
        <w:rPr>
          <w:rFonts w:asciiTheme="minorHAnsi" w:hAnsiTheme="minorHAnsi" w:cstheme="minorHAnsi"/>
          <w:color w:val="000000" w:themeColor="text1"/>
          <w:sz w:val="24"/>
          <w:szCs w:val="24"/>
        </w:rPr>
      </w:pPr>
      <w:r w:rsidRPr="007B0626">
        <w:rPr>
          <w:rFonts w:asciiTheme="minorHAnsi" w:hAnsiTheme="minorHAnsi" w:cstheme="minorHAnsi"/>
          <w:color w:val="000000" w:themeColor="text1"/>
          <w:sz w:val="24"/>
          <w:szCs w:val="24"/>
        </w:rPr>
        <w:t>Retain ballast water exchange requirements, in addition to meeting new federal ballast water discharge standards, for a subset of vessel arrivals that represent a high risk for transporting aquatic invasive species to low-salinity harbors in Oregon.</w:t>
      </w:r>
    </w:p>
    <w:p w14:paraId="20AC1C15" w14:textId="77777777" w:rsidR="003023D1" w:rsidRPr="007B0626" w:rsidRDefault="003023D1" w:rsidP="003023D1">
      <w:pPr>
        <w:ind w:left="720"/>
        <w:rPr>
          <w:rFonts w:asciiTheme="minorHAnsi" w:hAnsiTheme="minorHAnsi" w:cstheme="minorHAnsi"/>
          <w:color w:val="000000" w:themeColor="text1"/>
          <w:sz w:val="24"/>
          <w:szCs w:val="24"/>
        </w:rPr>
      </w:pPr>
    </w:p>
    <w:p w14:paraId="3BC2A3FD" w14:textId="77777777" w:rsidR="007B0626" w:rsidRPr="007B0626" w:rsidRDefault="007B0626" w:rsidP="007B0626">
      <w:pPr>
        <w:ind w:left="1800" w:hanging="1800"/>
        <w:rPr>
          <w:rFonts w:asciiTheme="minorHAnsi" w:hAnsiTheme="minorHAnsi" w:cstheme="minorHAnsi"/>
          <w:color w:val="000000" w:themeColor="text1"/>
          <w:sz w:val="24"/>
          <w:szCs w:val="24"/>
        </w:rPr>
      </w:pPr>
      <w:r w:rsidRPr="007B0626">
        <w:rPr>
          <w:rFonts w:asciiTheme="minorHAnsi" w:hAnsiTheme="minorHAnsi" w:cstheme="minorHAnsi"/>
          <w:color w:val="000000" w:themeColor="text1"/>
          <w:sz w:val="24"/>
          <w:szCs w:val="24"/>
        </w:rPr>
        <w:t xml:space="preserve">DEQ also proposes the following changes to OAR 340, division number </w:t>
      </w:r>
      <w:r w:rsidRPr="007B0626">
        <w:rPr>
          <w:rFonts w:asciiTheme="minorHAnsi" w:hAnsiTheme="minorHAnsi" w:cstheme="minorHAnsi"/>
          <w:b/>
          <w:color w:val="000000" w:themeColor="text1"/>
          <w:sz w:val="24"/>
          <w:szCs w:val="24"/>
        </w:rPr>
        <w:t>35</w:t>
      </w:r>
      <w:r w:rsidRPr="007B0626">
        <w:rPr>
          <w:rFonts w:asciiTheme="minorHAnsi" w:hAnsiTheme="minorHAnsi" w:cstheme="minorHAnsi"/>
          <w:color w:val="000000" w:themeColor="text1"/>
          <w:sz w:val="24"/>
          <w:szCs w:val="24"/>
        </w:rPr>
        <w:t xml:space="preserve"> that will:  move tables and reference documents from a source that is external to the official published version of the rules and incorporate those documents into the official published version of the rules on the Oregon Secretary of State’s web page.</w:t>
      </w:r>
    </w:p>
    <w:p w14:paraId="12E7C49F" w14:textId="1C4B4961" w:rsidR="00EE2DB4" w:rsidRPr="007B0626" w:rsidRDefault="00EE2DB4" w:rsidP="007B0626">
      <w:pPr>
        <w:ind w:left="1800" w:hanging="1800"/>
        <w:rPr>
          <w:rFonts w:asciiTheme="minorHAnsi" w:hAnsiTheme="minorHAnsi" w:cstheme="minorHAnsi"/>
          <w:sz w:val="24"/>
          <w:szCs w:val="24"/>
        </w:rPr>
      </w:pPr>
      <w:r w:rsidRPr="007B0626">
        <w:rPr>
          <w:rFonts w:asciiTheme="minorHAnsi" w:hAnsiTheme="minorHAnsi" w:cstheme="minorHAnsi"/>
          <w:color w:val="A86C2A" w:themeColor="accent6" w:themeShade="BF"/>
          <w:sz w:val="24"/>
          <w:szCs w:val="24"/>
        </w:rPr>
        <w:t xml:space="preserve"> </w:t>
      </w:r>
    </w:p>
    <w:p w14:paraId="254FAE0C" w14:textId="77777777" w:rsidR="007B0626" w:rsidRDefault="00453AB8" w:rsidP="00EE2DB4">
      <w:pPr>
        <w:ind w:left="1800" w:hanging="1800"/>
        <w:rPr>
          <w:rFonts w:asciiTheme="minorHAnsi" w:hAnsiTheme="minorHAnsi" w:cstheme="minorHAnsi"/>
          <w:b/>
          <w:sz w:val="24"/>
          <w:szCs w:val="24"/>
        </w:rPr>
      </w:pPr>
      <w:r w:rsidRPr="007B0626">
        <w:rPr>
          <w:rFonts w:asciiTheme="minorHAnsi" w:hAnsiTheme="minorHAnsi" w:cstheme="minorHAnsi"/>
          <w:b/>
          <w:sz w:val="24"/>
          <w:szCs w:val="24"/>
        </w:rPr>
        <w:t>Need</w:t>
      </w:r>
    </w:p>
    <w:p w14:paraId="0BC2F134" w14:textId="77777777" w:rsidR="007B0626" w:rsidRDefault="007B0626" w:rsidP="00EE2DB4">
      <w:pPr>
        <w:ind w:left="1800" w:hanging="1800"/>
        <w:rPr>
          <w:rFonts w:asciiTheme="minorHAnsi" w:hAnsiTheme="minorHAnsi" w:cstheme="minorHAnsi"/>
          <w:b/>
          <w:sz w:val="24"/>
          <w:szCs w:val="24"/>
        </w:rPr>
      </w:pPr>
    </w:p>
    <w:p w14:paraId="2A02A1C4" w14:textId="77777777" w:rsidR="007B0626" w:rsidRPr="003023D1" w:rsidRDefault="007B0626" w:rsidP="003023D1">
      <w:pPr>
        <w:rPr>
          <w:rFonts w:asciiTheme="minorHAnsi" w:hAnsiTheme="minorHAnsi" w:cstheme="minorHAnsi"/>
          <w:b/>
          <w:sz w:val="24"/>
          <w:szCs w:val="24"/>
        </w:rPr>
      </w:pPr>
      <w:r w:rsidRPr="003023D1">
        <w:rPr>
          <w:rFonts w:asciiTheme="minorHAnsi" w:hAnsiTheme="minorHAnsi" w:cstheme="minorHAnsi"/>
          <w:b/>
          <w:sz w:val="24"/>
          <w:szCs w:val="24"/>
        </w:rPr>
        <w:t>Management of Empty Ballast Tanks</w:t>
      </w:r>
    </w:p>
    <w:p w14:paraId="4204936D" w14:textId="77777777" w:rsidR="007B0626" w:rsidRPr="003023D1" w:rsidRDefault="007B0626" w:rsidP="007B0626">
      <w:pPr>
        <w:rPr>
          <w:rFonts w:asciiTheme="minorHAnsi" w:hAnsiTheme="minorHAnsi" w:cstheme="minorHAnsi"/>
          <w:sz w:val="24"/>
          <w:szCs w:val="24"/>
        </w:rPr>
      </w:pPr>
    </w:p>
    <w:p w14:paraId="4498916B"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What need would the proposed rule address?</w:t>
      </w:r>
    </w:p>
    <w:p w14:paraId="2C0F8107" w14:textId="77777777" w:rsidR="007B0626" w:rsidRPr="003023D1" w:rsidRDefault="007B0626" w:rsidP="007B0626">
      <w:pPr>
        <w:rPr>
          <w:rFonts w:asciiTheme="minorHAnsi" w:hAnsiTheme="minorHAnsi" w:cstheme="minorHAnsi"/>
          <w:sz w:val="24"/>
          <w:szCs w:val="24"/>
        </w:rPr>
      </w:pPr>
    </w:p>
    <w:p w14:paraId="69D5A422"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The need to reduce the invasive species transfer risk associated with residual ballast water and sediments in ‘empty’ ballast tanks that may be used for ballasting and subsequent de-ballasting while in state waters.</w:t>
      </w:r>
    </w:p>
    <w:p w14:paraId="4406AE34" w14:textId="77777777" w:rsidR="007B0626" w:rsidRPr="003023D1" w:rsidRDefault="007B0626" w:rsidP="007B0626">
      <w:pPr>
        <w:rPr>
          <w:rFonts w:asciiTheme="minorHAnsi" w:hAnsiTheme="minorHAnsi" w:cstheme="minorHAnsi"/>
          <w:sz w:val="24"/>
          <w:szCs w:val="24"/>
        </w:rPr>
      </w:pPr>
    </w:p>
    <w:p w14:paraId="4F55D269"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How would the proposed rule address the need?</w:t>
      </w:r>
    </w:p>
    <w:p w14:paraId="2A75F7F6" w14:textId="77777777" w:rsidR="007B0626" w:rsidRPr="003023D1" w:rsidRDefault="007B0626" w:rsidP="007B0626">
      <w:pPr>
        <w:rPr>
          <w:rFonts w:asciiTheme="minorHAnsi" w:hAnsiTheme="minorHAnsi" w:cstheme="minorHAnsi"/>
          <w:sz w:val="24"/>
          <w:szCs w:val="24"/>
        </w:rPr>
      </w:pPr>
    </w:p>
    <w:p w14:paraId="0AB66ED7"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The proposed rule requires vessel operators to conduct a mid-ocean saltwater flush of empty ballast tanks that they want to use for ballasting and subsequent de-ballasting while in port.</w:t>
      </w:r>
    </w:p>
    <w:p w14:paraId="13C6D2C0" w14:textId="77777777" w:rsidR="007B0626" w:rsidRPr="003023D1" w:rsidRDefault="007B0626" w:rsidP="007B0626">
      <w:pPr>
        <w:rPr>
          <w:rFonts w:asciiTheme="minorHAnsi" w:hAnsiTheme="minorHAnsi" w:cstheme="minorHAnsi"/>
          <w:sz w:val="24"/>
          <w:szCs w:val="24"/>
        </w:rPr>
      </w:pPr>
    </w:p>
    <w:p w14:paraId="4D8FBC68"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How will DEQ know the rule addressed the need?</w:t>
      </w:r>
    </w:p>
    <w:p w14:paraId="1E3BC583" w14:textId="77777777" w:rsidR="007B0626" w:rsidRPr="003023D1" w:rsidRDefault="007B0626" w:rsidP="007B0626">
      <w:pPr>
        <w:rPr>
          <w:rFonts w:asciiTheme="minorHAnsi" w:hAnsiTheme="minorHAnsi" w:cstheme="minorHAnsi"/>
          <w:sz w:val="24"/>
          <w:szCs w:val="24"/>
        </w:rPr>
      </w:pPr>
    </w:p>
    <w:p w14:paraId="7615035C"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1F2ED949" w14:textId="77777777" w:rsidR="007B0626" w:rsidRPr="003023D1" w:rsidRDefault="007B0626" w:rsidP="007B0626">
      <w:pPr>
        <w:rPr>
          <w:rFonts w:asciiTheme="minorHAnsi" w:hAnsiTheme="minorHAnsi" w:cstheme="minorHAnsi"/>
          <w:sz w:val="24"/>
          <w:szCs w:val="24"/>
        </w:rPr>
      </w:pPr>
    </w:p>
    <w:p w14:paraId="6352788B" w14:textId="77777777" w:rsidR="007B0626" w:rsidRPr="003023D1" w:rsidRDefault="007B0626" w:rsidP="003023D1">
      <w:pPr>
        <w:rPr>
          <w:rFonts w:asciiTheme="minorHAnsi" w:hAnsiTheme="minorHAnsi" w:cstheme="minorHAnsi"/>
          <w:b/>
          <w:sz w:val="24"/>
          <w:szCs w:val="24"/>
        </w:rPr>
      </w:pPr>
      <w:r w:rsidRPr="003023D1">
        <w:rPr>
          <w:rFonts w:asciiTheme="minorHAnsi" w:hAnsiTheme="minorHAnsi" w:cstheme="minorHAnsi"/>
          <w:b/>
          <w:sz w:val="24"/>
          <w:szCs w:val="24"/>
        </w:rPr>
        <w:t>Retaining Ballast Water Exchange</w:t>
      </w:r>
    </w:p>
    <w:p w14:paraId="6DE76115" w14:textId="77777777" w:rsidR="007B0626" w:rsidRPr="003023D1" w:rsidRDefault="007B0626" w:rsidP="007B0626">
      <w:pPr>
        <w:ind w:left="360"/>
        <w:rPr>
          <w:rFonts w:asciiTheme="minorHAnsi" w:hAnsiTheme="minorHAnsi" w:cstheme="minorHAnsi"/>
          <w:b/>
          <w:sz w:val="24"/>
          <w:szCs w:val="24"/>
        </w:rPr>
      </w:pPr>
    </w:p>
    <w:p w14:paraId="608454BE"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What need would the proposed rule address?</w:t>
      </w:r>
    </w:p>
    <w:p w14:paraId="4FB3EF70" w14:textId="77777777" w:rsidR="007B0626" w:rsidRPr="003023D1" w:rsidRDefault="007B0626" w:rsidP="007B0626">
      <w:pPr>
        <w:rPr>
          <w:rFonts w:asciiTheme="minorHAnsi" w:hAnsiTheme="minorHAnsi" w:cstheme="minorHAnsi"/>
          <w:sz w:val="24"/>
          <w:szCs w:val="24"/>
        </w:rPr>
      </w:pPr>
    </w:p>
    <w:p w14:paraId="44F5838A"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19C41589" w14:textId="77777777" w:rsidR="007B0626" w:rsidRPr="003023D1" w:rsidRDefault="007B0626" w:rsidP="007B0626">
      <w:pPr>
        <w:rPr>
          <w:rFonts w:asciiTheme="minorHAnsi" w:hAnsiTheme="minorHAnsi" w:cstheme="minorHAnsi"/>
          <w:sz w:val="24"/>
          <w:szCs w:val="24"/>
        </w:rPr>
      </w:pPr>
    </w:p>
    <w:p w14:paraId="127AD86D"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How would the proposed rule address the need?</w:t>
      </w:r>
    </w:p>
    <w:p w14:paraId="0DCD9528" w14:textId="77777777" w:rsidR="007B0626" w:rsidRPr="003023D1" w:rsidRDefault="007B0626" w:rsidP="007B0626">
      <w:pPr>
        <w:rPr>
          <w:rFonts w:asciiTheme="minorHAnsi" w:hAnsiTheme="minorHAnsi" w:cstheme="minorHAnsi"/>
          <w:sz w:val="24"/>
          <w:szCs w:val="24"/>
        </w:rPr>
      </w:pPr>
    </w:p>
    <w:p w14:paraId="22DFE4EB"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The rules retain ballast water exchange requirements for a subset of vessel arrivals to Oregon that represent a high risk for transporting AIS.</w:t>
      </w:r>
    </w:p>
    <w:p w14:paraId="025DC67E" w14:textId="77777777" w:rsidR="007B0626" w:rsidRPr="003023D1" w:rsidRDefault="007B0626" w:rsidP="007B0626">
      <w:pPr>
        <w:rPr>
          <w:rFonts w:asciiTheme="minorHAnsi" w:hAnsiTheme="minorHAnsi" w:cstheme="minorHAnsi"/>
          <w:sz w:val="24"/>
          <w:szCs w:val="24"/>
        </w:rPr>
      </w:pPr>
    </w:p>
    <w:p w14:paraId="62948F50"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How will DEQ know the rule addressed the need?</w:t>
      </w:r>
    </w:p>
    <w:p w14:paraId="784ACB19" w14:textId="77777777" w:rsidR="007B0626" w:rsidRPr="003023D1" w:rsidRDefault="007B0626" w:rsidP="007B0626">
      <w:pPr>
        <w:rPr>
          <w:rFonts w:asciiTheme="minorHAnsi" w:hAnsiTheme="minorHAnsi" w:cstheme="minorHAnsi"/>
          <w:sz w:val="24"/>
          <w:szCs w:val="24"/>
        </w:rPr>
      </w:pPr>
    </w:p>
    <w:p w14:paraId="685E8985"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0DCEB4DF" w14:textId="77777777" w:rsidR="007B0626" w:rsidRPr="003023D1" w:rsidRDefault="007B0626" w:rsidP="007B0626">
      <w:pPr>
        <w:rPr>
          <w:rFonts w:asciiTheme="minorHAnsi" w:hAnsiTheme="minorHAnsi" w:cstheme="minorHAnsi"/>
          <w:sz w:val="24"/>
          <w:szCs w:val="24"/>
        </w:rPr>
      </w:pPr>
    </w:p>
    <w:p w14:paraId="4DFD84A9" w14:textId="77777777" w:rsidR="007B0626" w:rsidRPr="003023D1" w:rsidRDefault="007B0626" w:rsidP="003023D1">
      <w:pPr>
        <w:rPr>
          <w:rFonts w:asciiTheme="minorHAnsi" w:hAnsiTheme="minorHAnsi" w:cstheme="minorHAnsi"/>
          <w:b/>
          <w:sz w:val="24"/>
          <w:szCs w:val="24"/>
        </w:rPr>
      </w:pPr>
      <w:r w:rsidRPr="003023D1">
        <w:rPr>
          <w:rFonts w:asciiTheme="minorHAnsi" w:hAnsiTheme="minorHAnsi" w:cstheme="minorHAnsi"/>
          <w:b/>
          <w:sz w:val="24"/>
          <w:szCs w:val="24"/>
        </w:rPr>
        <w:t>Noise Tables</w:t>
      </w:r>
    </w:p>
    <w:p w14:paraId="11D72356" w14:textId="77777777" w:rsidR="007B0626" w:rsidRPr="003023D1" w:rsidRDefault="007B0626" w:rsidP="007B0626">
      <w:pPr>
        <w:ind w:left="360"/>
        <w:rPr>
          <w:rFonts w:asciiTheme="minorHAnsi" w:hAnsiTheme="minorHAnsi" w:cstheme="minorHAnsi"/>
          <w:b/>
          <w:sz w:val="24"/>
          <w:szCs w:val="24"/>
        </w:rPr>
      </w:pPr>
    </w:p>
    <w:p w14:paraId="057348DA"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What need would the proposed rule address?</w:t>
      </w:r>
    </w:p>
    <w:p w14:paraId="32BE85EC" w14:textId="77777777" w:rsidR="007B0626" w:rsidRPr="003023D1" w:rsidRDefault="007B0626" w:rsidP="007B0626">
      <w:pPr>
        <w:rPr>
          <w:rFonts w:asciiTheme="minorHAnsi" w:hAnsiTheme="minorHAnsi" w:cstheme="minorHAnsi"/>
          <w:sz w:val="24"/>
          <w:szCs w:val="24"/>
        </w:rPr>
      </w:pPr>
    </w:p>
    <w:p w14:paraId="52248773"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 xml:space="preserve">The rules are currently difficult for users to read, interpret and apply because the necessary information contained in tables and reference documents is not published in the same location as the rules. </w:t>
      </w:r>
    </w:p>
    <w:p w14:paraId="5E6D2303" w14:textId="77777777" w:rsidR="007B0626" w:rsidRPr="003023D1" w:rsidRDefault="007B0626" w:rsidP="007B0626">
      <w:pPr>
        <w:rPr>
          <w:rFonts w:asciiTheme="minorHAnsi" w:hAnsiTheme="minorHAnsi" w:cstheme="minorHAnsi"/>
          <w:b/>
          <w:sz w:val="24"/>
          <w:szCs w:val="24"/>
        </w:rPr>
      </w:pPr>
    </w:p>
    <w:p w14:paraId="1BE51AEF"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How would the proposed rule address the need?</w:t>
      </w:r>
    </w:p>
    <w:p w14:paraId="3F470B6E" w14:textId="77777777" w:rsidR="007B0626" w:rsidRPr="003023D1" w:rsidRDefault="007B0626" w:rsidP="007B0626">
      <w:pPr>
        <w:rPr>
          <w:rFonts w:asciiTheme="minorHAnsi" w:hAnsiTheme="minorHAnsi" w:cstheme="minorHAnsi"/>
          <w:sz w:val="24"/>
          <w:szCs w:val="24"/>
        </w:rPr>
      </w:pPr>
    </w:p>
    <w:p w14:paraId="238E552D"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The amendments move tables and reference documents from a source that is external to the official published version of the rules and incorporates those documents into the official published version of the rules.</w:t>
      </w:r>
    </w:p>
    <w:p w14:paraId="26666D80" w14:textId="77777777" w:rsidR="007B0626" w:rsidRPr="003023D1" w:rsidRDefault="007B0626" w:rsidP="007B0626">
      <w:pPr>
        <w:rPr>
          <w:rFonts w:asciiTheme="minorHAnsi" w:hAnsiTheme="minorHAnsi" w:cstheme="minorHAnsi"/>
          <w:sz w:val="24"/>
          <w:szCs w:val="24"/>
        </w:rPr>
      </w:pPr>
    </w:p>
    <w:p w14:paraId="42838C49" w14:textId="77777777" w:rsidR="007B0626" w:rsidRPr="003023D1" w:rsidRDefault="007B0626" w:rsidP="007B0626">
      <w:pPr>
        <w:rPr>
          <w:rFonts w:asciiTheme="minorHAnsi" w:hAnsiTheme="minorHAnsi" w:cstheme="minorHAnsi"/>
          <w:sz w:val="24"/>
          <w:szCs w:val="24"/>
        </w:rPr>
      </w:pPr>
      <w:r w:rsidRPr="003023D1">
        <w:rPr>
          <w:rFonts w:asciiTheme="minorHAnsi" w:hAnsiTheme="minorHAnsi" w:cstheme="minorHAnsi"/>
          <w:sz w:val="24"/>
          <w:szCs w:val="24"/>
        </w:rPr>
        <w:t>How will DEQ know the rule addressed the need?</w:t>
      </w:r>
    </w:p>
    <w:p w14:paraId="4BA99C9E" w14:textId="77777777" w:rsidR="007B0626" w:rsidRPr="003023D1" w:rsidRDefault="007B0626" w:rsidP="007B0626">
      <w:pPr>
        <w:rPr>
          <w:rFonts w:asciiTheme="minorHAnsi" w:hAnsiTheme="minorHAnsi" w:cstheme="minorHAnsi"/>
          <w:sz w:val="24"/>
          <w:szCs w:val="24"/>
        </w:rPr>
      </w:pPr>
    </w:p>
    <w:p w14:paraId="12E7C4A0" w14:textId="76C93967" w:rsidR="00453AB8" w:rsidRPr="007B0626" w:rsidRDefault="007B0626" w:rsidP="003023D1">
      <w:pPr>
        <w:rPr>
          <w:rFonts w:asciiTheme="minorHAnsi" w:hAnsiTheme="minorHAnsi" w:cstheme="minorHAnsi"/>
          <w:b/>
          <w:sz w:val="23"/>
          <w:szCs w:val="23"/>
        </w:rPr>
      </w:pPr>
      <w:r w:rsidRPr="003023D1">
        <w:rPr>
          <w:rFonts w:asciiTheme="minorHAnsi" w:hAnsiTheme="minorHAnsi" w:cstheme="minorHAnsi"/>
          <w:sz w:val="24"/>
          <w:szCs w:val="24"/>
        </w:rPr>
        <w:lastRenderedPageBreak/>
        <w:t>The external documents will have been incorporated into the official published version of DEQ’s rules.</w:t>
      </w:r>
      <w:r w:rsidR="00453AB8" w:rsidRPr="007B0626">
        <w:rPr>
          <w:rFonts w:asciiTheme="minorHAnsi" w:hAnsiTheme="minorHAnsi" w:cstheme="minorHAnsi"/>
          <w:b/>
          <w:sz w:val="24"/>
          <w:szCs w:val="24"/>
        </w:rPr>
        <w:tab/>
        <w:t xml:space="preserve"> </w:t>
      </w:r>
    </w:p>
    <w:p w14:paraId="12E7C4A1" w14:textId="77777777" w:rsidR="00453AB8" w:rsidRPr="007B0626" w:rsidRDefault="00453AB8" w:rsidP="00412BED">
      <w:pPr>
        <w:tabs>
          <w:tab w:val="left" w:pos="1890"/>
        </w:tabs>
        <w:ind w:hanging="1800"/>
        <w:rPr>
          <w:rFonts w:asciiTheme="minorHAnsi" w:hAnsiTheme="minorHAnsi" w:cstheme="minorHAnsi"/>
          <w:sz w:val="24"/>
          <w:szCs w:val="24"/>
          <w:highlight w:val="lightGray"/>
        </w:rPr>
      </w:pPr>
    </w:p>
    <w:p w14:paraId="12E7C4A2" w14:textId="77777777" w:rsidR="00EC0C4F" w:rsidRPr="007B0626" w:rsidRDefault="00453AB8" w:rsidP="00EE2DB4">
      <w:pPr>
        <w:ind w:left="1800" w:hanging="1800"/>
        <w:rPr>
          <w:rFonts w:asciiTheme="minorHAnsi" w:hAnsiTheme="minorHAnsi" w:cstheme="minorHAnsi"/>
          <w:sz w:val="24"/>
          <w:szCs w:val="24"/>
        </w:rPr>
      </w:pPr>
      <w:r w:rsidRPr="007B0626">
        <w:rPr>
          <w:rFonts w:asciiTheme="minorHAnsi" w:hAnsiTheme="minorHAnsi" w:cstheme="minorHAnsi"/>
          <w:b/>
          <w:sz w:val="24"/>
          <w:szCs w:val="24"/>
        </w:rPr>
        <w:t>Public comment</w:t>
      </w:r>
    </w:p>
    <w:p w14:paraId="12E7C4A3" w14:textId="77777777" w:rsidR="00EC0C4F" w:rsidRPr="007B0626" w:rsidRDefault="00EC0C4F" w:rsidP="00EE2DB4">
      <w:pPr>
        <w:ind w:left="1800" w:hanging="1800"/>
        <w:rPr>
          <w:rFonts w:asciiTheme="minorHAnsi" w:hAnsiTheme="minorHAnsi" w:cstheme="minorHAnsi"/>
          <w:sz w:val="24"/>
          <w:szCs w:val="24"/>
        </w:rPr>
      </w:pPr>
    </w:p>
    <w:p w14:paraId="12E7C4A4" w14:textId="19432BD5" w:rsidR="00EC0C4F" w:rsidRPr="007B0626" w:rsidRDefault="00453AB8" w:rsidP="00EE2DB4">
      <w:pPr>
        <w:ind w:left="1800" w:hanging="1800"/>
        <w:rPr>
          <w:rFonts w:asciiTheme="minorHAnsi" w:hAnsiTheme="minorHAnsi" w:cstheme="minorHAnsi"/>
          <w:b/>
          <w:color w:val="A86C2A" w:themeColor="accent6" w:themeShade="BF"/>
          <w:sz w:val="24"/>
          <w:szCs w:val="24"/>
        </w:rPr>
      </w:pPr>
      <w:r w:rsidRPr="007B0626">
        <w:rPr>
          <w:rFonts w:asciiTheme="minorHAnsi" w:hAnsiTheme="minorHAnsi" w:cstheme="minorHAnsi"/>
          <w:sz w:val="24"/>
          <w:szCs w:val="24"/>
        </w:rPr>
        <w:t>Starts</w:t>
      </w:r>
      <w:r w:rsidR="00EC0C4F" w:rsidRPr="007B0626">
        <w:rPr>
          <w:rFonts w:asciiTheme="minorHAnsi" w:hAnsiTheme="minorHAnsi" w:cstheme="minorHAnsi"/>
          <w:sz w:val="24"/>
          <w:szCs w:val="24"/>
        </w:rPr>
        <w:t>:</w:t>
      </w:r>
      <w:r w:rsidR="00EC0C4F" w:rsidRPr="007B0626">
        <w:rPr>
          <w:rFonts w:asciiTheme="minorHAnsi" w:hAnsiTheme="minorHAnsi" w:cstheme="minorHAnsi"/>
          <w:sz w:val="24"/>
          <w:szCs w:val="24"/>
        </w:rPr>
        <w:tab/>
      </w:r>
      <w:r w:rsidR="007B0626">
        <w:rPr>
          <w:rFonts w:asciiTheme="minorHAnsi" w:hAnsiTheme="minorHAnsi" w:cstheme="minorHAnsi"/>
          <w:sz w:val="24"/>
          <w:szCs w:val="24"/>
        </w:rPr>
        <w:t>Friday, April 15, 2016</w:t>
      </w:r>
    </w:p>
    <w:p w14:paraId="12E7C4A5" w14:textId="7EFC29CC" w:rsidR="00453AB8" w:rsidRPr="007B0626" w:rsidRDefault="00453AB8" w:rsidP="00EE2DB4">
      <w:pPr>
        <w:ind w:left="1800" w:hanging="1800"/>
        <w:rPr>
          <w:rFonts w:asciiTheme="minorHAnsi" w:hAnsiTheme="minorHAnsi" w:cstheme="minorHAnsi"/>
          <w:color w:val="A86C2A" w:themeColor="accent6" w:themeShade="BF"/>
          <w:sz w:val="24"/>
          <w:szCs w:val="24"/>
        </w:rPr>
      </w:pPr>
      <w:r w:rsidRPr="007B0626">
        <w:rPr>
          <w:rFonts w:asciiTheme="minorHAnsi" w:hAnsiTheme="minorHAnsi" w:cstheme="minorHAnsi"/>
          <w:sz w:val="24"/>
          <w:szCs w:val="24"/>
        </w:rPr>
        <w:t>Ends</w:t>
      </w:r>
      <w:r w:rsidR="00EC0C4F" w:rsidRPr="007B0626">
        <w:rPr>
          <w:rFonts w:asciiTheme="minorHAnsi" w:hAnsiTheme="minorHAnsi" w:cstheme="minorHAnsi"/>
          <w:sz w:val="24"/>
          <w:szCs w:val="24"/>
        </w:rPr>
        <w:t>:</w:t>
      </w:r>
      <w:r w:rsidR="00EC0C4F" w:rsidRPr="007B0626">
        <w:rPr>
          <w:rFonts w:asciiTheme="minorHAnsi" w:hAnsiTheme="minorHAnsi" w:cstheme="minorHAnsi"/>
          <w:sz w:val="24"/>
          <w:szCs w:val="24"/>
        </w:rPr>
        <w:tab/>
      </w:r>
      <w:r w:rsidR="00920112" w:rsidRPr="007B0626">
        <w:rPr>
          <w:rFonts w:asciiTheme="minorHAnsi" w:hAnsiTheme="minorHAnsi" w:cstheme="minorHAnsi"/>
          <w:sz w:val="24"/>
          <w:szCs w:val="24"/>
        </w:rPr>
        <w:t xml:space="preserve">4 p.m. </w:t>
      </w:r>
      <w:r w:rsidRPr="007B0626">
        <w:rPr>
          <w:rFonts w:asciiTheme="minorHAnsi" w:hAnsiTheme="minorHAnsi" w:cstheme="minorHAnsi"/>
          <w:color w:val="A86C2A" w:themeColor="accent6" w:themeShade="BF"/>
          <w:sz w:val="24"/>
          <w:szCs w:val="24"/>
        </w:rPr>
        <w:t xml:space="preserve"> </w:t>
      </w:r>
    </w:p>
    <w:p w14:paraId="12E7C4A6" w14:textId="402EA412" w:rsidR="00A666AC" w:rsidRPr="007B0626" w:rsidRDefault="00453AB8" w:rsidP="00EE2DB4">
      <w:pPr>
        <w:ind w:left="1800" w:hanging="1800"/>
        <w:rPr>
          <w:rFonts w:asciiTheme="minorHAnsi" w:hAnsiTheme="minorHAnsi" w:cstheme="minorHAnsi"/>
          <w:color w:val="000000" w:themeColor="text1"/>
          <w:sz w:val="24"/>
          <w:szCs w:val="24"/>
        </w:rPr>
      </w:pPr>
      <w:r w:rsidRPr="007B0626">
        <w:rPr>
          <w:rFonts w:asciiTheme="minorHAnsi" w:hAnsiTheme="minorHAnsi" w:cstheme="minorHAnsi"/>
          <w:sz w:val="24"/>
          <w:szCs w:val="24"/>
        </w:rPr>
        <w:t>EQC meeting</w:t>
      </w:r>
      <w:r w:rsidRPr="007B0626">
        <w:rPr>
          <w:rFonts w:asciiTheme="minorHAnsi" w:hAnsiTheme="minorHAnsi" w:cstheme="minorHAnsi"/>
          <w:sz w:val="24"/>
          <w:szCs w:val="24"/>
        </w:rPr>
        <w:tab/>
      </w:r>
      <w:r w:rsidR="007B0626">
        <w:rPr>
          <w:rFonts w:asciiTheme="minorHAnsi" w:hAnsiTheme="minorHAnsi" w:cstheme="minorHAnsi"/>
          <w:color w:val="000000" w:themeColor="text1"/>
          <w:sz w:val="24"/>
          <w:szCs w:val="24"/>
        </w:rPr>
        <w:t>August 2016</w:t>
      </w:r>
    </w:p>
    <w:p w14:paraId="12E7C4A7" w14:textId="77777777" w:rsidR="00467997" w:rsidRPr="007B0626" w:rsidRDefault="00467997" w:rsidP="00467997">
      <w:pPr>
        <w:ind w:left="2160" w:hanging="1800"/>
        <w:rPr>
          <w:rFonts w:asciiTheme="minorHAnsi" w:hAnsiTheme="minorHAnsi" w:cstheme="minorHAnsi"/>
          <w:sz w:val="24"/>
          <w:szCs w:val="24"/>
        </w:rPr>
      </w:pPr>
    </w:p>
    <w:p w14:paraId="12E7C4A8" w14:textId="77777777" w:rsidR="00EC0C4F" w:rsidRPr="007B0626" w:rsidRDefault="00EC0C4F" w:rsidP="00467997">
      <w:pPr>
        <w:ind w:left="2160" w:hanging="1800"/>
        <w:rPr>
          <w:rFonts w:asciiTheme="minorHAnsi" w:hAnsiTheme="minorHAnsi" w:cstheme="minorHAnsi"/>
          <w:sz w:val="24"/>
          <w:szCs w:val="24"/>
        </w:rPr>
      </w:pPr>
    </w:p>
    <w:p w14:paraId="12E7C4A9" w14:textId="77777777" w:rsidR="00467997" w:rsidRPr="007B0626" w:rsidRDefault="00467997" w:rsidP="00467997">
      <w:pPr>
        <w:ind w:left="2160" w:hanging="1800"/>
        <w:rPr>
          <w:rFonts w:asciiTheme="minorHAnsi" w:hAnsiTheme="minorHAnsi" w:cstheme="minorHAnsi"/>
          <w:sz w:val="24"/>
          <w:szCs w:val="24"/>
        </w:rPr>
      </w:pPr>
      <w:r w:rsidRPr="007B0626">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12E7C4AA" wp14:editId="12E7C4AB">
                <wp:simplePos x="0" y="0"/>
                <wp:positionH relativeFrom="column">
                  <wp:posOffset>609600</wp:posOffset>
                </wp:positionH>
                <wp:positionV relativeFrom="paragraph">
                  <wp:posOffset>53340</wp:posOffset>
                </wp:positionV>
                <wp:extent cx="4740910" cy="609600"/>
                <wp:effectExtent l="0" t="0" r="2159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609600"/>
                        </a:xfrm>
                        <a:prstGeom prst="rect">
                          <a:avLst/>
                        </a:prstGeom>
                        <a:gradFill rotWithShape="1">
                          <a:gsLst>
                            <a:gs pos="0">
                              <a:srgbClr val="B6C5CD"/>
                            </a:gs>
                            <a:gs pos="100000">
                              <a:schemeClr val="accent3">
                                <a:lumMod val="20000"/>
                                <a:lumOff val="80000"/>
                              </a:schemeClr>
                            </a:gs>
                          </a:gsLst>
                          <a:lin ang="5400000" scaled="1"/>
                        </a:gradFill>
                        <a:ln w="9525">
                          <a:solidFill>
                            <a:schemeClr val="accent5">
                              <a:lumMod val="75000"/>
                              <a:lumOff val="0"/>
                            </a:schemeClr>
                          </a:solidFill>
                          <a:miter lim="800000"/>
                          <a:headEnd/>
                          <a:tailEnd/>
                        </a:ln>
                      </wps:spPr>
                      <wps:txbx>
                        <w:txbxContent>
                          <w:p w14:paraId="12E7C4AC" w14:textId="50F119C2" w:rsidR="00467997" w:rsidRPr="00A666AC" w:rsidRDefault="00467997" w:rsidP="00467997">
                            <w:r>
                              <w:rPr>
                                <w:rFonts w:ascii="Times New Roman" w:hAnsi="Times New Roman"/>
                                <w:color w:val="2A363C" w:themeColor="accent5" w:themeShade="80"/>
                              </w:rPr>
                              <w:t>E</w:t>
                            </w:r>
                            <w:r w:rsidRPr="002800D5">
                              <w:rPr>
                                <w:rFonts w:ascii="Times New Roman" w:hAnsi="Times New Roman"/>
                                <w:color w:val="2A363C" w:themeColor="accent5" w:themeShade="80"/>
                              </w:rPr>
                              <w:t xml:space="preserve">mails about this rulemaking are part of the required rulemaking record. </w:t>
                            </w:r>
                            <w:r>
                              <w:rPr>
                                <w:rFonts w:ascii="Times New Roman" w:hAnsi="Times New Roman"/>
                                <w:color w:val="2A363C" w:themeColor="accent5" w:themeShade="80"/>
                              </w:rPr>
                              <w:t xml:space="preserve">  Please </w:t>
                            </w:r>
                            <w:r w:rsidR="007B0626">
                              <w:rPr>
                                <w:rFonts w:ascii="Times New Roman" w:hAnsi="Times New Roman"/>
                                <w:color w:val="2A363C" w:themeColor="accent5" w:themeShade="80"/>
                              </w:rPr>
                              <w:t xml:space="preserve">Cc the mailbox for this rulemaking, </w:t>
                            </w:r>
                            <w:hyperlink r:id="rId13" w:history="1">
                              <w:r w:rsidR="007B0626" w:rsidRPr="00F72683">
                                <w:rPr>
                                  <w:rStyle w:val="Hyperlink"/>
                                  <w:rFonts w:ascii="Times New Roman" w:hAnsi="Times New Roman"/>
                                </w:rPr>
                                <w:t>ballast2016@deq.state.or.us</w:t>
                              </w:r>
                            </w:hyperlink>
                            <w:r w:rsidR="007B0626">
                              <w:rPr>
                                <w:rFonts w:ascii="Times New Roman" w:hAnsi="Times New Roman"/>
                                <w:color w:val="2A363C" w:themeColor="accent5" w:themeShade="80"/>
                              </w:rPr>
                              <w:t xml:space="preserve">, </w:t>
                            </w:r>
                            <w:r>
                              <w:rPr>
                                <w:rFonts w:ascii="Times New Roman" w:hAnsi="Times New Roman"/>
                                <w:color w:val="2A363C" w:themeColor="accent5" w:themeShade="80"/>
                              </w:rPr>
                              <w:t xml:space="preserve">on any email you send </w:t>
                            </w:r>
                            <w:r w:rsidR="008766E5">
                              <w:rPr>
                                <w:rFonts w:ascii="Times New Roman" w:hAnsi="Times New Roman"/>
                                <w:color w:val="2A363C" w:themeColor="accent5" w:themeShade="80"/>
                              </w:rPr>
                              <w:t>about</w:t>
                            </w:r>
                            <w:r>
                              <w:rPr>
                                <w:rFonts w:ascii="Times New Roman" w:hAnsi="Times New Roman"/>
                                <w:color w:val="2A363C" w:themeColor="accent5" w:themeShade="80"/>
                              </w:rPr>
                              <w:t xml:space="preserve"> this rulemaking.</w:t>
                            </w:r>
                          </w:p>
                        </w:txbxContent>
                      </wps:txbx>
                      <wps:bodyPr rot="0" vert="horz" wrap="square" lIns="91440" tIns="45720" rIns="91440" bIns="45720" anchor="t" anchorCtr="0" upright="1">
                        <a:noAutofit/>
                      </wps:bodyPr>
                    </wps:wsp>
                  </a:graphicData>
                </a:graphic>
              </wp:anchor>
            </w:drawing>
          </mc:Choice>
          <mc:Fallback>
            <w:pict>
              <v:shapetype w14:anchorId="12E7C4AA" id="_x0000_t202" coordsize="21600,21600" o:spt="202" path="m,l,21600r21600,l21600,xe">
                <v:stroke joinstyle="miter"/>
                <v:path gradientshapeok="t" o:connecttype="rect"/>
              </v:shapetype>
              <v:shape id="Text Box 3" o:spid="_x0000_s1026" type="#_x0000_t202" style="position:absolute;left:0;text-align:left;margin-left:48pt;margin-top:4.2pt;width:373.3pt;height: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" fillcolor="#b6c5cd" strokecolor="#3f515a [2408]">
                <v:fill color2="#e7eeee [662]" rotate="t" focus="100%" type="gradient"/>
                <v:textbox>
                  <w:txbxContent>
                    <w:p w14:paraId="12E7C4AC" w14:textId="50F119C2" w:rsidR="00467997" w:rsidRPr="00A666AC" w:rsidRDefault="00467997" w:rsidP="00467997">
                      <w:r>
                        <w:rPr>
                          <w:rFonts w:ascii="Times New Roman" w:hAnsi="Times New Roman"/>
                          <w:color w:val="2A363C" w:themeColor="accent5" w:themeShade="80"/>
                        </w:rPr>
                        <w:t>E</w:t>
                      </w:r>
                      <w:r w:rsidRPr="002800D5">
                        <w:rPr>
                          <w:rFonts w:ascii="Times New Roman" w:hAnsi="Times New Roman"/>
                          <w:color w:val="2A363C" w:themeColor="accent5" w:themeShade="80"/>
                        </w:rPr>
                        <w:t xml:space="preserve">mails about this rulemaking are part of the required rulemaking record. </w:t>
                      </w:r>
                      <w:r>
                        <w:rPr>
                          <w:rFonts w:ascii="Times New Roman" w:hAnsi="Times New Roman"/>
                          <w:color w:val="2A363C" w:themeColor="accent5" w:themeShade="80"/>
                        </w:rPr>
                        <w:t xml:space="preserve">  Please </w:t>
                      </w:r>
                      <w:r w:rsidR="007B0626">
                        <w:rPr>
                          <w:rFonts w:ascii="Times New Roman" w:hAnsi="Times New Roman"/>
                          <w:color w:val="2A363C" w:themeColor="accent5" w:themeShade="80"/>
                        </w:rPr>
                        <w:t xml:space="preserve">Cc the mailbox for this rulemaking, </w:t>
                      </w:r>
                      <w:hyperlink r:id="rId14" w:history="1">
                        <w:r w:rsidR="007B0626" w:rsidRPr="00F72683">
                          <w:rPr>
                            <w:rStyle w:val="Hyperlink"/>
                            <w:rFonts w:ascii="Times New Roman" w:hAnsi="Times New Roman"/>
                          </w:rPr>
                          <w:t>ballast2016@deq.state.or.us</w:t>
                        </w:r>
                      </w:hyperlink>
                      <w:r w:rsidR="007B0626">
                        <w:rPr>
                          <w:rFonts w:ascii="Times New Roman" w:hAnsi="Times New Roman"/>
                          <w:color w:val="2A363C" w:themeColor="accent5" w:themeShade="80"/>
                        </w:rPr>
                        <w:t xml:space="preserve">, </w:t>
                      </w:r>
                      <w:r>
                        <w:rPr>
                          <w:rFonts w:ascii="Times New Roman" w:hAnsi="Times New Roman"/>
                          <w:color w:val="2A363C" w:themeColor="accent5" w:themeShade="80"/>
                        </w:rPr>
                        <w:t xml:space="preserve">on any email you send </w:t>
                      </w:r>
                      <w:r w:rsidR="008766E5">
                        <w:rPr>
                          <w:rFonts w:ascii="Times New Roman" w:hAnsi="Times New Roman"/>
                          <w:color w:val="2A363C" w:themeColor="accent5" w:themeShade="80"/>
                        </w:rPr>
                        <w:t>about</w:t>
                      </w:r>
                      <w:r>
                        <w:rPr>
                          <w:rFonts w:ascii="Times New Roman" w:hAnsi="Times New Roman"/>
                          <w:color w:val="2A363C" w:themeColor="accent5" w:themeShade="80"/>
                        </w:rPr>
                        <w:t xml:space="preserve"> this rulemaking.</w:t>
                      </w:r>
                    </w:p>
                  </w:txbxContent>
                </v:textbox>
                <w10:wrap type="square"/>
              </v:shape>
            </w:pict>
          </mc:Fallback>
        </mc:AlternateContent>
      </w:r>
    </w:p>
    <w:bookmarkEnd w:id="0"/>
    <w:sectPr w:rsidR="00467997" w:rsidRPr="007B0626" w:rsidSect="00412BED">
      <w:pgSz w:w="12240" w:h="15840"/>
      <w:pgMar w:top="126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3D22"/>
    <w:multiLevelType w:val="hybridMultilevel"/>
    <w:tmpl w:val="EC4C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5375C52"/>
    <w:multiLevelType w:val="hybridMultilevel"/>
    <w:tmpl w:val="2BCA6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3B"/>
    <w:rsid w:val="000178C0"/>
    <w:rsid w:val="00021AF8"/>
    <w:rsid w:val="00047512"/>
    <w:rsid w:val="00081375"/>
    <w:rsid w:val="00093587"/>
    <w:rsid w:val="00100459"/>
    <w:rsid w:val="00121B61"/>
    <w:rsid w:val="00133917"/>
    <w:rsid w:val="00150AF9"/>
    <w:rsid w:val="0017355E"/>
    <w:rsid w:val="001836B4"/>
    <w:rsid w:val="001F3FB7"/>
    <w:rsid w:val="002565ED"/>
    <w:rsid w:val="00262DEF"/>
    <w:rsid w:val="002737D8"/>
    <w:rsid w:val="0027474C"/>
    <w:rsid w:val="0027593B"/>
    <w:rsid w:val="002800D5"/>
    <w:rsid w:val="00294A7A"/>
    <w:rsid w:val="00297263"/>
    <w:rsid w:val="002F4FAC"/>
    <w:rsid w:val="003023D1"/>
    <w:rsid w:val="00303715"/>
    <w:rsid w:val="00313D83"/>
    <w:rsid w:val="00345941"/>
    <w:rsid w:val="00350968"/>
    <w:rsid w:val="00352F63"/>
    <w:rsid w:val="003737DC"/>
    <w:rsid w:val="00383781"/>
    <w:rsid w:val="003B3F6E"/>
    <w:rsid w:val="004068C2"/>
    <w:rsid w:val="00406CA6"/>
    <w:rsid w:val="00407FB0"/>
    <w:rsid w:val="00412BED"/>
    <w:rsid w:val="0041427E"/>
    <w:rsid w:val="00440294"/>
    <w:rsid w:val="00453AB8"/>
    <w:rsid w:val="00467997"/>
    <w:rsid w:val="00472D42"/>
    <w:rsid w:val="00483513"/>
    <w:rsid w:val="00490B1D"/>
    <w:rsid w:val="004A26CB"/>
    <w:rsid w:val="004B07ED"/>
    <w:rsid w:val="00502D83"/>
    <w:rsid w:val="005122D6"/>
    <w:rsid w:val="00514282"/>
    <w:rsid w:val="00546AE1"/>
    <w:rsid w:val="00565A32"/>
    <w:rsid w:val="0056627E"/>
    <w:rsid w:val="00576101"/>
    <w:rsid w:val="00593CFF"/>
    <w:rsid w:val="005B2CCB"/>
    <w:rsid w:val="005C2368"/>
    <w:rsid w:val="005C37AA"/>
    <w:rsid w:val="005C3F20"/>
    <w:rsid w:val="005C7944"/>
    <w:rsid w:val="00611526"/>
    <w:rsid w:val="0061435D"/>
    <w:rsid w:val="006173E4"/>
    <w:rsid w:val="006231BF"/>
    <w:rsid w:val="00645C26"/>
    <w:rsid w:val="00646A6F"/>
    <w:rsid w:val="006732E3"/>
    <w:rsid w:val="006D0254"/>
    <w:rsid w:val="006D1F14"/>
    <w:rsid w:val="006F23C9"/>
    <w:rsid w:val="0071075E"/>
    <w:rsid w:val="00725AED"/>
    <w:rsid w:val="00734E3A"/>
    <w:rsid w:val="00755AEA"/>
    <w:rsid w:val="00766F0B"/>
    <w:rsid w:val="007947AD"/>
    <w:rsid w:val="007B0626"/>
    <w:rsid w:val="007B16BF"/>
    <w:rsid w:val="007D56D0"/>
    <w:rsid w:val="00805F4B"/>
    <w:rsid w:val="00843E70"/>
    <w:rsid w:val="00844E40"/>
    <w:rsid w:val="008766E5"/>
    <w:rsid w:val="00897C67"/>
    <w:rsid w:val="008D0E52"/>
    <w:rsid w:val="00900CCD"/>
    <w:rsid w:val="00917E68"/>
    <w:rsid w:val="00920112"/>
    <w:rsid w:val="009B15F2"/>
    <w:rsid w:val="009C0F09"/>
    <w:rsid w:val="009C3879"/>
    <w:rsid w:val="009C4F7D"/>
    <w:rsid w:val="009C5CAD"/>
    <w:rsid w:val="009D238B"/>
    <w:rsid w:val="009F215B"/>
    <w:rsid w:val="00A12ABB"/>
    <w:rsid w:val="00A277B9"/>
    <w:rsid w:val="00A549F4"/>
    <w:rsid w:val="00A666AC"/>
    <w:rsid w:val="00B63031"/>
    <w:rsid w:val="00B93DED"/>
    <w:rsid w:val="00BC6EC4"/>
    <w:rsid w:val="00BF3450"/>
    <w:rsid w:val="00BF5D1A"/>
    <w:rsid w:val="00C07369"/>
    <w:rsid w:val="00C114AD"/>
    <w:rsid w:val="00C2127D"/>
    <w:rsid w:val="00C22F74"/>
    <w:rsid w:val="00C2674C"/>
    <w:rsid w:val="00C32456"/>
    <w:rsid w:val="00C40AE4"/>
    <w:rsid w:val="00C61511"/>
    <w:rsid w:val="00CD1964"/>
    <w:rsid w:val="00CE72B3"/>
    <w:rsid w:val="00D305E8"/>
    <w:rsid w:val="00D56F36"/>
    <w:rsid w:val="00D6283B"/>
    <w:rsid w:val="00D77FF6"/>
    <w:rsid w:val="00DE74EC"/>
    <w:rsid w:val="00E0408C"/>
    <w:rsid w:val="00E31024"/>
    <w:rsid w:val="00EA049D"/>
    <w:rsid w:val="00EC0C4F"/>
    <w:rsid w:val="00ED048B"/>
    <w:rsid w:val="00EE2DB4"/>
    <w:rsid w:val="00F00DCD"/>
    <w:rsid w:val="00F23FB0"/>
    <w:rsid w:val="00F316D3"/>
    <w:rsid w:val="00F7042C"/>
    <w:rsid w:val="00F934E5"/>
    <w:rsid w:val="00F962DA"/>
    <w:rsid w:val="00FB0602"/>
    <w:rsid w:val="00FB6A79"/>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C488"/>
  <w15:docId w15:val="{F374F58C-FBA8-413A-A50E-BA133940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93B"/>
    <w:pPr>
      <w:spacing w:after="0" w:line="240" w:lineRule="auto"/>
      <w:jc w:val="left"/>
    </w:pPr>
    <w:rPr>
      <w:rFonts w:ascii="Calibri" w:hAnsi="Calibri" w:cs="Times New Roman"/>
      <w:sz w:val="22"/>
      <w:szCs w:val="22"/>
      <w:lang w:bidi="ar-SA"/>
    </w:rPr>
  </w:style>
  <w:style w:type="paragraph" w:styleId="Heading1">
    <w:name w:val="heading 1"/>
    <w:basedOn w:val="Normal"/>
    <w:next w:val="Normal"/>
    <w:link w:val="Heading1Char"/>
    <w:uiPriority w:val="9"/>
    <w:qFormat/>
    <w:rsid w:val="002F4FA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outlineLvl w:val="3"/>
    </w:pPr>
    <w:rPr>
      <w:smallCaps/>
      <w:spacing w:val="10"/>
    </w:rPr>
  </w:style>
  <w:style w:type="paragraph" w:styleId="Heading5">
    <w:name w:val="heading 5"/>
    <w:basedOn w:val="Normal"/>
    <w:next w:val="Normal"/>
    <w:link w:val="Heading5Char"/>
    <w:uiPriority w:val="9"/>
    <w:semiHidden/>
    <w:unhideWhenUsed/>
    <w:qFormat/>
    <w:rsid w:val="002F4FAC"/>
    <w:pPr>
      <w:spacing w:before="200"/>
      <w:outlineLvl w:val="4"/>
    </w:pPr>
    <w:rPr>
      <w:smallCaps/>
      <w:color w:val="988600" w:themeColor="accent2" w:themeShade="BF"/>
      <w:spacing w:val="10"/>
      <w:szCs w:val="26"/>
    </w:rPr>
  </w:style>
  <w:style w:type="paragraph" w:styleId="Heading6">
    <w:name w:val="heading 6"/>
    <w:basedOn w:val="Normal"/>
    <w:next w:val="Normal"/>
    <w:link w:val="Heading6Char"/>
    <w:uiPriority w:val="9"/>
    <w:semiHidden/>
    <w:unhideWhenUsed/>
    <w:qFormat/>
    <w:rsid w:val="002F4FAC"/>
    <w:pPr>
      <w:outlineLvl w:val="5"/>
    </w:pPr>
    <w:rPr>
      <w:smallCaps/>
      <w:color w:val="CCB400" w:themeColor="accent2"/>
      <w:spacing w:val="5"/>
    </w:rPr>
  </w:style>
  <w:style w:type="paragraph" w:styleId="Heading7">
    <w:name w:val="heading 7"/>
    <w:basedOn w:val="Normal"/>
    <w:next w:val="Normal"/>
    <w:link w:val="Heading7Char"/>
    <w:uiPriority w:val="9"/>
    <w:semiHidden/>
    <w:unhideWhenUsed/>
    <w:qFormat/>
    <w:rsid w:val="002F4FAC"/>
    <w:pPr>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outlineLvl w:val="8"/>
    </w:pPr>
    <w:rPr>
      <w:b/>
      <w:i/>
      <w:smallCaps/>
      <w:color w:val="655900"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Hyperlink">
    <w:name w:val="Hyperlink"/>
    <w:basedOn w:val="DefaultParagraphFont"/>
    <w:uiPriority w:val="99"/>
    <w:unhideWhenUsed/>
    <w:rsid w:val="0027593B"/>
    <w:rPr>
      <w:color w:val="0000FF"/>
      <w:u w:val="single"/>
    </w:rPr>
  </w:style>
  <w:style w:type="table" w:styleId="TableGrid">
    <w:name w:val="Table Grid"/>
    <w:basedOn w:val="TableNormal"/>
    <w:uiPriority w:val="59"/>
    <w:rsid w:val="009C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5F4B"/>
    <w:rPr>
      <w:color w:val="597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5614">
      <w:bodyDiv w:val="1"/>
      <w:marLeft w:val="0"/>
      <w:marRight w:val="0"/>
      <w:marTop w:val="0"/>
      <w:marBottom w:val="0"/>
      <w:divBdr>
        <w:top w:val="none" w:sz="0" w:space="0" w:color="auto"/>
        <w:left w:val="none" w:sz="0" w:space="0" w:color="auto"/>
        <w:bottom w:val="none" w:sz="0" w:space="0" w:color="auto"/>
        <w:right w:val="none" w:sz="0" w:space="0" w:color="auto"/>
      </w:divBdr>
    </w:div>
    <w:div w:id="1053232045">
      <w:bodyDiv w:val="1"/>
      <w:marLeft w:val="0"/>
      <w:marRight w:val="0"/>
      <w:marTop w:val="0"/>
      <w:marBottom w:val="0"/>
      <w:divBdr>
        <w:top w:val="none" w:sz="0" w:space="0" w:color="auto"/>
        <w:left w:val="none" w:sz="0" w:space="0" w:color="auto"/>
        <w:bottom w:val="none" w:sz="0" w:space="0" w:color="auto"/>
        <w:right w:val="none" w:sz="0" w:space="0" w:color="auto"/>
      </w:divBdr>
    </w:div>
    <w:div w:id="19508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off.rian@deq.state.or.us" TargetMode="External"/><Relationship Id="rId13" Type="http://schemas.openxmlformats.org/officeDocument/2006/relationships/hyperlink" Target="mailto:ballast2016@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eqsps/programs/rulemaking/lq/ballast2016/docs/ballast2016.rulemaking.notic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qsps/programs/rulemaking/lq/ballast2016/docs/BallastRules_Draft.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deqsps/programs/rulemaking/lq/ballast2016/docs/ballast2016.invitationtocomment.docx" TargetMode="External"/><Relationship Id="rId4" Type="http://schemas.openxmlformats.org/officeDocument/2006/relationships/numbering" Target="numbering.xml"/><Relationship Id="rId9" Type="http://schemas.openxmlformats.org/officeDocument/2006/relationships/hyperlink" Target="http://deqsps/programs/rulemaking/lq/ballast2016/default.aspx" TargetMode="External"/><Relationship Id="rId14" Type="http://schemas.openxmlformats.org/officeDocument/2006/relationships/hyperlink" Target="mailto:ballast2016@deq.state.or.us"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80BA9-A348-4AD0-AD83-7FF49B4CA1F3}">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40DCE7E9-9C2A-4559-825A-6D630C0E8A81}">
  <ds:schemaRefs>
    <ds:schemaRef ds:uri="http://schemas.microsoft.com/sharepoint/v3/contenttype/forms"/>
  </ds:schemaRefs>
</ds:datastoreItem>
</file>

<file path=customXml/itemProps3.xml><?xml version="1.0" encoding="utf-8"?>
<ds:datastoreItem xmlns:ds="http://schemas.openxmlformats.org/officeDocument/2006/customXml" ds:itemID="{6B1A7442-0689-4970-95BC-F2C9C9CA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6</cp:revision>
  <dcterms:created xsi:type="dcterms:W3CDTF">2015-06-24T17:57:00Z</dcterms:created>
  <dcterms:modified xsi:type="dcterms:W3CDTF">2016-04-01T22:09:00Z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