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FF" w:rsidRPr="009650FF" w:rsidRDefault="009650FF">
      <w:pPr>
        <w:pStyle w:val="DEQTITLE"/>
        <w:outlineLvl w:val="0"/>
        <w:rPr>
          <w:rFonts w:cs="Arial"/>
          <w:noProof/>
          <w:sz w:val="20"/>
        </w:rPr>
      </w:pPr>
    </w:p>
    <w:p w:rsidR="00121B45" w:rsidRDefault="00FB541B">
      <w:pPr>
        <w:pStyle w:val="DEQTITLE"/>
        <w:outlineLvl w:val="0"/>
        <w:rPr>
          <w:rFonts w:cs="Arial"/>
          <w:noProof/>
          <w:szCs w:val="60"/>
        </w:rPr>
      </w:pPr>
      <w:r>
        <w:rPr>
          <w:rFonts w:cs="Arial"/>
          <w:noProof/>
          <w:szCs w:val="60"/>
        </w:rPr>
        <w:t>Meeting Minutes</w:t>
      </w:r>
    </w:p>
    <w:p w:rsidR="00121B45" w:rsidRDefault="003447AF">
      <w:pPr>
        <w:pStyle w:val="DEQTITLE"/>
        <w:outlineLvl w:val="0"/>
        <w:rPr>
          <w:rFonts w:cs="Arial"/>
          <w:sz w:val="24"/>
          <w:szCs w:val="24"/>
        </w:rPr>
      </w:pPr>
      <w:r>
        <w:rPr>
          <w:rFonts w:cs="Arial"/>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7.2pt;margin-top:27.15pt;width:472.2pt;height:36pt;z-index:251657728;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" o:allowincell="f" fillcolor="black" stroked="f">
            <v:textbox>
              <w:txbxContent>
                <w:p w:rsidR="004D6397" w:rsidRPr="007045DB" w:rsidRDefault="004D6397">
                  <w:pPr>
                    <w:pStyle w:val="Heading1"/>
                    <w:rPr>
                      <w:sz w:val="44"/>
                      <w:szCs w:val="44"/>
                    </w:rPr>
                  </w:pPr>
                  <w:r>
                    <w:rPr>
                      <w:sz w:val="44"/>
                      <w:szCs w:val="44"/>
                    </w:rPr>
                    <w:t xml:space="preserve">Ballast Water Rulemaking Advisory Committee </w:t>
                  </w:r>
                </w:p>
              </w:txbxContent>
            </v:textbox>
            <w10:wrap anchory="page"/>
            <w10:anchorlock/>
          </v:shape>
        </w:pict>
      </w:r>
      <w:r w:rsidR="00725EA6">
        <w:rPr>
          <w:rFonts w:cs="Arial"/>
          <w:noProof/>
          <w:sz w:val="24"/>
          <w:szCs w:val="24"/>
        </w:rPr>
        <w:t>Ballast Water 2016</w:t>
      </w:r>
    </w:p>
    <w:p w:rsidR="00121B45" w:rsidRDefault="00121B45">
      <w:pPr>
        <w:pStyle w:val="DEQTITLE"/>
        <w:rPr>
          <w:rFonts w:cs="Arial"/>
          <w:sz w:val="20"/>
        </w:rPr>
      </w:pPr>
    </w:p>
    <w:p w:rsidR="00121B45" w:rsidRDefault="00121B45">
      <w:pPr>
        <w:pStyle w:val="DEQTITLE"/>
        <w:rPr>
          <w:rFonts w:cs="Arial"/>
          <w:sz w:val="20"/>
        </w:rPr>
        <w:sectPr w:rsidR="00121B45">
          <w:headerReference w:type="even" r:id="rId10"/>
          <w:headerReference w:type="default" r:id="rId11"/>
          <w:footerReference w:type="even" r:id="rId12"/>
          <w:footerReference w:type="default" r:id="rId13"/>
          <w:headerReference w:type="first" r:id="rId14"/>
          <w:footerReference w:type="first" r:id="rId15"/>
          <w:pgSz w:w="12240" w:h="15840"/>
          <w:pgMar w:top="1260" w:right="720" w:bottom="720" w:left="720" w:header="720" w:footer="720" w:gutter="0"/>
          <w:cols w:space="360"/>
        </w:sectPr>
      </w:pPr>
    </w:p>
    <w:p w:rsidR="00121B45" w:rsidRDefault="00121B45">
      <w:pPr>
        <w:pStyle w:val="DEQSMALLHEADLINES"/>
        <w:outlineLvl w:val="0"/>
        <w:rPr>
          <w:rFonts w:cs="Arial"/>
        </w:rPr>
      </w:pPr>
    </w:p>
    <w:p w:rsidR="00725EA6" w:rsidRDefault="00725EA6" w:rsidP="00725EA6">
      <w:pPr>
        <w:pStyle w:val="DEQSMALLHEADLINES"/>
        <w:ind w:right="1980"/>
        <w:jc w:val="center"/>
        <w:outlineLvl w:val="0"/>
        <w:rPr>
          <w:rFonts w:cs="Arial"/>
          <w:sz w:val="22"/>
          <w:szCs w:val="22"/>
        </w:rPr>
      </w:pPr>
      <w:r w:rsidRPr="00353600">
        <w:rPr>
          <w:rFonts w:cs="Arial"/>
          <w:sz w:val="22"/>
          <w:szCs w:val="22"/>
        </w:rPr>
        <w:t xml:space="preserve">Wednesday, </w:t>
      </w:r>
      <w:r w:rsidR="00AF64F1">
        <w:rPr>
          <w:rFonts w:cs="Arial"/>
          <w:sz w:val="22"/>
          <w:szCs w:val="22"/>
        </w:rPr>
        <w:t>Feb 29</w:t>
      </w:r>
      <w:r w:rsidR="00AF64F1" w:rsidRPr="00AF64F1">
        <w:rPr>
          <w:rFonts w:cs="Arial"/>
          <w:sz w:val="22"/>
          <w:szCs w:val="22"/>
          <w:vertAlign w:val="superscript"/>
        </w:rPr>
        <w:t>th</w:t>
      </w:r>
      <w:r w:rsidR="009A6548">
        <w:rPr>
          <w:rFonts w:cs="Arial"/>
          <w:sz w:val="22"/>
          <w:szCs w:val="22"/>
        </w:rPr>
        <w:t>, 2016</w:t>
      </w:r>
    </w:p>
    <w:p w:rsidR="00725EA6" w:rsidRPr="00353600" w:rsidRDefault="00725EA6" w:rsidP="00725EA6">
      <w:pPr>
        <w:pStyle w:val="DEQSMALLHEADLINES"/>
        <w:ind w:right="1980"/>
        <w:jc w:val="center"/>
        <w:outlineLvl w:val="0"/>
        <w:rPr>
          <w:rFonts w:cs="Arial"/>
          <w:sz w:val="22"/>
          <w:szCs w:val="22"/>
        </w:rPr>
      </w:pPr>
      <w:r>
        <w:rPr>
          <w:rFonts w:cs="Arial"/>
          <w:sz w:val="22"/>
          <w:szCs w:val="22"/>
        </w:rPr>
        <w:t>10-12:30 p.m.</w:t>
      </w:r>
    </w:p>
    <w:p w:rsidR="00725EA6" w:rsidRDefault="00725EA6" w:rsidP="00725EA6">
      <w:pPr>
        <w:pStyle w:val="DEQSMALLHEADLINES"/>
        <w:ind w:right="1980"/>
        <w:jc w:val="center"/>
        <w:outlineLvl w:val="0"/>
        <w:rPr>
          <w:rFonts w:cs="Arial"/>
          <w:sz w:val="22"/>
          <w:szCs w:val="22"/>
        </w:rPr>
      </w:pPr>
      <w:r w:rsidRPr="00353600">
        <w:rPr>
          <w:rFonts w:cs="Arial"/>
          <w:sz w:val="22"/>
          <w:szCs w:val="22"/>
        </w:rPr>
        <w:t>DEQ Headquarters</w:t>
      </w:r>
    </w:p>
    <w:p w:rsidR="00725EA6" w:rsidRPr="00B80896" w:rsidRDefault="00725EA6" w:rsidP="00725EA6">
      <w:pPr>
        <w:pStyle w:val="DEQSMALLHEADLINES"/>
        <w:ind w:right="1980"/>
        <w:jc w:val="center"/>
        <w:outlineLvl w:val="0"/>
        <w:rPr>
          <w:rFonts w:cs="Arial"/>
          <w:b w:val="0"/>
          <w:sz w:val="22"/>
          <w:szCs w:val="22"/>
        </w:rPr>
      </w:pPr>
      <w:r>
        <w:rPr>
          <w:rFonts w:cs="Arial"/>
          <w:b w:val="0"/>
          <w:sz w:val="22"/>
          <w:szCs w:val="22"/>
        </w:rPr>
        <w:t>(Check-in on 10</w:t>
      </w:r>
      <w:r w:rsidRPr="00B80896">
        <w:rPr>
          <w:rFonts w:cs="Arial"/>
          <w:b w:val="0"/>
          <w:sz w:val="22"/>
          <w:szCs w:val="22"/>
          <w:vertAlign w:val="superscript"/>
        </w:rPr>
        <w:t>th</w:t>
      </w:r>
      <w:r>
        <w:rPr>
          <w:rFonts w:cs="Arial"/>
          <w:b w:val="0"/>
          <w:sz w:val="22"/>
          <w:szCs w:val="22"/>
        </w:rPr>
        <w:t xml:space="preserve"> floor)</w:t>
      </w:r>
    </w:p>
    <w:p w:rsidR="00725EA6" w:rsidRDefault="00725EA6" w:rsidP="00725EA6">
      <w:pPr>
        <w:pStyle w:val="DEQSMALLHEADLINES"/>
        <w:ind w:right="1980"/>
        <w:jc w:val="center"/>
        <w:outlineLvl w:val="0"/>
        <w:rPr>
          <w:rFonts w:cs="Arial"/>
          <w:b w:val="0"/>
          <w:sz w:val="22"/>
          <w:szCs w:val="22"/>
        </w:rPr>
      </w:pPr>
      <w:r>
        <w:rPr>
          <w:rFonts w:cs="Arial"/>
          <w:b w:val="0"/>
          <w:sz w:val="22"/>
          <w:szCs w:val="22"/>
        </w:rPr>
        <w:t>811 SW 6</w:t>
      </w:r>
      <w:r w:rsidRPr="009E509B">
        <w:rPr>
          <w:rFonts w:cs="Arial"/>
          <w:b w:val="0"/>
          <w:sz w:val="22"/>
          <w:szCs w:val="22"/>
          <w:vertAlign w:val="superscript"/>
        </w:rPr>
        <w:t>th</w:t>
      </w:r>
      <w:r>
        <w:rPr>
          <w:rFonts w:cs="Arial"/>
          <w:b w:val="0"/>
          <w:sz w:val="22"/>
          <w:szCs w:val="22"/>
        </w:rPr>
        <w:t xml:space="preserve"> Avenue</w:t>
      </w:r>
    </w:p>
    <w:p w:rsidR="00725EA6" w:rsidRDefault="00725EA6" w:rsidP="00725EA6">
      <w:pPr>
        <w:pStyle w:val="DEQSMALLHEADLINES"/>
        <w:ind w:right="1980"/>
        <w:jc w:val="center"/>
        <w:outlineLvl w:val="0"/>
        <w:rPr>
          <w:rFonts w:cs="Arial"/>
          <w:b w:val="0"/>
          <w:sz w:val="22"/>
          <w:szCs w:val="22"/>
        </w:rPr>
      </w:pPr>
      <w:r>
        <w:rPr>
          <w:rFonts w:cs="Arial"/>
          <w:b w:val="0"/>
          <w:sz w:val="22"/>
          <w:szCs w:val="22"/>
        </w:rPr>
        <w:t>Portland, OR  97204</w:t>
      </w:r>
    </w:p>
    <w:p w:rsidR="00852399" w:rsidRDefault="00852399" w:rsidP="00FB541B">
      <w:pPr>
        <w:pStyle w:val="DEQSMALLHEADLINES"/>
        <w:ind w:right="1980"/>
        <w:outlineLvl w:val="0"/>
        <w:rPr>
          <w:rFonts w:cs="Arial"/>
          <w:sz w:val="24"/>
          <w:szCs w:val="24"/>
        </w:rPr>
      </w:pPr>
    </w:p>
    <w:p w:rsidR="00852399" w:rsidRDefault="00852399" w:rsidP="00FB541B">
      <w:pPr>
        <w:pStyle w:val="DEQSMALLHEADLINES"/>
        <w:ind w:right="1980"/>
        <w:outlineLvl w:val="0"/>
        <w:rPr>
          <w:rFonts w:cs="Arial"/>
          <w:sz w:val="24"/>
          <w:szCs w:val="24"/>
        </w:rPr>
      </w:pPr>
    </w:p>
    <w:p w:rsidR="00725EA6" w:rsidRDefault="00725EA6" w:rsidP="00FB541B">
      <w:pPr>
        <w:pStyle w:val="DEQSMALLHEADLINES"/>
        <w:ind w:right="1980"/>
        <w:outlineLvl w:val="0"/>
        <w:rPr>
          <w:rFonts w:cs="Arial"/>
          <w:sz w:val="24"/>
          <w:szCs w:val="24"/>
        </w:rPr>
      </w:pPr>
      <w:r>
        <w:rPr>
          <w:rFonts w:cs="Arial"/>
          <w:sz w:val="24"/>
          <w:szCs w:val="24"/>
        </w:rPr>
        <w:t>Committee Members participating (in attendance or via conference call):</w:t>
      </w:r>
    </w:p>
    <w:p w:rsidR="007F2804" w:rsidRDefault="007F2804" w:rsidP="00FB541B">
      <w:pPr>
        <w:pStyle w:val="DEQSMALLHEADLINES"/>
        <w:ind w:right="1980"/>
        <w:outlineLvl w:val="0"/>
        <w:rPr>
          <w:rFonts w:cs="Arial"/>
          <w:b w:val="0"/>
          <w:sz w:val="24"/>
          <w:szCs w:val="24"/>
        </w:rPr>
      </w:pPr>
      <w:r>
        <w:rPr>
          <w:rFonts w:cs="Arial"/>
          <w:b w:val="0"/>
          <w:sz w:val="24"/>
          <w:szCs w:val="24"/>
        </w:rPr>
        <w:t>Mark Sytsma (PSU)</w:t>
      </w:r>
      <w:r>
        <w:rPr>
          <w:rFonts w:cs="Arial"/>
          <w:b w:val="0"/>
          <w:sz w:val="24"/>
          <w:szCs w:val="24"/>
        </w:rPr>
        <w:tab/>
      </w:r>
      <w:r>
        <w:rPr>
          <w:rFonts w:cs="Arial"/>
          <w:b w:val="0"/>
          <w:sz w:val="24"/>
          <w:szCs w:val="24"/>
        </w:rPr>
        <w:tab/>
      </w:r>
      <w:r w:rsidR="00725EA6" w:rsidRPr="007F2804">
        <w:rPr>
          <w:rFonts w:cs="Arial"/>
          <w:b w:val="0"/>
          <w:sz w:val="24"/>
          <w:szCs w:val="24"/>
        </w:rPr>
        <w:t xml:space="preserve"> </w:t>
      </w:r>
      <w:r>
        <w:rPr>
          <w:rFonts w:cs="Arial"/>
          <w:b w:val="0"/>
          <w:sz w:val="24"/>
          <w:szCs w:val="24"/>
        </w:rPr>
        <w:tab/>
      </w:r>
      <w:r w:rsidR="00E06367" w:rsidRPr="007F2804">
        <w:rPr>
          <w:rFonts w:cs="Arial"/>
          <w:b w:val="0"/>
          <w:sz w:val="24"/>
          <w:szCs w:val="24"/>
        </w:rPr>
        <w:t xml:space="preserve">Jas </w:t>
      </w:r>
      <w:r w:rsidR="004D0D28">
        <w:rPr>
          <w:rFonts w:cs="Arial"/>
          <w:b w:val="0"/>
          <w:sz w:val="24"/>
          <w:szCs w:val="24"/>
        </w:rPr>
        <w:t>Adams (Willamette Univ</w:t>
      </w:r>
      <w:r w:rsidR="009A4C29">
        <w:rPr>
          <w:rFonts w:cs="Arial"/>
          <w:b w:val="0"/>
          <w:sz w:val="24"/>
          <w:szCs w:val="24"/>
        </w:rPr>
        <w:t>ersity</w:t>
      </w:r>
      <w:r>
        <w:rPr>
          <w:rFonts w:cs="Arial"/>
          <w:b w:val="0"/>
          <w:sz w:val="24"/>
          <w:szCs w:val="24"/>
        </w:rPr>
        <w:t>)</w:t>
      </w:r>
    </w:p>
    <w:p w:rsidR="007F2804" w:rsidRDefault="009A6548" w:rsidP="00FB541B">
      <w:pPr>
        <w:pStyle w:val="DEQSMALLHEADLINES"/>
        <w:ind w:right="1980"/>
        <w:outlineLvl w:val="0"/>
        <w:rPr>
          <w:rFonts w:cs="Arial"/>
          <w:b w:val="0"/>
          <w:sz w:val="24"/>
          <w:szCs w:val="24"/>
        </w:rPr>
      </w:pPr>
      <w:r>
        <w:rPr>
          <w:rFonts w:cs="Arial"/>
          <w:b w:val="0"/>
          <w:sz w:val="24"/>
          <w:szCs w:val="24"/>
        </w:rPr>
        <w:t>Michelle Hollis (Port of Portland)</w:t>
      </w:r>
      <w:r w:rsidR="007F2804">
        <w:rPr>
          <w:rFonts w:cs="Arial"/>
          <w:b w:val="0"/>
          <w:sz w:val="24"/>
          <w:szCs w:val="24"/>
        </w:rPr>
        <w:tab/>
        <w:t>Amanda Hanson (LCREP)</w:t>
      </w:r>
    </w:p>
    <w:p w:rsidR="007F2804" w:rsidRDefault="007F2804" w:rsidP="00FB541B">
      <w:pPr>
        <w:pStyle w:val="DEQSMALLHEADLINES"/>
        <w:ind w:right="1980"/>
        <w:outlineLvl w:val="0"/>
        <w:rPr>
          <w:rFonts w:cs="Arial"/>
          <w:b w:val="0"/>
          <w:sz w:val="24"/>
          <w:szCs w:val="24"/>
        </w:rPr>
      </w:pPr>
      <w:r>
        <w:rPr>
          <w:rFonts w:cs="Arial"/>
          <w:b w:val="0"/>
          <w:sz w:val="24"/>
          <w:szCs w:val="24"/>
        </w:rPr>
        <w:t>Kate Mickelson (CRSOA)</w:t>
      </w:r>
      <w:r>
        <w:rPr>
          <w:rFonts w:cs="Arial"/>
          <w:b w:val="0"/>
          <w:sz w:val="24"/>
          <w:szCs w:val="24"/>
        </w:rPr>
        <w:tab/>
      </w:r>
      <w:r>
        <w:rPr>
          <w:rFonts w:cs="Arial"/>
          <w:b w:val="0"/>
          <w:sz w:val="24"/>
          <w:szCs w:val="24"/>
        </w:rPr>
        <w:tab/>
        <w:t>Dick Vanderschaaf (TNC)</w:t>
      </w:r>
    </w:p>
    <w:p w:rsidR="007F2804" w:rsidRDefault="007F2804" w:rsidP="00FB541B">
      <w:pPr>
        <w:pStyle w:val="DEQSMALLHEADLINES"/>
        <w:ind w:right="1980"/>
        <w:outlineLvl w:val="0"/>
        <w:rPr>
          <w:rFonts w:cs="Arial"/>
          <w:b w:val="0"/>
          <w:sz w:val="24"/>
          <w:szCs w:val="24"/>
        </w:rPr>
      </w:pPr>
      <w:r>
        <w:rPr>
          <w:rFonts w:cs="Arial"/>
          <w:b w:val="0"/>
          <w:sz w:val="24"/>
          <w:szCs w:val="24"/>
        </w:rPr>
        <w:t>Rick Boatner (ODFW)</w:t>
      </w:r>
      <w:r>
        <w:rPr>
          <w:rFonts w:cs="Arial"/>
          <w:b w:val="0"/>
          <w:sz w:val="24"/>
          <w:szCs w:val="24"/>
        </w:rPr>
        <w:tab/>
      </w:r>
      <w:r>
        <w:rPr>
          <w:rFonts w:cs="Arial"/>
          <w:b w:val="0"/>
          <w:sz w:val="24"/>
          <w:szCs w:val="24"/>
        </w:rPr>
        <w:tab/>
      </w:r>
      <w:r w:rsidR="009A6548">
        <w:rPr>
          <w:rFonts w:cs="Arial"/>
          <w:b w:val="0"/>
          <w:sz w:val="24"/>
          <w:szCs w:val="24"/>
        </w:rPr>
        <w:t>Chris Scianni</w:t>
      </w:r>
      <w:r>
        <w:rPr>
          <w:rFonts w:cs="Arial"/>
          <w:b w:val="0"/>
          <w:sz w:val="24"/>
          <w:szCs w:val="24"/>
        </w:rPr>
        <w:t xml:space="preserve"> (CSLC)</w:t>
      </w:r>
    </w:p>
    <w:p w:rsidR="009A6548" w:rsidRDefault="007F2804" w:rsidP="009A6548">
      <w:pPr>
        <w:pStyle w:val="DEQSMALLHEADLINES"/>
        <w:ind w:right="1980"/>
        <w:outlineLvl w:val="0"/>
        <w:rPr>
          <w:rFonts w:cs="Arial"/>
          <w:b w:val="0"/>
          <w:sz w:val="24"/>
          <w:szCs w:val="24"/>
        </w:rPr>
      </w:pPr>
      <w:r>
        <w:rPr>
          <w:rFonts w:cs="Arial"/>
          <w:b w:val="0"/>
          <w:sz w:val="24"/>
          <w:szCs w:val="24"/>
        </w:rPr>
        <w:t>Michael Pearson (USCG)</w:t>
      </w:r>
      <w:r w:rsidR="009A6548">
        <w:rPr>
          <w:rFonts w:cs="Arial"/>
          <w:b w:val="0"/>
          <w:sz w:val="24"/>
          <w:szCs w:val="24"/>
        </w:rPr>
        <w:tab/>
      </w:r>
      <w:r w:rsidR="009A6548">
        <w:rPr>
          <w:rFonts w:cs="Arial"/>
          <w:b w:val="0"/>
          <w:sz w:val="24"/>
          <w:szCs w:val="24"/>
        </w:rPr>
        <w:tab/>
        <w:t>Fred Myer (Port of Portland)</w:t>
      </w:r>
    </w:p>
    <w:p w:rsidR="00AF64F1" w:rsidRDefault="00AF64F1" w:rsidP="009A6548">
      <w:pPr>
        <w:pStyle w:val="DEQSMALLHEADLINES"/>
        <w:ind w:right="1980"/>
        <w:outlineLvl w:val="0"/>
        <w:rPr>
          <w:rFonts w:cs="Arial"/>
          <w:b w:val="0"/>
          <w:sz w:val="24"/>
          <w:szCs w:val="24"/>
        </w:rPr>
      </w:pPr>
      <w:r>
        <w:rPr>
          <w:rFonts w:cs="Arial"/>
          <w:b w:val="0"/>
          <w:sz w:val="24"/>
          <w:szCs w:val="24"/>
        </w:rPr>
        <w:t>Ross McDonald (</w:t>
      </w:r>
      <w:proofErr w:type="spellStart"/>
      <w:r>
        <w:rPr>
          <w:rFonts w:cs="Arial"/>
          <w:b w:val="0"/>
          <w:sz w:val="24"/>
          <w:szCs w:val="24"/>
        </w:rPr>
        <w:t>Sause</w:t>
      </w:r>
      <w:proofErr w:type="spellEnd"/>
      <w:r>
        <w:rPr>
          <w:rFonts w:cs="Arial"/>
          <w:b w:val="0"/>
          <w:sz w:val="24"/>
          <w:szCs w:val="24"/>
        </w:rPr>
        <w:t>)</w:t>
      </w:r>
      <w:r>
        <w:rPr>
          <w:rFonts w:cs="Arial"/>
          <w:b w:val="0"/>
          <w:sz w:val="24"/>
          <w:szCs w:val="24"/>
        </w:rPr>
        <w:tab/>
      </w:r>
      <w:r>
        <w:rPr>
          <w:rFonts w:cs="Arial"/>
          <w:b w:val="0"/>
          <w:sz w:val="24"/>
          <w:szCs w:val="24"/>
        </w:rPr>
        <w:tab/>
        <w:t>Frank Holmes (WSPA</w:t>
      </w:r>
      <w:r w:rsidR="0063770F">
        <w:rPr>
          <w:rFonts w:cs="Arial"/>
          <w:b w:val="0"/>
          <w:sz w:val="24"/>
          <w:szCs w:val="24"/>
        </w:rPr>
        <w:t>)</w:t>
      </w:r>
    </w:p>
    <w:p w:rsidR="00AF64F1" w:rsidRDefault="00AF64F1" w:rsidP="009A6548">
      <w:pPr>
        <w:pStyle w:val="DEQSMALLHEADLINES"/>
        <w:ind w:right="1980"/>
        <w:outlineLvl w:val="0"/>
        <w:rPr>
          <w:rFonts w:cs="Arial"/>
          <w:b w:val="0"/>
          <w:sz w:val="24"/>
          <w:szCs w:val="24"/>
        </w:rPr>
      </w:pPr>
      <w:r>
        <w:rPr>
          <w:rFonts w:cs="Arial"/>
          <w:b w:val="0"/>
          <w:sz w:val="24"/>
          <w:szCs w:val="24"/>
        </w:rPr>
        <w:t>Karen Hayes (AK Polar Tanker)</w:t>
      </w:r>
      <w:r>
        <w:rPr>
          <w:rFonts w:cs="Arial"/>
          <w:b w:val="0"/>
          <w:sz w:val="24"/>
          <w:szCs w:val="24"/>
        </w:rPr>
        <w:tab/>
      </w:r>
    </w:p>
    <w:p w:rsidR="00725EA6" w:rsidRPr="009A6548" w:rsidRDefault="00725EA6" w:rsidP="00FB541B">
      <w:pPr>
        <w:pStyle w:val="DEQSMALLHEADLINES"/>
        <w:ind w:right="1980"/>
        <w:outlineLvl w:val="0"/>
        <w:rPr>
          <w:rFonts w:cs="Arial"/>
          <w:b w:val="0"/>
          <w:sz w:val="24"/>
          <w:szCs w:val="24"/>
        </w:rPr>
      </w:pPr>
    </w:p>
    <w:p w:rsidR="00725EA6" w:rsidRDefault="00725EA6" w:rsidP="00FB541B">
      <w:pPr>
        <w:pStyle w:val="DEQSMALLHEADLINES"/>
        <w:ind w:right="1980"/>
        <w:outlineLvl w:val="0"/>
        <w:rPr>
          <w:rFonts w:cs="Arial"/>
          <w:sz w:val="24"/>
          <w:szCs w:val="24"/>
        </w:rPr>
      </w:pPr>
      <w:r>
        <w:rPr>
          <w:rFonts w:cs="Arial"/>
          <w:sz w:val="24"/>
          <w:szCs w:val="24"/>
        </w:rPr>
        <w:t xml:space="preserve">Others present:  </w:t>
      </w:r>
    </w:p>
    <w:p w:rsidR="009A6548" w:rsidRDefault="009A6548" w:rsidP="00FB541B">
      <w:pPr>
        <w:pStyle w:val="DEQSMALLHEADLINES"/>
        <w:ind w:right="1980"/>
        <w:outlineLvl w:val="0"/>
        <w:rPr>
          <w:rFonts w:ascii="Times New Roman" w:hAnsi="Times New Roman"/>
          <w:sz w:val="24"/>
          <w:szCs w:val="24"/>
        </w:rPr>
      </w:pPr>
    </w:p>
    <w:p w:rsidR="007F2804" w:rsidRDefault="007F2804" w:rsidP="007F2804">
      <w:pPr>
        <w:pStyle w:val="DEQSMALLHEADLINES"/>
        <w:ind w:right="1980"/>
        <w:outlineLvl w:val="0"/>
        <w:rPr>
          <w:rFonts w:cs="Arial"/>
          <w:sz w:val="24"/>
          <w:szCs w:val="24"/>
        </w:rPr>
      </w:pPr>
      <w:r>
        <w:rPr>
          <w:rFonts w:cs="Arial"/>
          <w:sz w:val="24"/>
          <w:szCs w:val="24"/>
        </w:rPr>
        <w:t xml:space="preserve">DEQ staff present:  </w:t>
      </w:r>
    </w:p>
    <w:p w:rsidR="007F2804" w:rsidRDefault="007F2804" w:rsidP="007F2804">
      <w:pPr>
        <w:pStyle w:val="DEQSMALLHEADLINES"/>
        <w:ind w:right="1980"/>
        <w:outlineLvl w:val="0"/>
        <w:rPr>
          <w:rFonts w:cs="Arial"/>
          <w:b w:val="0"/>
          <w:sz w:val="24"/>
          <w:szCs w:val="24"/>
        </w:rPr>
      </w:pPr>
      <w:r>
        <w:rPr>
          <w:rFonts w:cs="Arial"/>
          <w:b w:val="0"/>
          <w:sz w:val="24"/>
          <w:szCs w:val="24"/>
        </w:rPr>
        <w:t>Rian Hooff</w:t>
      </w:r>
    </w:p>
    <w:p w:rsidR="007F2804" w:rsidRPr="007F2804" w:rsidRDefault="007F2804" w:rsidP="007F2804"/>
    <w:p w:rsidR="00FB541B" w:rsidRDefault="00FB541B" w:rsidP="00FB541B">
      <w:pPr>
        <w:pStyle w:val="DEQSMALLHEADLINES"/>
        <w:spacing w:after="120"/>
        <w:ind w:right="1980"/>
        <w:outlineLvl w:val="0"/>
        <w:rPr>
          <w:rFonts w:cs="Arial"/>
          <w:sz w:val="24"/>
          <w:szCs w:val="24"/>
        </w:rPr>
      </w:pPr>
      <w:r>
        <w:rPr>
          <w:rFonts w:cs="Arial"/>
          <w:sz w:val="24"/>
          <w:szCs w:val="24"/>
        </w:rPr>
        <w:t xml:space="preserve">List of </w:t>
      </w:r>
      <w:r w:rsidR="001550CD">
        <w:rPr>
          <w:rFonts w:cs="Arial"/>
          <w:sz w:val="24"/>
          <w:szCs w:val="24"/>
        </w:rPr>
        <w:t>Meeting Materials</w:t>
      </w:r>
      <w:r w:rsidR="00725EA6">
        <w:rPr>
          <w:rFonts w:cs="Arial"/>
          <w:sz w:val="24"/>
          <w:szCs w:val="24"/>
        </w:rPr>
        <w:t>:</w:t>
      </w:r>
    </w:p>
    <w:p w:rsidR="00FB541B" w:rsidRPr="007F2804" w:rsidRDefault="00C25F64" w:rsidP="00E06367">
      <w:pPr>
        <w:pStyle w:val="DEQSMALLHEADLINES"/>
        <w:numPr>
          <w:ilvl w:val="0"/>
          <w:numId w:val="2"/>
        </w:numPr>
        <w:ind w:right="1980"/>
        <w:outlineLvl w:val="0"/>
        <w:rPr>
          <w:rFonts w:cs="Arial"/>
          <w:b w:val="0"/>
          <w:sz w:val="24"/>
          <w:szCs w:val="24"/>
        </w:rPr>
      </w:pPr>
      <w:r>
        <w:rPr>
          <w:rFonts w:cs="Arial"/>
          <w:b w:val="0"/>
          <w:sz w:val="24"/>
          <w:szCs w:val="24"/>
        </w:rPr>
        <w:t xml:space="preserve">Oregon DEQ presentation </w:t>
      </w:r>
      <w:proofErr w:type="spellStart"/>
      <w:r>
        <w:rPr>
          <w:rFonts w:cs="Arial"/>
          <w:b w:val="0"/>
          <w:sz w:val="24"/>
          <w:szCs w:val="24"/>
        </w:rPr>
        <w:t>slidedeck</w:t>
      </w:r>
      <w:proofErr w:type="spellEnd"/>
      <w:r>
        <w:rPr>
          <w:rFonts w:cs="Arial"/>
          <w:b w:val="0"/>
          <w:sz w:val="24"/>
          <w:szCs w:val="24"/>
        </w:rPr>
        <w:t xml:space="preserve"> (</w:t>
      </w:r>
      <w:proofErr w:type="spellStart"/>
      <w:r>
        <w:rPr>
          <w:rFonts w:cs="Arial"/>
          <w:b w:val="0"/>
          <w:sz w:val="24"/>
          <w:szCs w:val="24"/>
        </w:rPr>
        <w:t>ppt</w:t>
      </w:r>
      <w:proofErr w:type="spellEnd"/>
      <w:r>
        <w:rPr>
          <w:rFonts w:cs="Arial"/>
          <w:b w:val="0"/>
          <w:sz w:val="24"/>
          <w:szCs w:val="24"/>
        </w:rPr>
        <w:t>)</w:t>
      </w:r>
    </w:p>
    <w:p w:rsidR="001550CD" w:rsidRDefault="00C25F64" w:rsidP="00E06367">
      <w:pPr>
        <w:pStyle w:val="DEQSMALLHEADLINES"/>
        <w:numPr>
          <w:ilvl w:val="0"/>
          <w:numId w:val="2"/>
        </w:numPr>
        <w:ind w:right="1980"/>
        <w:outlineLvl w:val="0"/>
        <w:rPr>
          <w:rFonts w:cs="Arial"/>
          <w:b w:val="0"/>
          <w:sz w:val="24"/>
          <w:szCs w:val="24"/>
        </w:rPr>
      </w:pPr>
      <w:r>
        <w:rPr>
          <w:rFonts w:cs="Arial"/>
          <w:b w:val="0"/>
          <w:sz w:val="24"/>
          <w:szCs w:val="24"/>
        </w:rPr>
        <w:t>Audio Recording</w:t>
      </w:r>
    </w:p>
    <w:p w:rsidR="007F2804" w:rsidRDefault="007F2804" w:rsidP="007F2804">
      <w:pPr>
        <w:pStyle w:val="DEQSMALLHEADLINES"/>
        <w:ind w:right="1980"/>
        <w:outlineLvl w:val="0"/>
        <w:rPr>
          <w:rFonts w:cs="Arial"/>
          <w:b w:val="0"/>
          <w:sz w:val="24"/>
          <w:szCs w:val="24"/>
        </w:rPr>
      </w:pPr>
    </w:p>
    <w:p w:rsidR="0043437C" w:rsidRDefault="0043437C" w:rsidP="007F2804">
      <w:pPr>
        <w:pStyle w:val="DEQSMALLHEADLINES"/>
        <w:ind w:right="1980"/>
        <w:outlineLvl w:val="0"/>
        <w:rPr>
          <w:rFonts w:cs="Arial"/>
          <w:b w:val="0"/>
          <w:sz w:val="24"/>
          <w:szCs w:val="24"/>
        </w:rPr>
      </w:pPr>
    </w:p>
    <w:p w:rsidR="007F2804" w:rsidRDefault="007F2804" w:rsidP="007F2804">
      <w:pPr>
        <w:pStyle w:val="DEQSMALLHEADLINES"/>
        <w:ind w:right="1980"/>
        <w:outlineLvl w:val="0"/>
        <w:rPr>
          <w:rFonts w:cs="Arial"/>
          <w:b w:val="0"/>
          <w:sz w:val="24"/>
          <w:szCs w:val="24"/>
        </w:rPr>
      </w:pPr>
      <w:r>
        <w:rPr>
          <w:rFonts w:cs="Arial"/>
          <w:b w:val="0"/>
          <w:sz w:val="24"/>
          <w:szCs w:val="24"/>
        </w:rPr>
        <w:t>Meeting Commenced: 10:00 AM</w:t>
      </w:r>
    </w:p>
    <w:p w:rsidR="005A6D37" w:rsidRDefault="005A6D37" w:rsidP="009A6548">
      <w:pPr>
        <w:pStyle w:val="DEQSMALLHEADLINES"/>
        <w:ind w:right="1980"/>
        <w:outlineLvl w:val="0"/>
        <w:rPr>
          <w:rFonts w:cs="Arial"/>
          <w:b w:val="0"/>
          <w:sz w:val="24"/>
          <w:szCs w:val="24"/>
        </w:rPr>
      </w:pPr>
    </w:p>
    <w:p w:rsidR="004D0D28" w:rsidRPr="00E84C76" w:rsidRDefault="007F2804" w:rsidP="00E84C76">
      <w:pPr>
        <w:pStyle w:val="DEQSMALLHEADLINES"/>
        <w:numPr>
          <w:ilvl w:val="0"/>
          <w:numId w:val="3"/>
        </w:numPr>
        <w:ind w:right="1980"/>
        <w:outlineLvl w:val="0"/>
        <w:rPr>
          <w:rFonts w:cs="Arial"/>
          <w:b w:val="0"/>
          <w:sz w:val="24"/>
          <w:szCs w:val="24"/>
        </w:rPr>
      </w:pPr>
      <w:r>
        <w:rPr>
          <w:rFonts w:cs="Arial"/>
          <w:b w:val="0"/>
          <w:sz w:val="24"/>
          <w:szCs w:val="24"/>
        </w:rPr>
        <w:t>Welco</w:t>
      </w:r>
      <w:r w:rsidR="005C642F">
        <w:rPr>
          <w:rFonts w:cs="Arial"/>
          <w:b w:val="0"/>
          <w:sz w:val="24"/>
          <w:szCs w:val="24"/>
        </w:rPr>
        <w:t>me and Introductions.</w:t>
      </w:r>
    </w:p>
    <w:p w:rsidR="002A6B1B" w:rsidRDefault="002A6B1B" w:rsidP="00AF1097">
      <w:pPr>
        <w:pStyle w:val="DEQSMALLHEADLINES"/>
        <w:ind w:right="1980"/>
        <w:outlineLvl w:val="0"/>
        <w:rPr>
          <w:rFonts w:cs="Arial"/>
          <w:b w:val="0"/>
          <w:sz w:val="24"/>
          <w:szCs w:val="24"/>
        </w:rPr>
      </w:pPr>
    </w:p>
    <w:p w:rsidR="00E84C76" w:rsidRDefault="00E84C76" w:rsidP="007F2804">
      <w:pPr>
        <w:pStyle w:val="DEQSMALLHEADLINES"/>
        <w:numPr>
          <w:ilvl w:val="0"/>
          <w:numId w:val="3"/>
        </w:numPr>
        <w:ind w:right="1980"/>
        <w:outlineLvl w:val="0"/>
        <w:rPr>
          <w:rFonts w:cs="Arial"/>
          <w:b w:val="0"/>
          <w:sz w:val="24"/>
          <w:szCs w:val="24"/>
        </w:rPr>
      </w:pPr>
      <w:r>
        <w:rPr>
          <w:rFonts w:cs="Arial"/>
          <w:b w:val="0"/>
          <w:sz w:val="24"/>
          <w:szCs w:val="24"/>
        </w:rPr>
        <w:t xml:space="preserve">DEQ provided </w:t>
      </w:r>
      <w:r w:rsidR="000C607A">
        <w:rPr>
          <w:rFonts w:cs="Arial"/>
          <w:b w:val="0"/>
          <w:sz w:val="24"/>
          <w:szCs w:val="24"/>
        </w:rPr>
        <w:t>the following informational updates:</w:t>
      </w:r>
    </w:p>
    <w:p w:rsidR="000C607A" w:rsidRDefault="000C607A" w:rsidP="000C607A">
      <w:pPr>
        <w:pStyle w:val="DEQSMALLHEADLINES"/>
        <w:numPr>
          <w:ilvl w:val="1"/>
          <w:numId w:val="3"/>
        </w:numPr>
        <w:ind w:right="1980"/>
        <w:outlineLvl w:val="0"/>
        <w:rPr>
          <w:rFonts w:cs="Arial"/>
          <w:b w:val="0"/>
          <w:sz w:val="24"/>
          <w:szCs w:val="24"/>
        </w:rPr>
      </w:pPr>
      <w:r>
        <w:rPr>
          <w:rFonts w:cs="Arial"/>
          <w:b w:val="0"/>
          <w:sz w:val="24"/>
          <w:szCs w:val="24"/>
        </w:rPr>
        <w:t xml:space="preserve">Recent news that Belgium will ratify the IMO Ballast Water Management Convention pushes closer to the 35% world gross tonnage representation requirement for the Convention to go into force.  One or two more countries and it will likely reach </w:t>
      </w:r>
      <w:proofErr w:type="gramStart"/>
      <w:r>
        <w:rPr>
          <w:rFonts w:cs="Arial"/>
          <w:b w:val="0"/>
          <w:sz w:val="24"/>
          <w:szCs w:val="24"/>
        </w:rPr>
        <w:t>the to</w:t>
      </w:r>
      <w:proofErr w:type="gramEnd"/>
      <w:r>
        <w:rPr>
          <w:rFonts w:cs="Arial"/>
          <w:b w:val="0"/>
          <w:sz w:val="24"/>
          <w:szCs w:val="24"/>
        </w:rPr>
        <w:t xml:space="preserve"> trigger implementation.</w:t>
      </w:r>
    </w:p>
    <w:p w:rsidR="000C607A" w:rsidRDefault="000C607A" w:rsidP="000C607A">
      <w:pPr>
        <w:pStyle w:val="DEQSMALLHEADLINES"/>
        <w:numPr>
          <w:ilvl w:val="1"/>
          <w:numId w:val="3"/>
        </w:numPr>
        <w:ind w:right="1980"/>
        <w:outlineLvl w:val="0"/>
        <w:rPr>
          <w:rFonts w:cs="Arial"/>
          <w:b w:val="0"/>
          <w:sz w:val="24"/>
          <w:szCs w:val="24"/>
        </w:rPr>
      </w:pPr>
      <w:r>
        <w:rPr>
          <w:rFonts w:cs="Arial"/>
          <w:b w:val="0"/>
          <w:sz w:val="24"/>
          <w:szCs w:val="24"/>
        </w:rPr>
        <w:t xml:space="preserve">USCG/NBIC launched new reporting requirements effective 2/29/16, including implementation of a new BWMR form.  Since west coast states use/rely on the federal reporting form for state reporting, and very little advance notices was provided to stakeholders, state programs (including OR) are </w:t>
      </w:r>
      <w:r w:rsidR="0043437C">
        <w:rPr>
          <w:rFonts w:cs="Arial"/>
          <w:b w:val="0"/>
          <w:sz w:val="24"/>
          <w:szCs w:val="24"/>
        </w:rPr>
        <w:t xml:space="preserve">dealing </w:t>
      </w:r>
      <w:r>
        <w:rPr>
          <w:rFonts w:cs="Arial"/>
          <w:b w:val="0"/>
          <w:sz w:val="24"/>
          <w:szCs w:val="24"/>
        </w:rPr>
        <w:t>with signifi</w:t>
      </w:r>
      <w:r w:rsidR="0043437C">
        <w:rPr>
          <w:rFonts w:cs="Arial"/>
          <w:b w:val="0"/>
          <w:sz w:val="24"/>
          <w:szCs w:val="24"/>
        </w:rPr>
        <w:t xml:space="preserve">cant changes to data collection/processing </w:t>
      </w:r>
      <w:r>
        <w:rPr>
          <w:rFonts w:cs="Arial"/>
          <w:b w:val="0"/>
          <w:sz w:val="24"/>
          <w:szCs w:val="24"/>
        </w:rPr>
        <w:t>procedures.</w:t>
      </w:r>
    </w:p>
    <w:p w:rsidR="000C607A" w:rsidRDefault="000C607A" w:rsidP="000C607A">
      <w:pPr>
        <w:pStyle w:val="DEQSMALLHEADLINES"/>
        <w:numPr>
          <w:ilvl w:val="1"/>
          <w:numId w:val="3"/>
        </w:numPr>
        <w:ind w:right="1980"/>
        <w:outlineLvl w:val="0"/>
        <w:rPr>
          <w:rFonts w:cs="Arial"/>
          <w:b w:val="0"/>
          <w:sz w:val="24"/>
          <w:szCs w:val="24"/>
        </w:rPr>
      </w:pPr>
      <w:r>
        <w:rPr>
          <w:rFonts w:cs="Arial"/>
          <w:b w:val="0"/>
          <w:sz w:val="24"/>
          <w:szCs w:val="24"/>
        </w:rPr>
        <w:lastRenderedPageBreak/>
        <w:t>DEQ staff reached out to multiple great lakes and east coast states to inquire about any implementation challenges or hurdles that they (or their maritime industry stakeholders) have encountered in implementing ‘exchange plus treatment’ provisions under state regulations and/or 401 certifications to the EPA Vessel General Permit.  There was no mention of any significant challenges, although two representatives (MI and Great Lakes Commission) noted that the great lakes have not seen very many vessels, yet, using shipboard ballast treatment systems.</w:t>
      </w:r>
    </w:p>
    <w:p w:rsidR="00542C32" w:rsidRDefault="00542C32" w:rsidP="00542C32">
      <w:pPr>
        <w:pStyle w:val="DEQSMALLHEADLINES"/>
        <w:numPr>
          <w:ilvl w:val="1"/>
          <w:numId w:val="3"/>
        </w:numPr>
        <w:ind w:right="1980"/>
        <w:outlineLvl w:val="0"/>
        <w:rPr>
          <w:rFonts w:cs="Arial"/>
          <w:b w:val="0"/>
          <w:sz w:val="24"/>
          <w:szCs w:val="24"/>
        </w:rPr>
      </w:pPr>
      <w:r>
        <w:rPr>
          <w:rFonts w:cs="Arial"/>
          <w:b w:val="0"/>
          <w:sz w:val="24"/>
          <w:szCs w:val="24"/>
        </w:rPr>
        <w:t xml:space="preserve">DEQ staff circulated a </w:t>
      </w:r>
      <w:proofErr w:type="spellStart"/>
      <w:r>
        <w:rPr>
          <w:rFonts w:cs="Arial"/>
          <w:b w:val="0"/>
          <w:sz w:val="24"/>
          <w:szCs w:val="24"/>
        </w:rPr>
        <w:t>pdf</w:t>
      </w:r>
      <w:proofErr w:type="spellEnd"/>
      <w:r>
        <w:rPr>
          <w:rFonts w:cs="Arial"/>
          <w:b w:val="0"/>
          <w:sz w:val="24"/>
          <w:szCs w:val="24"/>
        </w:rPr>
        <w:t xml:space="preserve"> of a recent scientific publication with particular relevance to the Advisory </w:t>
      </w:r>
      <w:proofErr w:type="spellStart"/>
      <w:r>
        <w:rPr>
          <w:rFonts w:cs="Arial"/>
          <w:b w:val="0"/>
          <w:sz w:val="24"/>
          <w:szCs w:val="24"/>
        </w:rPr>
        <w:t>Committtee’s</w:t>
      </w:r>
      <w:proofErr w:type="spellEnd"/>
      <w:r>
        <w:rPr>
          <w:rFonts w:cs="Arial"/>
          <w:b w:val="0"/>
          <w:sz w:val="24"/>
          <w:szCs w:val="24"/>
        </w:rPr>
        <w:t xml:space="preserve"> discussion on ‘exchange plus treatment’.  </w:t>
      </w:r>
      <w:proofErr w:type="spellStart"/>
      <w:r>
        <w:rPr>
          <w:rFonts w:cs="Arial"/>
          <w:b w:val="0"/>
          <w:sz w:val="24"/>
          <w:szCs w:val="24"/>
        </w:rPr>
        <w:t>Briski</w:t>
      </w:r>
      <w:proofErr w:type="spellEnd"/>
      <w:r>
        <w:rPr>
          <w:rFonts w:cs="Arial"/>
          <w:b w:val="0"/>
          <w:sz w:val="24"/>
          <w:szCs w:val="24"/>
        </w:rPr>
        <w:t xml:space="preserve"> et al. (2015) provides taxonomic specific results from shipboard trials investigating BWE+BWT that complement earlier shipboard and </w:t>
      </w:r>
      <w:proofErr w:type="spellStart"/>
      <w:r>
        <w:rPr>
          <w:rFonts w:cs="Arial"/>
          <w:b w:val="0"/>
          <w:sz w:val="24"/>
          <w:szCs w:val="24"/>
        </w:rPr>
        <w:t>landbased</w:t>
      </w:r>
      <w:proofErr w:type="spellEnd"/>
      <w:r>
        <w:rPr>
          <w:rFonts w:cs="Arial"/>
          <w:b w:val="0"/>
          <w:sz w:val="24"/>
          <w:szCs w:val="24"/>
        </w:rPr>
        <w:t xml:space="preserve"> studies.  In particular, the study emphasized that:</w:t>
      </w:r>
    </w:p>
    <w:p w:rsidR="00542C32" w:rsidRDefault="00542C32" w:rsidP="00542C32">
      <w:pPr>
        <w:pStyle w:val="DEQSMALLHEADLINES"/>
        <w:numPr>
          <w:ilvl w:val="2"/>
          <w:numId w:val="3"/>
        </w:numPr>
        <w:ind w:right="1980"/>
        <w:outlineLvl w:val="0"/>
        <w:rPr>
          <w:rFonts w:cs="Arial"/>
          <w:b w:val="0"/>
          <w:sz w:val="24"/>
          <w:szCs w:val="24"/>
        </w:rPr>
      </w:pPr>
      <w:r>
        <w:rPr>
          <w:rFonts w:cs="Arial"/>
          <w:b w:val="0"/>
          <w:sz w:val="24"/>
          <w:szCs w:val="24"/>
        </w:rPr>
        <w:t xml:space="preserve"> </w:t>
      </w:r>
      <w:r w:rsidRPr="00542C32">
        <w:rPr>
          <w:rFonts w:cs="Arial"/>
          <w:b w:val="0"/>
          <w:sz w:val="24"/>
          <w:szCs w:val="24"/>
        </w:rPr>
        <w:t>the combined “BWE plus BWT” strategy that targets two factors in the invasion process</w:t>
      </w:r>
      <w:r>
        <w:rPr>
          <w:rFonts w:cs="Arial"/>
          <w:b w:val="0"/>
          <w:sz w:val="24"/>
          <w:szCs w:val="24"/>
        </w:rPr>
        <w:t xml:space="preserve"> </w:t>
      </w:r>
      <w:r w:rsidRPr="00542C32">
        <w:rPr>
          <w:rFonts w:cs="Arial"/>
          <w:b w:val="0"/>
          <w:sz w:val="24"/>
          <w:szCs w:val="24"/>
        </w:rPr>
        <w:t>(i.e., propagule pressure and environmental tolerance) proved to be more effective in reducing invasion risk to freshwater rec</w:t>
      </w:r>
      <w:r>
        <w:rPr>
          <w:rFonts w:cs="Arial"/>
          <w:b w:val="0"/>
          <w:sz w:val="24"/>
          <w:szCs w:val="24"/>
        </w:rPr>
        <w:t xml:space="preserve">ipient systems than “BWT alone”, and </w:t>
      </w:r>
    </w:p>
    <w:p w:rsidR="00542C32" w:rsidRPr="00542C32" w:rsidRDefault="00542C32" w:rsidP="00542C32">
      <w:pPr>
        <w:pStyle w:val="DEQSMALLHEADLINES"/>
        <w:numPr>
          <w:ilvl w:val="2"/>
          <w:numId w:val="3"/>
        </w:numPr>
        <w:ind w:right="1980"/>
        <w:outlineLvl w:val="0"/>
        <w:rPr>
          <w:rFonts w:cs="Arial"/>
          <w:b w:val="0"/>
          <w:sz w:val="24"/>
          <w:szCs w:val="24"/>
        </w:rPr>
      </w:pPr>
      <w:r w:rsidRPr="00542C32">
        <w:rPr>
          <w:rFonts w:cs="Arial"/>
          <w:b w:val="0"/>
          <w:iCs/>
          <w:sz w:val="24"/>
          <w:szCs w:val="24"/>
        </w:rPr>
        <w:t xml:space="preserve">“BWT alone” tanks contained higher risk freshwater or </w:t>
      </w:r>
      <w:proofErr w:type="spellStart"/>
      <w:r w:rsidRPr="00542C32">
        <w:rPr>
          <w:rFonts w:cs="Arial"/>
          <w:b w:val="0"/>
          <w:iCs/>
          <w:sz w:val="24"/>
          <w:szCs w:val="24"/>
        </w:rPr>
        <w:t>euryhaline</w:t>
      </w:r>
      <w:proofErr w:type="spellEnd"/>
      <w:r w:rsidRPr="00542C32">
        <w:rPr>
          <w:rFonts w:cs="Arial"/>
          <w:b w:val="0"/>
          <w:iCs/>
          <w:sz w:val="24"/>
          <w:szCs w:val="24"/>
        </w:rPr>
        <w:t xml:space="preserve"> </w:t>
      </w:r>
      <w:proofErr w:type="spellStart"/>
      <w:r w:rsidRPr="00542C32">
        <w:rPr>
          <w:rFonts w:cs="Arial"/>
          <w:b w:val="0"/>
          <w:iCs/>
          <w:sz w:val="24"/>
          <w:szCs w:val="24"/>
        </w:rPr>
        <w:t>taxa</w:t>
      </w:r>
      <w:proofErr w:type="spellEnd"/>
      <w:r w:rsidRPr="00542C32">
        <w:rPr>
          <w:rFonts w:cs="Arial"/>
          <w:b w:val="0"/>
          <w:iCs/>
          <w:sz w:val="24"/>
          <w:szCs w:val="24"/>
        </w:rPr>
        <w:t xml:space="preserve"> at discharge, while “BWE plus BWT” tanks contained mostly lower risk marine </w:t>
      </w:r>
      <w:proofErr w:type="spellStart"/>
      <w:r w:rsidRPr="00542C32">
        <w:rPr>
          <w:rFonts w:cs="Arial"/>
          <w:b w:val="0"/>
          <w:iCs/>
          <w:sz w:val="24"/>
          <w:szCs w:val="24"/>
        </w:rPr>
        <w:t>taxa</w:t>
      </w:r>
      <w:proofErr w:type="spellEnd"/>
      <w:r w:rsidRPr="00542C32">
        <w:rPr>
          <w:rFonts w:cs="Arial"/>
          <w:b w:val="0"/>
          <w:iCs/>
          <w:sz w:val="24"/>
          <w:szCs w:val="24"/>
        </w:rPr>
        <w:t xml:space="preserve"> unlikely to survive in recipient freshwater ecosystems.</w:t>
      </w:r>
    </w:p>
    <w:p w:rsidR="000C607A" w:rsidRDefault="00542C32" w:rsidP="000C607A">
      <w:pPr>
        <w:pStyle w:val="DEQSMALLHEADLINES"/>
        <w:numPr>
          <w:ilvl w:val="1"/>
          <w:numId w:val="3"/>
        </w:numPr>
        <w:ind w:right="1980"/>
        <w:outlineLvl w:val="0"/>
        <w:rPr>
          <w:rFonts w:cs="Arial"/>
          <w:b w:val="0"/>
          <w:sz w:val="24"/>
          <w:szCs w:val="24"/>
        </w:rPr>
      </w:pPr>
      <w:r>
        <w:rPr>
          <w:rFonts w:cs="Arial"/>
          <w:b w:val="0"/>
          <w:sz w:val="24"/>
          <w:szCs w:val="24"/>
        </w:rPr>
        <w:t>Most recently circulated version of proposed draft rules differed in the following ways:</w:t>
      </w:r>
    </w:p>
    <w:p w:rsidR="00542C32" w:rsidRDefault="00542C32" w:rsidP="00542C32">
      <w:pPr>
        <w:pStyle w:val="DEQSMALLHEADLINES"/>
        <w:numPr>
          <w:ilvl w:val="2"/>
          <w:numId w:val="3"/>
        </w:numPr>
        <w:ind w:right="1980"/>
        <w:outlineLvl w:val="0"/>
        <w:rPr>
          <w:rFonts w:cs="Arial"/>
          <w:b w:val="0"/>
          <w:sz w:val="24"/>
          <w:szCs w:val="24"/>
        </w:rPr>
      </w:pPr>
      <w:r>
        <w:rPr>
          <w:rFonts w:cs="Arial"/>
          <w:b w:val="0"/>
          <w:sz w:val="24"/>
          <w:szCs w:val="24"/>
        </w:rPr>
        <w:t>The NOBOB rule (OAR 340-143-0010) was simplified to reduce ambiguity and clarify threshold for compliance</w:t>
      </w:r>
    </w:p>
    <w:p w:rsidR="00542C32" w:rsidRDefault="00542C32" w:rsidP="00542C32">
      <w:pPr>
        <w:pStyle w:val="DEQSMALLHEADLINES"/>
        <w:numPr>
          <w:ilvl w:val="2"/>
          <w:numId w:val="3"/>
        </w:numPr>
        <w:ind w:right="1980"/>
        <w:outlineLvl w:val="0"/>
        <w:rPr>
          <w:rFonts w:cs="Arial"/>
          <w:b w:val="0"/>
          <w:sz w:val="24"/>
          <w:szCs w:val="24"/>
        </w:rPr>
      </w:pPr>
      <w:r>
        <w:rPr>
          <w:rFonts w:cs="Arial"/>
          <w:b w:val="0"/>
          <w:sz w:val="24"/>
          <w:szCs w:val="24"/>
        </w:rPr>
        <w:t>OAR 340-143-0050 was revised to:</w:t>
      </w:r>
    </w:p>
    <w:p w:rsidR="00542C32" w:rsidRDefault="00542C32" w:rsidP="00542C32">
      <w:pPr>
        <w:pStyle w:val="DEQSMALLHEADLINES"/>
        <w:numPr>
          <w:ilvl w:val="3"/>
          <w:numId w:val="3"/>
        </w:numPr>
        <w:ind w:right="1980"/>
        <w:outlineLvl w:val="0"/>
        <w:rPr>
          <w:rFonts w:cs="Arial"/>
          <w:b w:val="0"/>
          <w:sz w:val="24"/>
          <w:szCs w:val="24"/>
        </w:rPr>
      </w:pPr>
      <w:r>
        <w:rPr>
          <w:rFonts w:cs="Arial"/>
          <w:b w:val="0"/>
          <w:sz w:val="24"/>
          <w:szCs w:val="24"/>
        </w:rPr>
        <w:t>Remove reference to state-specific BW discharge standards.</w:t>
      </w:r>
    </w:p>
    <w:p w:rsidR="00542C32" w:rsidRDefault="00542C32" w:rsidP="00542C32">
      <w:pPr>
        <w:pStyle w:val="DEQSMALLHEADLINES"/>
        <w:numPr>
          <w:ilvl w:val="3"/>
          <w:numId w:val="3"/>
        </w:numPr>
        <w:ind w:right="1980"/>
        <w:outlineLvl w:val="0"/>
        <w:rPr>
          <w:rFonts w:cs="Arial"/>
          <w:b w:val="0"/>
          <w:sz w:val="24"/>
          <w:szCs w:val="24"/>
        </w:rPr>
      </w:pPr>
      <w:r>
        <w:rPr>
          <w:rFonts w:cs="Arial"/>
          <w:b w:val="0"/>
          <w:sz w:val="24"/>
          <w:szCs w:val="24"/>
        </w:rPr>
        <w:t>Removed criteria for BWE+BWT based on receiving water salinity (i.e. all Oregon ports are low-salinity)</w:t>
      </w:r>
    </w:p>
    <w:p w:rsidR="00542C32" w:rsidRPr="00542C32" w:rsidRDefault="00542C32" w:rsidP="00542C32">
      <w:pPr>
        <w:pStyle w:val="DEQSMALLHEADLINES"/>
        <w:numPr>
          <w:ilvl w:val="3"/>
          <w:numId w:val="3"/>
        </w:numPr>
        <w:ind w:right="1980"/>
        <w:outlineLvl w:val="0"/>
        <w:rPr>
          <w:rFonts w:cs="Arial"/>
          <w:b w:val="0"/>
          <w:sz w:val="24"/>
          <w:szCs w:val="24"/>
        </w:rPr>
      </w:pPr>
      <w:r>
        <w:rPr>
          <w:rFonts w:cs="Arial"/>
          <w:b w:val="0"/>
          <w:sz w:val="24"/>
          <w:szCs w:val="24"/>
        </w:rPr>
        <w:t xml:space="preserve">Removed criteria for BWE+BWT based on source salinity in order to be consistent with model established by </w:t>
      </w:r>
      <w:r w:rsidRPr="00542C32">
        <w:rPr>
          <w:rFonts w:cs="Arial"/>
          <w:b w:val="0"/>
          <w:iCs/>
          <w:sz w:val="24"/>
          <w:szCs w:val="24"/>
        </w:rPr>
        <w:t>MA, MI, MN, NY, RI (i.e. all vessels discharging ballast would be subject to BWE+BWT)</w:t>
      </w:r>
    </w:p>
    <w:p w:rsidR="00857F78" w:rsidRPr="006E4B32" w:rsidRDefault="00857F78" w:rsidP="006E4B32">
      <w:pPr>
        <w:pStyle w:val="DEQSMALLHEADLINES"/>
        <w:numPr>
          <w:ilvl w:val="3"/>
          <w:numId w:val="3"/>
        </w:numPr>
        <w:ind w:right="1980"/>
        <w:outlineLvl w:val="0"/>
        <w:rPr>
          <w:rFonts w:cs="Arial"/>
          <w:b w:val="0"/>
          <w:sz w:val="22"/>
          <w:szCs w:val="22"/>
        </w:rPr>
      </w:pPr>
      <w:r w:rsidRPr="006E4B32">
        <w:rPr>
          <w:rFonts w:cs="Arial"/>
          <w:b w:val="0"/>
          <w:iCs/>
          <w:sz w:val="22"/>
          <w:szCs w:val="22"/>
        </w:rPr>
        <w:t xml:space="preserve">Replaced </w:t>
      </w:r>
      <w:r w:rsidR="006E4B32">
        <w:rPr>
          <w:rFonts w:cs="Arial"/>
          <w:b w:val="0"/>
          <w:iCs/>
          <w:sz w:val="22"/>
          <w:szCs w:val="22"/>
        </w:rPr>
        <w:t xml:space="preserve">BWE+BWT </w:t>
      </w:r>
      <w:r w:rsidRPr="006E4B32">
        <w:rPr>
          <w:rFonts w:cs="Arial"/>
          <w:b w:val="0"/>
          <w:iCs/>
          <w:sz w:val="22"/>
          <w:szCs w:val="22"/>
        </w:rPr>
        <w:t>exemption for ‘100x more stringent BWTS’ with specific target performance standards identified in industry sponsored VIDA bill.</w:t>
      </w:r>
    </w:p>
    <w:p w:rsidR="00542C32" w:rsidRPr="006E4B32" w:rsidRDefault="006E4B32" w:rsidP="006E4B32">
      <w:pPr>
        <w:pStyle w:val="DEQSMALLHEADLINES"/>
        <w:numPr>
          <w:ilvl w:val="3"/>
          <w:numId w:val="3"/>
        </w:numPr>
        <w:ind w:right="1980"/>
        <w:outlineLvl w:val="0"/>
        <w:rPr>
          <w:rFonts w:cs="Arial"/>
          <w:b w:val="0"/>
          <w:sz w:val="24"/>
          <w:szCs w:val="24"/>
        </w:rPr>
      </w:pPr>
      <w:r>
        <w:rPr>
          <w:rFonts w:cs="Arial"/>
          <w:b w:val="0"/>
          <w:iCs/>
          <w:sz w:val="24"/>
          <w:szCs w:val="24"/>
        </w:rPr>
        <w:t xml:space="preserve">Added a </w:t>
      </w:r>
      <w:r w:rsidR="00857F78" w:rsidRPr="006E4B32">
        <w:rPr>
          <w:rFonts w:cs="Arial"/>
          <w:b w:val="0"/>
          <w:iCs/>
          <w:sz w:val="24"/>
          <w:szCs w:val="24"/>
        </w:rPr>
        <w:t>sunset date to repeal the BWE+BWT requirement 8 years after becoming effective</w:t>
      </w:r>
      <w:r>
        <w:rPr>
          <w:rFonts w:cs="Arial"/>
          <w:b w:val="0"/>
          <w:iCs/>
          <w:sz w:val="24"/>
          <w:szCs w:val="24"/>
        </w:rPr>
        <w:t>.</w:t>
      </w:r>
    </w:p>
    <w:p w:rsidR="00E84C76" w:rsidRDefault="00E84C76" w:rsidP="00E84C76">
      <w:pPr>
        <w:pStyle w:val="DEQSMALLHEADLINES"/>
        <w:ind w:right="1980"/>
        <w:outlineLvl w:val="0"/>
        <w:rPr>
          <w:rFonts w:cs="Arial"/>
          <w:b w:val="0"/>
          <w:sz w:val="24"/>
          <w:szCs w:val="24"/>
        </w:rPr>
      </w:pPr>
    </w:p>
    <w:p w:rsidR="0043437C" w:rsidRDefault="0043437C" w:rsidP="00E84C76">
      <w:pPr>
        <w:pStyle w:val="DEQSMALLHEADLINES"/>
        <w:ind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 xml:space="preserve">Roundtable </w:t>
      </w:r>
      <w:r w:rsidR="00E84C76">
        <w:rPr>
          <w:rFonts w:cs="Arial"/>
          <w:b w:val="0"/>
          <w:sz w:val="24"/>
          <w:szCs w:val="24"/>
        </w:rPr>
        <w:t>discussion about the proposed draft rule language.</w:t>
      </w:r>
    </w:p>
    <w:p w:rsidR="00535B0E" w:rsidRDefault="006E4B32" w:rsidP="00535B0E">
      <w:pPr>
        <w:pStyle w:val="DEQSMALLHEADLINES"/>
        <w:numPr>
          <w:ilvl w:val="1"/>
          <w:numId w:val="4"/>
        </w:numPr>
        <w:ind w:right="1980"/>
        <w:outlineLvl w:val="0"/>
        <w:rPr>
          <w:rFonts w:cs="Arial"/>
          <w:b w:val="0"/>
          <w:sz w:val="24"/>
          <w:szCs w:val="24"/>
        </w:rPr>
      </w:pPr>
      <w:r>
        <w:rPr>
          <w:rFonts w:cs="Arial"/>
          <w:b w:val="0"/>
          <w:sz w:val="24"/>
          <w:szCs w:val="24"/>
        </w:rPr>
        <w:t>OAR 340-143-0010</w:t>
      </w:r>
    </w:p>
    <w:p w:rsidR="006E4B32" w:rsidRDefault="006E4B32" w:rsidP="006E4B32">
      <w:pPr>
        <w:pStyle w:val="DEQSMALLHEADLINES"/>
        <w:numPr>
          <w:ilvl w:val="2"/>
          <w:numId w:val="4"/>
        </w:numPr>
        <w:ind w:right="1980"/>
        <w:outlineLvl w:val="0"/>
        <w:rPr>
          <w:rFonts w:cs="Arial"/>
          <w:b w:val="0"/>
          <w:sz w:val="24"/>
          <w:szCs w:val="24"/>
        </w:rPr>
      </w:pPr>
      <w:r>
        <w:rPr>
          <w:rFonts w:cs="Arial"/>
          <w:b w:val="0"/>
          <w:sz w:val="24"/>
          <w:szCs w:val="24"/>
        </w:rPr>
        <w:t>No substantive concerns or discussion</w:t>
      </w:r>
    </w:p>
    <w:p w:rsidR="00535B0E" w:rsidRDefault="00535B0E" w:rsidP="00535B0E">
      <w:pPr>
        <w:pStyle w:val="DEQSMALLHEADLINES"/>
        <w:numPr>
          <w:ilvl w:val="1"/>
          <w:numId w:val="5"/>
        </w:numPr>
        <w:ind w:right="1980"/>
        <w:outlineLvl w:val="0"/>
        <w:rPr>
          <w:rFonts w:cs="Arial"/>
          <w:b w:val="0"/>
          <w:sz w:val="24"/>
          <w:szCs w:val="24"/>
        </w:rPr>
      </w:pPr>
      <w:r>
        <w:rPr>
          <w:rFonts w:cs="Arial"/>
          <w:b w:val="0"/>
          <w:sz w:val="24"/>
          <w:szCs w:val="24"/>
        </w:rPr>
        <w:t>OAR 340-143-0050:</w:t>
      </w:r>
    </w:p>
    <w:p w:rsidR="00D43875" w:rsidRDefault="00857F78" w:rsidP="00AF64F1">
      <w:pPr>
        <w:pStyle w:val="DEQSMALLHEADLINES"/>
        <w:numPr>
          <w:ilvl w:val="2"/>
          <w:numId w:val="5"/>
        </w:numPr>
        <w:ind w:right="1980"/>
        <w:outlineLvl w:val="0"/>
        <w:rPr>
          <w:rFonts w:cs="Arial"/>
          <w:b w:val="0"/>
          <w:sz w:val="24"/>
          <w:szCs w:val="24"/>
        </w:rPr>
      </w:pPr>
      <w:r>
        <w:rPr>
          <w:rFonts w:cs="Arial"/>
          <w:b w:val="0"/>
          <w:sz w:val="24"/>
          <w:szCs w:val="24"/>
        </w:rPr>
        <w:t xml:space="preserve">Frank Holmes (WSPA) and Karen Hays (AK Polar Tankers) provided specific comments regarding preferences for how a </w:t>
      </w:r>
      <w:r>
        <w:rPr>
          <w:rFonts w:cs="Arial"/>
          <w:b w:val="0"/>
          <w:sz w:val="24"/>
          <w:szCs w:val="24"/>
        </w:rPr>
        <w:lastRenderedPageBreak/>
        <w:t xml:space="preserve">BWE+BWT policy could/should be established.  Specifically, they voiced strong preference for establishing criteria that would only require BWE+BWT from vessels/voyages that had sourced from a low-salinity environment.  They felt that the policy should be crafted to only target the high-risk voyages, not all.  In essence, they prefer the EPA VGP model for Great Lakes arrivals, not the </w:t>
      </w:r>
      <w:proofErr w:type="spellStart"/>
      <w:r>
        <w:rPr>
          <w:rFonts w:cs="Arial"/>
          <w:b w:val="0"/>
          <w:sz w:val="24"/>
          <w:szCs w:val="24"/>
        </w:rPr>
        <w:t>states</w:t>
      </w:r>
      <w:proofErr w:type="spellEnd"/>
      <w:r>
        <w:rPr>
          <w:rFonts w:cs="Arial"/>
          <w:b w:val="0"/>
          <w:sz w:val="24"/>
          <w:szCs w:val="24"/>
        </w:rPr>
        <w:t xml:space="preserve"> 401 certification model or criteria language under consideration by Transport Canada.  This sentiment/approach was also </w:t>
      </w:r>
      <w:proofErr w:type="gramStart"/>
      <w:r>
        <w:rPr>
          <w:rFonts w:cs="Arial"/>
          <w:b w:val="0"/>
          <w:sz w:val="24"/>
          <w:szCs w:val="24"/>
        </w:rPr>
        <w:t>supported/encouraged</w:t>
      </w:r>
      <w:proofErr w:type="gramEnd"/>
      <w:r>
        <w:rPr>
          <w:rFonts w:cs="Arial"/>
          <w:b w:val="0"/>
          <w:sz w:val="24"/>
          <w:szCs w:val="24"/>
        </w:rPr>
        <w:t xml:space="preserve"> by Ross McDonald (</w:t>
      </w:r>
      <w:proofErr w:type="spellStart"/>
      <w:r>
        <w:rPr>
          <w:rFonts w:cs="Arial"/>
          <w:b w:val="0"/>
          <w:sz w:val="24"/>
          <w:szCs w:val="24"/>
        </w:rPr>
        <w:t>Sause</w:t>
      </w:r>
      <w:proofErr w:type="spellEnd"/>
      <w:r>
        <w:rPr>
          <w:rFonts w:cs="Arial"/>
          <w:b w:val="0"/>
          <w:sz w:val="24"/>
          <w:szCs w:val="24"/>
        </w:rPr>
        <w:t xml:space="preserve"> Bros.).</w:t>
      </w:r>
    </w:p>
    <w:p w:rsidR="00857F78" w:rsidRDefault="00857F78" w:rsidP="00AF64F1">
      <w:pPr>
        <w:pStyle w:val="DEQSMALLHEADLINES"/>
        <w:numPr>
          <w:ilvl w:val="2"/>
          <w:numId w:val="5"/>
        </w:numPr>
        <w:ind w:right="1980"/>
        <w:outlineLvl w:val="0"/>
        <w:rPr>
          <w:rFonts w:cs="Arial"/>
          <w:b w:val="0"/>
          <w:sz w:val="24"/>
          <w:szCs w:val="24"/>
        </w:rPr>
      </w:pPr>
      <w:r>
        <w:rPr>
          <w:rFonts w:cs="Arial"/>
          <w:b w:val="0"/>
          <w:sz w:val="24"/>
          <w:szCs w:val="24"/>
        </w:rPr>
        <w:t>Fred Myer (Port of Portland) raised some questions/co</w:t>
      </w:r>
      <w:r w:rsidR="004D6397">
        <w:rPr>
          <w:rFonts w:cs="Arial"/>
          <w:b w:val="0"/>
          <w:sz w:val="24"/>
          <w:szCs w:val="24"/>
        </w:rPr>
        <w:t>ncerns about whether the factor of risk reduction that is gained from BWE+BWT (rather than BWT alone) is worth the cost and effort.  He also sought clarification on why ODEQ is seeking to make any policy changes if we believe that BWE has been a relatively effective management strategy.  DEQ staff responded that with ‘no action’, BWE will be replaced with BWT only as a result of federal action, not state.  The BWE+BWT proposal seeks to maintain use of a strategy that has proven to be highly effective for freshwater ports like the Columbia River – at least until we have greater confidence in the implementation of 1</w:t>
      </w:r>
      <w:r w:rsidR="004D6397" w:rsidRPr="004D6397">
        <w:rPr>
          <w:rFonts w:cs="Arial"/>
          <w:b w:val="0"/>
          <w:sz w:val="24"/>
          <w:szCs w:val="24"/>
          <w:vertAlign w:val="superscript"/>
        </w:rPr>
        <w:t>st</w:t>
      </w:r>
      <w:r w:rsidR="004D6397">
        <w:rPr>
          <w:rFonts w:cs="Arial"/>
          <w:b w:val="0"/>
          <w:sz w:val="24"/>
          <w:szCs w:val="24"/>
        </w:rPr>
        <w:t xml:space="preserve"> generation shipboard BWT systems.</w:t>
      </w:r>
    </w:p>
    <w:p w:rsidR="004D6397" w:rsidRDefault="004D6397" w:rsidP="00AF64F1">
      <w:pPr>
        <w:pStyle w:val="DEQSMALLHEADLINES"/>
        <w:numPr>
          <w:ilvl w:val="2"/>
          <w:numId w:val="5"/>
        </w:numPr>
        <w:ind w:right="1980"/>
        <w:outlineLvl w:val="0"/>
        <w:rPr>
          <w:rFonts w:cs="Arial"/>
          <w:b w:val="0"/>
          <w:sz w:val="24"/>
          <w:szCs w:val="24"/>
        </w:rPr>
      </w:pPr>
      <w:r>
        <w:rPr>
          <w:rFonts w:cs="Arial"/>
          <w:b w:val="0"/>
          <w:sz w:val="24"/>
          <w:szCs w:val="24"/>
        </w:rPr>
        <w:t>CRSOA Executive Director, Kate Mickelson, noted that her membership was still in the process of evaluating the proposal but that they were going to formally request that DEQ delay/postpone its rulemaking actions.  When asked whether there were specific grounds or timelines for the requested delay, she did not indicate specific matters for resolution but rather indicated that the request was for an indefinite delay.</w:t>
      </w:r>
    </w:p>
    <w:p w:rsidR="004D6397" w:rsidRDefault="004D6397" w:rsidP="00AF64F1">
      <w:pPr>
        <w:pStyle w:val="DEQSMALLHEADLINES"/>
        <w:numPr>
          <w:ilvl w:val="2"/>
          <w:numId w:val="5"/>
        </w:numPr>
        <w:ind w:right="1980"/>
        <w:outlineLvl w:val="0"/>
        <w:rPr>
          <w:rFonts w:cs="Arial"/>
          <w:b w:val="0"/>
          <w:sz w:val="24"/>
          <w:szCs w:val="24"/>
        </w:rPr>
      </w:pPr>
      <w:r>
        <w:rPr>
          <w:rFonts w:cs="Arial"/>
          <w:b w:val="0"/>
          <w:sz w:val="24"/>
          <w:szCs w:val="24"/>
        </w:rPr>
        <w:t xml:space="preserve">With regards to potential criteria/exemption from BWE+BWT based on receiving port environment, DEQ staff shared seasonal surface salinity data from both the lower CR estuary (Astoria) and Coos Bay.  Data showed low-salinity (&lt;15 </w:t>
      </w:r>
      <w:proofErr w:type="spellStart"/>
      <w:r>
        <w:rPr>
          <w:rFonts w:cs="Arial"/>
          <w:b w:val="0"/>
          <w:sz w:val="24"/>
          <w:szCs w:val="24"/>
        </w:rPr>
        <w:t>ppt</w:t>
      </w:r>
      <w:proofErr w:type="spellEnd"/>
      <w:r>
        <w:rPr>
          <w:rFonts w:cs="Arial"/>
          <w:b w:val="0"/>
          <w:sz w:val="24"/>
          <w:szCs w:val="24"/>
        </w:rPr>
        <w:t>) as a regular occurrence during much of the year.  Based on this, Committee members agreed that there was no need to complicate the proposed policy with criteria based on receiving port environmental conditions, but that it made sense to apply to all Oregon ports.</w:t>
      </w:r>
    </w:p>
    <w:p w:rsidR="004D6397" w:rsidRDefault="004D6397" w:rsidP="00AF64F1">
      <w:pPr>
        <w:pStyle w:val="DEQSMALLHEADLINES"/>
        <w:numPr>
          <w:ilvl w:val="2"/>
          <w:numId w:val="5"/>
        </w:numPr>
        <w:ind w:right="1980"/>
        <w:outlineLvl w:val="0"/>
        <w:rPr>
          <w:rFonts w:cs="Arial"/>
          <w:b w:val="0"/>
          <w:sz w:val="24"/>
          <w:szCs w:val="24"/>
        </w:rPr>
      </w:pPr>
      <w:r>
        <w:rPr>
          <w:rFonts w:cs="Arial"/>
          <w:b w:val="0"/>
          <w:sz w:val="24"/>
          <w:szCs w:val="24"/>
        </w:rPr>
        <w:t xml:space="preserve">Committee members who had advocated for a more broad </w:t>
      </w:r>
      <w:proofErr w:type="gramStart"/>
      <w:r>
        <w:rPr>
          <w:rFonts w:cs="Arial"/>
          <w:b w:val="0"/>
          <w:sz w:val="24"/>
          <w:szCs w:val="24"/>
        </w:rPr>
        <w:t>application</w:t>
      </w:r>
      <w:proofErr w:type="gramEnd"/>
      <w:r>
        <w:rPr>
          <w:rFonts w:cs="Arial"/>
          <w:b w:val="0"/>
          <w:sz w:val="24"/>
          <w:szCs w:val="24"/>
        </w:rPr>
        <w:t xml:space="preserve"> of BWE+BWT (i.e. state 401 model) suggested that the EPA VGP model could be acceptable.</w:t>
      </w:r>
    </w:p>
    <w:p w:rsidR="002A6B1B" w:rsidRDefault="002A6B1B" w:rsidP="002A6B1B">
      <w:pPr>
        <w:pStyle w:val="DEQSMALLHEADLINES"/>
        <w:ind w:left="720" w:right="1980"/>
        <w:outlineLvl w:val="0"/>
        <w:rPr>
          <w:rFonts w:cs="Arial"/>
          <w:b w:val="0"/>
          <w:sz w:val="24"/>
          <w:szCs w:val="24"/>
        </w:rPr>
      </w:pPr>
    </w:p>
    <w:p w:rsidR="0043437C" w:rsidRDefault="0043437C" w:rsidP="002A6B1B">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Discussion of Next Steps</w:t>
      </w:r>
    </w:p>
    <w:p w:rsidR="000C744D" w:rsidRDefault="0043437C" w:rsidP="00AF64F1">
      <w:pPr>
        <w:pStyle w:val="DEQSMALLHEADLINES"/>
        <w:numPr>
          <w:ilvl w:val="1"/>
          <w:numId w:val="3"/>
        </w:numPr>
        <w:ind w:right="1980"/>
        <w:outlineLvl w:val="0"/>
        <w:rPr>
          <w:rFonts w:cs="Arial"/>
          <w:b w:val="0"/>
          <w:sz w:val="24"/>
          <w:szCs w:val="24"/>
        </w:rPr>
      </w:pPr>
      <w:r>
        <w:rPr>
          <w:rFonts w:cs="Arial"/>
          <w:b w:val="0"/>
          <w:sz w:val="24"/>
          <w:szCs w:val="24"/>
        </w:rPr>
        <w:t>DEQ will take under consideration all Advisory Committee comments received to data or any further comments received within the next 2-3 weeks.</w:t>
      </w:r>
    </w:p>
    <w:p w:rsidR="0043437C" w:rsidRDefault="0043437C" w:rsidP="00AF64F1">
      <w:pPr>
        <w:pStyle w:val="DEQSMALLHEADLINES"/>
        <w:numPr>
          <w:ilvl w:val="1"/>
          <w:numId w:val="3"/>
        </w:numPr>
        <w:ind w:right="1980"/>
        <w:outlineLvl w:val="0"/>
        <w:rPr>
          <w:rFonts w:cs="Arial"/>
          <w:b w:val="0"/>
          <w:sz w:val="24"/>
          <w:szCs w:val="24"/>
        </w:rPr>
      </w:pPr>
      <w:r>
        <w:rPr>
          <w:rFonts w:cs="Arial"/>
          <w:b w:val="0"/>
          <w:sz w:val="24"/>
          <w:szCs w:val="24"/>
        </w:rPr>
        <w:lastRenderedPageBreak/>
        <w:t>DEQ staff will prepare a proposed rule package for internal review and aim to finalize a draft rule by early April.</w:t>
      </w:r>
    </w:p>
    <w:p w:rsidR="0043437C" w:rsidRDefault="0043437C" w:rsidP="00AF64F1">
      <w:pPr>
        <w:pStyle w:val="DEQSMALLHEADLINES"/>
        <w:numPr>
          <w:ilvl w:val="1"/>
          <w:numId w:val="3"/>
        </w:numPr>
        <w:ind w:right="1980"/>
        <w:outlineLvl w:val="0"/>
        <w:rPr>
          <w:rFonts w:cs="Arial"/>
          <w:b w:val="0"/>
          <w:sz w:val="24"/>
          <w:szCs w:val="24"/>
        </w:rPr>
      </w:pPr>
      <w:r>
        <w:rPr>
          <w:rFonts w:cs="Arial"/>
          <w:b w:val="0"/>
          <w:sz w:val="24"/>
          <w:szCs w:val="24"/>
        </w:rPr>
        <w:t>DEQ anticipates publishing the draft rule and opening a 30-day public comment period in mid-late April (publication in SOS Bulletin May 1</w:t>
      </w:r>
      <w:r w:rsidRPr="0043437C">
        <w:rPr>
          <w:rFonts w:cs="Arial"/>
          <w:b w:val="0"/>
          <w:sz w:val="24"/>
          <w:szCs w:val="24"/>
          <w:vertAlign w:val="superscript"/>
        </w:rPr>
        <w:t>st</w:t>
      </w:r>
      <w:r>
        <w:rPr>
          <w:rFonts w:cs="Arial"/>
          <w:b w:val="0"/>
          <w:sz w:val="24"/>
          <w:szCs w:val="24"/>
        </w:rPr>
        <w:t>).</w:t>
      </w:r>
    </w:p>
    <w:p w:rsidR="0043437C" w:rsidRDefault="0043437C" w:rsidP="00AF64F1">
      <w:pPr>
        <w:pStyle w:val="DEQSMALLHEADLINES"/>
        <w:numPr>
          <w:ilvl w:val="1"/>
          <w:numId w:val="3"/>
        </w:numPr>
        <w:ind w:right="1980"/>
        <w:outlineLvl w:val="0"/>
        <w:rPr>
          <w:rFonts w:cs="Arial"/>
          <w:b w:val="0"/>
          <w:sz w:val="24"/>
          <w:szCs w:val="24"/>
        </w:rPr>
      </w:pPr>
      <w:r>
        <w:rPr>
          <w:rFonts w:cs="Arial"/>
          <w:b w:val="0"/>
          <w:sz w:val="24"/>
          <w:szCs w:val="24"/>
        </w:rPr>
        <w:t xml:space="preserve">The public comment period will include a public hearing in mid-May (date/time </w:t>
      </w:r>
      <w:proofErr w:type="spellStart"/>
      <w:proofErr w:type="gramStart"/>
      <w:r>
        <w:rPr>
          <w:rFonts w:cs="Arial"/>
          <w:b w:val="0"/>
          <w:sz w:val="24"/>
          <w:szCs w:val="24"/>
        </w:rPr>
        <w:t>tbd</w:t>
      </w:r>
      <w:proofErr w:type="spellEnd"/>
      <w:proofErr w:type="gramEnd"/>
      <w:r>
        <w:rPr>
          <w:rFonts w:cs="Arial"/>
          <w:b w:val="0"/>
          <w:sz w:val="24"/>
          <w:szCs w:val="24"/>
        </w:rPr>
        <w:t>).</w:t>
      </w:r>
    </w:p>
    <w:p w:rsidR="0043437C" w:rsidRDefault="0043437C" w:rsidP="00AF64F1">
      <w:pPr>
        <w:pStyle w:val="DEQSMALLHEADLINES"/>
        <w:numPr>
          <w:ilvl w:val="1"/>
          <w:numId w:val="3"/>
        </w:numPr>
        <w:ind w:right="1980"/>
        <w:outlineLvl w:val="0"/>
        <w:rPr>
          <w:rFonts w:cs="Arial"/>
          <w:b w:val="0"/>
          <w:sz w:val="24"/>
          <w:szCs w:val="24"/>
        </w:rPr>
      </w:pPr>
      <w:r>
        <w:rPr>
          <w:rFonts w:cs="Arial"/>
          <w:b w:val="0"/>
          <w:sz w:val="24"/>
          <w:szCs w:val="24"/>
        </w:rPr>
        <w:t>Upon closing of the public comment period, DEQ will review comments, consider revisions, and consider whether to present a final rule to the EQC for their consideration/adoption mid-late summer 2016.</w:t>
      </w:r>
    </w:p>
    <w:p w:rsidR="007F2804" w:rsidRDefault="007F2804" w:rsidP="007F2804">
      <w:pPr>
        <w:pStyle w:val="DEQSMALLHEADLINES"/>
        <w:ind w:right="1980"/>
        <w:outlineLvl w:val="0"/>
        <w:rPr>
          <w:rFonts w:cs="Arial"/>
          <w:b w:val="0"/>
          <w:sz w:val="24"/>
          <w:szCs w:val="24"/>
        </w:rPr>
      </w:pPr>
    </w:p>
    <w:p w:rsidR="00121B45" w:rsidRPr="00AF64F1" w:rsidRDefault="007F2804" w:rsidP="00AF64F1">
      <w:pPr>
        <w:pStyle w:val="DEQSMALLHEADLINES"/>
        <w:ind w:right="1980"/>
        <w:outlineLvl w:val="0"/>
        <w:rPr>
          <w:rFonts w:cs="Arial"/>
          <w:b w:val="0"/>
          <w:sz w:val="24"/>
          <w:szCs w:val="24"/>
        </w:rPr>
      </w:pPr>
      <w:r>
        <w:rPr>
          <w:rFonts w:cs="Arial"/>
          <w:b w:val="0"/>
          <w:sz w:val="24"/>
          <w:szCs w:val="24"/>
        </w:rPr>
        <w:t>Meeting Adjourned at 12:</w:t>
      </w:r>
      <w:r w:rsidR="00AF64F1">
        <w:rPr>
          <w:rFonts w:cs="Arial"/>
          <w:b w:val="0"/>
          <w:sz w:val="24"/>
          <w:szCs w:val="24"/>
        </w:rPr>
        <w:t>10pm</w:t>
      </w:r>
    </w:p>
    <w:sectPr w:rsidR="00121B45" w:rsidRPr="00AF64F1" w:rsidSect="00121B45">
      <w:footerReference w:type="default" r:id="rId16"/>
      <w:type w:val="continuous"/>
      <w:pgSz w:w="12240" w:h="15840"/>
      <w:pgMar w:top="1080" w:right="720" w:bottom="720" w:left="720" w:header="720" w:footer="720" w:gutter="0"/>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397" w:rsidRDefault="004D6397">
      <w:r>
        <w:separator/>
      </w:r>
    </w:p>
  </w:endnote>
  <w:endnote w:type="continuationSeparator" w:id="0">
    <w:p w:rsidR="004D6397" w:rsidRDefault="004D63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97" w:rsidRDefault="004D63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97" w:rsidRDefault="004D63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97" w:rsidRDefault="004D639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97" w:rsidRPr="009650FF" w:rsidRDefault="004D6397" w:rsidP="009650FF">
    <w:pPr>
      <w:pStyle w:val="Footer"/>
      <w:jc w:val="right"/>
      <w:rPr>
        <w:rFonts w:ascii="Times New Roman" w:hAnsi="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397" w:rsidRDefault="004D6397">
      <w:r>
        <w:separator/>
      </w:r>
    </w:p>
  </w:footnote>
  <w:footnote w:type="continuationSeparator" w:id="0">
    <w:p w:rsidR="004D6397" w:rsidRDefault="004D6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97" w:rsidRDefault="004D63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97" w:rsidRDefault="004D6397"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pPr>
    <w:sdt>
      <w:sdtPr>
        <w:id w:val="8834977"/>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740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br w:type="column"/>
    </w:r>
  </w:p>
  <w:p w:rsidR="004D6397" w:rsidRDefault="004D6397"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rPr>
        <w:sz w:val="16"/>
      </w:rPr>
    </w:pPr>
  </w:p>
  <w:p w:rsidR="004D6397" w:rsidRDefault="004D6397" w:rsidP="00AA1E5F">
    <w:pPr>
      <w:pStyle w:val="DEQADDRESSUNDERLOGO"/>
      <w:framePr w:w="1351" w:h="14544" w:wrap="around" w:x="10081" w:y="721" w:anchorLock="1"/>
      <w:ind w:right="-150"/>
      <w:rPr>
        <w:rFonts w:asciiTheme="minorHAnsi" w:hAnsiTheme="minorHAnsi"/>
      </w:rPr>
    </w:pPr>
  </w:p>
  <w:p w:rsidR="004D6397" w:rsidRDefault="004D6397" w:rsidP="00AA1E5F">
    <w:pPr>
      <w:pStyle w:val="DEQADDRESSUNDERLOGO"/>
      <w:framePr w:w="1351" w:h="14544" w:wrap="around" w:x="10081" w:y="721" w:anchorLock="1"/>
      <w:ind w:right="-150"/>
      <w:rPr>
        <w:rFonts w:asciiTheme="minorHAnsi" w:hAnsiTheme="minorHAnsi"/>
      </w:rPr>
    </w:pPr>
    <w:r>
      <w:rPr>
        <w:noProof/>
      </w:rPr>
      <w:drawing>
        <wp:inline distT="0" distB="0" distL="0" distR="0">
          <wp:extent cx="601980" cy="1371600"/>
          <wp:effectExtent l="19050" t="0" r="762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tretch>
                    <a:fillRect/>
                  </a:stretch>
                </pic:blipFill>
                <pic:spPr bwMode="auto">
                  <a:xfrm>
                    <a:off x="0" y="0"/>
                    <a:ext cx="601980" cy="1371600"/>
                  </a:xfrm>
                  <a:prstGeom prst="rect">
                    <a:avLst/>
                  </a:prstGeom>
                  <a:noFill/>
                  <a:ln w="9525">
                    <a:noFill/>
                    <a:miter lim="800000"/>
                    <a:headEnd/>
                    <a:tailEnd/>
                  </a:ln>
                </pic:spPr>
              </pic:pic>
            </a:graphicData>
          </a:graphic>
        </wp:inline>
      </w:drawing>
    </w:r>
  </w:p>
  <w:p w:rsidR="004D6397" w:rsidRDefault="004D6397" w:rsidP="00AA1E5F">
    <w:pPr>
      <w:pStyle w:val="DEQADDRESSUNDERLOGO"/>
      <w:framePr w:w="1351" w:h="14544" w:wrap="around" w:x="10081" w:y="721" w:anchorLock="1"/>
      <w:ind w:right="-150"/>
      <w:rPr>
        <w:b/>
        <w:i/>
      </w:rPr>
    </w:pPr>
  </w:p>
  <w:p w:rsidR="004D6397" w:rsidRDefault="004D6397" w:rsidP="00AA1E5F">
    <w:pPr>
      <w:pStyle w:val="DEQDIVISIONNAMEUNDERLOGO"/>
      <w:framePr w:w="1351" w:h="14544" w:wrap="around" w:x="10081" w:y="721" w:anchorLock="1"/>
      <w:ind w:right="-150"/>
    </w:pPr>
    <w:r>
      <w:t>Operations Division</w:t>
    </w:r>
  </w:p>
  <w:p w:rsidR="004D6397" w:rsidRDefault="004D6397" w:rsidP="00AA1E5F">
    <w:pPr>
      <w:pStyle w:val="DEQDIVISIONNAMEUNDERLOGO"/>
      <w:framePr w:w="1351" w:h="14544" w:wrap="around" w:x="10081" w:y="721" w:anchorLock="1"/>
      <w:ind w:right="-150"/>
    </w:pPr>
    <w:r>
      <w:t>Ballast Water Program</w:t>
    </w:r>
  </w:p>
  <w:p w:rsidR="004D6397" w:rsidRDefault="004D6397" w:rsidP="00AA1E5F">
    <w:pPr>
      <w:pStyle w:val="DEQADDRESSUNDERLOGO"/>
      <w:framePr w:w="1351" w:h="14544" w:wrap="around" w:x="10081" w:y="721" w:anchorLock="1"/>
      <w:ind w:right="-150"/>
    </w:pPr>
    <w:r>
      <w:t>811 SW 6</w:t>
    </w:r>
    <w:r>
      <w:rPr>
        <w:vertAlign w:val="superscript"/>
      </w:rPr>
      <w:t>th</w:t>
    </w:r>
    <w:r>
      <w:t xml:space="preserve"> Avenue</w:t>
    </w:r>
  </w:p>
  <w:p w:rsidR="004D6397" w:rsidRDefault="004D6397" w:rsidP="00AA1E5F">
    <w:pPr>
      <w:pStyle w:val="DEQADDRESSUNDERLOGO"/>
      <w:framePr w:w="1351" w:h="14544" w:wrap="around" w:x="10081" w:y="721" w:anchorLock="1"/>
      <w:ind w:right="-150"/>
    </w:pPr>
    <w:r>
      <w:t>Portland, OR 97204</w:t>
    </w:r>
  </w:p>
  <w:p w:rsidR="004D6397" w:rsidRDefault="004D6397" w:rsidP="00AA1E5F">
    <w:pPr>
      <w:pStyle w:val="DEQADDRESSUNDERLOGO"/>
      <w:framePr w:w="1351" w:h="14544" w:wrap="around" w:x="10081" w:y="721" w:anchorLock="1"/>
      <w:tabs>
        <w:tab w:val="left" w:pos="540"/>
      </w:tabs>
      <w:ind w:right="-150"/>
    </w:pPr>
    <w:r>
      <w:t>Phone:</w:t>
    </w:r>
    <w:r>
      <w:tab/>
      <w:t>503-229-6865</w:t>
    </w:r>
  </w:p>
  <w:p w:rsidR="004D6397" w:rsidRDefault="004D6397" w:rsidP="00AA1E5F">
    <w:pPr>
      <w:pStyle w:val="DEQADDRESSUNDERLOGO"/>
      <w:framePr w:w="1351" w:h="14544" w:wrap="around" w:x="10081" w:y="721" w:anchorLock="1"/>
      <w:tabs>
        <w:tab w:val="left" w:pos="540"/>
      </w:tabs>
      <w:ind w:right="-150"/>
    </w:pPr>
    <w:r>
      <w:tab/>
      <w:t>800-452-4011</w:t>
    </w:r>
  </w:p>
  <w:p w:rsidR="004D6397" w:rsidRDefault="004D6397" w:rsidP="00AA1E5F">
    <w:pPr>
      <w:pStyle w:val="DEQADDRESSUNDERLOGO"/>
      <w:framePr w:w="1351" w:h="14544" w:wrap="around" w:x="10081" w:y="721" w:anchorLock="1"/>
      <w:tabs>
        <w:tab w:val="left" w:pos="540"/>
      </w:tabs>
      <w:ind w:right="-150"/>
    </w:pPr>
    <w:r>
      <w:t>Fax:</w:t>
    </w:r>
    <w:r>
      <w:tab/>
      <w:t>503-229-5850</w:t>
    </w:r>
  </w:p>
  <w:p w:rsidR="004D6397" w:rsidRDefault="004D6397" w:rsidP="00AA1E5F">
    <w:pPr>
      <w:pStyle w:val="DEQADDRESSUNDERLOGO"/>
      <w:framePr w:w="1351" w:h="14544" w:wrap="around" w:x="10081" w:y="721" w:anchorLock="1"/>
      <w:ind w:right="-150"/>
    </w:pPr>
    <w:r>
      <w:t>Contact: Rian Hooff</w:t>
    </w:r>
  </w:p>
  <w:p w:rsidR="004D6397" w:rsidRDefault="004D6397" w:rsidP="00AA1E5F">
    <w:pPr>
      <w:pStyle w:val="DEQADDRESSUNDERLOGO"/>
      <w:framePr w:w="1351" w:h="14544" w:wrap="around" w:x="10081" w:y="721" w:anchorLock="1"/>
      <w:ind w:right="-150"/>
      <w:rPr>
        <w:i/>
      </w:rPr>
    </w:pPr>
    <w:hyperlink r:id="rId2" w:history="1">
      <w:r>
        <w:rPr>
          <w:rStyle w:val="Hyperlink"/>
          <w:i/>
        </w:rPr>
        <w:t>www.oregon.gov/DEQ</w:t>
      </w:r>
    </w:hyperlink>
  </w:p>
  <w:p w:rsidR="004D6397" w:rsidRDefault="004D6397" w:rsidP="00AA1E5F">
    <w:pPr>
      <w:pStyle w:val="DEQADDRESSUNDERLOGO"/>
      <w:framePr w:w="1351" w:h="14544" w:wrap="around" w:x="10081" w:y="721" w:anchorLock="1"/>
      <w:ind w:right="-150"/>
      <w:rPr>
        <w:b/>
        <w:i/>
      </w:rPr>
    </w:pPr>
  </w:p>
  <w:p w:rsidR="004D6397" w:rsidRDefault="004D6397" w:rsidP="00AA1E5F">
    <w:pPr>
      <w:pStyle w:val="DEQADDRESSUNDERLOGO"/>
      <w:framePr w:w="1351" w:h="14544" w:wrap="around" w:x="10081" w:y="721" w:anchorLock="1"/>
      <w:ind w:right="-150"/>
      <w:rPr>
        <w:b/>
        <w:i/>
      </w:rPr>
    </w:pPr>
  </w:p>
  <w:p w:rsidR="004D6397" w:rsidRDefault="004D6397" w:rsidP="00AA1E5F">
    <w:pPr>
      <w:pStyle w:val="DEQADDRESSUNDERLOGO"/>
      <w:framePr w:w="1351" w:h="14544" w:wrap="around" w:x="10081" w:y="721" w:anchorLock="1"/>
      <w:ind w:right="-150"/>
      <w:rPr>
        <w:b/>
        <w:i/>
      </w:rPr>
    </w:pPr>
    <w:r>
      <w:rPr>
        <w:b/>
        <w:i/>
      </w:rPr>
      <w:t>DEQ is a leader in restoring, maintaining and enhancing the quality of Oregon’s air, land and water.</w:t>
    </w: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rsidP="00AA1E5F">
    <w:pPr>
      <w:pStyle w:val="DEQADDRESSUNDERLOGO"/>
      <w:framePr w:w="1351" w:h="14544" w:wrap="around" w:x="10081" w:y="721" w:anchorLock="1"/>
      <w:ind w:right="-150"/>
    </w:pPr>
  </w:p>
  <w:p w:rsidR="004D6397" w:rsidRDefault="004D63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97" w:rsidRDefault="004D63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1279D"/>
    <w:multiLevelType w:val="hybridMultilevel"/>
    <w:tmpl w:val="0D409A4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AF06FD2"/>
    <w:multiLevelType w:val="hybridMultilevel"/>
    <w:tmpl w:val="99667B72"/>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D0C62"/>
    <w:multiLevelType w:val="hybridMultilevel"/>
    <w:tmpl w:val="90F6C1C0"/>
    <w:lvl w:ilvl="0" w:tplc="655E6348">
      <w:start w:val="1"/>
      <w:numFmt w:val="bullet"/>
      <w:lvlText w:val="•"/>
      <w:lvlJc w:val="left"/>
      <w:pPr>
        <w:tabs>
          <w:tab w:val="num" w:pos="720"/>
        </w:tabs>
        <w:ind w:left="720" w:hanging="360"/>
      </w:pPr>
      <w:rPr>
        <w:rFonts w:ascii="Arial" w:hAnsi="Arial" w:hint="default"/>
      </w:rPr>
    </w:lvl>
    <w:lvl w:ilvl="1" w:tplc="5A909992" w:tentative="1">
      <w:start w:val="1"/>
      <w:numFmt w:val="bullet"/>
      <w:lvlText w:val="•"/>
      <w:lvlJc w:val="left"/>
      <w:pPr>
        <w:tabs>
          <w:tab w:val="num" w:pos="1440"/>
        </w:tabs>
        <w:ind w:left="1440" w:hanging="360"/>
      </w:pPr>
      <w:rPr>
        <w:rFonts w:ascii="Arial" w:hAnsi="Arial" w:hint="default"/>
      </w:rPr>
    </w:lvl>
    <w:lvl w:ilvl="2" w:tplc="F56E3D1E">
      <w:start w:val="1"/>
      <w:numFmt w:val="bullet"/>
      <w:lvlText w:val="•"/>
      <w:lvlJc w:val="left"/>
      <w:pPr>
        <w:tabs>
          <w:tab w:val="num" w:pos="2160"/>
        </w:tabs>
        <w:ind w:left="2160" w:hanging="360"/>
      </w:pPr>
      <w:rPr>
        <w:rFonts w:ascii="Arial" w:hAnsi="Arial" w:hint="default"/>
      </w:rPr>
    </w:lvl>
    <w:lvl w:ilvl="3" w:tplc="1CECCA24" w:tentative="1">
      <w:start w:val="1"/>
      <w:numFmt w:val="bullet"/>
      <w:lvlText w:val="•"/>
      <w:lvlJc w:val="left"/>
      <w:pPr>
        <w:tabs>
          <w:tab w:val="num" w:pos="2880"/>
        </w:tabs>
        <w:ind w:left="2880" w:hanging="360"/>
      </w:pPr>
      <w:rPr>
        <w:rFonts w:ascii="Arial" w:hAnsi="Arial" w:hint="default"/>
      </w:rPr>
    </w:lvl>
    <w:lvl w:ilvl="4" w:tplc="80B8A44E" w:tentative="1">
      <w:start w:val="1"/>
      <w:numFmt w:val="bullet"/>
      <w:lvlText w:val="•"/>
      <w:lvlJc w:val="left"/>
      <w:pPr>
        <w:tabs>
          <w:tab w:val="num" w:pos="3600"/>
        </w:tabs>
        <w:ind w:left="3600" w:hanging="360"/>
      </w:pPr>
      <w:rPr>
        <w:rFonts w:ascii="Arial" w:hAnsi="Arial" w:hint="default"/>
      </w:rPr>
    </w:lvl>
    <w:lvl w:ilvl="5" w:tplc="D85E3DE2" w:tentative="1">
      <w:start w:val="1"/>
      <w:numFmt w:val="bullet"/>
      <w:lvlText w:val="•"/>
      <w:lvlJc w:val="left"/>
      <w:pPr>
        <w:tabs>
          <w:tab w:val="num" w:pos="4320"/>
        </w:tabs>
        <w:ind w:left="4320" w:hanging="360"/>
      </w:pPr>
      <w:rPr>
        <w:rFonts w:ascii="Arial" w:hAnsi="Arial" w:hint="default"/>
      </w:rPr>
    </w:lvl>
    <w:lvl w:ilvl="6" w:tplc="9BF0CF9E" w:tentative="1">
      <w:start w:val="1"/>
      <w:numFmt w:val="bullet"/>
      <w:lvlText w:val="•"/>
      <w:lvlJc w:val="left"/>
      <w:pPr>
        <w:tabs>
          <w:tab w:val="num" w:pos="5040"/>
        </w:tabs>
        <w:ind w:left="5040" w:hanging="360"/>
      </w:pPr>
      <w:rPr>
        <w:rFonts w:ascii="Arial" w:hAnsi="Arial" w:hint="default"/>
      </w:rPr>
    </w:lvl>
    <w:lvl w:ilvl="7" w:tplc="55563C2E" w:tentative="1">
      <w:start w:val="1"/>
      <w:numFmt w:val="bullet"/>
      <w:lvlText w:val="•"/>
      <w:lvlJc w:val="left"/>
      <w:pPr>
        <w:tabs>
          <w:tab w:val="num" w:pos="5760"/>
        </w:tabs>
        <w:ind w:left="5760" w:hanging="360"/>
      </w:pPr>
      <w:rPr>
        <w:rFonts w:ascii="Arial" w:hAnsi="Arial" w:hint="default"/>
      </w:rPr>
    </w:lvl>
    <w:lvl w:ilvl="8" w:tplc="42FC1650" w:tentative="1">
      <w:start w:val="1"/>
      <w:numFmt w:val="bullet"/>
      <w:lvlText w:val="•"/>
      <w:lvlJc w:val="left"/>
      <w:pPr>
        <w:tabs>
          <w:tab w:val="num" w:pos="6480"/>
        </w:tabs>
        <w:ind w:left="6480" w:hanging="360"/>
      </w:pPr>
      <w:rPr>
        <w:rFonts w:ascii="Arial" w:hAnsi="Arial" w:hint="default"/>
      </w:rPr>
    </w:lvl>
  </w:abstractNum>
  <w:abstractNum w:abstractNumId="4">
    <w:nsid w:val="35A06AE3"/>
    <w:multiLevelType w:val="hybridMultilevel"/>
    <w:tmpl w:val="8B42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536F88"/>
    <w:multiLevelType w:val="hybridMultilevel"/>
    <w:tmpl w:val="177656CA"/>
    <w:lvl w:ilvl="0" w:tplc="D59E8586">
      <w:start w:val="1"/>
      <w:numFmt w:val="bullet"/>
      <w:lvlText w:val=""/>
      <w:lvlJc w:val="left"/>
      <w:pPr>
        <w:tabs>
          <w:tab w:val="num" w:pos="720"/>
        </w:tabs>
        <w:ind w:left="720" w:hanging="360"/>
      </w:pPr>
      <w:rPr>
        <w:rFonts w:ascii="Wingdings" w:hAnsi="Wingdings" w:hint="default"/>
      </w:rPr>
    </w:lvl>
    <w:lvl w:ilvl="1" w:tplc="E5E07DC0" w:tentative="1">
      <w:start w:val="1"/>
      <w:numFmt w:val="bullet"/>
      <w:lvlText w:val=""/>
      <w:lvlJc w:val="left"/>
      <w:pPr>
        <w:tabs>
          <w:tab w:val="num" w:pos="1440"/>
        </w:tabs>
        <w:ind w:left="1440" w:hanging="360"/>
      </w:pPr>
      <w:rPr>
        <w:rFonts w:ascii="Wingdings" w:hAnsi="Wingdings" w:hint="default"/>
      </w:rPr>
    </w:lvl>
    <w:lvl w:ilvl="2" w:tplc="B37E8F3C" w:tentative="1">
      <w:start w:val="1"/>
      <w:numFmt w:val="bullet"/>
      <w:lvlText w:val=""/>
      <w:lvlJc w:val="left"/>
      <w:pPr>
        <w:tabs>
          <w:tab w:val="num" w:pos="2160"/>
        </w:tabs>
        <w:ind w:left="2160" w:hanging="360"/>
      </w:pPr>
      <w:rPr>
        <w:rFonts w:ascii="Wingdings" w:hAnsi="Wingdings" w:hint="default"/>
      </w:rPr>
    </w:lvl>
    <w:lvl w:ilvl="3" w:tplc="5DDA0932" w:tentative="1">
      <w:start w:val="1"/>
      <w:numFmt w:val="bullet"/>
      <w:lvlText w:val=""/>
      <w:lvlJc w:val="left"/>
      <w:pPr>
        <w:tabs>
          <w:tab w:val="num" w:pos="2880"/>
        </w:tabs>
        <w:ind w:left="2880" w:hanging="360"/>
      </w:pPr>
      <w:rPr>
        <w:rFonts w:ascii="Wingdings" w:hAnsi="Wingdings" w:hint="default"/>
      </w:rPr>
    </w:lvl>
    <w:lvl w:ilvl="4" w:tplc="FF2AA600" w:tentative="1">
      <w:start w:val="1"/>
      <w:numFmt w:val="bullet"/>
      <w:lvlText w:val=""/>
      <w:lvlJc w:val="left"/>
      <w:pPr>
        <w:tabs>
          <w:tab w:val="num" w:pos="3600"/>
        </w:tabs>
        <w:ind w:left="3600" w:hanging="360"/>
      </w:pPr>
      <w:rPr>
        <w:rFonts w:ascii="Wingdings" w:hAnsi="Wingdings" w:hint="default"/>
      </w:rPr>
    </w:lvl>
    <w:lvl w:ilvl="5" w:tplc="FC8AD8C6" w:tentative="1">
      <w:start w:val="1"/>
      <w:numFmt w:val="bullet"/>
      <w:lvlText w:val=""/>
      <w:lvlJc w:val="left"/>
      <w:pPr>
        <w:tabs>
          <w:tab w:val="num" w:pos="4320"/>
        </w:tabs>
        <w:ind w:left="4320" w:hanging="360"/>
      </w:pPr>
      <w:rPr>
        <w:rFonts w:ascii="Wingdings" w:hAnsi="Wingdings" w:hint="default"/>
      </w:rPr>
    </w:lvl>
    <w:lvl w:ilvl="6" w:tplc="E572CDBE" w:tentative="1">
      <w:start w:val="1"/>
      <w:numFmt w:val="bullet"/>
      <w:lvlText w:val=""/>
      <w:lvlJc w:val="left"/>
      <w:pPr>
        <w:tabs>
          <w:tab w:val="num" w:pos="5040"/>
        </w:tabs>
        <w:ind w:left="5040" w:hanging="360"/>
      </w:pPr>
      <w:rPr>
        <w:rFonts w:ascii="Wingdings" w:hAnsi="Wingdings" w:hint="default"/>
      </w:rPr>
    </w:lvl>
    <w:lvl w:ilvl="7" w:tplc="937A5A66" w:tentative="1">
      <w:start w:val="1"/>
      <w:numFmt w:val="bullet"/>
      <w:lvlText w:val=""/>
      <w:lvlJc w:val="left"/>
      <w:pPr>
        <w:tabs>
          <w:tab w:val="num" w:pos="5760"/>
        </w:tabs>
        <w:ind w:left="5760" w:hanging="360"/>
      </w:pPr>
      <w:rPr>
        <w:rFonts w:ascii="Wingdings" w:hAnsi="Wingdings" w:hint="default"/>
      </w:rPr>
    </w:lvl>
    <w:lvl w:ilvl="8" w:tplc="83FCE0F0" w:tentative="1">
      <w:start w:val="1"/>
      <w:numFmt w:val="bullet"/>
      <w:lvlText w:val=""/>
      <w:lvlJc w:val="left"/>
      <w:pPr>
        <w:tabs>
          <w:tab w:val="num" w:pos="6480"/>
        </w:tabs>
        <w:ind w:left="6480" w:hanging="360"/>
      </w:pPr>
      <w:rPr>
        <w:rFonts w:ascii="Wingdings" w:hAnsi="Wingdings" w:hint="default"/>
      </w:rPr>
    </w:lvl>
  </w:abstractNum>
  <w:abstractNum w:abstractNumId="6">
    <w:nsid w:val="6DD67E57"/>
    <w:multiLevelType w:val="hybridMultilevel"/>
    <w:tmpl w:val="170EB37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4401DD"/>
    <w:multiLevelType w:val="hybridMultilevel"/>
    <w:tmpl w:val="5FA6EC90"/>
    <w:lvl w:ilvl="0" w:tplc="EFB8F91E">
      <w:start w:val="1"/>
      <w:numFmt w:val="bullet"/>
      <w:lvlText w:val="•"/>
      <w:lvlJc w:val="left"/>
      <w:pPr>
        <w:tabs>
          <w:tab w:val="num" w:pos="720"/>
        </w:tabs>
        <w:ind w:left="720" w:hanging="360"/>
      </w:pPr>
      <w:rPr>
        <w:rFonts w:ascii="Arial" w:hAnsi="Arial" w:hint="default"/>
      </w:rPr>
    </w:lvl>
    <w:lvl w:ilvl="1" w:tplc="BFB62DDC" w:tentative="1">
      <w:start w:val="1"/>
      <w:numFmt w:val="bullet"/>
      <w:lvlText w:val="•"/>
      <w:lvlJc w:val="left"/>
      <w:pPr>
        <w:tabs>
          <w:tab w:val="num" w:pos="1440"/>
        </w:tabs>
        <w:ind w:left="1440" w:hanging="360"/>
      </w:pPr>
      <w:rPr>
        <w:rFonts w:ascii="Arial" w:hAnsi="Arial" w:hint="default"/>
      </w:rPr>
    </w:lvl>
    <w:lvl w:ilvl="2" w:tplc="DB145286">
      <w:start w:val="1"/>
      <w:numFmt w:val="bullet"/>
      <w:lvlText w:val="•"/>
      <w:lvlJc w:val="left"/>
      <w:pPr>
        <w:tabs>
          <w:tab w:val="num" w:pos="2160"/>
        </w:tabs>
        <w:ind w:left="2160" w:hanging="360"/>
      </w:pPr>
      <w:rPr>
        <w:rFonts w:ascii="Arial" w:hAnsi="Arial" w:hint="default"/>
      </w:rPr>
    </w:lvl>
    <w:lvl w:ilvl="3" w:tplc="65D078A8" w:tentative="1">
      <w:start w:val="1"/>
      <w:numFmt w:val="bullet"/>
      <w:lvlText w:val="•"/>
      <w:lvlJc w:val="left"/>
      <w:pPr>
        <w:tabs>
          <w:tab w:val="num" w:pos="2880"/>
        </w:tabs>
        <w:ind w:left="2880" w:hanging="360"/>
      </w:pPr>
      <w:rPr>
        <w:rFonts w:ascii="Arial" w:hAnsi="Arial" w:hint="default"/>
      </w:rPr>
    </w:lvl>
    <w:lvl w:ilvl="4" w:tplc="24F2C20E" w:tentative="1">
      <w:start w:val="1"/>
      <w:numFmt w:val="bullet"/>
      <w:lvlText w:val="•"/>
      <w:lvlJc w:val="left"/>
      <w:pPr>
        <w:tabs>
          <w:tab w:val="num" w:pos="3600"/>
        </w:tabs>
        <w:ind w:left="3600" w:hanging="360"/>
      </w:pPr>
      <w:rPr>
        <w:rFonts w:ascii="Arial" w:hAnsi="Arial" w:hint="default"/>
      </w:rPr>
    </w:lvl>
    <w:lvl w:ilvl="5" w:tplc="0F662FCE" w:tentative="1">
      <w:start w:val="1"/>
      <w:numFmt w:val="bullet"/>
      <w:lvlText w:val="•"/>
      <w:lvlJc w:val="left"/>
      <w:pPr>
        <w:tabs>
          <w:tab w:val="num" w:pos="4320"/>
        </w:tabs>
        <w:ind w:left="4320" w:hanging="360"/>
      </w:pPr>
      <w:rPr>
        <w:rFonts w:ascii="Arial" w:hAnsi="Arial" w:hint="default"/>
      </w:rPr>
    </w:lvl>
    <w:lvl w:ilvl="6" w:tplc="4AEEDF10" w:tentative="1">
      <w:start w:val="1"/>
      <w:numFmt w:val="bullet"/>
      <w:lvlText w:val="•"/>
      <w:lvlJc w:val="left"/>
      <w:pPr>
        <w:tabs>
          <w:tab w:val="num" w:pos="5040"/>
        </w:tabs>
        <w:ind w:left="5040" w:hanging="360"/>
      </w:pPr>
      <w:rPr>
        <w:rFonts w:ascii="Arial" w:hAnsi="Arial" w:hint="default"/>
      </w:rPr>
    </w:lvl>
    <w:lvl w:ilvl="7" w:tplc="244CC536" w:tentative="1">
      <w:start w:val="1"/>
      <w:numFmt w:val="bullet"/>
      <w:lvlText w:val="•"/>
      <w:lvlJc w:val="left"/>
      <w:pPr>
        <w:tabs>
          <w:tab w:val="num" w:pos="5760"/>
        </w:tabs>
        <w:ind w:left="5760" w:hanging="360"/>
      </w:pPr>
      <w:rPr>
        <w:rFonts w:ascii="Arial" w:hAnsi="Arial" w:hint="default"/>
      </w:rPr>
    </w:lvl>
    <w:lvl w:ilvl="8" w:tplc="4B602E4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7410"/>
    <o:shapelayout v:ext="edit">
      <o:idmap v:ext="edit" data="17"/>
    </o:shapelayout>
  </w:hdrShapeDefaults>
  <w:footnotePr>
    <w:footnote w:id="-1"/>
    <w:footnote w:id="0"/>
  </w:footnotePr>
  <w:endnotePr>
    <w:endnote w:id="-1"/>
    <w:endnote w:id="0"/>
  </w:endnotePr>
  <w:compat/>
  <w:rsids>
    <w:rsidRoot w:val="000C1F31"/>
    <w:rsid w:val="000C1F31"/>
    <w:rsid w:val="000C607A"/>
    <w:rsid w:val="000C744D"/>
    <w:rsid w:val="000D3D3B"/>
    <w:rsid w:val="00121B45"/>
    <w:rsid w:val="001550CD"/>
    <w:rsid w:val="00161722"/>
    <w:rsid w:val="001836C7"/>
    <w:rsid w:val="001B4DD3"/>
    <w:rsid w:val="001E2749"/>
    <w:rsid w:val="001F5AB5"/>
    <w:rsid w:val="002072DB"/>
    <w:rsid w:val="002A6B1B"/>
    <w:rsid w:val="003447AF"/>
    <w:rsid w:val="00382A10"/>
    <w:rsid w:val="003A0F8B"/>
    <w:rsid w:val="004302E9"/>
    <w:rsid w:val="004311BD"/>
    <w:rsid w:val="0043437C"/>
    <w:rsid w:val="004D0D28"/>
    <w:rsid w:val="004D6397"/>
    <w:rsid w:val="004F68D0"/>
    <w:rsid w:val="00517D65"/>
    <w:rsid w:val="00535B0E"/>
    <w:rsid w:val="00535F8B"/>
    <w:rsid w:val="00541045"/>
    <w:rsid w:val="00542C32"/>
    <w:rsid w:val="005A6D37"/>
    <w:rsid w:val="005B64EE"/>
    <w:rsid w:val="005C642F"/>
    <w:rsid w:val="005F0189"/>
    <w:rsid w:val="0060701E"/>
    <w:rsid w:val="00620E03"/>
    <w:rsid w:val="00627C7A"/>
    <w:rsid w:val="0063770F"/>
    <w:rsid w:val="00664957"/>
    <w:rsid w:val="0066741C"/>
    <w:rsid w:val="006E4B32"/>
    <w:rsid w:val="007045DB"/>
    <w:rsid w:val="00725EA6"/>
    <w:rsid w:val="007A18B9"/>
    <w:rsid w:val="007C11A7"/>
    <w:rsid w:val="007D5CAB"/>
    <w:rsid w:val="007F2804"/>
    <w:rsid w:val="00802EC5"/>
    <w:rsid w:val="00831BFF"/>
    <w:rsid w:val="0085006A"/>
    <w:rsid w:val="0085015F"/>
    <w:rsid w:val="00852399"/>
    <w:rsid w:val="00857F78"/>
    <w:rsid w:val="00895882"/>
    <w:rsid w:val="008A2BD8"/>
    <w:rsid w:val="008D671D"/>
    <w:rsid w:val="00953298"/>
    <w:rsid w:val="009650FF"/>
    <w:rsid w:val="009A4C29"/>
    <w:rsid w:val="009A6548"/>
    <w:rsid w:val="009B2D17"/>
    <w:rsid w:val="009C10F3"/>
    <w:rsid w:val="009C7D48"/>
    <w:rsid w:val="00A7546A"/>
    <w:rsid w:val="00A812BD"/>
    <w:rsid w:val="00A84348"/>
    <w:rsid w:val="00AA1740"/>
    <w:rsid w:val="00AA1E5F"/>
    <w:rsid w:val="00AA58F9"/>
    <w:rsid w:val="00AB5088"/>
    <w:rsid w:val="00AF1097"/>
    <w:rsid w:val="00AF31AE"/>
    <w:rsid w:val="00AF64F1"/>
    <w:rsid w:val="00BB1E0F"/>
    <w:rsid w:val="00BB5FC8"/>
    <w:rsid w:val="00BF2611"/>
    <w:rsid w:val="00C25F64"/>
    <w:rsid w:val="00CB296D"/>
    <w:rsid w:val="00CD379C"/>
    <w:rsid w:val="00CE718C"/>
    <w:rsid w:val="00D14463"/>
    <w:rsid w:val="00D43875"/>
    <w:rsid w:val="00D848A8"/>
    <w:rsid w:val="00E06367"/>
    <w:rsid w:val="00E84C76"/>
    <w:rsid w:val="00EA630C"/>
    <w:rsid w:val="00F75CFA"/>
    <w:rsid w:val="00F8008E"/>
    <w:rsid w:val="00FB541B"/>
    <w:rsid w:val="00FC1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45"/>
    <w:rPr>
      <w:sz w:val="24"/>
    </w:rPr>
  </w:style>
  <w:style w:type="paragraph" w:styleId="Heading1">
    <w:name w:val="heading 1"/>
    <w:basedOn w:val="Normal"/>
    <w:next w:val="Normal"/>
    <w:qFormat/>
    <w:rsid w:val="00121B45"/>
    <w:pPr>
      <w:keepNext/>
      <w:outlineLvl w:val="0"/>
    </w:pPr>
    <w:rPr>
      <w:color w:val="FFFFFF"/>
      <w:sz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121B45"/>
    <w:rPr>
      <w:rFonts w:ascii="Arial" w:hAnsi="Arial"/>
      <w:b/>
      <w:sz w:val="60"/>
    </w:rPr>
  </w:style>
  <w:style w:type="paragraph" w:customStyle="1" w:styleId="DEQSMALLHEADLINES">
    <w:name w:val="(DEQ)SMALL HEADLINES"/>
    <w:basedOn w:val="Normal"/>
    <w:rsid w:val="00121B45"/>
    <w:rPr>
      <w:rFonts w:ascii="Arial" w:hAnsi="Arial"/>
      <w:b/>
      <w:sz w:val="20"/>
    </w:rPr>
  </w:style>
  <w:style w:type="paragraph" w:customStyle="1" w:styleId="DEQTEXTforFACTSHEET">
    <w:name w:val="(DEQ)TEXT for FACT SHEET"/>
    <w:basedOn w:val="Normal"/>
    <w:rsid w:val="00121B45"/>
    <w:rPr>
      <w:rFonts w:ascii="Times New Roman" w:hAnsi="Times New Roman"/>
      <w:sz w:val="20"/>
    </w:rPr>
  </w:style>
  <w:style w:type="paragraph" w:customStyle="1" w:styleId="DEQCAPTIONS">
    <w:name w:val="(DEQ) CAPTIONS"/>
    <w:basedOn w:val="DEQTEXTforFACTSHEET"/>
    <w:rsid w:val="00121B45"/>
    <w:rPr>
      <w:i/>
      <w:sz w:val="18"/>
    </w:rPr>
  </w:style>
  <w:style w:type="paragraph" w:customStyle="1" w:styleId="DEQSPACEUNDERPIC">
    <w:name w:val="(DEQ)SPACE UNDER PIC"/>
    <w:basedOn w:val="DEQTEXTforFACTSHEET"/>
    <w:rsid w:val="00121B45"/>
    <w:rPr>
      <w:i/>
      <w:sz w:val="6"/>
    </w:rPr>
  </w:style>
  <w:style w:type="paragraph" w:customStyle="1" w:styleId="DEQADDRESSUNDERLOGO">
    <w:name w:val="(DEQ)ADDRESS UNDER LOGO"/>
    <w:basedOn w:val="Normal"/>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121B45"/>
    <w:pPr>
      <w:tabs>
        <w:tab w:val="center" w:pos="4320"/>
        <w:tab w:val="right" w:pos="8640"/>
      </w:tabs>
    </w:pPr>
  </w:style>
  <w:style w:type="paragraph" w:customStyle="1" w:styleId="DEQLASTUPDATED">
    <w:name w:val="(DEQ)LAST UPDATED"/>
    <w:basedOn w:val="Normal"/>
    <w:rsid w:val="00121B45"/>
    <w:rPr>
      <w:sz w:val="16"/>
    </w:rPr>
  </w:style>
  <w:style w:type="paragraph" w:customStyle="1" w:styleId="DEQADDITIONALCONTACTTEXT">
    <w:name w:val="(DEQ)ADDITIONAL CONTACT TEXT"/>
    <w:basedOn w:val="DEQTEXTforFACTSHEET"/>
    <w:rsid w:val="00121B45"/>
    <w:rPr>
      <w:i/>
    </w:rPr>
  </w:style>
  <w:style w:type="paragraph" w:styleId="Footer">
    <w:name w:val="footer"/>
    <w:basedOn w:val="Normal"/>
    <w:rsid w:val="00121B45"/>
    <w:pPr>
      <w:tabs>
        <w:tab w:val="center" w:pos="4320"/>
        <w:tab w:val="right" w:pos="8640"/>
      </w:tabs>
    </w:pPr>
  </w:style>
  <w:style w:type="character" w:styleId="Hyperlink">
    <w:name w:val="Hyperlink"/>
    <w:basedOn w:val="DefaultParagraphFont"/>
    <w:rsid w:val="00121B45"/>
    <w:rPr>
      <w:color w:val="0000FF"/>
      <w:u w:val="single"/>
    </w:rPr>
  </w:style>
  <w:style w:type="paragraph" w:customStyle="1" w:styleId="DEQFACTOIDSSNIPPETS">
    <w:name w:val="(DEQ)FACTOIDS &amp; SNIPPETS"/>
    <w:basedOn w:val="DEQTEXTforFACTSHEET"/>
    <w:rsid w:val="00121B45"/>
    <w:rPr>
      <w:i/>
    </w:rPr>
  </w:style>
  <w:style w:type="paragraph" w:customStyle="1" w:styleId="SMALLHEADLINESDEQ">
    <w:name w:val="SMALL HEADLINES (DEQ)"/>
    <w:basedOn w:val="Normal"/>
    <w:rsid w:val="00121B45"/>
    <w:rPr>
      <w:rFonts w:ascii="Arial" w:eastAsia="Times New Roman" w:hAnsi="Arial"/>
      <w:b/>
      <w:sz w:val="20"/>
    </w:rPr>
  </w:style>
  <w:style w:type="paragraph" w:customStyle="1" w:styleId="FSTEXTDEQ">
    <w:name w:val="FS TEXT (DEQ)"/>
    <w:basedOn w:val="Normal"/>
    <w:rsid w:val="00121B45"/>
    <w:rPr>
      <w:rFonts w:ascii="Times New Roman" w:hAnsi="Times New Roman"/>
      <w:sz w:val="20"/>
    </w:rPr>
  </w:style>
  <w:style w:type="paragraph" w:customStyle="1" w:styleId="SPACEUNDERPICDEQ">
    <w:name w:val="SPACE UNDER PIC(DEQ)"/>
    <w:basedOn w:val="Normal"/>
    <w:rsid w:val="00121B45"/>
    <w:rPr>
      <w:i/>
      <w:sz w:val="6"/>
    </w:rPr>
  </w:style>
  <w:style w:type="paragraph" w:customStyle="1" w:styleId="CAPTIONDEQ">
    <w:name w:val="CAPTION(DEQ)"/>
    <w:basedOn w:val="FSTEXTDEQ"/>
    <w:rsid w:val="00121B45"/>
    <w:rPr>
      <w:i/>
      <w:sz w:val="18"/>
    </w:rPr>
  </w:style>
  <w:style w:type="paragraph" w:styleId="DocumentMap">
    <w:name w:val="Document Map"/>
    <w:basedOn w:val="Normal"/>
    <w:semiHidden/>
    <w:rsid w:val="00121B45"/>
    <w:pPr>
      <w:shd w:val="clear" w:color="auto" w:fill="000080"/>
    </w:pPr>
    <w:rPr>
      <w:rFonts w:ascii="Tahoma" w:hAnsi="Tahoma"/>
    </w:rPr>
  </w:style>
  <w:style w:type="paragraph" w:styleId="BalloonText">
    <w:name w:val="Balloon Text"/>
    <w:basedOn w:val="Normal"/>
    <w:link w:val="BalloonTextChar"/>
    <w:uiPriority w:val="99"/>
    <w:semiHidden/>
    <w:unhideWhenUsed/>
    <w:rsid w:val="00121B45"/>
    <w:rPr>
      <w:rFonts w:ascii="Tahoma" w:hAnsi="Tahoma" w:cs="Tahoma"/>
      <w:sz w:val="16"/>
      <w:szCs w:val="16"/>
    </w:rPr>
  </w:style>
  <w:style w:type="character" w:customStyle="1" w:styleId="BalloonTextChar">
    <w:name w:val="Balloon Text Char"/>
    <w:basedOn w:val="DefaultParagraphFont"/>
    <w:link w:val="BalloonText"/>
    <w:uiPriority w:val="99"/>
    <w:semiHidden/>
    <w:rsid w:val="00121B45"/>
    <w:rPr>
      <w:rFonts w:ascii="Tahoma" w:hAnsi="Tahoma" w:cs="Tahoma"/>
      <w:sz w:val="16"/>
      <w:szCs w:val="16"/>
    </w:rPr>
  </w:style>
  <w:style w:type="paragraph" w:customStyle="1" w:styleId="StyleDEQSMALLHEADLINES11pt">
    <w:name w:val="Style (DEQ)SMALL HEADLINES + 11 pt"/>
    <w:basedOn w:val="DEQSMALLHEADLINES"/>
    <w:rsid w:val="00121B45"/>
    <w:rPr>
      <w:bCs/>
      <w:sz w:val="22"/>
    </w:rPr>
  </w:style>
  <w:style w:type="table" w:styleId="TableGrid">
    <w:name w:val="Table Grid"/>
    <w:basedOn w:val="TableNormal"/>
    <w:uiPriority w:val="59"/>
    <w:rsid w:val="00FB54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7D65"/>
    <w:rPr>
      <w:sz w:val="16"/>
      <w:szCs w:val="16"/>
    </w:rPr>
  </w:style>
  <w:style w:type="paragraph" w:styleId="CommentText">
    <w:name w:val="annotation text"/>
    <w:basedOn w:val="Normal"/>
    <w:link w:val="CommentTextChar"/>
    <w:uiPriority w:val="99"/>
    <w:semiHidden/>
    <w:unhideWhenUsed/>
    <w:rsid w:val="00517D65"/>
    <w:rPr>
      <w:sz w:val="20"/>
    </w:rPr>
  </w:style>
  <w:style w:type="character" w:customStyle="1" w:styleId="CommentTextChar">
    <w:name w:val="Comment Text Char"/>
    <w:basedOn w:val="DefaultParagraphFont"/>
    <w:link w:val="CommentText"/>
    <w:uiPriority w:val="99"/>
    <w:semiHidden/>
    <w:rsid w:val="00517D65"/>
  </w:style>
  <w:style w:type="paragraph" w:styleId="CommentSubject">
    <w:name w:val="annotation subject"/>
    <w:basedOn w:val="CommentText"/>
    <w:next w:val="CommentText"/>
    <w:link w:val="CommentSubjectChar"/>
    <w:uiPriority w:val="99"/>
    <w:semiHidden/>
    <w:unhideWhenUsed/>
    <w:rsid w:val="00517D65"/>
    <w:rPr>
      <w:b/>
      <w:bCs/>
    </w:rPr>
  </w:style>
  <w:style w:type="character" w:customStyle="1" w:styleId="CommentSubjectChar">
    <w:name w:val="Comment Subject Char"/>
    <w:basedOn w:val="CommentTextChar"/>
    <w:link w:val="CommentSubject"/>
    <w:uiPriority w:val="99"/>
    <w:semiHidden/>
    <w:rsid w:val="00517D65"/>
    <w:rPr>
      <w:b/>
      <w:bCs/>
    </w:rPr>
  </w:style>
  <w:style w:type="paragraph" w:styleId="ListParagraph">
    <w:name w:val="List Paragraph"/>
    <w:basedOn w:val="Normal"/>
    <w:uiPriority w:val="34"/>
    <w:qFormat/>
    <w:rsid w:val="00542C32"/>
    <w:pPr>
      <w:ind w:left="720"/>
      <w:contextualSpacing/>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8014824">
      <w:bodyDiv w:val="1"/>
      <w:marLeft w:val="0"/>
      <w:marRight w:val="0"/>
      <w:marTop w:val="0"/>
      <w:marBottom w:val="0"/>
      <w:divBdr>
        <w:top w:val="none" w:sz="0" w:space="0" w:color="auto"/>
        <w:left w:val="none" w:sz="0" w:space="0" w:color="auto"/>
        <w:bottom w:val="none" w:sz="0" w:space="0" w:color="auto"/>
        <w:right w:val="none" w:sz="0" w:space="0" w:color="auto"/>
      </w:divBdr>
    </w:div>
    <w:div w:id="810512684">
      <w:bodyDiv w:val="1"/>
      <w:marLeft w:val="0"/>
      <w:marRight w:val="0"/>
      <w:marTop w:val="0"/>
      <w:marBottom w:val="0"/>
      <w:divBdr>
        <w:top w:val="none" w:sz="0" w:space="0" w:color="auto"/>
        <w:left w:val="none" w:sz="0" w:space="0" w:color="auto"/>
        <w:bottom w:val="none" w:sz="0" w:space="0" w:color="auto"/>
        <w:right w:val="none" w:sz="0" w:space="0" w:color="auto"/>
      </w:divBdr>
      <w:divsChild>
        <w:div w:id="760106294">
          <w:marLeft w:val="2160"/>
          <w:marRight w:val="0"/>
          <w:marTop w:val="96"/>
          <w:marBottom w:val="0"/>
          <w:divBdr>
            <w:top w:val="none" w:sz="0" w:space="0" w:color="auto"/>
            <w:left w:val="none" w:sz="0" w:space="0" w:color="auto"/>
            <w:bottom w:val="none" w:sz="0" w:space="0" w:color="auto"/>
            <w:right w:val="none" w:sz="0" w:space="0" w:color="auto"/>
          </w:divBdr>
        </w:div>
      </w:divsChild>
    </w:div>
    <w:div w:id="1426029181">
      <w:bodyDiv w:val="1"/>
      <w:marLeft w:val="0"/>
      <w:marRight w:val="0"/>
      <w:marTop w:val="0"/>
      <w:marBottom w:val="0"/>
      <w:divBdr>
        <w:top w:val="none" w:sz="0" w:space="0" w:color="auto"/>
        <w:left w:val="none" w:sz="0" w:space="0" w:color="auto"/>
        <w:bottom w:val="none" w:sz="0" w:space="0" w:color="auto"/>
        <w:right w:val="none" w:sz="0" w:space="0" w:color="auto"/>
      </w:divBdr>
      <w:divsChild>
        <w:div w:id="1683703625">
          <w:marLeft w:val="2160"/>
          <w:marRight w:val="0"/>
          <w:marTop w:val="96"/>
          <w:marBottom w:val="0"/>
          <w:divBdr>
            <w:top w:val="none" w:sz="0" w:space="0" w:color="auto"/>
            <w:left w:val="none" w:sz="0" w:space="0" w:color="auto"/>
            <w:bottom w:val="none" w:sz="0" w:space="0" w:color="auto"/>
            <w:right w:val="none" w:sz="0" w:space="0" w:color="auto"/>
          </w:divBdr>
        </w:div>
      </w:divsChild>
    </w:div>
    <w:div w:id="15038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Props1.xml><?xml version="1.0" encoding="utf-8"?>
<ds:datastoreItem xmlns:ds="http://schemas.openxmlformats.org/officeDocument/2006/customXml" ds:itemID="{2A049867-60DC-4D19-AB63-39DD2367D001}">
  <ds:schemaRefs>
    <ds:schemaRef ds:uri="http://schemas.microsoft.com/sharepoint/v3/contenttype/forms"/>
  </ds:schemaRefs>
</ds:datastoreItem>
</file>

<file path=customXml/itemProps2.xml><?xml version="1.0" encoding="utf-8"?>
<ds:datastoreItem xmlns:ds="http://schemas.openxmlformats.org/officeDocument/2006/customXml" ds:itemID="{49BA1671-285F-4D25-AF60-38ED2F0E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8277E-9D6B-449B-B93B-319F5B7FC4CE}">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BWAC#1 Meeting Minutes</vt:lpstr>
    </vt:vector>
  </TitlesOfParts>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BWAC#3 Meeting Minutes</dc:title>
  <dc:creator/>
  <cp:lastModifiedBy/>
  <cp:revision>1</cp:revision>
  <dcterms:created xsi:type="dcterms:W3CDTF">2016-04-14T20:51:00Z</dcterms:created>
  <dcterms:modified xsi:type="dcterms:W3CDTF">2016-04-14T23:04:00Z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1700</vt:r8>
  </property>
</Properties>
</file>