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12FAB" w14:textId="77777777" w:rsidR="00BE6F11" w:rsidRDefault="00BE6F11" w:rsidP="00BE6F11">
      <w:pPr>
        <w:spacing w:after="100" w:afterAutospacing="1"/>
        <w:ind w:left="0"/>
        <w:jc w:val="center"/>
        <w:rPr>
          <w:color w:val="385623" w:themeColor="accent6" w:themeShade="80"/>
        </w:rPr>
      </w:pPr>
      <w:r>
        <w:rPr>
          <w:rFonts w:ascii="Arial" w:hAnsi="Arial" w:cs="Arial"/>
          <w:color w:val="BF8F00" w:themeColor="accent4" w:themeShade="BF"/>
          <w:sz w:val="36"/>
          <w:szCs w:val="36"/>
        </w:rPr>
        <w:t>DELETE THIS PAGE BEFORE PUBLISHING THESE RULES TO THE PUBLIC</w:t>
      </w:r>
    </w:p>
    <w:p w14:paraId="73812FAC" w14:textId="77777777" w:rsidR="00BE6F11" w:rsidRPr="00421716" w:rsidRDefault="00BE6F11" w:rsidP="00BE6F11">
      <w:pPr>
        <w:spacing w:after="100" w:afterAutospacing="1"/>
        <w:rPr>
          <w:color w:val="BF8F00" w:themeColor="accent4" w:themeShade="BF"/>
        </w:rPr>
      </w:pPr>
      <w:r w:rsidRPr="00421716">
        <w:rPr>
          <w:color w:val="BF8F00" w:themeColor="accent4" w:themeShade="BF"/>
        </w:rPr>
        <w:t>If your rules include tables, please follow this example as a template of how to format your rules. If your rules do not have tables, you can ignore this example.</w:t>
      </w: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Change w:id="0" w:author="GOLDSTEIN Meyer" w:date="2016-02-24T09:43:00Z">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PrChange>
      </w:tblPr>
      <w:tblGrid>
        <w:gridCol w:w="2517"/>
        <w:gridCol w:w="2518"/>
        <w:gridCol w:w="2517"/>
        <w:gridCol w:w="2256"/>
        <w:tblGridChange w:id="1">
          <w:tblGrid>
            <w:gridCol w:w="2517"/>
            <w:gridCol w:w="2518"/>
            <w:gridCol w:w="2517"/>
            <w:gridCol w:w="2256"/>
          </w:tblGrid>
        </w:tblGridChange>
      </w:tblGrid>
      <w:tr w:rsidR="00BE6F11" w:rsidRPr="00E16CB8" w14:paraId="73812FAE" w14:textId="77777777" w:rsidTr="00F71CB4">
        <w:trPr>
          <w:trHeight w:val="1548"/>
          <w:jc w:val="center"/>
          <w:trPrChange w:id="2" w:author="GOLDSTEIN Meyer" w:date="2016-02-24T09:43:00Z">
            <w:trPr>
              <w:trHeight w:val="1458"/>
              <w:jc w:val="center"/>
            </w:trPr>
          </w:trPrChange>
        </w:trPr>
        <w:tc>
          <w:tcPr>
            <w:tcW w:w="9808" w:type="dxa"/>
            <w:gridSpan w:val="4"/>
            <w:tcBorders>
              <w:bottom w:val="single" w:sz="4" w:space="0" w:color="000000" w:themeColor="text1"/>
            </w:tcBorders>
            <w:shd w:val="clear" w:color="auto" w:fill="C5E0B3" w:themeFill="accent6" w:themeFillTint="66"/>
            <w:vAlign w:val="center"/>
            <w:tcPrChange w:id="3" w:author="GOLDSTEIN Meyer" w:date="2016-02-24T09:43:00Z">
              <w:tcPr>
                <w:tcW w:w="9808" w:type="dxa"/>
                <w:gridSpan w:val="4"/>
                <w:tcBorders>
                  <w:bottom w:val="single" w:sz="4" w:space="0" w:color="000000" w:themeColor="text1"/>
                </w:tcBorders>
                <w:shd w:val="clear" w:color="auto" w:fill="C5E0B3" w:themeFill="accent6" w:themeFillTint="66"/>
                <w:vAlign w:val="center"/>
              </w:tcPr>
            </w:tcPrChange>
          </w:tcPr>
          <w:p w14:paraId="73812FAD" w14:textId="77777777" w:rsidR="00BE6F11" w:rsidRPr="00C3722A" w:rsidRDefault="007E1D88" w:rsidP="00362664">
            <w:pPr>
              <w:jc w:val="center"/>
              <w:rPr>
                <w:rFonts w:ascii="Arial" w:hAnsi="Arial" w:cs="Arial"/>
                <w:b/>
              </w:rPr>
            </w:pPr>
            <w:r>
              <w:rPr>
                <w:rFonts w:ascii="Arial" w:hAnsi="Arial" w:cs="Arial"/>
                <w:b/>
                <w:noProof/>
                <w:sz w:val="32"/>
                <w:szCs w:val="32"/>
              </w:rPr>
              <w:drawing>
                <wp:anchor distT="0" distB="0" distL="114300" distR="114300" simplePos="0" relativeHeight="251662336" behindDoc="0" locked="0" layoutInCell="1" allowOverlap="1" wp14:anchorId="73812FD7" wp14:editId="73812FD8">
                  <wp:simplePos x="0" y="0"/>
                  <wp:positionH relativeFrom="column">
                    <wp:posOffset>8255</wp:posOffset>
                  </wp:positionH>
                  <wp:positionV relativeFrom="paragraph">
                    <wp:posOffset>-7620</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r w:rsidR="00BE6F11" w:rsidRPr="00E16CB8">
              <w:rPr>
                <w:rFonts w:ascii="Arial" w:hAnsi="Arial" w:cs="Arial"/>
                <w:b/>
                <w:sz w:val="32"/>
                <w:szCs w:val="32"/>
              </w:rPr>
              <w:t>Table Title</w:t>
            </w:r>
            <w:r w:rsidR="00BE6F11">
              <w:rPr>
                <w:rFonts w:ascii="Arial" w:hAnsi="Arial" w:cs="Arial"/>
                <w:b/>
                <w:sz w:val="32"/>
                <w:szCs w:val="32"/>
              </w:rPr>
              <w:br/>
            </w:r>
            <w:r w:rsidR="00BE6F11">
              <w:rPr>
                <w:rFonts w:ascii="Arial" w:hAnsi="Arial" w:cs="Arial"/>
                <w:b/>
              </w:rPr>
              <w:t>Additional Title</w:t>
            </w:r>
            <w:r w:rsidR="00BE6F11">
              <w:rPr>
                <w:rFonts w:ascii="Arial" w:hAnsi="Arial" w:cs="Arial"/>
                <w:b/>
              </w:rPr>
              <w:br/>
            </w:r>
            <w:r w:rsidR="00BE6F11" w:rsidRPr="00C3722A">
              <w:rPr>
                <w:rFonts w:ascii="Arial" w:hAnsi="Arial" w:cs="Arial"/>
                <w:b/>
                <w:sz w:val="18"/>
                <w:szCs w:val="18"/>
              </w:rPr>
              <w:t>Even More Info</w:t>
            </w:r>
            <w:r w:rsidR="00BE6F11">
              <w:rPr>
                <w:rFonts w:ascii="Arial" w:hAnsi="Arial" w:cs="Arial"/>
                <w:b/>
                <w:sz w:val="18"/>
                <w:szCs w:val="18"/>
              </w:rPr>
              <w:t>, Date</w:t>
            </w:r>
          </w:p>
        </w:tc>
      </w:tr>
      <w:tr w:rsidR="00BE6F11" w:rsidRPr="00E16CB8" w14:paraId="73812FB1" w14:textId="77777777" w:rsidTr="00F71CB4">
        <w:trPr>
          <w:trHeight w:val="845"/>
          <w:jc w:val="center"/>
          <w:trPrChange w:id="4" w:author="GOLDSTEIN Meyer" w:date="2016-02-24T09:43:00Z">
            <w:trPr>
              <w:trHeight w:val="1160"/>
              <w:jc w:val="center"/>
            </w:trPr>
          </w:trPrChange>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Change w:id="5" w:author="GOLDSTEIN Meyer" w:date="2016-02-24T09:43:00Z">
              <w:tcPr>
                <w:tcW w:w="5035" w:type="dxa"/>
                <w:gridSpan w:val="2"/>
                <w:tcBorders>
                  <w:top w:val="single" w:sz="4" w:space="0" w:color="000000" w:themeColor="text1"/>
                  <w:bottom w:val="single" w:sz="4" w:space="0" w:color="000000" w:themeColor="text1"/>
                  <w:right w:val="single" w:sz="4" w:space="0" w:color="000000" w:themeColor="text1"/>
                </w:tcBorders>
                <w:shd w:val="clear" w:color="auto" w:fill="385623" w:themeFill="accent6" w:themeFillShade="80"/>
                <w:vAlign w:val="center"/>
              </w:tcPr>
            </w:tcPrChange>
          </w:tcPr>
          <w:p w14:paraId="73812FAF" w14:textId="77777777" w:rsidR="00BE6F11" w:rsidRPr="00AD76BB" w:rsidRDefault="00BE6F11" w:rsidP="00362664">
            <w:pPr>
              <w:jc w:val="center"/>
              <w:rPr>
                <w:rFonts w:ascii="Arial" w:hAnsi="Arial" w:cs="Arial"/>
                <w:b/>
                <w:color w:val="FFFFFF" w:themeColor="background1"/>
                <w:sz w:val="24"/>
                <w:szCs w:val="24"/>
              </w:rPr>
            </w:pPr>
            <w:r w:rsidRPr="00AD76BB">
              <w:rPr>
                <w:rFonts w:ascii="Arial" w:hAnsi="Arial" w:cs="Arial"/>
                <w:b/>
                <w:color w:val="FFFFFF" w:themeColor="background1"/>
                <w:sz w:val="24"/>
                <w:szCs w:val="24"/>
              </w:rPr>
              <w:t>Subheading 1</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Change w:id="6" w:author="GOLDSTEIN Meyer" w:date="2016-02-24T09:43:00Z">
              <w:tcPr>
                <w:tcW w:w="4773" w:type="dxa"/>
                <w:gridSpan w:val="2"/>
                <w:tcBorders>
                  <w:top w:val="single" w:sz="4" w:space="0" w:color="000000" w:themeColor="text1"/>
                  <w:left w:val="single" w:sz="4" w:space="0" w:color="000000" w:themeColor="text1"/>
                  <w:bottom w:val="single" w:sz="4" w:space="0" w:color="000000" w:themeColor="text1"/>
                </w:tcBorders>
                <w:shd w:val="clear" w:color="auto" w:fill="385623" w:themeFill="accent6" w:themeFillShade="80"/>
                <w:vAlign w:val="center"/>
              </w:tcPr>
            </w:tcPrChange>
          </w:tcPr>
          <w:p w14:paraId="73812FB0" w14:textId="77777777" w:rsidR="00BE6F11" w:rsidRPr="00AD76BB" w:rsidRDefault="00BE6F11" w:rsidP="00362664">
            <w:pPr>
              <w:jc w:val="center"/>
              <w:rPr>
                <w:rFonts w:ascii="Arial" w:hAnsi="Arial" w:cs="Arial"/>
                <w:b/>
                <w:color w:val="FFFFFF" w:themeColor="background1"/>
                <w:sz w:val="24"/>
                <w:szCs w:val="24"/>
              </w:rPr>
            </w:pPr>
            <w:r w:rsidRPr="00AD76BB">
              <w:rPr>
                <w:rFonts w:ascii="Arial" w:hAnsi="Arial" w:cs="Arial"/>
                <w:b/>
                <w:color w:val="FFFFFF" w:themeColor="background1"/>
                <w:sz w:val="24"/>
                <w:szCs w:val="24"/>
              </w:rPr>
              <w:t>Subheading 2</w:t>
            </w:r>
          </w:p>
        </w:tc>
      </w:tr>
      <w:tr w:rsidR="00BE6F11" w:rsidRPr="00E16CB8" w14:paraId="73812FB6" w14:textId="77777777" w:rsidTr="003D1B7E">
        <w:trPr>
          <w:jc w:val="center"/>
        </w:trPr>
        <w:tc>
          <w:tcPr>
            <w:tcW w:w="2517" w:type="dxa"/>
            <w:tcBorders>
              <w:top w:val="single" w:sz="4" w:space="0" w:color="000000" w:themeColor="text1"/>
              <w:bottom w:val="single" w:sz="4" w:space="0" w:color="000000" w:themeColor="text1"/>
              <w:right w:val="single" w:sz="4" w:space="0" w:color="000000" w:themeColor="text1"/>
            </w:tcBorders>
            <w:vAlign w:val="center"/>
          </w:tcPr>
          <w:p w14:paraId="73812FB2" w14:textId="77777777" w:rsidR="00BE6F11" w:rsidRPr="00C3722A" w:rsidRDefault="00BE6F11" w:rsidP="00362664">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12FB3" w14:textId="77777777" w:rsidR="00BE6F11" w:rsidRPr="00E16CB8" w:rsidRDefault="00BE6F11" w:rsidP="00362664">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12FB4" w14:textId="77777777" w:rsidR="00BE6F11" w:rsidRPr="00E16CB8" w:rsidRDefault="00BE6F11" w:rsidP="00362664">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4" w:space="0" w:color="000000" w:themeColor="text1"/>
            </w:tcBorders>
            <w:vAlign w:val="center"/>
          </w:tcPr>
          <w:p w14:paraId="73812FB5" w14:textId="77777777" w:rsidR="00BE6F11" w:rsidRPr="00E16CB8" w:rsidRDefault="00BE6F11" w:rsidP="00362664">
            <w:pPr>
              <w:rPr>
                <w:rFonts w:ascii="Arial" w:hAnsi="Arial" w:cs="Arial"/>
              </w:rPr>
            </w:pPr>
            <w:r>
              <w:rPr>
                <w:rFonts w:ascii="Arial" w:hAnsi="Arial" w:cs="Arial"/>
              </w:rPr>
              <w:t xml:space="preserve">Data </w:t>
            </w:r>
          </w:p>
        </w:tc>
      </w:tr>
      <w:tr w:rsidR="00BE6F11" w:rsidRPr="00E16CB8" w14:paraId="73812FBB" w14:textId="77777777" w:rsidTr="003D1B7E">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73812FB7" w14:textId="77777777" w:rsidR="00BE6F11" w:rsidRPr="00E16CB8" w:rsidRDefault="00BE6F11" w:rsidP="00362664">
            <w:pPr>
              <w:rPr>
                <w:rFonts w:ascii="Arial" w:hAnsi="Arial" w:cs="Arial"/>
              </w:rPr>
            </w:pPr>
            <w:r>
              <w:rPr>
                <w:rFonts w:ascii="Arial" w:hAnsi="Arial" w:cs="Arial"/>
              </w:rPr>
              <w:t>Data</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3812FB8" w14:textId="77777777" w:rsidR="00BE6F11" w:rsidRPr="00E16CB8" w:rsidRDefault="00BE6F11" w:rsidP="00362664">
            <w:pPr>
              <w:rPr>
                <w:rFonts w:ascii="Arial" w:hAnsi="Arial" w:cs="Arial"/>
              </w:rPr>
            </w:pPr>
            <w:r>
              <w:rPr>
                <w:rFonts w:ascii="Arial" w:hAnsi="Arial" w:cs="Arial"/>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3812FB9" w14:textId="77777777" w:rsidR="00BE6F11" w:rsidRPr="00E16CB8" w:rsidRDefault="00BE6F11" w:rsidP="00362664">
            <w:pPr>
              <w:rPr>
                <w:rFonts w:ascii="Arial" w:hAnsi="Arial" w:cs="Arial"/>
              </w:rPr>
            </w:pPr>
            <w:r>
              <w:rPr>
                <w:rFonts w:ascii="Arial" w:hAnsi="Arial" w:cs="Arial"/>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73812FBA" w14:textId="77777777" w:rsidR="00BE6F11" w:rsidRPr="00E16CB8" w:rsidRDefault="00BE6F11" w:rsidP="00362664">
            <w:pPr>
              <w:rPr>
                <w:rFonts w:ascii="Arial" w:hAnsi="Arial" w:cs="Arial"/>
              </w:rPr>
            </w:pPr>
            <w:r>
              <w:rPr>
                <w:rFonts w:ascii="Arial" w:hAnsi="Arial" w:cs="Arial"/>
              </w:rPr>
              <w:t>Data</w:t>
            </w:r>
          </w:p>
        </w:tc>
      </w:tr>
    </w:tbl>
    <w:p w14:paraId="73812FBC" w14:textId="77777777" w:rsidR="00BE6F11" w:rsidRDefault="00BE6F11" w:rsidP="00BE6F11">
      <w:pPr>
        <w:ind w:right="14"/>
        <w:jc w:val="center"/>
        <w:rPr>
          <w:b/>
          <w:color w:val="BF8F00" w:themeColor="accent4" w:themeShade="BF"/>
          <w:sz w:val="28"/>
          <w:szCs w:val="28"/>
          <w:u w:val="single"/>
        </w:rPr>
      </w:pPr>
    </w:p>
    <w:p w14:paraId="73812FBD" w14:textId="77777777" w:rsidR="00BE6F11" w:rsidRPr="00A32414" w:rsidRDefault="00BE6F11" w:rsidP="00BE6F11">
      <w:pPr>
        <w:spacing w:after="100" w:afterAutospacing="1"/>
        <w:jc w:val="center"/>
        <w:rPr>
          <w:color w:val="BF8F00" w:themeColor="accent4" w:themeShade="BF"/>
          <w:sz w:val="28"/>
          <w:szCs w:val="28"/>
        </w:rPr>
      </w:pPr>
      <w:r w:rsidRPr="00A32414">
        <w:rPr>
          <w:b/>
          <w:color w:val="BF8F00" w:themeColor="accent4" w:themeShade="BF"/>
          <w:sz w:val="28"/>
          <w:szCs w:val="28"/>
          <w:u w:val="single"/>
        </w:rPr>
        <w:t>Rule Formatting Standards -OAR 166-500-0055</w:t>
      </w:r>
    </w:p>
    <w:p w14:paraId="73812FBE"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Microsoft Word</w:t>
      </w:r>
    </w:p>
    <w:p w14:paraId="73812FBF"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Single spaced</w:t>
      </w:r>
    </w:p>
    <w:p w14:paraId="73812FC0"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Left justified</w:t>
      </w:r>
    </w:p>
    <w:p w14:paraId="73812FC1"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12 point, Times New Roman font</w:t>
      </w:r>
    </w:p>
    <w:p w14:paraId="73812FC2"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One extra  (blank) line (carriage return) between each rule segment</w:t>
      </w:r>
    </w:p>
    <w:p w14:paraId="73812FC3"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No auto numbering/auto numbering turned off</w:t>
      </w:r>
    </w:p>
    <w:p w14:paraId="73812FC4"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Tables formatted according to DEQ standard</w:t>
      </w:r>
    </w:p>
    <w:p w14:paraId="73812FC5" w14:textId="77777777" w:rsidR="00BE6F11" w:rsidRPr="00A32414" w:rsidRDefault="00BE6F11" w:rsidP="00BE6F11">
      <w:pPr>
        <w:pStyle w:val="ListParagraph"/>
        <w:numPr>
          <w:ilvl w:val="0"/>
          <w:numId w:val="1"/>
        </w:numPr>
        <w:spacing w:after="100" w:afterAutospacing="1"/>
        <w:ind w:right="14"/>
        <w:rPr>
          <w:color w:val="BF8F00" w:themeColor="accent4" w:themeShade="BF"/>
        </w:rPr>
      </w:pPr>
      <w:r w:rsidRPr="00A32414">
        <w:rPr>
          <w:color w:val="BF8F00" w:themeColor="accent4" w:themeShade="BF"/>
        </w:rPr>
        <w:t>If you are not familiar with creating or formatting tables, ask rules group lead or agency rules coordinator for help</w:t>
      </w:r>
    </w:p>
    <w:p w14:paraId="73812FC6" w14:textId="77777777" w:rsidR="00BE6F11" w:rsidRPr="00A32414" w:rsidRDefault="00BE6F11" w:rsidP="00BE6F11">
      <w:pPr>
        <w:pStyle w:val="ListParagraph"/>
        <w:numPr>
          <w:ilvl w:val="0"/>
          <w:numId w:val="1"/>
        </w:numPr>
        <w:spacing w:after="100" w:afterAutospacing="1"/>
        <w:rPr>
          <w:color w:val="BF8F00" w:themeColor="accent4" w:themeShade="BF"/>
        </w:rPr>
      </w:pPr>
      <w:r w:rsidRPr="00A32414">
        <w:rPr>
          <w:color w:val="BF8F00" w:themeColor="accent4" w:themeShade="BF"/>
        </w:rPr>
        <w:t>Keep Track Changes function turned on</w:t>
      </w:r>
    </w:p>
    <w:p w14:paraId="73812FC7" w14:textId="77777777" w:rsidR="00BE6F11" w:rsidRPr="0023411B" w:rsidRDefault="00BE6F11" w:rsidP="00BE6F11">
      <w:pPr>
        <w:pStyle w:val="ListParagraph"/>
        <w:numPr>
          <w:ilvl w:val="0"/>
          <w:numId w:val="1"/>
        </w:numPr>
        <w:spacing w:after="100" w:afterAutospacing="1"/>
        <w:ind w:right="14"/>
      </w:pPr>
      <w:r w:rsidRPr="00A32414">
        <w:rPr>
          <w:color w:val="BF8F00" w:themeColor="accent4" w:themeShade="BF"/>
        </w:rPr>
        <w:t>Only make edits on SharePoint version of rules</w:t>
      </w:r>
    </w:p>
    <w:p w14:paraId="73812FC8" w14:textId="77777777" w:rsidR="00BE6F11" w:rsidRDefault="00BE6F11" w:rsidP="00BE6F11">
      <w:pPr>
        <w:spacing w:after="100" w:afterAutospacing="1"/>
      </w:pPr>
      <w:r>
        <w:t>ONLY THE RULES GROUP LEADER OR AGENCY RULES COORDINATOR MAY ADD RULES TO THIS TEMPLATE</w:t>
      </w:r>
    </w:p>
    <w:p w14:paraId="73812FC9" w14:textId="77777777" w:rsidR="00BE6F11" w:rsidRDefault="00BE6F11" w:rsidP="00BE6F11">
      <w:pPr>
        <w:spacing w:after="100" w:afterAutospacing="1"/>
        <w:ind w:right="14"/>
      </w:pPr>
      <w:r>
        <w:t>BEFORE EDITING THESE RULES, THE EDITOR SHOULD:</w:t>
      </w:r>
      <w:r>
        <w:br/>
        <w:t>-CHECK THE DOCUMENT OUT OF SHAREPOINT</w:t>
      </w:r>
      <w:r>
        <w:br/>
        <w:t>-CHECK TO MAKE SURE TRACK CHANGES IS TURNED ON</w:t>
      </w:r>
      <w:r>
        <w:br/>
        <w:t>-CHECK THE DOCUMENT BACK IN TO SHAREPOINT WHEN DONE</w:t>
      </w:r>
    </w:p>
    <w:p w14:paraId="73812FCA" w14:textId="77777777" w:rsidR="00BE6F11" w:rsidRPr="00675355" w:rsidRDefault="00BE6F11" w:rsidP="00BE6F11">
      <w:pPr>
        <w:spacing w:after="100" w:afterAutospacing="1"/>
        <w:rPr>
          <w:u w:val="single"/>
        </w:rPr>
      </w:pPr>
      <w:r>
        <w:rPr>
          <w:noProof/>
        </w:rPr>
        <w:drawing>
          <wp:anchor distT="0" distB="0" distL="114300" distR="114300" simplePos="0" relativeHeight="251660288" behindDoc="1" locked="0" layoutInCell="1" allowOverlap="1" wp14:anchorId="73812FD9" wp14:editId="73812FDA">
            <wp:simplePos x="0" y="0"/>
            <wp:positionH relativeFrom="column">
              <wp:posOffset>5291455</wp:posOffset>
            </wp:positionH>
            <wp:positionV relativeFrom="paragraph">
              <wp:posOffset>352425</wp:posOffset>
            </wp:positionV>
            <wp:extent cx="1828800" cy="1082040"/>
            <wp:effectExtent l="19050" t="19050" r="19050" b="22860"/>
            <wp:wrapTight wrapText="bothSides">
              <wp:wrapPolygon edited="0">
                <wp:start x="-225" y="-380"/>
                <wp:lineTo x="-225" y="21676"/>
                <wp:lineTo x="21600" y="21676"/>
                <wp:lineTo x="21600" y="-380"/>
                <wp:lineTo x="-225" y="-38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82040"/>
                    </a:xfrm>
                    <a:prstGeom prst="rect">
                      <a:avLst/>
                    </a:prstGeom>
                    <a:noFill/>
                    <a:ln>
                      <a:solidFill>
                        <a:schemeClr val="tx1"/>
                      </a:solidFill>
                    </a:ln>
                  </pic:spPr>
                </pic:pic>
              </a:graphicData>
            </a:graphic>
          </wp:anchor>
        </w:drawing>
      </w:r>
      <w:r>
        <w:rPr>
          <w:noProof/>
        </w:rPr>
        <w:drawing>
          <wp:anchor distT="0" distB="0" distL="114300" distR="114300" simplePos="0" relativeHeight="251659264" behindDoc="1" locked="0" layoutInCell="1" allowOverlap="1" wp14:anchorId="73812FDB" wp14:editId="73812FDC">
            <wp:simplePos x="0" y="0"/>
            <wp:positionH relativeFrom="column">
              <wp:posOffset>-74507</wp:posOffset>
            </wp:positionH>
            <wp:positionV relativeFrom="paragraph">
              <wp:posOffset>340360</wp:posOffset>
            </wp:positionV>
            <wp:extent cx="1851660" cy="1066800"/>
            <wp:effectExtent l="19050" t="19050" r="15240" b="19050"/>
            <wp:wrapTight wrapText="bothSides">
              <wp:wrapPolygon edited="0">
                <wp:start x="-222" y="-386"/>
                <wp:lineTo x="-222" y="21600"/>
                <wp:lineTo x="21556" y="21600"/>
                <wp:lineTo x="21556" y="-386"/>
                <wp:lineTo x="-222" y="-38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660" cy="1066800"/>
                    </a:xfrm>
                    <a:prstGeom prst="rect">
                      <a:avLst/>
                    </a:prstGeom>
                    <a:noFill/>
                    <a:ln>
                      <a:solidFill>
                        <a:schemeClr val="tx1"/>
                      </a:solidFill>
                    </a:ln>
                  </pic:spPr>
                </pic:pic>
              </a:graphicData>
            </a:graphic>
            <wp14:sizeRelH relativeFrom="margin">
              <wp14:pctWidth>0</wp14:pctWidth>
            </wp14:sizeRelH>
          </wp:anchor>
        </w:drawing>
      </w:r>
      <w:r w:rsidRPr="00675355">
        <w:rPr>
          <w:u w:val="single"/>
        </w:rPr>
        <w:t>TRACK CHANGES OFF</w:t>
      </w:r>
      <w:r>
        <w:t xml:space="preserve">                                              </w:t>
      </w:r>
      <w:r w:rsidRPr="00675355">
        <w:rPr>
          <w:u w:val="single"/>
        </w:rPr>
        <w:t xml:space="preserve"> TRACK CHANGES ON</w:t>
      </w:r>
    </w:p>
    <w:p w14:paraId="73812FCB" w14:textId="77777777" w:rsidR="00BE6F11" w:rsidRDefault="00BE6F11" w:rsidP="00BE6F11">
      <w:pPr>
        <w:spacing w:after="100" w:afterAutospacing="1"/>
      </w:pPr>
      <w:r>
        <w:rPr>
          <w:noProof/>
        </w:rPr>
        <w:drawing>
          <wp:anchor distT="0" distB="0" distL="114300" distR="114300" simplePos="0" relativeHeight="251661312" behindDoc="1" locked="0" layoutInCell="1" allowOverlap="1" wp14:anchorId="73812FDD" wp14:editId="73812FDE">
            <wp:simplePos x="0" y="0"/>
            <wp:positionH relativeFrom="column">
              <wp:posOffset>1980777</wp:posOffset>
            </wp:positionH>
            <wp:positionV relativeFrom="paragraph">
              <wp:posOffset>267970</wp:posOffset>
            </wp:positionV>
            <wp:extent cx="3090545" cy="541655"/>
            <wp:effectExtent l="0" t="0" r="0" b="0"/>
            <wp:wrapTight wrapText="bothSides">
              <wp:wrapPolygon edited="0">
                <wp:start x="0" y="0"/>
                <wp:lineTo x="0" y="20511"/>
                <wp:lineTo x="21436" y="2051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0545" cy="541655"/>
                    </a:xfrm>
                    <a:prstGeom prst="rect">
                      <a:avLst/>
                    </a:prstGeom>
                    <a:noFill/>
                    <a:ln>
                      <a:noFill/>
                    </a:ln>
                  </pic:spPr>
                </pic:pic>
              </a:graphicData>
            </a:graphic>
          </wp:anchor>
        </w:drawing>
      </w:r>
    </w:p>
    <w:p w14:paraId="73812FCC" w14:textId="77777777" w:rsidR="00BE6F11" w:rsidRDefault="00BE6F11" w:rsidP="00BE6F11">
      <w:pPr>
        <w:spacing w:after="100" w:afterAutospacing="1"/>
      </w:pPr>
    </w:p>
    <w:p w14:paraId="73812FCD" w14:textId="77777777" w:rsidR="00BE6F11" w:rsidRDefault="00BE6F11" w:rsidP="00BE6F11">
      <w:pPr>
        <w:spacing w:after="100" w:afterAutospacing="1"/>
        <w:ind w:left="0"/>
        <w:sectPr w:rsidR="00BE6F11" w:rsidSect="00622E4D">
          <w:pgSz w:w="12240" w:h="15840"/>
          <w:pgMar w:top="720" w:right="720" w:bottom="720" w:left="720" w:header="720" w:footer="720" w:gutter="0"/>
          <w:cols w:space="720"/>
          <w:docGrid w:linePitch="360"/>
        </w:sectPr>
      </w:pPr>
    </w:p>
    <w:p w14:paraId="73812FCF" w14:textId="77777777" w:rsidR="00BE6F11" w:rsidRDefault="00BE6F11" w:rsidP="00BE6F11">
      <w:pPr>
        <w:pStyle w:val="NormalWeb"/>
        <w:rPr>
          <w:rStyle w:val="Strong"/>
          <w:color w:val="000000"/>
        </w:rPr>
      </w:pPr>
      <w:r>
        <w:rPr>
          <w:rStyle w:val="Strong"/>
          <w:color w:val="000000"/>
          <w:u w:val="single"/>
        </w:rPr>
        <w:lastRenderedPageBreak/>
        <w:t>Key to Identifying Changed Text:</w:t>
      </w:r>
    </w:p>
    <w:p w14:paraId="73812FD0" w14:textId="77777777" w:rsidR="00BE6F11" w:rsidRPr="00BC3602" w:rsidRDefault="00BE6F11" w:rsidP="00BE6F11">
      <w:pPr>
        <w:pStyle w:val="NormalWeb"/>
        <w:rPr>
          <w:rStyle w:val="Strong"/>
          <w:b w:val="0"/>
          <w:bCs w:val="0"/>
          <w:color w:val="000000"/>
        </w:rPr>
      </w:pPr>
      <w:r w:rsidRPr="00AE4B0B">
        <w:rPr>
          <w:rStyle w:val="Strong"/>
          <w:strike/>
          <w:color w:val="FF0000"/>
        </w:rPr>
        <w:t>Deleted Text</w:t>
      </w:r>
      <w:r>
        <w:rPr>
          <w:color w:val="000000"/>
        </w:rPr>
        <w:br/>
      </w:r>
      <w:r w:rsidRPr="00AE4B0B">
        <w:rPr>
          <w:color w:val="00B0F0"/>
          <w:u w:val="single"/>
        </w:rPr>
        <w:t>New/inserted text</w:t>
      </w:r>
      <w:r>
        <w:rPr>
          <w:color w:val="000000"/>
        </w:rPr>
        <w:br/>
      </w:r>
      <w:proofErr w:type="spellStart"/>
      <w:r w:rsidRPr="00DB0102">
        <w:rPr>
          <w:strike/>
          <w:color w:val="00B050"/>
        </w:rPr>
        <w:t>Text</w:t>
      </w:r>
      <w:proofErr w:type="spellEnd"/>
      <w:r w:rsidRPr="00DB0102">
        <w:rPr>
          <w:strike/>
          <w:color w:val="00B050"/>
        </w:rPr>
        <w:t xml:space="preserve"> deleted from one location</w:t>
      </w:r>
      <w:r w:rsidRPr="00DB0102">
        <w:rPr>
          <w:color w:val="00B050"/>
        </w:rPr>
        <w:t xml:space="preserve"> - </w:t>
      </w:r>
      <w:r w:rsidRPr="00DB0102">
        <w:rPr>
          <w:color w:val="00B050"/>
          <w:u w:val="single"/>
        </w:rPr>
        <w:t>and moved to another location</w:t>
      </w:r>
    </w:p>
    <w:p w14:paraId="73812FD1" w14:textId="77777777" w:rsidR="00BE6F11" w:rsidRDefault="00BE6F11" w:rsidP="00BE6F11">
      <w:pPr>
        <w:shd w:val="clear" w:color="auto" w:fill="F5F5F5"/>
        <w:spacing w:after="100" w:afterAutospacing="1"/>
        <w:ind w:left="0" w:right="0"/>
        <w:jc w:val="center"/>
        <w:outlineLvl w:val="1"/>
        <w:rPr>
          <w:b/>
          <w:bCs/>
          <w:color w:val="916E33"/>
          <w:sz w:val="27"/>
          <w:szCs w:val="27"/>
        </w:rPr>
      </w:pPr>
    </w:p>
    <w:p w14:paraId="73812FD2"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80D3ED" w14:textId="77777777" w:rsidR="001A4ECC" w:rsidRPr="001A4ECC" w:rsidRDefault="001A4ECC" w:rsidP="001A4ECC">
      <w:pPr>
        <w:pStyle w:val="NormalWeb"/>
        <w:jc w:val="center"/>
        <w:rPr>
          <w:color w:val="000000"/>
        </w:rPr>
      </w:pPr>
      <w:r w:rsidRPr="001A4ECC">
        <w:rPr>
          <w:rStyle w:val="Strong"/>
          <w:color w:val="000000"/>
        </w:rPr>
        <w:t>DIVISION 143</w:t>
      </w:r>
    </w:p>
    <w:p w14:paraId="2C4EEE16" w14:textId="77777777" w:rsidR="001A4ECC" w:rsidRPr="001A4ECC" w:rsidRDefault="001A4ECC" w:rsidP="001A4ECC">
      <w:pPr>
        <w:pStyle w:val="NormalWeb"/>
        <w:jc w:val="center"/>
        <w:rPr>
          <w:color w:val="000000"/>
        </w:rPr>
      </w:pPr>
      <w:r w:rsidRPr="001A4ECC">
        <w:rPr>
          <w:rStyle w:val="Strong"/>
          <w:color w:val="000000"/>
        </w:rPr>
        <w:t>BALLAST WATER MANAGEMENT </w:t>
      </w:r>
    </w:p>
    <w:p w14:paraId="2345F50F" w14:textId="77777777" w:rsidR="001A4ECC" w:rsidRPr="001A4ECC" w:rsidRDefault="001A4ECC" w:rsidP="001A4ECC">
      <w:pPr>
        <w:pStyle w:val="NormalWeb"/>
        <w:rPr>
          <w:color w:val="000000"/>
        </w:rPr>
      </w:pPr>
      <w:r w:rsidRPr="001A4ECC">
        <w:rPr>
          <w:rStyle w:val="Strong"/>
          <w:color w:val="000000"/>
        </w:rPr>
        <w:t>340-143-0005</w:t>
      </w:r>
    </w:p>
    <w:p w14:paraId="4DD70289" w14:textId="77777777" w:rsidR="001A4ECC" w:rsidRPr="001A4ECC" w:rsidRDefault="001A4ECC" w:rsidP="001A4ECC">
      <w:pPr>
        <w:pStyle w:val="NormalWeb"/>
        <w:rPr>
          <w:color w:val="000000"/>
        </w:rPr>
      </w:pPr>
      <w:r w:rsidRPr="001A4ECC">
        <w:rPr>
          <w:rStyle w:val="Strong"/>
          <w:color w:val="000000"/>
        </w:rPr>
        <w:t>Definitions</w:t>
      </w:r>
    </w:p>
    <w:p w14:paraId="4C89238D"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4425B3A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75693EC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6199DB23"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6678CA52" w14:textId="77777777" w:rsidR="001A4ECC" w:rsidRPr="001A4ECC" w:rsidRDefault="001A4ECC" w:rsidP="001A4ECC">
      <w:pPr>
        <w:pStyle w:val="NormalWeb"/>
        <w:rPr>
          <w:color w:val="000000"/>
        </w:rPr>
      </w:pPr>
      <w:r w:rsidRPr="001A4ECC">
        <w:rPr>
          <w:color w:val="000000"/>
        </w:rPr>
        <w:t>(5) "DEQ" means the Oregon Department of Environmental Quality.</w:t>
      </w:r>
    </w:p>
    <w:p w14:paraId="42F68840" w14:textId="77777777" w:rsidR="001A4ECC" w:rsidRPr="001A4ECC" w:rsidRDefault="001A4ECC" w:rsidP="001A4ECC">
      <w:pPr>
        <w:pStyle w:val="NormalWeb"/>
        <w:rPr>
          <w:color w:val="000000"/>
        </w:rPr>
      </w:pPr>
      <w:r w:rsidRPr="001A4ECC">
        <w:rPr>
          <w:color w:val="000000"/>
        </w:rPr>
        <w:t>(6) “Exchange” means to replace the water in a ballast tank using either flow-through exchange, empty/refill exchange, or other exchange methods recommended or required under U.S. Coast Guard rules, 33 CFR, part 151.2035.</w:t>
      </w:r>
    </w:p>
    <w:p w14:paraId="06D5DEA3" w14:textId="77777777" w:rsidR="001A4ECC" w:rsidRPr="001A4ECC" w:rsidRDefault="001A4ECC" w:rsidP="001A4ECC">
      <w:pPr>
        <w:pStyle w:val="NormalWeb"/>
        <w:rPr>
          <w:color w:val="000000"/>
        </w:rPr>
      </w:pPr>
      <w:r w:rsidRPr="001A4ECC">
        <w:rPr>
          <w:color w:val="000000"/>
        </w:rPr>
        <w:t>(7) “Exclusive Economic Zone” extends from the baseline of the U.S. territorial sea seaward 200 nautical miles.</w:t>
      </w:r>
    </w:p>
    <w:p w14:paraId="55CACF75" w14:textId="77777777" w:rsidR="001A4ECC" w:rsidRPr="001A4ECC" w:rsidRDefault="001A4ECC" w:rsidP="001A4ECC">
      <w:pPr>
        <w:pStyle w:val="NormalWeb"/>
        <w:rPr>
          <w:color w:val="000000"/>
        </w:rPr>
      </w:pPr>
      <w:r w:rsidRPr="001A4ECC">
        <w:rPr>
          <w:color w:val="000000"/>
        </w:rPr>
        <w:t xml:space="preserve">(8)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608596D7" w14:textId="77777777" w:rsidR="001A4ECC" w:rsidRPr="001A4ECC" w:rsidRDefault="001A4ECC" w:rsidP="001A4ECC">
      <w:pPr>
        <w:pStyle w:val="NormalWeb"/>
        <w:rPr>
          <w:color w:val="000000"/>
        </w:rPr>
      </w:pPr>
      <w:r w:rsidRPr="001A4ECC">
        <w:rPr>
          <w:color w:val="000000"/>
        </w:rPr>
        <w:t>(9) "Internal Waters of the State" means those waters of this state that do not have shared jurisdiction with an adjacent state.</w:t>
      </w:r>
    </w:p>
    <w:p w14:paraId="7FF8A00D" w14:textId="77777777" w:rsidR="001A4ECC" w:rsidRPr="001A4ECC" w:rsidRDefault="001A4ECC" w:rsidP="001A4ECC">
      <w:pPr>
        <w:pStyle w:val="NormalWeb"/>
        <w:rPr>
          <w:color w:val="000000"/>
        </w:rPr>
      </w:pPr>
      <w:r w:rsidRPr="001A4ECC">
        <w:rPr>
          <w:color w:val="000000"/>
        </w:rPr>
        <w:lastRenderedPageBreak/>
        <w:t>(10) “Nonindigenous Species” means any species or other viable biological material entering an ecosystem beyond its natural range. This also includes seeds, eggs, spores and other biological material entering an ecosystem beyond its natural range.</w:t>
      </w:r>
    </w:p>
    <w:p w14:paraId="00210CC9" w14:textId="77777777" w:rsidR="001A4ECC" w:rsidRPr="001A4ECC" w:rsidRDefault="001A4ECC" w:rsidP="001A4ECC">
      <w:pPr>
        <w:pStyle w:val="NormalWeb"/>
        <w:rPr>
          <w:color w:val="000000"/>
        </w:rPr>
      </w:pPr>
      <w:r w:rsidRPr="001A4ECC">
        <w:rPr>
          <w:color w:val="000000"/>
        </w:rPr>
        <w:t xml:space="preserve">(11)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0EF42A74" w14:textId="77777777" w:rsidR="001A4ECC" w:rsidRPr="001A4ECC" w:rsidRDefault="001A4ECC" w:rsidP="001A4ECC">
      <w:pPr>
        <w:pStyle w:val="NormalWeb"/>
        <w:rPr>
          <w:color w:val="000000"/>
        </w:rPr>
      </w:pPr>
      <w:r w:rsidRPr="001A4ECC">
        <w:rPr>
          <w:color w:val="000000"/>
        </w:rPr>
        <w:t>(12) "Open Sea Exchange" means the exchange of ballast water that occurs in an area no less than 200 nautical miles from any shore and where the water depth exceeds 2,000 meters.</w:t>
      </w:r>
    </w:p>
    <w:p w14:paraId="480D56CB" w14:textId="77777777" w:rsidR="001A4ECC" w:rsidRPr="001A4ECC" w:rsidRDefault="001A4ECC" w:rsidP="001A4ECC">
      <w:pPr>
        <w:pStyle w:val="NormalWeb"/>
        <w:rPr>
          <w:color w:val="000000"/>
        </w:rPr>
      </w:pPr>
      <w:r w:rsidRPr="001A4ECC">
        <w:rPr>
          <w:color w:val="000000"/>
        </w:rPr>
        <w:t>(13) “Pacific Coast Region” means all coastal waters on the Pacific Coast of North America east of 154 degrees W longitude and north of 25 degrees N latitude, exclusive of the Gulf of California.</w:t>
      </w:r>
    </w:p>
    <w:p w14:paraId="42C789DC" w14:textId="77777777" w:rsidR="001A4ECC" w:rsidRPr="001A4ECC" w:rsidRDefault="001A4ECC" w:rsidP="001A4ECC">
      <w:pPr>
        <w:pStyle w:val="NormalWeb"/>
        <w:rPr>
          <w:color w:val="000000"/>
        </w:rPr>
      </w:pPr>
      <w:r w:rsidRPr="001A4ECC">
        <w:rPr>
          <w:color w:val="000000"/>
        </w:rPr>
        <w:t>(14) "Passenger Vessel" means a ship of 300 gross tons or more, carrying passengers for compensation.</w:t>
      </w:r>
    </w:p>
    <w:p w14:paraId="7C00A059" w14:textId="77777777" w:rsidR="001A4ECC" w:rsidRPr="001A4ECC" w:rsidRDefault="001A4ECC" w:rsidP="001A4ECC">
      <w:pPr>
        <w:pStyle w:val="NormalWeb"/>
        <w:rPr>
          <w:color w:val="000000"/>
        </w:rPr>
      </w:pPr>
      <w:r w:rsidRPr="001A4ECC">
        <w:rPr>
          <w:color w:val="000000"/>
        </w:rPr>
        <w:t xml:space="preserve">(15) "Port" means any place to which a vessel is bound to anchor or </w:t>
      </w:r>
      <w:proofErr w:type="spellStart"/>
      <w:r w:rsidRPr="001A4ECC">
        <w:rPr>
          <w:color w:val="000000"/>
        </w:rPr>
        <w:t>moor</w:t>
      </w:r>
      <w:proofErr w:type="spellEnd"/>
      <w:r w:rsidRPr="001A4ECC">
        <w:rPr>
          <w:color w:val="000000"/>
        </w:rPr>
        <w:t>.</w:t>
      </w:r>
    </w:p>
    <w:p w14:paraId="3F1477F5"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0F4AD523"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44DF5F1B"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48505BE9" w14:textId="77777777" w:rsidR="001A4ECC" w:rsidRPr="001A4ECC" w:rsidRDefault="001A4ECC" w:rsidP="001A4ECC">
      <w:pPr>
        <w:pStyle w:val="NormalWeb"/>
        <w:rPr>
          <w:color w:val="000000"/>
        </w:rPr>
      </w:pPr>
      <w:r w:rsidRPr="001A4ECC">
        <w:rPr>
          <w:color w:val="000000"/>
        </w:rPr>
        <w:t>(a) A vessel carrying oil in drums, barrels or other packages;</w:t>
      </w:r>
    </w:p>
    <w:p w14:paraId="4DE2CFF6" w14:textId="77777777" w:rsidR="001A4ECC" w:rsidRPr="001A4ECC" w:rsidRDefault="001A4ECC" w:rsidP="001A4ECC">
      <w:pPr>
        <w:pStyle w:val="NormalWeb"/>
        <w:rPr>
          <w:color w:val="000000"/>
        </w:rPr>
      </w:pPr>
      <w:r w:rsidRPr="001A4ECC">
        <w:rPr>
          <w:color w:val="000000"/>
        </w:rPr>
        <w:t>(b) A vessel carrying oil as fuel or stores for that vessel; or</w:t>
      </w:r>
    </w:p>
    <w:p w14:paraId="1150F3CD" w14:textId="77777777" w:rsidR="001A4ECC" w:rsidRPr="001A4ECC" w:rsidRDefault="001A4ECC" w:rsidP="001A4ECC">
      <w:pPr>
        <w:pStyle w:val="NormalWeb"/>
        <w:rPr>
          <w:color w:val="000000"/>
        </w:rPr>
      </w:pPr>
      <w:r w:rsidRPr="001A4ECC">
        <w:rPr>
          <w:color w:val="000000"/>
        </w:rPr>
        <w:t>(c) An oil spill response barge or vessel.</w:t>
      </w:r>
    </w:p>
    <w:p w14:paraId="69A5B45F"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1505837F"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0F925098"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7B2A8632"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296B2819"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5386BB20" w14:textId="77777777" w:rsidR="001A4ECC" w:rsidRPr="001A4ECC" w:rsidRDefault="001A4ECC" w:rsidP="001A4ECC">
      <w:pPr>
        <w:pStyle w:val="NormalWeb"/>
        <w:rPr>
          <w:color w:val="000000"/>
        </w:rPr>
      </w:pPr>
      <w:r w:rsidRPr="001A4ECC">
        <w:rPr>
          <w:rStyle w:val="Strong"/>
          <w:color w:val="000000"/>
        </w:rPr>
        <w:t>340-143-0010</w:t>
      </w:r>
    </w:p>
    <w:p w14:paraId="72C597E8"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2161A4F5" w14:textId="77777777"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14:paraId="3A020047" w14:textId="77777777" w:rsidR="001A4ECC" w:rsidRPr="001A4ECC" w:rsidRDefault="001A4ECC" w:rsidP="001A4ECC">
      <w:pPr>
        <w:pStyle w:val="NormalWeb"/>
        <w:rPr>
          <w:color w:val="000000"/>
        </w:rPr>
      </w:pPr>
      <w:r w:rsidRPr="001A4ECC">
        <w:rPr>
          <w:color w:val="000000"/>
        </w:rPr>
        <w:t>(2) Vessels carrying ballast water into waters of the state must not discharge ballast water unless:</w:t>
      </w:r>
    </w:p>
    <w:p w14:paraId="79D18340" w14:textId="77777777" w:rsidR="001A4ECC" w:rsidRPr="001A4ECC" w:rsidRDefault="001A4ECC" w:rsidP="001A4ECC">
      <w:pPr>
        <w:pStyle w:val="NormalWeb"/>
        <w:rPr>
          <w:color w:val="000000"/>
        </w:rPr>
      </w:pPr>
      <w:r w:rsidRPr="001A4ECC">
        <w:rPr>
          <w:color w:val="000000"/>
        </w:rPr>
        <w:t>(a) The vessel discharges ballast water only at the same location where the ballast water originated, provided that the master, operator or person in charge of the vessel can demonstrate 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75A517D2"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598FD0F1" w14:textId="77777777"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14:paraId="7D4F9EEA" w14:textId="77777777" w:rsidR="001A4ECC" w:rsidRPr="001A4ECC" w:rsidRDefault="001A4ECC" w:rsidP="001A4ECC">
      <w:pPr>
        <w:pStyle w:val="NormalWeb"/>
        <w:rPr>
          <w:color w:val="000000"/>
        </w:rPr>
      </w:pPr>
      <w:r w:rsidRPr="001A4ECC">
        <w:rPr>
          <w:color w:val="000000"/>
        </w:rPr>
        <w:t>(B) A coastal ocean exchange was conducted for ballast tanks containing water sourced from a port within the North American Pacific Coast Region;</w:t>
      </w:r>
    </w:p>
    <w:p w14:paraId="72907064" w14:textId="77777777"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14:paraId="2A34900F"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D87604C"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0D861D14" w14:textId="77777777" w:rsidR="001A4ECC" w:rsidRPr="001A4ECC" w:rsidRDefault="001A4ECC" w:rsidP="001A4ECC">
      <w:pPr>
        <w:pStyle w:val="NormalWeb"/>
        <w:rPr>
          <w:color w:val="000000"/>
        </w:rPr>
      </w:pPr>
      <w:r w:rsidRPr="001A4ECC">
        <w:rPr>
          <w:color w:val="000000"/>
        </w:rPr>
        <w:t>(f) The ballast water had been treated in a manner authorized by OAR 340-143-0050; or</w:t>
      </w:r>
    </w:p>
    <w:p w14:paraId="6D163718" w14:textId="77777777" w:rsidR="001A4ECC" w:rsidRPr="001A4ECC" w:rsidRDefault="001A4ECC" w:rsidP="001A4ECC">
      <w:pPr>
        <w:pStyle w:val="NormalWeb"/>
        <w:rPr>
          <w:color w:val="000000"/>
        </w:rPr>
      </w:pPr>
      <w:r w:rsidRPr="001A4ECC">
        <w:rPr>
          <w:color w:val="000000"/>
        </w:rPr>
        <w:t>(g) The vessel owner or operator declares a safety exemption in a manner consistent with ORS 783.635 (2</w:t>
      </w:r>
      <w:proofErr w:type="gramStart"/>
      <w:r w:rsidRPr="001A4ECC">
        <w:rPr>
          <w:color w:val="000000"/>
        </w:rPr>
        <w:t>)(</w:t>
      </w:r>
      <w:proofErr w:type="gramEnd"/>
      <w:r w:rsidRPr="001A4ECC">
        <w:rPr>
          <w:color w:val="000000"/>
        </w:rPr>
        <w:t>b) and OAR 340-143-0040.</w:t>
      </w:r>
    </w:p>
    <w:p w14:paraId="084C81B8"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2E73043B" w14:textId="77777777" w:rsidR="001A4ECC" w:rsidRPr="001A4ECC" w:rsidRDefault="001A4ECC" w:rsidP="001A4ECC">
      <w:pPr>
        <w:pStyle w:val="NormalWeb"/>
        <w:rPr>
          <w:color w:val="000000"/>
        </w:rPr>
      </w:pPr>
      <w:r w:rsidRPr="001A4ECC">
        <w:rPr>
          <w:rStyle w:val="Strong"/>
          <w:color w:val="000000"/>
        </w:rPr>
        <w:lastRenderedPageBreak/>
        <w:t>340-143-0050</w:t>
      </w:r>
    </w:p>
    <w:p w14:paraId="0D760B0D" w14:textId="77777777" w:rsidR="001A4ECC" w:rsidRPr="001A4ECC" w:rsidRDefault="001A4ECC" w:rsidP="001A4ECC">
      <w:pPr>
        <w:pStyle w:val="NormalWeb"/>
        <w:rPr>
          <w:color w:val="000000"/>
        </w:rPr>
      </w:pPr>
      <w:r w:rsidRPr="001A4ECC">
        <w:rPr>
          <w:rStyle w:val="Strong"/>
          <w:color w:val="000000"/>
        </w:rPr>
        <w:t>Ballast Water Management: Use of Ballast Water Treatment Systems</w:t>
      </w:r>
    </w:p>
    <w:p w14:paraId="0492AD5F" w14:textId="77777777" w:rsidR="001A4ECC" w:rsidRPr="001A4ECC" w:rsidRDefault="001A4ECC" w:rsidP="001A4ECC">
      <w:pPr>
        <w:pStyle w:val="NormalWeb"/>
        <w:rPr>
          <w:color w:val="000000"/>
        </w:rPr>
      </w:pPr>
      <w:r w:rsidRPr="001A4ECC">
        <w:rPr>
          <w:color w:val="000000"/>
        </w:rPr>
        <w:t>(1) Discharge Standards. Reserved</w:t>
      </w:r>
    </w:p>
    <w:p w14:paraId="0A11B91B" w14:textId="77777777" w:rsidR="001A4ECC" w:rsidRPr="001A4ECC" w:rsidRDefault="001A4ECC" w:rsidP="001A4ECC">
      <w:pPr>
        <w:pStyle w:val="NormalWeb"/>
        <w:rPr>
          <w:color w:val="000000"/>
        </w:rPr>
      </w:pPr>
      <w:r w:rsidRPr="001A4ECC">
        <w:rPr>
          <w:color w:val="000000"/>
        </w:rPr>
        <w:t>(2) Use of ballast water treatment systems. Ballast water treated in compliance with federal discharge standards or treated using technology approved for shipboard use by the U.S. Coast Guard or the U.S. Environmental Protection Agency may be discharged to waters of the state unless discharge violates section (1).</w:t>
      </w:r>
    </w:p>
    <w:p w14:paraId="64F6FEFF" w14:textId="77777777" w:rsidR="001A4ECC" w:rsidRPr="001A4ECC" w:rsidRDefault="001A4ECC" w:rsidP="001A4ECC">
      <w:pPr>
        <w:pStyle w:val="NormalWeb"/>
        <w:rPr>
          <w:color w:val="000000"/>
        </w:rPr>
      </w:pPr>
      <w:r w:rsidRPr="001A4ECC">
        <w:rPr>
          <w:color w:val="000000"/>
        </w:rPr>
        <w:t>(3) As an alternative to discharging high-risk ballast water identified in 340-143-0040, DEQ may authorize the use of ballast water treatment systems identified as promising technology by the U.S. EPA, U.S. Coast Guard or neighboring states.</w:t>
      </w:r>
    </w:p>
    <w:p w14:paraId="73812FD6" w14:textId="14084DCA"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bookmarkStart w:id="7" w:name="_GoBack"/>
      <w:bookmarkEnd w:id="7"/>
    </w:p>
    <w:sectPr w:rsidR="00E372D7" w:rsidRPr="001A4ECC" w:rsidSect="0023411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1A4ECC"/>
    <w:rsid w:val="0030544D"/>
    <w:rsid w:val="003D1B7E"/>
    <w:rsid w:val="007E1D88"/>
    <w:rsid w:val="00873795"/>
    <w:rsid w:val="00AD76BB"/>
    <w:rsid w:val="00BE6F11"/>
    <w:rsid w:val="00E372D7"/>
    <w:rsid w:val="00F7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2FAB"/>
  <w15:chartTrackingRefBased/>
  <w15:docId w15:val="{1821F71A-CD4A-416B-A677-4C3FD817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925C3-5DE7-4D3F-AE50-E334848BCCA3}">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ListId:doc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1141</Words>
  <Characters>6506</Characters>
  <Application>Microsoft Office Word</Application>
  <DocSecurity>0</DocSecurity>
  <Lines>54</Lines>
  <Paragraphs>15</Paragraphs>
  <ScaleCrop>false</ScaleCrop>
  <Company>DEQ</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7</cp:revision>
  <dcterms:created xsi:type="dcterms:W3CDTF">2015-12-16T22:29:00Z</dcterms:created>
  <dcterms:modified xsi:type="dcterms:W3CDTF">2016-03-02T16:27:00Z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