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37FE9EE3"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January</w:t>
      </w:r>
      <w:r w:rsidR="00377FA3" w:rsidRPr="00377FA3">
        <w:rPr>
          <w:rStyle w:val="Emphasis"/>
          <w:color w:val="525252" w:themeColor="accent3" w:themeShade="80"/>
          <w:szCs w:val="28"/>
        </w:rPr>
        <w:t xml:space="preserve"> </w:t>
      </w:r>
      <w:r>
        <w:rPr>
          <w:rStyle w:val="Emphasis"/>
          <w:color w:val="525252" w:themeColor="accent3" w:themeShade="80"/>
          <w:szCs w:val="28"/>
        </w:rPr>
        <w:t>xx</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0" w14:textId="77777777"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33EA0F41" w14:textId="77777777" w:rsidR="00377FA3" w:rsidRPr="004160B1" w:rsidRDefault="00377FA3" w:rsidP="00377FA3">
      <w:pPr>
        <w:pStyle w:val="Heading2"/>
        <w:rPr>
          <w:rFonts w:ascii="Times New Roman" w:hAnsi="Times New Roman" w:cs="Times New Roman"/>
          <w:color w:val="806000" w:themeColor="accent4" w:themeShade="80"/>
          <w:vertAlign w:val="subscript"/>
        </w:rPr>
      </w:pPr>
    </w:p>
    <w:p w14:paraId="33EA0F42"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33EA0F43"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33EA0F44"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33EA0F45"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33EA0F46"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33EA0F47"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33EA0F48"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33EA0F49"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33EA0F4A"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33EA0F4B"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964A94">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r w:rsidRPr="004345C0">
        <w:rPr>
          <w:rFonts w:ascii="Arial" w:hAnsi="Arial" w:cs="Arial"/>
        </w:rPr>
        <w:t>Short summary</w:t>
      </w:r>
      <w:r w:rsidRPr="004345C0">
        <w:rPr>
          <w:rFonts w:ascii="Arial" w:hAnsi="Arial" w:cs="Arial"/>
          <w:vertAlign w:val="subscript"/>
        </w:rPr>
        <w:t> </w:t>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3DEE6536" w14:textId="77777777" w:rsidR="00F45D15" w:rsidRDefault="00F45D15" w:rsidP="00F75F76">
      <w:pPr>
        <w:ind w:left="547"/>
        <w:rPr>
          <w:sz w:val="22"/>
          <w:szCs w:val="22"/>
        </w:rPr>
      </w:pPr>
      <w:r>
        <w:rPr>
          <w:sz w:val="22"/>
          <w:szCs w:val="22"/>
        </w:rPr>
        <w:t>Amend</w:t>
      </w:r>
    </w:p>
    <w:p w14:paraId="09A5AF86" w14:textId="77777777" w:rsidR="00F45D15" w:rsidRDefault="00F45D15" w:rsidP="00F75F76">
      <w:pPr>
        <w:ind w:left="547"/>
        <w:rPr>
          <w:sz w:val="22"/>
          <w:szCs w:val="22"/>
        </w:rPr>
      </w:pPr>
    </w:p>
    <w:p w14:paraId="59A3A0E7" w14:textId="344B5FF4" w:rsidR="00887F56" w:rsidRPr="00F75F76" w:rsidRDefault="00887F56" w:rsidP="00F75F76">
      <w:pPr>
        <w:ind w:left="547"/>
        <w:rPr>
          <w:sz w:val="22"/>
          <w:szCs w:val="22"/>
        </w:rPr>
      </w:pPr>
      <w:r w:rsidRPr="00F75F76">
        <w:rPr>
          <w:sz w:val="22"/>
          <w:szCs w:val="22"/>
        </w:rPr>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F75F76">
        <w:rPr>
          <w:rStyle w:val="Heading2Char"/>
          <w:rFonts w:ascii="Arial" w:hAnsi="Arial" w:cs="Arial"/>
        </w:rPr>
        <w:t xml:space="preserve">Documents relied on for rulemaking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F521FB" w:rsidP="00964A94">
            <w:pPr>
              <w:ind w:left="0"/>
              <w:rPr>
                <w:rFonts w:ascii="Times New Roman" w:hAnsi="Times New Roman" w:cs="Times New Roman"/>
                <w:color w:val="000000" w:themeColor="text1"/>
              </w:rPr>
            </w:pPr>
            <w:hyperlink r:id="rId18"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F521FB" w:rsidP="00964A94">
            <w:pPr>
              <w:ind w:left="0"/>
              <w:rPr>
                <w:rFonts w:ascii="Times New Roman" w:hAnsi="Times New Roman" w:cs="Times New Roman"/>
                <w:color w:val="C45911" w:themeColor="accent2" w:themeShade="BF"/>
              </w:rPr>
            </w:pPr>
            <w:hyperlink r:id="rId19"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Transport Canada Policy Implementation Paper 2012</w:t>
            </w:r>
          </w:p>
        </w:tc>
        <w:tc>
          <w:tcPr>
            <w:tcW w:w="4950" w:type="dxa"/>
          </w:tcPr>
          <w:p w14:paraId="2C225FC9" w14:textId="77777777" w:rsidR="00887F56" w:rsidRPr="00F75F76" w:rsidRDefault="00F521FB" w:rsidP="00964A94">
            <w:pPr>
              <w:ind w:left="0"/>
              <w:rPr>
                <w:rFonts w:ascii="Times New Roman" w:hAnsi="Times New Roman" w:cs="Times New Roman"/>
              </w:rPr>
            </w:pPr>
            <w:hyperlink r:id="rId2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F521FB"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F521FB"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F521FB" w:rsidP="00964A94">
            <w:pPr>
              <w:ind w:left="0"/>
              <w:rPr>
                <w:rFonts w:ascii="Times New Roman" w:hAnsi="Times New Roman" w:cs="Times New Roman"/>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F521FB"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F521FB"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F521FB"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F521FB"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F521FB"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4AACD6ED" w14:textId="77777777" w:rsidR="00F45D15" w:rsidRDefault="00F75F76" w:rsidP="00F75F76">
      <w:pPr>
        <w:ind w:left="360"/>
        <w:rPr>
          <w:sz w:val="22"/>
          <w:szCs w:val="22"/>
        </w:rPr>
      </w:pPr>
      <w:r>
        <w:rPr>
          <w:sz w:val="22"/>
          <w:szCs w:val="22"/>
        </w:rPr>
        <w:t>Amend</w:t>
      </w:r>
    </w:p>
    <w:p w14:paraId="0FE9505D" w14:textId="77777777" w:rsidR="00F45D15" w:rsidRDefault="00F45D15" w:rsidP="00F75F76">
      <w:pPr>
        <w:ind w:left="360"/>
        <w:rPr>
          <w:sz w:val="22"/>
          <w:szCs w:val="22"/>
        </w:rPr>
      </w:pPr>
    </w:p>
    <w:p w14:paraId="1FFFC3CC" w14:textId="0237790B" w:rsidR="00887F56" w:rsidRPr="00F75F76" w:rsidRDefault="00887F56" w:rsidP="00F45D15">
      <w:pPr>
        <w:ind w:left="360"/>
        <w:rPr>
          <w:sz w:val="22"/>
          <w:szCs w:val="22"/>
        </w:rPr>
      </w:pPr>
      <w:r w:rsidRPr="00F75F76">
        <w:rPr>
          <w:sz w:val="22"/>
          <w:szCs w:val="22"/>
        </w:rPr>
        <w:t>OAR 340-035-0015, 340-035-0025, 340-035-0030, 340-035-0035, 340-035-0040</w:t>
      </w:r>
      <w:r w:rsidR="00F45D15">
        <w:rPr>
          <w:sz w:val="22"/>
          <w:szCs w:val="22"/>
        </w:rPr>
        <w:t xml:space="preserve">, </w:t>
      </w: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1" w:name="AlternativesConsidered"/>
      <w:bookmarkStart w:id="2" w:name="RANGE!C35"/>
      <w:r w:rsidRPr="00AE34D8">
        <w:rPr>
          <w:rFonts w:ascii="Arial" w:hAnsi="Arial" w:cs="Arial"/>
        </w:rPr>
        <w:t>What alternatives did DEQ consider</w:t>
      </w:r>
      <w:bookmarkEnd w:id="1"/>
      <w:r w:rsidRPr="00AE34D8">
        <w:rPr>
          <w:rFonts w:ascii="Arial" w:hAnsi="Arial" w:cs="Arial"/>
        </w:rPr>
        <w:t xml:space="preserve"> if any?</w:t>
      </w:r>
      <w:bookmarkEnd w:id="2"/>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F521FB" w:rsidRPr="001A4DE1" w:rsidRDefault="00F521FB"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F521FB" w:rsidRDefault="00F521FB"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8E"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33EA0F8F"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33EA0F90"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Advisory committee</w:t>
      </w:r>
    </w:p>
    <w:p w14:paraId="33EA0F91" w14:textId="77777777" w:rsidR="00377FA3" w:rsidRPr="008D009E" w:rsidRDefault="00377FA3" w:rsidP="00377FA3">
      <w:pPr>
        <w:pStyle w:val="ListParagraph"/>
        <w:numPr>
          <w:ilvl w:val="0"/>
          <w:numId w:val="5"/>
        </w:numPr>
        <w:ind w:left="1800" w:right="0"/>
        <w:outlineLvl w:val="9"/>
        <w:rPr>
          <w:rStyle w:val="Emphasis"/>
          <w:strike/>
          <w:vanish w:val="0"/>
          <w:color w:val="806000" w:themeColor="accent4" w:themeShade="80"/>
        </w:rPr>
      </w:pPr>
      <w:r w:rsidRPr="008D009E">
        <w:rPr>
          <w:rStyle w:val="Emphasis"/>
          <w:strike/>
          <w:vanish w:val="0"/>
          <w:color w:val="806000" w:themeColor="accent4" w:themeShade="80"/>
        </w:rPr>
        <w:t>EQC involvement</w:t>
      </w:r>
    </w:p>
    <w:p w14:paraId="33EA0F92"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Public notice</w:t>
      </w: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76F984E1" w14:textId="77777777" w:rsidR="006D6E87" w:rsidRPr="006D6E87" w:rsidRDefault="006D6E87" w:rsidP="006D6E87">
      <w:pPr>
        <w:pStyle w:val="Heading2"/>
        <w:rPr>
          <w:rFonts w:ascii="Arial" w:hAnsi="Arial" w:cs="Arial"/>
        </w:rPr>
      </w:pPr>
      <w:bookmarkStart w:id="3" w:name="AdvisoryCommittee"/>
      <w:r w:rsidRPr="006D6E87">
        <w:rPr>
          <w:rFonts w:ascii="Arial" w:hAnsi="Arial" w:cs="Arial"/>
        </w:rPr>
        <w:t>Advisory committee</w:t>
      </w:r>
      <w:bookmarkEnd w:id="3"/>
    </w:p>
    <w:p w14:paraId="5D6B978F" w14:textId="77777777" w:rsidR="006D6E87" w:rsidRDefault="006D6E87" w:rsidP="006D6E87">
      <w:pPr>
        <w:pStyle w:val="Heading2"/>
      </w:pPr>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54151DF8" w:rsidR="006D6E87" w:rsidRPr="006D6E87" w:rsidRDefault="006D6E87" w:rsidP="006D6E87">
      <w:pPr>
        <w:ind w:left="547"/>
        <w:rPr>
          <w:color w:val="C45911" w:themeColor="accent2" w:themeShade="BF"/>
          <w:sz w:val="22"/>
          <w:szCs w:val="22"/>
        </w:rPr>
      </w:pPr>
      <w:r w:rsidRPr="006D6E87">
        <w:rPr>
          <w:sz w:val="22"/>
          <w:szCs w:val="22"/>
        </w:rPr>
        <w:t>DEQ convened the Ballast Water Rulemaking 2016 advisory committee. The committee included representatives from local and regional maritime industry entities, advocacy groups, research institutions, and state, regional and federal agencies.  The committee</w:t>
      </w:r>
      <w:r w:rsidR="002F0640">
        <w:rPr>
          <w:sz w:val="22"/>
          <w:szCs w:val="22"/>
        </w:rPr>
        <w:t xml:space="preserve"> </w:t>
      </w:r>
      <w:r w:rsidRPr="006D6E87">
        <w:rPr>
          <w:sz w:val="22"/>
          <w:szCs w:val="22"/>
        </w:rPr>
        <w:t>met three times between December and March 2016</w:t>
      </w:r>
      <w:r w:rsidR="008C1E0D">
        <w:rPr>
          <w:sz w:val="22"/>
          <w:szCs w:val="22"/>
        </w:rPr>
        <w:t>, and held a fourth meeting in October 2016 during the final open public comment period</w:t>
      </w:r>
      <w:r w:rsidRPr="006D6E87">
        <w:rPr>
          <w:sz w:val="22"/>
          <w:szCs w:val="22"/>
        </w:rPr>
        <w:t xml:space="preserve">. The committee’s web page is located at: </w:t>
      </w:r>
      <w:hyperlink r:id="rId29"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Default="006D6E87" w:rsidP="006D6E87">
            <w:pPr>
              <w:ind w:left="0" w:right="0"/>
              <w:outlineLvl w:val="9"/>
            </w:pPr>
            <w:r>
              <w:t>Mark Sytsma, Chair</w:t>
            </w:r>
          </w:p>
        </w:tc>
        <w:tc>
          <w:tcPr>
            <w:tcW w:w="4950" w:type="dxa"/>
            <w:vAlign w:val="center"/>
          </w:tcPr>
          <w:p w14:paraId="0A19FC88" w14:textId="77777777" w:rsidR="006D6E87" w:rsidRDefault="006D6E87" w:rsidP="006D6E87">
            <w:pPr>
              <w:ind w:left="0" w:right="0"/>
              <w:outlineLvl w:val="9"/>
            </w:pPr>
            <w: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Default="006D6E87" w:rsidP="006D6E87">
            <w:pPr>
              <w:ind w:left="0" w:right="0"/>
              <w:outlineLvl w:val="9"/>
              <w:rPr>
                <w:color w:val="000000"/>
              </w:rPr>
            </w:pPr>
            <w:r>
              <w:rPr>
                <w:color w:val="000000"/>
              </w:rPr>
              <w:t>Jas Adams</w:t>
            </w:r>
          </w:p>
        </w:tc>
        <w:tc>
          <w:tcPr>
            <w:tcW w:w="4950" w:type="dxa"/>
            <w:vAlign w:val="center"/>
          </w:tcPr>
          <w:p w14:paraId="59428C27" w14:textId="77777777" w:rsidR="006D6E87" w:rsidRDefault="006D6E87" w:rsidP="006D6E87">
            <w:pPr>
              <w:ind w:left="0" w:right="0"/>
              <w:outlineLvl w:val="9"/>
              <w:rPr>
                <w:color w:val="000000"/>
              </w:rPr>
            </w:pPr>
            <w:r>
              <w:rPr>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Default="006D6E87" w:rsidP="006D6E87">
            <w:pPr>
              <w:ind w:left="0" w:right="0"/>
              <w:outlineLvl w:val="9"/>
              <w:rPr>
                <w:color w:val="000000"/>
              </w:rPr>
            </w:pPr>
            <w:r>
              <w:rPr>
                <w:color w:val="000000"/>
              </w:rPr>
              <w:t>Michelle Hollis</w:t>
            </w:r>
          </w:p>
        </w:tc>
        <w:tc>
          <w:tcPr>
            <w:tcW w:w="4950" w:type="dxa"/>
            <w:vAlign w:val="center"/>
          </w:tcPr>
          <w:p w14:paraId="26694E85" w14:textId="77777777" w:rsidR="006D6E87" w:rsidRDefault="006D6E87" w:rsidP="006D6E87">
            <w:pPr>
              <w:ind w:left="0" w:right="0"/>
              <w:outlineLvl w:val="9"/>
              <w:rPr>
                <w:color w:val="000000"/>
              </w:rPr>
            </w:pPr>
            <w:r>
              <w:rPr>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Default="006D6E87" w:rsidP="006D6E87">
            <w:pPr>
              <w:ind w:left="0" w:right="0"/>
              <w:outlineLvl w:val="9"/>
              <w:rPr>
                <w:color w:val="000000"/>
              </w:rPr>
            </w:pPr>
            <w:r>
              <w:rPr>
                <w:color w:val="000000"/>
              </w:rPr>
              <w:t>Frank Holmes</w:t>
            </w:r>
          </w:p>
        </w:tc>
        <w:tc>
          <w:tcPr>
            <w:tcW w:w="4950" w:type="dxa"/>
            <w:vAlign w:val="center"/>
          </w:tcPr>
          <w:p w14:paraId="41A4358A" w14:textId="77777777" w:rsidR="006D6E87" w:rsidRDefault="006D6E87" w:rsidP="006D6E87">
            <w:pPr>
              <w:ind w:left="0" w:right="0"/>
              <w:outlineLvl w:val="9"/>
              <w:rPr>
                <w:color w:val="000000"/>
              </w:rPr>
            </w:pPr>
            <w:r>
              <w:rPr>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Default="006D6E87" w:rsidP="006D6E87">
            <w:pPr>
              <w:ind w:left="0" w:right="0"/>
              <w:outlineLvl w:val="9"/>
              <w:rPr>
                <w:color w:val="000000"/>
              </w:rPr>
            </w:pPr>
            <w:r>
              <w:rPr>
                <w:color w:val="000000"/>
              </w:rPr>
              <w:t>Ross McDonald</w:t>
            </w:r>
          </w:p>
        </w:tc>
        <w:tc>
          <w:tcPr>
            <w:tcW w:w="4950" w:type="dxa"/>
            <w:vAlign w:val="center"/>
          </w:tcPr>
          <w:p w14:paraId="4244E0A6" w14:textId="77777777" w:rsidR="006D6E87" w:rsidRDefault="006D6E87" w:rsidP="006D6E87">
            <w:pPr>
              <w:ind w:left="0" w:right="0"/>
              <w:outlineLvl w:val="9"/>
              <w:rPr>
                <w:color w:val="000000"/>
              </w:rPr>
            </w:pPr>
            <w:r>
              <w:rPr>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Default="006D6E87" w:rsidP="006D6E87">
            <w:pPr>
              <w:ind w:left="0" w:right="0"/>
              <w:outlineLvl w:val="9"/>
              <w:rPr>
                <w:color w:val="000000"/>
              </w:rPr>
            </w:pPr>
            <w:r>
              <w:rPr>
                <w:color w:val="000000"/>
              </w:rPr>
              <w:t>Hans Meere</w:t>
            </w:r>
          </w:p>
        </w:tc>
        <w:tc>
          <w:tcPr>
            <w:tcW w:w="4950" w:type="dxa"/>
            <w:vAlign w:val="center"/>
          </w:tcPr>
          <w:p w14:paraId="3A5A2048" w14:textId="77777777" w:rsidR="006D6E87" w:rsidRDefault="006D6E87" w:rsidP="006D6E87">
            <w:pPr>
              <w:ind w:left="0" w:right="0"/>
              <w:outlineLvl w:val="9"/>
              <w:rPr>
                <w:color w:val="000000"/>
              </w:rPr>
            </w:pPr>
            <w:r>
              <w:rPr>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Default="006D6E87" w:rsidP="006D6E87">
            <w:pPr>
              <w:ind w:left="0" w:right="0"/>
              <w:outlineLvl w:val="9"/>
              <w:rPr>
                <w:color w:val="000000"/>
              </w:rPr>
            </w:pPr>
            <w:r>
              <w:rPr>
                <w:color w:val="000000"/>
              </w:rPr>
              <w:t>Fred Myer</w:t>
            </w:r>
          </w:p>
        </w:tc>
        <w:tc>
          <w:tcPr>
            <w:tcW w:w="4950" w:type="dxa"/>
            <w:vAlign w:val="center"/>
          </w:tcPr>
          <w:p w14:paraId="114986D9" w14:textId="77777777" w:rsidR="006D6E87" w:rsidRDefault="006D6E87" w:rsidP="006D6E87">
            <w:pPr>
              <w:ind w:left="0" w:right="0"/>
              <w:outlineLvl w:val="9"/>
              <w:rPr>
                <w:color w:val="000000"/>
              </w:rPr>
            </w:pPr>
            <w:r>
              <w:rPr>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Default="006D6E87" w:rsidP="006D6E87">
            <w:pPr>
              <w:ind w:left="0" w:right="0"/>
              <w:outlineLvl w:val="9"/>
              <w:rPr>
                <w:color w:val="000000"/>
              </w:rPr>
            </w:pPr>
            <w:r>
              <w:rPr>
                <w:color w:val="000000"/>
              </w:rPr>
              <w:t>Amanda Hanson</w:t>
            </w:r>
          </w:p>
        </w:tc>
        <w:tc>
          <w:tcPr>
            <w:tcW w:w="4950" w:type="dxa"/>
            <w:vAlign w:val="center"/>
          </w:tcPr>
          <w:p w14:paraId="3E8A719A" w14:textId="77777777" w:rsidR="006D6E87" w:rsidRDefault="006D6E87" w:rsidP="006D6E87">
            <w:pPr>
              <w:ind w:left="0" w:right="0"/>
              <w:outlineLvl w:val="9"/>
              <w:rPr>
                <w:color w:val="000000"/>
              </w:rPr>
            </w:pPr>
            <w:r>
              <w:rPr>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Default="006D6E87" w:rsidP="006D6E87">
            <w:pPr>
              <w:ind w:left="0" w:right="0"/>
              <w:outlineLvl w:val="9"/>
              <w:rPr>
                <w:color w:val="000000"/>
              </w:rPr>
            </w:pPr>
            <w:r>
              <w:rPr>
                <w:color w:val="000000"/>
              </w:rPr>
              <w:t>Kate Mickelson</w:t>
            </w:r>
          </w:p>
        </w:tc>
        <w:tc>
          <w:tcPr>
            <w:tcW w:w="4950" w:type="dxa"/>
            <w:vAlign w:val="center"/>
          </w:tcPr>
          <w:p w14:paraId="58953927" w14:textId="77777777" w:rsidR="006D6E87" w:rsidRDefault="006D6E87" w:rsidP="006D6E87">
            <w:pPr>
              <w:ind w:left="0" w:right="0"/>
              <w:outlineLvl w:val="9"/>
              <w:rPr>
                <w:color w:val="000000"/>
              </w:rPr>
            </w:pPr>
            <w:r>
              <w:rPr>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Default="006D6E87" w:rsidP="006D6E87">
            <w:pPr>
              <w:ind w:left="0" w:right="0"/>
              <w:outlineLvl w:val="9"/>
              <w:rPr>
                <w:color w:val="000000"/>
              </w:rPr>
            </w:pPr>
            <w:r>
              <w:rPr>
                <w:color w:val="000000"/>
              </w:rPr>
              <w:t>Dick Vander Schaaf</w:t>
            </w:r>
          </w:p>
        </w:tc>
        <w:tc>
          <w:tcPr>
            <w:tcW w:w="4950" w:type="dxa"/>
            <w:vAlign w:val="center"/>
          </w:tcPr>
          <w:p w14:paraId="7D1737D0" w14:textId="77777777" w:rsidR="006D6E87" w:rsidRDefault="006D6E87" w:rsidP="006D6E87">
            <w:pPr>
              <w:ind w:left="0" w:right="0"/>
              <w:outlineLvl w:val="9"/>
              <w:rPr>
                <w:color w:val="000000"/>
              </w:rPr>
            </w:pPr>
            <w:r>
              <w:rPr>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Default="006D6E87" w:rsidP="006D6E87">
            <w:pPr>
              <w:ind w:left="0" w:right="0"/>
              <w:outlineLvl w:val="9"/>
              <w:rPr>
                <w:color w:val="000000"/>
              </w:rPr>
            </w:pPr>
            <w:r>
              <w:rPr>
                <w:color w:val="000000"/>
              </w:rPr>
              <w:t>Travis Williams</w:t>
            </w:r>
          </w:p>
        </w:tc>
        <w:tc>
          <w:tcPr>
            <w:tcW w:w="4950" w:type="dxa"/>
            <w:vAlign w:val="center"/>
          </w:tcPr>
          <w:p w14:paraId="2AD4E6DD" w14:textId="77777777" w:rsidR="006D6E87" w:rsidRDefault="006D6E87" w:rsidP="006D6E87">
            <w:pPr>
              <w:ind w:left="0" w:right="0"/>
              <w:outlineLvl w:val="9"/>
              <w:rPr>
                <w:color w:val="000000"/>
              </w:rPr>
            </w:pPr>
            <w:r>
              <w:rPr>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Default="006D6E87" w:rsidP="006D6E87">
            <w:pPr>
              <w:ind w:left="0" w:right="0"/>
              <w:outlineLvl w:val="9"/>
              <w:rPr>
                <w:color w:val="000000"/>
              </w:rPr>
            </w:pPr>
            <w:r>
              <w:rPr>
                <w:color w:val="000000"/>
              </w:rPr>
              <w:t>Rick Boatner</w:t>
            </w:r>
          </w:p>
        </w:tc>
        <w:tc>
          <w:tcPr>
            <w:tcW w:w="4950" w:type="dxa"/>
            <w:vAlign w:val="center"/>
          </w:tcPr>
          <w:p w14:paraId="372E8D90" w14:textId="77777777" w:rsidR="006D6E87" w:rsidRDefault="006D6E87" w:rsidP="006D6E87">
            <w:pPr>
              <w:ind w:left="0" w:right="0"/>
              <w:outlineLvl w:val="9"/>
              <w:rPr>
                <w:color w:val="000000"/>
              </w:rPr>
            </w:pPr>
            <w:r>
              <w:rPr>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Default="006D6E87" w:rsidP="006D6E87">
            <w:pPr>
              <w:ind w:left="0" w:right="0"/>
              <w:outlineLvl w:val="9"/>
              <w:rPr>
                <w:color w:val="000000"/>
              </w:rPr>
            </w:pPr>
            <w:r>
              <w:rPr>
                <w:color w:val="000000"/>
              </w:rPr>
              <w:lastRenderedPageBreak/>
              <w:t>Nicole Dobroski</w:t>
            </w:r>
          </w:p>
        </w:tc>
        <w:tc>
          <w:tcPr>
            <w:tcW w:w="4950" w:type="dxa"/>
            <w:vAlign w:val="center"/>
          </w:tcPr>
          <w:p w14:paraId="30C8F054" w14:textId="77777777" w:rsidR="006D6E87" w:rsidRDefault="006D6E87" w:rsidP="006D6E87">
            <w:pPr>
              <w:ind w:left="0" w:right="0"/>
              <w:outlineLvl w:val="9"/>
              <w:rPr>
                <w:color w:val="000000"/>
              </w:rPr>
            </w:pPr>
            <w:r>
              <w:rPr>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77777777" w:rsidR="006D6E87" w:rsidRDefault="006D6E87" w:rsidP="006D6E87">
            <w:pPr>
              <w:ind w:left="0" w:right="0"/>
              <w:outlineLvl w:val="9"/>
              <w:rPr>
                <w:color w:val="000000"/>
              </w:rPr>
            </w:pPr>
            <w:r>
              <w:rPr>
                <w:color w:val="000000"/>
              </w:rPr>
              <w:t>Robyn Draheim</w:t>
            </w:r>
          </w:p>
        </w:tc>
        <w:tc>
          <w:tcPr>
            <w:tcW w:w="4950" w:type="dxa"/>
            <w:vAlign w:val="center"/>
          </w:tcPr>
          <w:p w14:paraId="2F5F0E63" w14:textId="77777777" w:rsidR="006D6E87" w:rsidRDefault="006D6E87" w:rsidP="006D6E87">
            <w:pPr>
              <w:ind w:left="0" w:right="0"/>
              <w:outlineLvl w:val="9"/>
              <w:rPr>
                <w:color w:val="000000"/>
              </w:rPr>
            </w:pPr>
            <w:r>
              <w:rPr>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Default="006D6E87" w:rsidP="006D6E87">
            <w:pPr>
              <w:ind w:left="0" w:right="0"/>
              <w:outlineLvl w:val="9"/>
              <w:rPr>
                <w:color w:val="000000"/>
              </w:rPr>
            </w:pPr>
            <w:r>
              <w:rPr>
                <w:color w:val="000000"/>
              </w:rPr>
              <w:t>Michael Pearson</w:t>
            </w:r>
          </w:p>
        </w:tc>
        <w:tc>
          <w:tcPr>
            <w:tcW w:w="4950" w:type="dxa"/>
            <w:vAlign w:val="center"/>
          </w:tcPr>
          <w:p w14:paraId="54FC55C3" w14:textId="77777777" w:rsidR="006D6E87" w:rsidRDefault="006D6E87" w:rsidP="006D6E87">
            <w:pPr>
              <w:ind w:left="0" w:right="0"/>
              <w:outlineLvl w:val="9"/>
              <w:rPr>
                <w:color w:val="000000"/>
              </w:rPr>
            </w:pPr>
            <w:r>
              <w:rPr>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Default="006D6E87" w:rsidP="006D6E87">
            <w:pPr>
              <w:ind w:left="0" w:right="0"/>
              <w:outlineLvl w:val="9"/>
              <w:rPr>
                <w:color w:val="000000"/>
              </w:rPr>
            </w:pPr>
            <w:r>
              <w:rPr>
                <w:color w:val="000000"/>
              </w:rPr>
              <w:t>Allen Pleus</w:t>
            </w:r>
          </w:p>
        </w:tc>
        <w:tc>
          <w:tcPr>
            <w:tcW w:w="4950" w:type="dxa"/>
            <w:vAlign w:val="center"/>
          </w:tcPr>
          <w:p w14:paraId="1354864D" w14:textId="77777777" w:rsidR="006D6E87" w:rsidRDefault="006D6E87" w:rsidP="006D6E87">
            <w:pPr>
              <w:ind w:left="0" w:right="0"/>
              <w:outlineLvl w:val="9"/>
              <w:rPr>
                <w:color w:val="000000"/>
              </w:rPr>
            </w:pPr>
            <w:r>
              <w:rPr>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492B9194"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0" w:history="1">
        <w:r w:rsidRPr="002F0640">
          <w:rPr>
            <w:rStyle w:val="Hyperlink"/>
            <w:sz w:val="22"/>
            <w:szCs w:val="22"/>
          </w:rPr>
          <w:t>DEQ Calendar</w:t>
        </w:r>
      </w:hyperlink>
      <w:r w:rsidRPr="002F0640">
        <w:rPr>
          <w:sz w:val="22"/>
          <w:szCs w:val="22"/>
        </w:rPr>
        <w:t>.</w:t>
      </w:r>
    </w:p>
    <w:p w14:paraId="65FAC309" w14:textId="7AEAAFD8" w:rsidR="006D6E87" w:rsidRPr="002F0640" w:rsidRDefault="007D152E" w:rsidP="006D6E87">
      <w:pPr>
        <w:pStyle w:val="ListParagraph"/>
        <w:numPr>
          <w:ilvl w:val="0"/>
          <w:numId w:val="14"/>
        </w:numPr>
        <w:ind w:right="378"/>
        <w:rPr>
          <w:sz w:val="22"/>
          <w:szCs w:val="22"/>
        </w:rPr>
      </w:pPr>
      <w:r>
        <w:rPr>
          <w:sz w:val="22"/>
          <w:szCs w:val="22"/>
        </w:rPr>
        <w:t xml:space="preserve">On 1/13/16, </w:t>
      </w:r>
      <w:r w:rsidR="006D6E87" w:rsidRPr="002F0640">
        <w:rPr>
          <w:sz w:val="22"/>
          <w:szCs w:val="22"/>
        </w:rPr>
        <w:t>2/17/16</w:t>
      </w:r>
      <w:r>
        <w:rPr>
          <w:sz w:val="22"/>
          <w:szCs w:val="22"/>
        </w:rPr>
        <w:t xml:space="preserve">, and </w:t>
      </w:r>
      <w:bookmarkStart w:id="4" w:name="_GoBack"/>
      <w:bookmarkEnd w:id="4"/>
      <w:r w:rsidR="006D6E87" w:rsidRPr="002F0640">
        <w:rPr>
          <w:sz w:val="22"/>
          <w:szCs w:val="22"/>
        </w:rPr>
        <w:t xml:space="preserve"> DEQ 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77777777"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discussion time to the ballast exchange plus treatment proposal.  The committee played an instrumental role in identifying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 This strategy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77777777"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our state to take the initiative to establish this management requirement.  Both Washington, for the Columbia River, and California, for the Sacramento River, have suggested that they will be looking to adopt rules that are substantively comparable to what is being proposed by Oregon DEQ.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Pr="002F0640"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3759BD8A" w14:textId="77777777" w:rsidR="006D6E87" w:rsidRPr="002F0640" w:rsidRDefault="006D6E87" w:rsidP="002F0640">
      <w:pPr>
        <w:ind w:left="547" w:right="378"/>
        <w:rPr>
          <w:sz w:val="22"/>
          <w:szCs w:val="22"/>
        </w:rPr>
      </w:pPr>
      <w:r w:rsidRPr="002F0640">
        <w:rPr>
          <w:sz w:val="22"/>
          <w:szCs w:val="22"/>
        </w:rPr>
        <w:t xml:space="preserve">Meeting minutes and recordings are available from the advisory committee webpage at:  </w:t>
      </w:r>
      <w:hyperlink r:id="rId31"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lastRenderedPageBreak/>
        <w:t>EQC prior involvemen</w:t>
      </w:r>
      <w:r w:rsidRPr="0036375F">
        <w:rPr>
          <w:rFonts w:ascii="Arial" w:hAnsi="Arial" w:cs="Arial"/>
          <w:b/>
        </w:rPr>
        <w:t>t</w:t>
      </w:r>
    </w:p>
    <w:p w14:paraId="27210C62" w14:textId="38E7FEB7" w:rsidR="006D6E87" w:rsidRPr="002F0640" w:rsidRDefault="006D6E87" w:rsidP="00C25CFC">
      <w:pPr>
        <w:ind w:left="547"/>
        <w:rPr>
          <w:sz w:val="22"/>
          <w:szCs w:val="22"/>
        </w:rPr>
      </w:pPr>
      <w:r w:rsidRPr="002F0640">
        <w:rPr>
          <w:sz w:val="22"/>
          <w:szCs w:val="22"/>
        </w:rPr>
        <w:t>DEQ share</w:t>
      </w:r>
      <w:r w:rsidR="00C25CFC">
        <w:rPr>
          <w:sz w:val="22"/>
          <w:szCs w:val="22"/>
        </w:rPr>
        <w:t>d</w:t>
      </w:r>
      <w:r w:rsidRPr="002F0640">
        <w:rPr>
          <w:sz w:val="22"/>
          <w:szCs w:val="22"/>
        </w:rPr>
        <w:t xml:space="preserve"> general information with EQC </w:t>
      </w:r>
      <w:r w:rsidR="00C25CFC">
        <w:rPr>
          <w:sz w:val="22"/>
          <w:szCs w:val="22"/>
        </w:rPr>
        <w:t>about this rulemaking proposal in</w:t>
      </w:r>
      <w:r w:rsidRPr="002F0640">
        <w:rPr>
          <w:sz w:val="22"/>
          <w:szCs w:val="22"/>
        </w:rPr>
        <w:t xml:space="preserve"> the monthly Director’s Report</w:t>
      </w:r>
      <w:r w:rsidR="00C25CFC">
        <w:rPr>
          <w:sz w:val="22"/>
          <w:szCs w:val="22"/>
        </w:rPr>
        <w:t xml:space="preserve"> for the </w:t>
      </w:r>
      <w:commentRangeStart w:id="5"/>
      <w:r w:rsidR="00C25CFC" w:rsidRPr="00C25CFC">
        <w:rPr>
          <w:sz w:val="22"/>
          <w:szCs w:val="22"/>
          <w:highlight w:val="yellow"/>
        </w:rPr>
        <w:t>August</w:t>
      </w:r>
      <w:commentRangeEnd w:id="5"/>
      <w:r w:rsidR="00C25CFC">
        <w:rPr>
          <w:rStyle w:val="CommentReference"/>
        </w:rPr>
        <w:commentReference w:id="5"/>
      </w:r>
      <w:r w:rsidR="00C25CFC" w:rsidRPr="00C25CFC">
        <w:rPr>
          <w:sz w:val="22"/>
          <w:szCs w:val="22"/>
          <w:highlight w:val="yellow"/>
        </w:rPr>
        <w:t xml:space="preserve"> 2016 EQC</w:t>
      </w:r>
      <w:r w:rsidR="00C25CFC">
        <w:rPr>
          <w:sz w:val="22"/>
          <w:szCs w:val="22"/>
        </w:rPr>
        <w:t xml:space="preserve"> meeting in Boardman, Oregon</w:t>
      </w:r>
      <w:r w:rsidRPr="002F0640">
        <w:rPr>
          <w:sz w:val="22"/>
          <w:szCs w:val="22"/>
        </w:rPr>
        <w:t xml:space="preserve">. </w:t>
      </w:r>
    </w:p>
    <w:p w14:paraId="39E4DD93" w14:textId="77777777" w:rsidR="006D6E87" w:rsidRPr="002F0640" w:rsidRDefault="006D6E87" w:rsidP="006D6E87">
      <w:pPr>
        <w:rPr>
          <w:sz w:val="22"/>
          <w:szCs w:val="22"/>
          <w:highlight w:val="yellow"/>
        </w:rPr>
      </w:pPr>
    </w:p>
    <w:p w14:paraId="1C151F4E" w14:textId="77777777" w:rsidR="006D6E87" w:rsidRDefault="006D6E87" w:rsidP="002F0640">
      <w:pPr>
        <w:ind w:left="547"/>
        <w:rPr>
          <w:sz w:val="22"/>
          <w:szCs w:val="22"/>
        </w:rPr>
      </w:pPr>
      <w:r w:rsidRPr="002F0640">
        <w:rPr>
          <w:sz w:val="22"/>
          <w:szCs w:val="22"/>
        </w:rPr>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3BF175F" w:rsidR="0036375F" w:rsidRDefault="0036375F" w:rsidP="0036375F">
      <w:pPr>
        <w:ind w:left="547"/>
        <w:rPr>
          <w:color w:val="000000" w:themeColor="text1"/>
          <w:sz w:val="22"/>
          <w:szCs w:val="22"/>
        </w:rPr>
      </w:pPr>
      <w:r>
        <w:rPr>
          <w:color w:val="000000" w:themeColor="text1"/>
          <w:sz w:val="22"/>
          <w:szCs w:val="22"/>
        </w:rPr>
        <w:t>DEQ provide notice of the Notice of Proposed Rulemaking with Public Hearing by:</w:t>
      </w:r>
    </w:p>
    <w:p w14:paraId="74F05BC5" w14:textId="4C71AFF0" w:rsidR="0036375F" w:rsidRDefault="0036375F" w:rsidP="0036375F">
      <w:pPr>
        <w:pStyle w:val="ListParagraph"/>
        <w:numPr>
          <w:ilvl w:val="0"/>
          <w:numId w:val="17"/>
        </w:numPr>
        <w:rPr>
          <w:color w:val="000000" w:themeColor="text1"/>
          <w:sz w:val="22"/>
          <w:szCs w:val="22"/>
        </w:rPr>
      </w:pPr>
      <w:r>
        <w:rPr>
          <w:color w:val="000000" w:themeColor="text1"/>
          <w:sz w:val="22"/>
          <w:szCs w:val="22"/>
        </w:rPr>
        <w:t xml:space="preserve">Filing </w:t>
      </w:r>
      <w:r>
        <w:rPr>
          <w:sz w:val="23"/>
          <w:szCs w:val="23"/>
        </w:rPr>
        <w:t xml:space="preserve">with Secretary of State for publication in the May 1, 2016 </w:t>
      </w:r>
      <w:r>
        <w:rPr>
          <w:i/>
          <w:iCs/>
          <w:sz w:val="23"/>
          <w:szCs w:val="23"/>
        </w:rPr>
        <w:t>Oregon Bulletin</w:t>
      </w:r>
    </w:p>
    <w:p w14:paraId="6CCCCBB7" w14:textId="38DF6E42"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Posting notice on the rulemaking web page:</w:t>
      </w:r>
      <w:r w:rsidR="00F45D15">
        <w:rPr>
          <w:color w:val="000000" w:themeColor="text1"/>
          <w:sz w:val="22"/>
          <w:szCs w:val="22"/>
        </w:rPr>
        <w:t xml:space="preserve"> </w:t>
      </w:r>
      <w:hyperlink r:id="rId34" w:history="1">
        <w:r w:rsidR="00F45D15">
          <w:rPr>
            <w:rStyle w:val="Hyperlink"/>
            <w:sz w:val="22"/>
            <w:szCs w:val="22"/>
          </w:rPr>
          <w:t>Ballast Water 2016 Rulemaking Web Page</w:t>
        </w:r>
      </w:hyperlink>
    </w:p>
    <w:p w14:paraId="07B02F95" w14:textId="33A849C0"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Emailing</w:t>
      </w:r>
      <w:r w:rsidR="00F45D15">
        <w:rPr>
          <w:color w:val="000000" w:themeColor="text1"/>
          <w:sz w:val="22"/>
          <w:szCs w:val="22"/>
        </w:rPr>
        <w:t xml:space="preserve"> 7566 i</w:t>
      </w:r>
      <w:r w:rsidRPr="0036375F">
        <w:rPr>
          <w:color w:val="000000" w:themeColor="text1"/>
          <w:sz w:val="22"/>
          <w:szCs w:val="22"/>
        </w:rPr>
        <w:t>nterested parties on the Agency Rulemaking</w:t>
      </w:r>
      <w:r w:rsidR="00F45D15">
        <w:rPr>
          <w:color w:val="000000" w:themeColor="text1"/>
          <w:sz w:val="22"/>
          <w:szCs w:val="22"/>
        </w:rPr>
        <w:t xml:space="preserve">, DEQ Public Notices and Ballast Water Management mailing lists </w:t>
      </w:r>
      <w:r w:rsidRPr="0036375F">
        <w:rPr>
          <w:color w:val="000000" w:themeColor="text1"/>
          <w:sz w:val="22"/>
          <w:szCs w:val="22"/>
        </w:rPr>
        <w:t xml:space="preserve">through GovDelivery </w:t>
      </w:r>
    </w:p>
    <w:p w14:paraId="0D1E2399" w14:textId="4ED77D2B"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41212D1A" w14:textId="42AEA76F" w:rsid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w:t>
      </w:r>
      <w:r>
        <w:rPr>
          <w:color w:val="000000" w:themeColor="text1"/>
          <w:sz w:val="22"/>
          <w:szCs w:val="22"/>
        </w:rPr>
        <w:t>g the following key legislators:</w:t>
      </w:r>
    </w:p>
    <w:p w14:paraId="2F4D2C90" w14:textId="77777777" w:rsidR="001C25B6" w:rsidRPr="0036375F" w:rsidRDefault="001C25B6" w:rsidP="001C25B6">
      <w:pPr>
        <w:pStyle w:val="ListParagraph"/>
        <w:numPr>
          <w:ilvl w:val="1"/>
          <w:numId w:val="17"/>
        </w:numPr>
        <w:rPr>
          <w:color w:val="000000" w:themeColor="text1"/>
          <w:sz w:val="22"/>
          <w:szCs w:val="22"/>
        </w:rPr>
      </w:pPr>
      <w:r w:rsidRPr="001C25B6">
        <w:rPr>
          <w:color w:val="000000" w:themeColor="text1"/>
          <w:sz w:val="22"/>
          <w:szCs w:val="22"/>
        </w:rPr>
        <w:t>Sen Edwards (as Chair of Environment and Natural Resources Committee)</w:t>
      </w:r>
    </w:p>
    <w:p w14:paraId="3EB36236"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Witt (as Chair of Agriculture and Natural Resources Committee)</w:t>
      </w:r>
    </w:p>
    <w:p w14:paraId="1765CB57"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Sen Roblan (as 2014/15 legislative liaison to STAIS task force)</w:t>
      </w:r>
    </w:p>
    <w:p w14:paraId="373680BA"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McKeown (as 2014/15 legislative liaison to STAIS task force)</w:t>
      </w:r>
    </w:p>
    <w:p w14:paraId="5551C122" w14:textId="77777777" w:rsidR="0036375F" w:rsidRDefault="0036375F" w:rsidP="0036375F"/>
    <w:p w14:paraId="02CB908E" w14:textId="36CEC1AD" w:rsidR="001C25B6" w:rsidRDefault="001C25B6" w:rsidP="0036375F">
      <w:r>
        <w:t>In addition, notice of subsequent re-opening of public comment periods in June and September were provided by:</w:t>
      </w:r>
    </w:p>
    <w:p w14:paraId="42843E42" w14:textId="1C714B07" w:rsidR="001C25B6" w:rsidRPr="00F45D15" w:rsidRDefault="001C25B6" w:rsidP="00F45D15">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00F45D15">
        <w:rPr>
          <w:color w:val="000000" w:themeColor="text1"/>
          <w:sz w:val="22"/>
          <w:szCs w:val="22"/>
        </w:rPr>
        <w:t xml:space="preserve"> </w:t>
      </w:r>
      <w:hyperlink r:id="rId35" w:history="1">
        <w:r w:rsidR="00F45D15">
          <w:rPr>
            <w:rStyle w:val="Hyperlink"/>
            <w:sz w:val="22"/>
            <w:szCs w:val="22"/>
          </w:rPr>
          <w:t>Ballast Water 2016 Rulemaking Web Page</w:t>
        </w:r>
      </w:hyperlink>
    </w:p>
    <w:p w14:paraId="66554EE7" w14:textId="268EE069"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Emailing </w:t>
      </w:r>
      <w:r w:rsidR="00F45D15">
        <w:rPr>
          <w:color w:val="000000" w:themeColor="text1"/>
          <w:sz w:val="22"/>
          <w:szCs w:val="22"/>
        </w:rPr>
        <w:t xml:space="preserve">7566 </w:t>
      </w:r>
      <w:r w:rsidRPr="0036375F">
        <w:rPr>
          <w:color w:val="000000" w:themeColor="text1"/>
          <w:sz w:val="22"/>
          <w:szCs w:val="22"/>
        </w:rPr>
        <w:t>interested p</w:t>
      </w:r>
      <w:r w:rsidR="00F45D15">
        <w:rPr>
          <w:color w:val="000000" w:themeColor="text1"/>
          <w:sz w:val="22"/>
          <w:szCs w:val="22"/>
        </w:rPr>
        <w:t xml:space="preserve">arties on the Agency Rulemaking, DEQ Public Notices and Ballast Water Management mailing lists </w:t>
      </w:r>
      <w:r w:rsidRPr="0036375F">
        <w:rPr>
          <w:color w:val="000000" w:themeColor="text1"/>
          <w:sz w:val="22"/>
          <w:szCs w:val="22"/>
        </w:rPr>
        <w:t xml:space="preserve">through GovDelivery </w:t>
      </w:r>
    </w:p>
    <w:p w14:paraId="71C0E774"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Public hearings and comment</w:t>
      </w:r>
    </w:p>
    <w:p w14:paraId="33EA0F9B" w14:textId="77777777" w:rsidR="00A72D66" w:rsidRPr="002F0640" w:rsidRDefault="00A72D66" w:rsidP="00A72D66">
      <w:pPr>
        <w:rPr>
          <w:sz w:val="22"/>
          <w:szCs w:val="22"/>
        </w:rPr>
      </w:pPr>
    </w:p>
    <w:p w14:paraId="33EA0F9C" w14:textId="08DE8522" w:rsidR="00377FA3" w:rsidRPr="002F0640" w:rsidRDefault="00377FA3" w:rsidP="002F0640">
      <w:pPr>
        <w:ind w:left="547" w:right="828"/>
        <w:rPr>
          <w:bCs/>
          <w:color w:val="000000" w:themeColor="text1"/>
          <w:sz w:val="22"/>
          <w:szCs w:val="22"/>
        </w:rPr>
      </w:pPr>
      <w:r w:rsidRPr="002F0640">
        <w:rPr>
          <w:bCs/>
          <w:color w:val="000000" w:themeColor="text1"/>
          <w:sz w:val="22"/>
          <w:szCs w:val="22"/>
        </w:rPr>
        <w:t xml:space="preserve">DEQ held </w:t>
      </w:r>
      <w:r w:rsidR="00B1715A">
        <w:rPr>
          <w:rStyle w:val="Emphasis"/>
          <w:vanish w:val="0"/>
          <w:color w:val="000000" w:themeColor="text1"/>
          <w:sz w:val="22"/>
          <w:szCs w:val="22"/>
        </w:rPr>
        <w:t>one</w:t>
      </w:r>
      <w:r w:rsidR="00B1715A">
        <w:rPr>
          <w:bCs/>
          <w:color w:val="000000" w:themeColor="text1"/>
          <w:sz w:val="22"/>
          <w:szCs w:val="22"/>
        </w:rPr>
        <w:t xml:space="preserve"> public hearing</w:t>
      </w:r>
      <w:r w:rsidRPr="002F0640">
        <w:rPr>
          <w:bCs/>
          <w:color w:val="000000" w:themeColor="text1"/>
          <w:sz w:val="22"/>
          <w:szCs w:val="22"/>
        </w:rPr>
        <w:t>. DEQ received</w:t>
      </w:r>
      <w:r w:rsidR="00F45D15">
        <w:rPr>
          <w:bCs/>
          <w:color w:val="000000" w:themeColor="text1"/>
          <w:sz w:val="22"/>
          <w:szCs w:val="22"/>
        </w:rPr>
        <w:t xml:space="preserve"> no </w:t>
      </w:r>
      <w:r w:rsidRPr="002F0640">
        <w:rPr>
          <w:bCs/>
          <w:color w:val="000000" w:themeColor="text1"/>
          <w:sz w:val="22"/>
          <w:szCs w:val="22"/>
        </w:rPr>
        <w:t>public comments</w:t>
      </w:r>
      <w:r w:rsidR="008C1E0D">
        <w:rPr>
          <w:bCs/>
          <w:color w:val="000000" w:themeColor="text1"/>
          <w:sz w:val="22"/>
          <w:szCs w:val="22"/>
        </w:rPr>
        <w:t xml:space="preserve"> at the hearing</w:t>
      </w:r>
      <w:r w:rsidRPr="002F0640">
        <w:rPr>
          <w:bCs/>
          <w:color w:val="000000" w:themeColor="text1"/>
          <w:sz w:val="22"/>
          <w:szCs w:val="22"/>
        </w:rPr>
        <w:t xml:space="preserve">. </w:t>
      </w:r>
      <w:r w:rsidR="00214C8D" w:rsidRPr="002F0640">
        <w:rPr>
          <w:bCs/>
          <w:color w:val="000000" w:themeColor="text1"/>
          <w:sz w:val="22"/>
          <w:szCs w:val="22"/>
        </w:rPr>
        <w:t xml:space="preserve">Later sections of this document include a summary of </w:t>
      </w:r>
      <w:r w:rsidR="008C1E0D">
        <w:rPr>
          <w:bCs/>
          <w:color w:val="000000" w:themeColor="text1"/>
          <w:sz w:val="22"/>
          <w:szCs w:val="22"/>
        </w:rPr>
        <w:t xml:space="preserve">the </w:t>
      </w:r>
      <w:commentRangeStart w:id="6"/>
      <w:r w:rsidR="000B0B39">
        <w:rPr>
          <w:bCs/>
          <w:color w:val="000000" w:themeColor="text1"/>
          <w:sz w:val="22"/>
          <w:szCs w:val="22"/>
        </w:rPr>
        <w:t>49</w:t>
      </w:r>
      <w:commentRangeEnd w:id="6"/>
      <w:r w:rsidR="000B0B39">
        <w:rPr>
          <w:rStyle w:val="CommentReference"/>
        </w:rPr>
        <w:commentReference w:id="6"/>
      </w:r>
      <w:r w:rsidR="008C1E0D">
        <w:rPr>
          <w:bCs/>
          <w:color w:val="000000" w:themeColor="text1"/>
          <w:sz w:val="22"/>
          <w:szCs w:val="22"/>
        </w:rPr>
        <w:t xml:space="preserve"> </w:t>
      </w:r>
      <w:r w:rsidR="00214C8D" w:rsidRPr="002F0640">
        <w:rPr>
          <w:bCs/>
          <w:color w:val="000000" w:themeColor="text1"/>
          <w:sz w:val="22"/>
          <w:szCs w:val="22"/>
        </w:rPr>
        <w:t>comments received</w:t>
      </w:r>
      <w:r w:rsidR="008C1E0D">
        <w:rPr>
          <w:bCs/>
          <w:color w:val="000000" w:themeColor="text1"/>
          <w:sz w:val="22"/>
          <w:szCs w:val="22"/>
        </w:rPr>
        <w:t xml:space="preserve"> during the open public comment period</w:t>
      </w:r>
      <w:r w:rsidR="00214C8D" w:rsidRPr="002F0640">
        <w:rPr>
          <w:bCs/>
          <w:color w:val="000000" w:themeColor="text1"/>
          <w:sz w:val="22"/>
          <w:szCs w:val="22"/>
        </w:rPr>
        <w:t>,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474AF1B2"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r w:rsidR="00B1715A">
        <w:rPr>
          <w:rStyle w:val="Emphasis"/>
          <w:vanish w:val="0"/>
          <w:color w:val="000000" w:themeColor="text1"/>
          <w:sz w:val="22"/>
          <w:szCs w:val="22"/>
        </w:rPr>
        <w:t xml:space="preserve"> Portland, OR</w:t>
      </w:r>
    </w:p>
    <w:p w14:paraId="33EA0FA3" w14:textId="6BB53870" w:rsidR="00377FA3" w:rsidRPr="002F0640" w:rsidRDefault="00B1715A" w:rsidP="002F0640">
      <w:pPr>
        <w:ind w:left="450"/>
        <w:rPr>
          <w:color w:val="000000" w:themeColor="text1"/>
          <w:sz w:val="22"/>
          <w:szCs w:val="22"/>
        </w:rPr>
      </w:pPr>
      <w:r>
        <w:rPr>
          <w:rStyle w:val="Emphasis"/>
          <w:vanish w:val="0"/>
          <w:color w:val="000000" w:themeColor="text1"/>
          <w:sz w:val="22"/>
          <w:szCs w:val="22"/>
        </w:rPr>
        <w:t>Meeting date and time: May 18, 2016; 3-5 pm</w:t>
      </w:r>
    </w:p>
    <w:p w14:paraId="33EA0FA4" w14:textId="21270E2F"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Presiding Officer:</w:t>
      </w:r>
      <w:r w:rsidR="00B1715A">
        <w:rPr>
          <w:color w:val="000000" w:themeColor="text1"/>
          <w:sz w:val="22"/>
          <w:szCs w:val="22"/>
        </w:rPr>
        <w:t xml:space="preserve"> Rian vanden Hooff</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 xml:space="preserve">to indicate their intent to present </w:t>
      </w:r>
      <w:r w:rsidRPr="002F0640">
        <w:rPr>
          <w:color w:val="000000" w:themeColor="text1"/>
          <w:sz w:val="22"/>
          <w:szCs w:val="22"/>
        </w:rPr>
        <w:lastRenderedPageBreak/>
        <w:t>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33EA0FBB" w14:textId="77777777" w:rsidR="00377FA3" w:rsidRPr="00377FA3" w:rsidRDefault="00377FA3" w:rsidP="00A72D66">
      <w:pPr>
        <w:rPr>
          <w:rStyle w:val="Emphasis"/>
        </w:rPr>
        <w:sectPr w:rsidR="00377FA3"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335DC805" w:rsidR="00924404" w:rsidRDefault="00924404" w:rsidP="004646AA">
      <w:pPr>
        <w:ind w:right="835"/>
        <w:rPr>
          <w:bCs/>
          <w:color w:val="000000" w:themeColor="text1"/>
        </w:rPr>
      </w:pPr>
      <w:r w:rsidRPr="00924404">
        <w:rPr>
          <w:bCs/>
          <w:color w:val="000000" w:themeColor="text1"/>
        </w:rPr>
        <w:t xml:space="preserve">The public comments received </w:t>
      </w:r>
      <w:r w:rsidR="002B5E54">
        <w:rPr>
          <w:bCs/>
          <w:color w:val="000000" w:themeColor="text1"/>
        </w:rPr>
        <w:t xml:space="preserve">during </w:t>
      </w:r>
      <w:r w:rsidRPr="00924404">
        <w:rPr>
          <w:bCs/>
          <w:color w:val="000000" w:themeColor="text1"/>
        </w:rPr>
        <w:t xml:space="preserve">the </w:t>
      </w:r>
      <w:r w:rsidR="002B5E54">
        <w:rPr>
          <w:bCs/>
          <w:color w:val="000000" w:themeColor="text1"/>
        </w:rPr>
        <w:t xml:space="preserve">open </w:t>
      </w:r>
      <w:r w:rsidRPr="00924404">
        <w:rPr>
          <w:bCs/>
          <w:color w:val="000000" w:themeColor="text1"/>
        </w:rPr>
        <w:t>public comment period</w:t>
      </w:r>
      <w:r w:rsidR="002B5E54">
        <w:rPr>
          <w:bCs/>
          <w:color w:val="000000" w:themeColor="text1"/>
        </w:rPr>
        <w:t>s</w:t>
      </w:r>
      <w:r w:rsidRPr="00924404">
        <w:rPr>
          <w:bCs/>
          <w:color w:val="000000" w:themeColor="text1"/>
        </w:rPr>
        <w:t xml:space="preserve"> are listed below and have been organized into </w:t>
      </w:r>
      <w:r>
        <w:rPr>
          <w:bCs/>
          <w:color w:val="000000" w:themeColor="text1"/>
        </w:rPr>
        <w:t>11</w:t>
      </w:r>
      <w:r w:rsidRPr="00924404">
        <w:rPr>
          <w:bCs/>
          <w:color w:val="000000" w:themeColor="text1"/>
        </w:rPr>
        <w:t xml:space="preserve"> categories with cross references to the commenter number</w:t>
      </w:r>
      <w:r>
        <w:rPr>
          <w:bCs/>
          <w:color w:val="000000" w:themeColor="text1"/>
        </w:rPr>
        <w:t xml:space="preserve"> (identified in the table below)</w:t>
      </w:r>
      <w:r w:rsidRPr="00924404">
        <w:rPr>
          <w:bCs/>
          <w:color w:val="000000" w:themeColor="text1"/>
        </w:rPr>
        <w:t xml:space="preserve">. DEQ’s response follows the summary. Original comments are on file with DEQ. </w:t>
      </w:r>
    </w:p>
    <w:p w14:paraId="33EA0FC1" w14:textId="47077D10" w:rsidR="00377FA3" w:rsidRPr="008C1E0D" w:rsidRDefault="00377FA3" w:rsidP="004646AA">
      <w:pPr>
        <w:ind w:right="835"/>
        <w:rPr>
          <w:rStyle w:val="Emphasis"/>
          <w:caps/>
          <w:strike/>
          <w:vanish w:val="0"/>
          <w:color w:val="806000" w:themeColor="accent4" w:themeShade="80"/>
          <w:sz w:val="24"/>
        </w:rPr>
      </w:pPr>
      <w:r w:rsidRPr="008C1E0D">
        <w:rPr>
          <w:rStyle w:val="Emphasis"/>
          <w:caps/>
          <w:strike/>
          <w:vanish w:val="0"/>
          <w:color w:val="806000" w:themeColor="accent4" w:themeShade="80"/>
          <w:sz w:val="24"/>
        </w:rPr>
        <w:fldChar w:fldCharType="begin"/>
      </w:r>
      <w:r w:rsidRPr="008C1E0D">
        <w:rPr>
          <w:rStyle w:val="Emphasis"/>
          <w:caps/>
          <w:strike/>
          <w:color w:val="806000" w:themeColor="accent4" w:themeShade="80"/>
          <w:sz w:val="24"/>
        </w:rPr>
        <w:instrText xml:space="preserve"> COMMENTS  \* FirstCap  \* MERGEFORMAT </w:instrText>
      </w:r>
      <w:r w:rsidRPr="008C1E0D">
        <w:rPr>
          <w:rStyle w:val="Emphasis"/>
          <w:caps/>
          <w:strike/>
          <w:vanish w:val="0"/>
          <w:color w:val="806000" w:themeColor="accent4" w:themeShade="80"/>
          <w:sz w:val="24"/>
        </w:rPr>
        <w:fldChar w:fldCharType="end"/>
      </w:r>
      <w:r w:rsidRPr="008C1E0D">
        <w:rPr>
          <w:rStyle w:val="Emphasis"/>
          <w:caps/>
          <w:strike/>
          <w:color w:val="806000" w:themeColor="accent4" w:themeShade="80"/>
          <w:sz w:val="24"/>
        </w:rPr>
        <w:t>Select one option below</w:t>
      </w:r>
    </w:p>
    <w:p w14:paraId="33EA0FC2" w14:textId="77777777" w:rsidR="00377FA3" w:rsidRPr="00377FA3" w:rsidRDefault="00377FA3" w:rsidP="004646AA">
      <w:pPr>
        <w:ind w:right="835"/>
        <w:rPr>
          <w:rStyle w:val="Emphasis"/>
          <w:caps/>
          <w:vanish w:val="0"/>
          <w:color w:val="806000" w:themeColor="accent4" w:themeShade="80"/>
          <w:sz w:val="24"/>
        </w:rPr>
      </w:pPr>
    </w:p>
    <w:p w14:paraId="3B5184EB" w14:textId="28A0672E" w:rsidR="00396E80" w:rsidRPr="00762378" w:rsidRDefault="00377FA3" w:rsidP="00762378">
      <w:pPr>
        <w:ind w:right="828"/>
        <w:rPr>
          <w:strike/>
          <w:color w:val="806000" w:themeColor="accent4" w:themeShade="80"/>
        </w:rPr>
      </w:pPr>
      <w:r w:rsidRPr="008C1E0D">
        <w:rPr>
          <w:strike/>
          <w:color w:val="806000" w:themeColor="accent4" w:themeShade="80"/>
        </w:rPr>
        <w:t>DEQ did not change the proposed rules in response to comments.</w:t>
      </w:r>
    </w:p>
    <w:p w14:paraId="4164F879" w14:textId="77777777" w:rsidR="00396E80" w:rsidRDefault="00396E80" w:rsidP="004646AA">
      <w:pPr>
        <w:ind w:right="828"/>
        <w:rPr>
          <w:b/>
          <w:color w:val="000000" w:themeColor="text1"/>
          <w:u w:val="single"/>
        </w:rPr>
      </w:pPr>
    </w:p>
    <w:p w14:paraId="33EA0FC5" w14:textId="77777777" w:rsidR="00377FA3" w:rsidRPr="00924404" w:rsidRDefault="00377FA3" w:rsidP="004646AA">
      <w:pPr>
        <w:ind w:right="828"/>
        <w:rPr>
          <w:b/>
          <w:strike/>
          <w:color w:val="000000" w:themeColor="text1"/>
          <w:u w:val="single"/>
        </w:rPr>
      </w:pPr>
      <w:r w:rsidRPr="00924404">
        <w:rPr>
          <w:b/>
          <w:strike/>
          <w:color w:val="000000" w:themeColor="text1"/>
          <w:u w:val="single"/>
        </w:rPr>
        <w:t>DEQ changed the proposed rules in response to comments described in the response sections below.</w:t>
      </w:r>
    </w:p>
    <w:p w14:paraId="33EA0FC7" w14:textId="77777777" w:rsidR="00377FA3" w:rsidRPr="00377FA3" w:rsidRDefault="00377FA3" w:rsidP="00924404">
      <w:pPr>
        <w:ind w:left="0" w:right="630"/>
        <w:rPr>
          <w:bCs/>
          <w:color w:val="000000" w:themeColor="text1"/>
        </w:rPr>
      </w:pPr>
    </w:p>
    <w:p w14:paraId="32412549" w14:textId="319B9369"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Pr>
          <w:bCs/>
        </w:rPr>
        <w:t>Response to DEQ proposal to mitigate high-risk ballast water discharge by retaining ballast water exchange management practices, in addition to the use of ballast water treatment systems required under new federal ballast water discharge standards.</w:t>
      </w:r>
    </w:p>
    <w:p w14:paraId="0B8944BA" w14:textId="49308FEF" w:rsidR="00396E80" w:rsidRDefault="00396E80" w:rsidP="00F35AE7">
      <w:pPr>
        <w:tabs>
          <w:tab w:val="left" w:pos="1080"/>
        </w:tabs>
        <w:ind w:left="1080" w:right="634"/>
      </w:pPr>
      <w:r>
        <w:tab/>
      </w:r>
    </w:p>
    <w:p w14:paraId="670E9857" w14:textId="58BBA56E"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17 commenters.</w:t>
      </w:r>
    </w:p>
    <w:p w14:paraId="35F756B2" w14:textId="77777777" w:rsidR="00A71647" w:rsidRPr="00305BDC" w:rsidRDefault="00A71647" w:rsidP="00F35AE7">
      <w:pPr>
        <w:tabs>
          <w:tab w:val="left" w:pos="1080"/>
        </w:tabs>
        <w:ind w:left="1080" w:right="634"/>
        <w:rPr>
          <w:highlight w:val="yellow"/>
        </w:rPr>
      </w:pPr>
    </w:p>
    <w:p w14:paraId="790AC64D" w14:textId="504511C7" w:rsidR="00A71647" w:rsidRPr="002B5E54" w:rsidRDefault="00A71647" w:rsidP="00F35AE7">
      <w:pPr>
        <w:tabs>
          <w:tab w:val="left" w:pos="1080"/>
        </w:tabs>
        <w:ind w:left="1080" w:right="634"/>
      </w:pPr>
      <w:r w:rsidRPr="002B5E54">
        <w:t>Commenter</w:t>
      </w:r>
      <w:r w:rsidR="000B0B39" w:rsidRPr="002B5E54">
        <w:t>s</w:t>
      </w:r>
      <w:r w:rsidRPr="002B5E54">
        <w:t xml:space="preserve"> #</w:t>
      </w:r>
      <w:r w:rsidR="000B0B39" w:rsidRPr="002B5E54">
        <w:t>1,2,3,5,6,7,8,9,10,11,12,13,14,and 17</w:t>
      </w:r>
      <w:r w:rsidRPr="002B5E54">
        <w:t xml:space="preserve"> support the </w:t>
      </w:r>
      <w:r w:rsidR="000B0B39" w:rsidRPr="002B5E54">
        <w:t>proposal that high-risk ballast discharge must continue to be managed with mid-ocean ballast water exchange practices, in addition to implementing shipboard ballast water treatment systems under federal ballast discharge standards.</w:t>
      </w:r>
    </w:p>
    <w:p w14:paraId="23BA200A" w14:textId="77777777" w:rsidR="00A71647" w:rsidRPr="002B5E54" w:rsidRDefault="00A71647" w:rsidP="00F35AE7">
      <w:pPr>
        <w:tabs>
          <w:tab w:val="left" w:pos="1080"/>
        </w:tabs>
        <w:ind w:left="1080" w:right="634"/>
      </w:pPr>
    </w:p>
    <w:p w14:paraId="366BDF66" w14:textId="5B656407" w:rsidR="00A71647" w:rsidRPr="002B5E54" w:rsidRDefault="00A71647" w:rsidP="00F35AE7">
      <w:pPr>
        <w:tabs>
          <w:tab w:val="left" w:pos="1080"/>
        </w:tabs>
        <w:ind w:left="1080" w:right="634"/>
      </w:pPr>
      <w:r w:rsidRPr="002B5E54">
        <w:t>Commenter</w:t>
      </w:r>
      <w:r w:rsidR="000B0B39" w:rsidRPr="002B5E54">
        <w:t>s</w:t>
      </w:r>
      <w:r w:rsidRPr="002B5E54">
        <w:t xml:space="preserve"> #</w:t>
      </w:r>
      <w:r w:rsidR="000B0B39" w:rsidRPr="002B5E54">
        <w:t>4, 15, and 16</w:t>
      </w:r>
      <w:r w:rsidRPr="002B5E54">
        <w:t xml:space="preserve"> </w:t>
      </w:r>
      <w:r w:rsidR="00305BDC" w:rsidRPr="002B5E54">
        <w:t>noted concerns that the proposal is premature</w:t>
      </w:r>
      <w:r w:rsidR="00D90375" w:rsidRPr="002B5E54">
        <w:t xml:space="preserve"> and unwarranted.</w:t>
      </w:r>
    </w:p>
    <w:p w14:paraId="36F8EA18" w14:textId="77777777" w:rsidR="00A71647" w:rsidRPr="00305BDC" w:rsidRDefault="00A71647" w:rsidP="00A71647">
      <w:pPr>
        <w:tabs>
          <w:tab w:val="left" w:pos="2700"/>
        </w:tabs>
        <w:ind w:left="2700" w:right="634"/>
        <w:rPr>
          <w:highlight w:val="yellow"/>
        </w:rPr>
      </w:pPr>
    </w:p>
    <w:p w14:paraId="64238B3E" w14:textId="37C449A2" w:rsidR="00C3461A" w:rsidRDefault="00C3461A" w:rsidP="00396E80">
      <w:pPr>
        <w:pStyle w:val="ListParagraph"/>
        <w:tabs>
          <w:tab w:val="left" w:pos="2700"/>
        </w:tabs>
        <w:ind w:left="1080" w:right="634"/>
        <w:rPr>
          <w:bCs/>
        </w:rPr>
      </w:pPr>
      <w:r w:rsidRPr="00305BDC">
        <w:rPr>
          <w:b/>
          <w:bCs/>
          <w:highlight w:val="yellow"/>
        </w:rPr>
        <w:t>Response:</w:t>
      </w:r>
      <w:r w:rsidR="00396E80" w:rsidRPr="00305BDC">
        <w:rPr>
          <w:b/>
          <w:bCs/>
          <w:highlight w:val="yellow"/>
        </w:rPr>
        <w:tab/>
      </w:r>
      <w:r w:rsidR="002B5E54">
        <w:rPr>
          <w:bCs/>
          <w:highlight w:val="yellow"/>
        </w:rPr>
        <w:t>DEQ maintains that …</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00ED3D54"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305BDC">
        <w:rPr>
          <w:bCs/>
        </w:rPr>
        <w:t>Source water criteria that determines which vessels/voyages are affected by the BWE+BWT requirement.</w:t>
      </w:r>
    </w:p>
    <w:p w14:paraId="52612094" w14:textId="77777777" w:rsidR="00F35AE7" w:rsidRDefault="00F35AE7" w:rsidP="00F35AE7">
      <w:pPr>
        <w:tabs>
          <w:tab w:val="left" w:pos="1080"/>
        </w:tabs>
        <w:ind w:left="1080" w:right="634"/>
      </w:pPr>
      <w:r>
        <w:tab/>
      </w:r>
    </w:p>
    <w:p w14:paraId="732B9D1D" w14:textId="42C512F5" w:rsidR="00F35AE7" w:rsidRPr="00305BDC" w:rsidRDefault="00427309" w:rsidP="00F35AE7">
      <w:pPr>
        <w:tabs>
          <w:tab w:val="left" w:pos="1080"/>
        </w:tabs>
        <w:ind w:left="1080" w:right="634"/>
      </w:pPr>
      <w:r>
        <w:t>DEQ received</w:t>
      </w:r>
      <w:r w:rsidR="00F35AE7" w:rsidRPr="00305BDC">
        <w:t xml:space="preserve"> comments in this category from commenters #</w:t>
      </w:r>
      <w:r w:rsidR="00305BDC" w:rsidRPr="00305BDC">
        <w:t>1, 2, 3, and 9.</w:t>
      </w:r>
    </w:p>
    <w:p w14:paraId="6B374915" w14:textId="77777777" w:rsidR="00F35AE7" w:rsidRPr="00305BDC" w:rsidRDefault="00F35AE7" w:rsidP="00F35AE7">
      <w:pPr>
        <w:tabs>
          <w:tab w:val="left" w:pos="1080"/>
        </w:tabs>
        <w:ind w:left="1080" w:right="634"/>
        <w:rPr>
          <w:highlight w:val="yellow"/>
        </w:rPr>
      </w:pPr>
    </w:p>
    <w:p w14:paraId="42FBAC08" w14:textId="77777777" w:rsidR="00F35AE7" w:rsidRPr="00305BDC" w:rsidRDefault="00F35AE7" w:rsidP="00F35AE7">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4C037D0E" w14:textId="77777777" w:rsidR="00F35AE7" w:rsidRPr="00305BDC" w:rsidRDefault="00F35AE7" w:rsidP="00F35AE7">
      <w:pPr>
        <w:tabs>
          <w:tab w:val="left" w:pos="1080"/>
        </w:tabs>
        <w:ind w:left="1080" w:right="634"/>
        <w:rPr>
          <w:highlight w:val="yellow"/>
        </w:rPr>
      </w:pPr>
    </w:p>
    <w:p w14:paraId="3CE16D3C"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2F2866E6" w14:textId="77777777" w:rsidR="00F35AE7" w:rsidRPr="00305BDC" w:rsidRDefault="00F35AE7" w:rsidP="00F35AE7">
      <w:pPr>
        <w:tabs>
          <w:tab w:val="left" w:pos="2700"/>
        </w:tabs>
        <w:ind w:left="2700" w:right="634"/>
        <w:rPr>
          <w:highlight w:val="yellow"/>
        </w:rPr>
      </w:pPr>
    </w:p>
    <w:p w14:paraId="3C003FB3" w14:textId="33153F08"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maintained the proposed language……</w:t>
      </w:r>
    </w:p>
    <w:p w14:paraId="66C4A036" w14:textId="77777777" w:rsidR="00F35AE7" w:rsidRDefault="00F35AE7" w:rsidP="00F35AE7">
      <w:pPr>
        <w:pStyle w:val="ListParagraph"/>
        <w:tabs>
          <w:tab w:val="left" w:pos="2700"/>
        </w:tabs>
        <w:ind w:left="1080" w:right="634"/>
        <w:rPr>
          <w:bCs/>
        </w:rPr>
      </w:pPr>
    </w:p>
    <w:p w14:paraId="70988E11" w14:textId="1C4CC149"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305BDC">
        <w:rPr>
          <w:bCs/>
        </w:rPr>
        <w:t>Receiving water criteria that identifies locations within Oregon waters where ballast discharge may be affected by BWE+BWT requirement.</w:t>
      </w:r>
    </w:p>
    <w:p w14:paraId="278F0C6D" w14:textId="77777777" w:rsidR="00F35AE7" w:rsidRDefault="00F35AE7" w:rsidP="00F35AE7">
      <w:pPr>
        <w:tabs>
          <w:tab w:val="left" w:pos="1080"/>
        </w:tabs>
        <w:ind w:left="1080" w:right="634"/>
      </w:pPr>
      <w:r>
        <w:tab/>
      </w:r>
    </w:p>
    <w:p w14:paraId="35DC7AF4" w14:textId="71F5BAA9"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4, 7, 13, 15, and</w:t>
      </w:r>
      <w:r w:rsidR="00305BDC" w:rsidRPr="00305BDC">
        <w:t xml:space="preserve"> 16.</w:t>
      </w:r>
    </w:p>
    <w:p w14:paraId="6665B5CF" w14:textId="77777777" w:rsidR="00F35AE7" w:rsidRPr="00305BDC" w:rsidRDefault="00F35AE7" w:rsidP="00F35AE7">
      <w:pPr>
        <w:tabs>
          <w:tab w:val="left" w:pos="1080"/>
        </w:tabs>
        <w:ind w:left="1080" w:right="634"/>
        <w:rPr>
          <w:highlight w:val="yellow"/>
        </w:rPr>
      </w:pPr>
    </w:p>
    <w:p w14:paraId="66FCB7DD" w14:textId="77777777" w:rsidR="00F35AE7" w:rsidRPr="00305BDC" w:rsidRDefault="00F35AE7" w:rsidP="00F35AE7">
      <w:pPr>
        <w:tabs>
          <w:tab w:val="left" w:pos="1080"/>
        </w:tabs>
        <w:ind w:left="1080" w:right="634"/>
        <w:rPr>
          <w:highlight w:val="yellow"/>
        </w:rPr>
      </w:pPr>
      <w:r w:rsidRPr="00305BDC">
        <w:rPr>
          <w:highlight w:val="yellow"/>
        </w:rPr>
        <w:lastRenderedPageBreak/>
        <w:t>Commenter #X and #X support the implementation of…… and further suggest that the rule should apply more broadly to ……</w:t>
      </w:r>
    </w:p>
    <w:p w14:paraId="0826882F" w14:textId="77777777" w:rsidR="00F35AE7" w:rsidRPr="00305BDC" w:rsidRDefault="00F35AE7" w:rsidP="00F35AE7">
      <w:pPr>
        <w:tabs>
          <w:tab w:val="left" w:pos="1080"/>
        </w:tabs>
        <w:ind w:left="1080" w:right="634"/>
        <w:rPr>
          <w:highlight w:val="yellow"/>
        </w:rPr>
      </w:pPr>
    </w:p>
    <w:p w14:paraId="49431FF5"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2F2DCC47" w14:textId="77777777" w:rsidR="00F35AE7" w:rsidRPr="00305BDC" w:rsidRDefault="00F35AE7" w:rsidP="00F35AE7">
      <w:pPr>
        <w:tabs>
          <w:tab w:val="left" w:pos="2700"/>
        </w:tabs>
        <w:ind w:left="2700" w:right="634"/>
        <w:rPr>
          <w:highlight w:val="yellow"/>
        </w:rPr>
      </w:pPr>
    </w:p>
    <w:p w14:paraId="0B028435" w14:textId="527BB525"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modified……</w:t>
      </w:r>
    </w:p>
    <w:p w14:paraId="20431774" w14:textId="77777777" w:rsidR="00F35AE7" w:rsidRDefault="00F35AE7" w:rsidP="00F35AE7">
      <w:pPr>
        <w:pStyle w:val="ListParagraph"/>
        <w:tabs>
          <w:tab w:val="left" w:pos="2700"/>
        </w:tabs>
        <w:ind w:left="1080" w:right="634"/>
        <w:rPr>
          <w:bCs/>
        </w:rPr>
      </w:pPr>
    </w:p>
    <w:p w14:paraId="7A969282" w14:textId="4B260103"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edits that are technical or </w:t>
      </w:r>
      <w:r w:rsidR="00652B8E">
        <w:rPr>
          <w:bCs/>
        </w:rPr>
        <w:t>semantic</w:t>
      </w:r>
      <w:r w:rsidR="00305BDC">
        <w:rPr>
          <w:bCs/>
        </w:rPr>
        <w:t xml:space="preserve"> in nature aimed at greater clarity of the rule revisions and are not deemed to be controversial.</w:t>
      </w:r>
    </w:p>
    <w:p w14:paraId="7D7F7A56" w14:textId="77777777" w:rsidR="00F35AE7" w:rsidRDefault="00F35AE7" w:rsidP="00F35AE7">
      <w:pPr>
        <w:tabs>
          <w:tab w:val="left" w:pos="1080"/>
        </w:tabs>
        <w:ind w:left="1080" w:right="634"/>
      </w:pPr>
      <w:r>
        <w:tab/>
      </w:r>
    </w:p>
    <w:p w14:paraId="1E8531DA" w14:textId="54056F6A" w:rsidR="00F35AE7" w:rsidRPr="00305BDC" w:rsidRDefault="00F35AE7" w:rsidP="00F35AE7">
      <w:pPr>
        <w:tabs>
          <w:tab w:val="left" w:pos="1080"/>
        </w:tabs>
        <w:ind w:left="1080" w:right="634"/>
      </w:pPr>
      <w:r w:rsidRPr="00305BDC">
        <w:t>DEQ received comments in this category from commenters #</w:t>
      </w:r>
      <w:r w:rsidR="00305BDC" w:rsidRPr="00305BDC">
        <w:t>6, and 10.</w:t>
      </w:r>
    </w:p>
    <w:p w14:paraId="76D62E5E" w14:textId="77777777" w:rsidR="00F35AE7" w:rsidRPr="00305BDC" w:rsidRDefault="00F35AE7" w:rsidP="00F35AE7">
      <w:pPr>
        <w:tabs>
          <w:tab w:val="left" w:pos="1080"/>
        </w:tabs>
        <w:ind w:left="1080" w:right="634"/>
        <w:rPr>
          <w:highlight w:val="yellow"/>
        </w:rPr>
      </w:pPr>
    </w:p>
    <w:p w14:paraId="11BDB281" w14:textId="77777777" w:rsidR="00F35AE7" w:rsidRPr="00305BDC" w:rsidRDefault="00F35AE7" w:rsidP="00F35AE7">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575B723" w14:textId="77777777" w:rsidR="00F35AE7" w:rsidRPr="00305BDC" w:rsidRDefault="00F35AE7" w:rsidP="00F35AE7">
      <w:pPr>
        <w:tabs>
          <w:tab w:val="left" w:pos="1080"/>
        </w:tabs>
        <w:ind w:left="1080" w:right="634"/>
        <w:rPr>
          <w:highlight w:val="yellow"/>
        </w:rPr>
      </w:pPr>
    </w:p>
    <w:p w14:paraId="7FFF7CFF" w14:textId="77777777" w:rsidR="00F35AE7" w:rsidRPr="00305BDC" w:rsidRDefault="00F35AE7" w:rsidP="00F35AE7">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076B4730" w14:textId="77777777" w:rsidR="00F35AE7" w:rsidRPr="00305BDC" w:rsidRDefault="00F35AE7" w:rsidP="00F35AE7">
      <w:pPr>
        <w:tabs>
          <w:tab w:val="left" w:pos="2700"/>
        </w:tabs>
        <w:ind w:left="2700" w:right="634"/>
        <w:rPr>
          <w:highlight w:val="yellow"/>
        </w:rPr>
      </w:pPr>
    </w:p>
    <w:p w14:paraId="3996BC5A" w14:textId="3D67020A" w:rsidR="00F35AE7" w:rsidRDefault="00F35AE7" w:rsidP="00F35AE7">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 xml:space="preserve"> modified……</w:t>
      </w:r>
    </w:p>
    <w:p w14:paraId="48E77CD4" w14:textId="77777777" w:rsidR="00F35AE7" w:rsidRDefault="00F35AE7" w:rsidP="00F35AE7">
      <w:pPr>
        <w:pStyle w:val="ListParagraph"/>
        <w:tabs>
          <w:tab w:val="left" w:pos="2700"/>
        </w:tabs>
        <w:ind w:left="1080" w:right="634"/>
        <w:rPr>
          <w:bCs/>
        </w:rPr>
      </w:pPr>
    </w:p>
    <w:p w14:paraId="34D49507" w14:textId="7E58B76A"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Pr>
          <w:bCs/>
        </w:rPr>
        <w:t xml:space="preserve">Suggestions for edits to exemption criteria language proposed under </w:t>
      </w:r>
      <w:r w:rsidRPr="00427309">
        <w:rPr>
          <w:bCs/>
          <w:highlight w:val="yellow"/>
        </w:rPr>
        <w:t>-</w:t>
      </w:r>
      <w:r w:rsidRPr="00427309">
        <w:rPr>
          <w:highlight w:val="yellow"/>
        </w:rPr>
        <w:t>0050 (</w:t>
      </w:r>
    </w:p>
    <w:p w14:paraId="5A660B80" w14:textId="77777777" w:rsidR="00427309" w:rsidRDefault="00427309" w:rsidP="00427309">
      <w:pPr>
        <w:tabs>
          <w:tab w:val="left" w:pos="1080"/>
        </w:tabs>
        <w:ind w:left="1080" w:right="634"/>
      </w:pPr>
      <w:r>
        <w:tab/>
      </w:r>
    </w:p>
    <w:p w14:paraId="17D4252A" w14:textId="5AE3A076" w:rsidR="00427309" w:rsidRPr="00305BDC" w:rsidRDefault="00427309" w:rsidP="00427309">
      <w:pPr>
        <w:tabs>
          <w:tab w:val="left" w:pos="1080"/>
        </w:tabs>
        <w:ind w:left="1080" w:right="634"/>
      </w:pPr>
      <w:r w:rsidRPr="00305BDC">
        <w:t>DEQ received comments in this category from commenters #</w:t>
      </w:r>
      <w:r>
        <w:t>4, 7, and 16</w:t>
      </w:r>
      <w:r w:rsidRPr="00305BDC">
        <w:t>.</w:t>
      </w:r>
    </w:p>
    <w:p w14:paraId="40A272CE" w14:textId="77777777" w:rsidR="00427309" w:rsidRPr="00305BDC" w:rsidRDefault="00427309" w:rsidP="00427309">
      <w:pPr>
        <w:tabs>
          <w:tab w:val="left" w:pos="1080"/>
        </w:tabs>
        <w:ind w:left="1080" w:right="634"/>
        <w:rPr>
          <w:highlight w:val="yellow"/>
        </w:rPr>
      </w:pPr>
    </w:p>
    <w:p w14:paraId="331B2BAB"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4670900" w14:textId="77777777" w:rsidR="00427309" w:rsidRPr="00305BDC" w:rsidRDefault="00427309" w:rsidP="00427309">
      <w:pPr>
        <w:tabs>
          <w:tab w:val="left" w:pos="1080"/>
        </w:tabs>
        <w:ind w:left="1080" w:right="634"/>
        <w:rPr>
          <w:highlight w:val="yellow"/>
        </w:rPr>
      </w:pPr>
    </w:p>
    <w:p w14:paraId="6FD12295" w14:textId="77777777" w:rsidR="00427309" w:rsidRPr="00305BDC" w:rsidRDefault="00427309" w:rsidP="00427309">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4528A950" w14:textId="77777777" w:rsidR="00427309" w:rsidRPr="00305BDC" w:rsidRDefault="00427309" w:rsidP="00427309">
      <w:pPr>
        <w:tabs>
          <w:tab w:val="left" w:pos="2700"/>
        </w:tabs>
        <w:ind w:left="2700" w:right="634"/>
        <w:rPr>
          <w:highlight w:val="yellow"/>
        </w:rPr>
      </w:pPr>
    </w:p>
    <w:p w14:paraId="43F42D37" w14:textId="633C14B6"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 xml:space="preserve"> has modified…….</w:t>
      </w:r>
    </w:p>
    <w:p w14:paraId="3F83FC61" w14:textId="77777777" w:rsidR="00427309" w:rsidRDefault="00427309" w:rsidP="00427309">
      <w:pPr>
        <w:pStyle w:val="ListParagraph"/>
        <w:tabs>
          <w:tab w:val="left" w:pos="2700"/>
        </w:tabs>
        <w:ind w:left="1080" w:right="634"/>
        <w:rPr>
          <w:bCs/>
        </w:rPr>
      </w:pPr>
    </w:p>
    <w:p w14:paraId="097777F1" w14:textId="1341EAEC"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Pr>
          <w:bCs/>
        </w:rPr>
        <w:t xml:space="preserve">Requests for changes to the repeal date of BWE+BWT under </w:t>
      </w:r>
      <w:r w:rsidRPr="00427309">
        <w:rPr>
          <w:bCs/>
          <w:highlight w:val="yellow"/>
        </w:rPr>
        <w:t>-0050 (</w:t>
      </w:r>
    </w:p>
    <w:p w14:paraId="47410DAD" w14:textId="77777777" w:rsidR="00427309" w:rsidRDefault="00427309" w:rsidP="00427309">
      <w:pPr>
        <w:tabs>
          <w:tab w:val="left" w:pos="1080"/>
        </w:tabs>
        <w:ind w:left="1080" w:right="634"/>
      </w:pPr>
      <w:r>
        <w:tab/>
      </w:r>
    </w:p>
    <w:p w14:paraId="25B6775F" w14:textId="0D3745E7" w:rsidR="00427309" w:rsidRPr="00305BDC" w:rsidRDefault="00427309" w:rsidP="00427309">
      <w:pPr>
        <w:tabs>
          <w:tab w:val="left" w:pos="1080"/>
        </w:tabs>
        <w:ind w:left="1080" w:right="634"/>
      </w:pPr>
      <w:r w:rsidRPr="00305BDC">
        <w:t>DEQ received comments in this category from commenters #</w:t>
      </w:r>
      <w:r>
        <w:t>4, 15, 16</w:t>
      </w:r>
      <w:r w:rsidRPr="00305BDC">
        <w:t>.</w:t>
      </w:r>
    </w:p>
    <w:p w14:paraId="640E42F6" w14:textId="77777777" w:rsidR="00427309" w:rsidRPr="00305BDC" w:rsidRDefault="00427309" w:rsidP="00427309">
      <w:pPr>
        <w:tabs>
          <w:tab w:val="left" w:pos="1080"/>
        </w:tabs>
        <w:ind w:left="1080" w:right="634"/>
        <w:rPr>
          <w:highlight w:val="yellow"/>
        </w:rPr>
      </w:pPr>
    </w:p>
    <w:p w14:paraId="122BD433"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36787388" w14:textId="77777777" w:rsidR="00427309" w:rsidRPr="00305BDC" w:rsidRDefault="00427309" w:rsidP="00427309">
      <w:pPr>
        <w:tabs>
          <w:tab w:val="left" w:pos="1080"/>
        </w:tabs>
        <w:ind w:left="1080" w:right="634"/>
        <w:rPr>
          <w:highlight w:val="yellow"/>
        </w:rPr>
      </w:pPr>
    </w:p>
    <w:p w14:paraId="625E6853" w14:textId="77777777" w:rsidR="00427309" w:rsidRPr="00305BDC" w:rsidRDefault="00427309" w:rsidP="00427309">
      <w:pPr>
        <w:tabs>
          <w:tab w:val="left" w:pos="2700"/>
        </w:tabs>
        <w:ind w:left="2700" w:right="634"/>
        <w:rPr>
          <w:highlight w:val="yellow"/>
        </w:rPr>
      </w:pPr>
    </w:p>
    <w:p w14:paraId="5AD52F49" w14:textId="596D9405"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D90375">
        <w:rPr>
          <w:bCs/>
        </w:rPr>
        <w:t>has modified the sunset date…..</w:t>
      </w:r>
    </w:p>
    <w:p w14:paraId="733E1521" w14:textId="77777777" w:rsidR="00427309" w:rsidRDefault="00427309" w:rsidP="00427309">
      <w:pPr>
        <w:pStyle w:val="ListParagraph"/>
        <w:tabs>
          <w:tab w:val="left" w:pos="2700"/>
        </w:tabs>
        <w:ind w:left="1080" w:right="634"/>
        <w:rPr>
          <w:bCs/>
        </w:rPr>
      </w:pPr>
    </w:p>
    <w:p w14:paraId="7530A864" w14:textId="266816A4" w:rsidR="00427309" w:rsidRPr="00396E80" w:rsidRDefault="00427309" w:rsidP="00427309">
      <w:pPr>
        <w:pStyle w:val="ListParagraph"/>
        <w:numPr>
          <w:ilvl w:val="0"/>
          <w:numId w:val="15"/>
        </w:numPr>
        <w:tabs>
          <w:tab w:val="left" w:pos="2700"/>
        </w:tabs>
        <w:ind w:right="634"/>
      </w:pPr>
      <w:r>
        <w:rPr>
          <w:b/>
          <w:bCs/>
        </w:rPr>
        <w:lastRenderedPageBreak/>
        <w:t>Comment 7</w:t>
      </w:r>
      <w:r w:rsidRPr="00C3461A">
        <w:rPr>
          <w:b/>
          <w:bCs/>
        </w:rPr>
        <w:t xml:space="preserve"> </w:t>
      </w:r>
      <w:r>
        <w:rPr>
          <w:b/>
          <w:bCs/>
        </w:rPr>
        <w:t xml:space="preserve">  </w:t>
      </w:r>
      <w:r>
        <w:rPr>
          <w:b/>
          <w:bCs/>
        </w:rPr>
        <w:tab/>
      </w:r>
      <w:r>
        <w:rPr>
          <w:bCs/>
        </w:rPr>
        <w:t>Response to DEQ proposal to adopt saltwater flushing requirements of empty ballast tanks that are comparable to federal requirements established under the 2013 EPA Vessel General Permit.</w:t>
      </w:r>
    </w:p>
    <w:p w14:paraId="66B909A0" w14:textId="77777777" w:rsidR="00427309" w:rsidRDefault="00427309" w:rsidP="00427309">
      <w:pPr>
        <w:tabs>
          <w:tab w:val="left" w:pos="1080"/>
        </w:tabs>
        <w:ind w:left="1080" w:right="634"/>
      </w:pPr>
      <w:r>
        <w:tab/>
      </w:r>
    </w:p>
    <w:p w14:paraId="63B31E5B" w14:textId="6AB619A4" w:rsidR="00427309" w:rsidRPr="00305BDC" w:rsidRDefault="00427309" w:rsidP="00427309">
      <w:pPr>
        <w:tabs>
          <w:tab w:val="left" w:pos="1080"/>
        </w:tabs>
        <w:ind w:left="1080" w:right="634"/>
      </w:pPr>
      <w:r w:rsidRPr="00305BDC">
        <w:t>DEQ received comments in this category from commenters #</w:t>
      </w:r>
      <w:r>
        <w:t>3, 5, 6, 7, 12, 13</w:t>
      </w:r>
      <w:r w:rsidRPr="00305BDC">
        <w:t>.</w:t>
      </w:r>
    </w:p>
    <w:p w14:paraId="69A08417" w14:textId="77777777" w:rsidR="00427309" w:rsidRPr="00305BDC" w:rsidRDefault="00427309" w:rsidP="00427309">
      <w:pPr>
        <w:tabs>
          <w:tab w:val="left" w:pos="1080"/>
        </w:tabs>
        <w:ind w:left="1080" w:right="634"/>
        <w:rPr>
          <w:highlight w:val="yellow"/>
        </w:rPr>
      </w:pPr>
    </w:p>
    <w:p w14:paraId="4DF849EF" w14:textId="77777777" w:rsidR="00427309" w:rsidRPr="00305BDC" w:rsidRDefault="00427309" w:rsidP="00427309">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49393F06" w14:textId="77777777" w:rsidR="00427309" w:rsidRPr="00305BDC" w:rsidRDefault="00427309" w:rsidP="00427309">
      <w:pPr>
        <w:tabs>
          <w:tab w:val="left" w:pos="1080"/>
        </w:tabs>
        <w:ind w:left="1080" w:right="634"/>
        <w:rPr>
          <w:highlight w:val="yellow"/>
        </w:rPr>
      </w:pPr>
    </w:p>
    <w:p w14:paraId="3C2446F0" w14:textId="77777777" w:rsidR="00427309" w:rsidRPr="00305BDC" w:rsidRDefault="00427309" w:rsidP="00427309">
      <w:pPr>
        <w:tabs>
          <w:tab w:val="left" w:pos="2700"/>
        </w:tabs>
        <w:ind w:left="2700" w:right="634"/>
        <w:rPr>
          <w:highlight w:val="yellow"/>
        </w:rPr>
      </w:pPr>
    </w:p>
    <w:p w14:paraId="56C2337D" w14:textId="10C9A4FF"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Pr>
          <w:bCs/>
        </w:rPr>
        <w:t xml:space="preserve"> has maintained the rule as proposed.</w:t>
      </w:r>
    </w:p>
    <w:p w14:paraId="2B7CE138" w14:textId="77777777" w:rsidR="00427309" w:rsidRDefault="00427309" w:rsidP="00427309">
      <w:pPr>
        <w:pStyle w:val="ListParagraph"/>
        <w:tabs>
          <w:tab w:val="left" w:pos="2700"/>
        </w:tabs>
        <w:ind w:left="1080" w:right="634"/>
        <w:rPr>
          <w:bCs/>
        </w:rPr>
      </w:pPr>
    </w:p>
    <w:p w14:paraId="43749858" w14:textId="40E6E5B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D90375">
        <w:rPr>
          <w:bCs/>
        </w:rPr>
        <w:t xml:space="preserve">Suggestions that </w:t>
      </w:r>
      <w:r w:rsidR="00D90375" w:rsidRPr="00D90375">
        <w:t xml:space="preserve">failure to establish </w:t>
      </w:r>
      <w:r w:rsidR="00D90375">
        <w:t xml:space="preserve">regulations comparable to </w:t>
      </w:r>
      <w:r w:rsidR="00D90375" w:rsidRPr="00D90375">
        <w:rPr>
          <w:highlight w:val="yellow"/>
        </w:rPr>
        <w:t>-0050()</w:t>
      </w:r>
      <w:r w:rsidR="00D90375" w:rsidRPr="00D90375">
        <w:t xml:space="preserve"> in neighboring jurisdictions may result in economic competitive disadvantages for some Oregon port facilities.</w:t>
      </w:r>
    </w:p>
    <w:p w14:paraId="6B055330" w14:textId="77777777" w:rsidR="00427309" w:rsidRDefault="00427309" w:rsidP="00427309">
      <w:pPr>
        <w:tabs>
          <w:tab w:val="left" w:pos="1080"/>
        </w:tabs>
        <w:ind w:left="1080" w:right="634"/>
      </w:pPr>
      <w:r>
        <w:tab/>
      </w:r>
    </w:p>
    <w:p w14:paraId="465555DE" w14:textId="0994C0BA" w:rsidR="00427309" w:rsidRPr="00305BDC" w:rsidRDefault="00427309" w:rsidP="00427309">
      <w:pPr>
        <w:tabs>
          <w:tab w:val="left" w:pos="1080"/>
        </w:tabs>
        <w:ind w:left="1080" w:right="634"/>
      </w:pPr>
      <w:r w:rsidRPr="00305BDC">
        <w:t>DEQ received comments in this category from commenters #</w:t>
      </w:r>
      <w:r>
        <w:t>4</w:t>
      </w:r>
      <w:r w:rsidR="00A0477F">
        <w:t>, 5</w:t>
      </w:r>
      <w:r w:rsidR="00D90375">
        <w:t xml:space="preserve"> and 15</w:t>
      </w:r>
      <w:r w:rsidRPr="00305BDC">
        <w:t>.</w:t>
      </w:r>
    </w:p>
    <w:p w14:paraId="04C95316" w14:textId="77777777" w:rsidR="00427309" w:rsidRPr="00305BDC" w:rsidRDefault="00427309" w:rsidP="00D90375">
      <w:pPr>
        <w:tabs>
          <w:tab w:val="left" w:pos="1080"/>
        </w:tabs>
        <w:ind w:left="0" w:right="634"/>
        <w:rPr>
          <w:highlight w:val="yellow"/>
        </w:rPr>
      </w:pPr>
    </w:p>
    <w:p w14:paraId="2340ADD3" w14:textId="33F44221" w:rsidR="00A0477F" w:rsidRPr="00305BDC" w:rsidRDefault="00A0477F" w:rsidP="00A0477F">
      <w:pPr>
        <w:tabs>
          <w:tab w:val="left" w:pos="1080"/>
        </w:tabs>
        <w:ind w:left="1080" w:right="634"/>
        <w:rPr>
          <w:highlight w:val="yellow"/>
        </w:rPr>
      </w:pPr>
      <w:r w:rsidRPr="00A0477F">
        <w:t xml:space="preserve">Commenter #4 and 15 </w:t>
      </w:r>
      <w:r w:rsidRPr="00305BDC">
        <w:rPr>
          <w:highlight w:val="yellow"/>
        </w:rPr>
        <w:t>suggest that the rule is premature and unwarranted at this time.  They suggest that if DEQ opts to proceed with implementing BWE+BWT requirements that it only apply to vessels……</w:t>
      </w:r>
    </w:p>
    <w:p w14:paraId="140BC992" w14:textId="77777777" w:rsidR="00A0477F" w:rsidRDefault="00A0477F" w:rsidP="00427309">
      <w:pPr>
        <w:tabs>
          <w:tab w:val="left" w:pos="1080"/>
        </w:tabs>
        <w:ind w:left="1080" w:right="634"/>
        <w:rPr>
          <w:highlight w:val="yellow"/>
        </w:rPr>
      </w:pPr>
    </w:p>
    <w:p w14:paraId="3A85286B" w14:textId="0C50F4C4" w:rsidR="00427309" w:rsidRPr="00305BDC" w:rsidRDefault="00427309" w:rsidP="00427309">
      <w:pPr>
        <w:tabs>
          <w:tab w:val="left" w:pos="1080"/>
        </w:tabs>
        <w:ind w:left="1080" w:right="634"/>
        <w:rPr>
          <w:highlight w:val="yellow"/>
        </w:rPr>
      </w:pPr>
      <w:r w:rsidRPr="00A0477F">
        <w:t>Commenter #</w:t>
      </w:r>
      <w:r w:rsidR="00A0477F" w:rsidRPr="00A0477F">
        <w:t>5</w:t>
      </w:r>
      <w:r w:rsidRPr="00A0477F">
        <w:t xml:space="preserve"> </w:t>
      </w:r>
      <w:r w:rsidR="00A0477F">
        <w:t>notes that WDFW is …..</w:t>
      </w:r>
    </w:p>
    <w:p w14:paraId="216C57E8" w14:textId="77777777" w:rsidR="00427309" w:rsidRPr="00305BDC" w:rsidRDefault="00427309" w:rsidP="00427309">
      <w:pPr>
        <w:tabs>
          <w:tab w:val="left" w:pos="2700"/>
        </w:tabs>
        <w:ind w:left="2700" w:right="634"/>
        <w:rPr>
          <w:highlight w:val="yellow"/>
        </w:rPr>
      </w:pPr>
    </w:p>
    <w:p w14:paraId="54751A40" w14:textId="49BCB2D1"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has worked in close coordination with other west coast states in the development of consistent BWM regulations since……</w:t>
      </w:r>
    </w:p>
    <w:p w14:paraId="310F931F" w14:textId="77777777" w:rsidR="00427309" w:rsidRDefault="00427309" w:rsidP="00427309">
      <w:pPr>
        <w:pStyle w:val="ListParagraph"/>
        <w:tabs>
          <w:tab w:val="left" w:pos="2700"/>
        </w:tabs>
        <w:ind w:left="1080" w:right="634"/>
        <w:rPr>
          <w:bCs/>
        </w:rPr>
      </w:pPr>
    </w:p>
    <w:p w14:paraId="70D8DE42" w14:textId="57D10178"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A0477F">
        <w:rPr>
          <w:bCs/>
        </w:rPr>
        <w:t>Suggestions/assertions questioning whether DEQ estimates of the number of vessels/voyages affected were accurate.</w:t>
      </w:r>
    </w:p>
    <w:p w14:paraId="4AD37DAA" w14:textId="77777777" w:rsidR="00427309" w:rsidRDefault="00427309" w:rsidP="00427309">
      <w:pPr>
        <w:tabs>
          <w:tab w:val="left" w:pos="1080"/>
        </w:tabs>
        <w:ind w:left="1080" w:right="634"/>
      </w:pPr>
      <w:r>
        <w:tab/>
      </w:r>
    </w:p>
    <w:p w14:paraId="2E88CDFB" w14:textId="26E720FE"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7D07BA44" w:rsidR="00427309" w:rsidRPr="00305BDC" w:rsidRDefault="00427309" w:rsidP="00A0477F">
      <w:pPr>
        <w:tabs>
          <w:tab w:val="left" w:pos="1080"/>
        </w:tabs>
        <w:ind w:left="1080" w:right="634"/>
        <w:rPr>
          <w:highlight w:val="yellow"/>
        </w:rPr>
      </w:pPr>
      <w:r w:rsidRPr="00305BDC">
        <w:rPr>
          <w:highlight w:val="yellow"/>
        </w:rPr>
        <w:t>Commenter #X and #X support the implementation of…… and further suggest that the rule should apply more broadly to ……</w:t>
      </w:r>
    </w:p>
    <w:p w14:paraId="021D8CF3" w14:textId="77777777" w:rsidR="00427309" w:rsidRPr="00305BDC" w:rsidRDefault="00427309" w:rsidP="00427309">
      <w:pPr>
        <w:tabs>
          <w:tab w:val="left" w:pos="2700"/>
        </w:tabs>
        <w:ind w:left="2700" w:right="634"/>
        <w:rPr>
          <w:highlight w:val="yellow"/>
        </w:rPr>
      </w:pPr>
    </w:p>
    <w:p w14:paraId="42B4E705" w14:textId="4AC89073"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conducted a new analysis using more robust data sources….showed decrease in number of vessels per year that would be likely to be affected.  These numbers are likely to be more conservative because they included modeled salinity data for global ports that were deemed to underestimate surface salinity values at some ports in California where ballast is occasionally sourced before being discharged to Oregon waters.</w:t>
      </w:r>
    </w:p>
    <w:p w14:paraId="20F87BE2" w14:textId="77777777" w:rsidR="00427309" w:rsidRDefault="00427309" w:rsidP="00427309">
      <w:pPr>
        <w:pStyle w:val="ListParagraph"/>
        <w:tabs>
          <w:tab w:val="left" w:pos="2700"/>
        </w:tabs>
        <w:ind w:left="1080" w:right="634"/>
        <w:rPr>
          <w:bCs/>
        </w:rPr>
      </w:pPr>
    </w:p>
    <w:p w14:paraId="3D8BD0BF" w14:textId="7F6F19C1"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A0477F">
        <w:rPr>
          <w:bCs/>
        </w:rPr>
        <w:t>Suggestion that DEQ remove ballast water management exemptions that allow vessels transferring ballast within our ‘common water zone’ (</w:t>
      </w:r>
      <w:r w:rsidR="00A0477F" w:rsidRPr="00A0477F">
        <w:rPr>
          <w:bCs/>
          <w:highlight w:val="yellow"/>
        </w:rPr>
        <w:t>per OAR -00xxx</w:t>
      </w:r>
      <w:r w:rsidR="00A0477F">
        <w:rPr>
          <w:bCs/>
        </w:rPr>
        <w:t>)</w:t>
      </w:r>
      <w:r w:rsidR="00A0477F" w:rsidRPr="00A0477F">
        <w:rPr>
          <w:bCs/>
        </w:rPr>
        <w:t xml:space="preserve"> </w:t>
      </w:r>
      <w:r w:rsidR="00A0477F">
        <w:rPr>
          <w:bCs/>
        </w:rPr>
        <w:t>to do so without conducting invasive species risk-reduction practices.</w:t>
      </w:r>
    </w:p>
    <w:p w14:paraId="37D409FA" w14:textId="77777777" w:rsidR="00427309" w:rsidRDefault="00427309" w:rsidP="00427309">
      <w:pPr>
        <w:tabs>
          <w:tab w:val="left" w:pos="1080"/>
        </w:tabs>
        <w:ind w:left="1080" w:right="634"/>
      </w:pPr>
      <w:r>
        <w:tab/>
      </w:r>
    </w:p>
    <w:p w14:paraId="5C8F8673" w14:textId="415B86E4"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Pr="00305BDC">
        <w:t>.</w:t>
      </w:r>
    </w:p>
    <w:p w14:paraId="0925C053" w14:textId="77777777" w:rsidR="00427309" w:rsidRPr="00305BDC" w:rsidRDefault="00427309" w:rsidP="00427309">
      <w:pPr>
        <w:tabs>
          <w:tab w:val="left" w:pos="1080"/>
        </w:tabs>
        <w:ind w:left="1080" w:right="634"/>
        <w:rPr>
          <w:highlight w:val="yellow"/>
        </w:rPr>
      </w:pPr>
    </w:p>
    <w:p w14:paraId="7AAE96BC" w14:textId="77777777" w:rsidR="00427309" w:rsidRPr="00305BDC" w:rsidRDefault="00427309" w:rsidP="00A0477F">
      <w:pPr>
        <w:tabs>
          <w:tab w:val="left" w:pos="1080"/>
        </w:tabs>
        <w:ind w:right="634"/>
        <w:rPr>
          <w:highlight w:val="yellow"/>
        </w:rPr>
      </w:pPr>
    </w:p>
    <w:p w14:paraId="16D9B4C4" w14:textId="77777777" w:rsidR="00427309" w:rsidRPr="00305BDC" w:rsidRDefault="00427309" w:rsidP="00427309">
      <w:pPr>
        <w:tabs>
          <w:tab w:val="left" w:pos="1080"/>
        </w:tabs>
        <w:ind w:left="1080" w:right="634"/>
        <w:rPr>
          <w:highlight w:val="yellow"/>
        </w:rPr>
      </w:pPr>
      <w:r w:rsidRPr="00305BDC">
        <w:rPr>
          <w:highlight w:val="yellow"/>
        </w:rPr>
        <w:lastRenderedPageBreak/>
        <w:t>Commenter #X suggest that the rule is premature and unwarranted at this time.  They suggest that if DEQ opts to proceed with implementing BWE+BWT requirements that it only apply to vessels……</w:t>
      </w:r>
    </w:p>
    <w:p w14:paraId="38F89074" w14:textId="77777777" w:rsidR="00427309" w:rsidRPr="00305BDC" w:rsidRDefault="00427309" w:rsidP="00427309">
      <w:pPr>
        <w:tabs>
          <w:tab w:val="left" w:pos="2700"/>
        </w:tabs>
        <w:ind w:left="2700" w:right="634"/>
        <w:rPr>
          <w:highlight w:val="yellow"/>
        </w:rPr>
      </w:pPr>
    </w:p>
    <w:p w14:paraId="32CA9665" w14:textId="09620C69"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 xml:space="preserve"> outside the scope of this rulemaking….</w:t>
      </w:r>
    </w:p>
    <w:p w14:paraId="77B542BF" w14:textId="77777777" w:rsidR="00427309" w:rsidRDefault="00427309" w:rsidP="00427309">
      <w:pPr>
        <w:pStyle w:val="ListParagraph"/>
        <w:tabs>
          <w:tab w:val="left" w:pos="2700"/>
        </w:tabs>
        <w:ind w:left="1080" w:right="634"/>
        <w:rPr>
          <w:bCs/>
        </w:rPr>
      </w:pPr>
    </w:p>
    <w:p w14:paraId="7FCE9BAF" w14:textId="77777777"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Pr>
          <w:bCs/>
        </w:rPr>
        <w:t xml:space="preserve">Requests for changes to the repeal date of BWE+BWT under </w:t>
      </w:r>
      <w:r w:rsidRPr="00427309">
        <w:rPr>
          <w:bCs/>
          <w:highlight w:val="yellow"/>
        </w:rPr>
        <w:t>-0050 (</w:t>
      </w:r>
    </w:p>
    <w:p w14:paraId="343783FB" w14:textId="77777777" w:rsidR="00427309" w:rsidRDefault="00427309" w:rsidP="00427309">
      <w:pPr>
        <w:tabs>
          <w:tab w:val="left" w:pos="1080"/>
        </w:tabs>
        <w:ind w:left="1080" w:right="634"/>
      </w:pPr>
      <w:r>
        <w:tab/>
      </w:r>
    </w:p>
    <w:p w14:paraId="50CF1451" w14:textId="67D9EDB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Pr="00305BDC">
        <w:t>.</w:t>
      </w:r>
    </w:p>
    <w:p w14:paraId="192982C1" w14:textId="77777777" w:rsidR="00427309" w:rsidRPr="00305BDC" w:rsidRDefault="00427309" w:rsidP="00A0477F">
      <w:pPr>
        <w:tabs>
          <w:tab w:val="left" w:pos="1080"/>
        </w:tabs>
        <w:ind w:left="0" w:right="634"/>
        <w:rPr>
          <w:highlight w:val="yellow"/>
        </w:rPr>
      </w:pPr>
    </w:p>
    <w:p w14:paraId="6889D697" w14:textId="77777777" w:rsidR="00427309" w:rsidRPr="00305BDC" w:rsidRDefault="00427309" w:rsidP="00427309">
      <w:pPr>
        <w:tabs>
          <w:tab w:val="left" w:pos="1080"/>
        </w:tabs>
        <w:ind w:left="1080" w:right="634"/>
        <w:rPr>
          <w:highlight w:val="yellow"/>
        </w:rPr>
      </w:pPr>
      <w:r w:rsidRPr="00305BDC">
        <w:rPr>
          <w:highlight w:val="yellow"/>
        </w:rPr>
        <w:t>Commenter #X suggest that the rule is premature and unwarranted at this time.  They suggest that if DEQ opts to proceed with implementing BWE+BWT requirements that it only apply to vessels……</w:t>
      </w:r>
    </w:p>
    <w:p w14:paraId="0AFA4CB4" w14:textId="77777777" w:rsidR="00427309" w:rsidRPr="00305BDC" w:rsidRDefault="00427309" w:rsidP="00427309">
      <w:pPr>
        <w:tabs>
          <w:tab w:val="left" w:pos="2700"/>
        </w:tabs>
        <w:ind w:left="2700" w:right="634"/>
        <w:rPr>
          <w:highlight w:val="yellow"/>
        </w:rPr>
      </w:pPr>
    </w:p>
    <w:p w14:paraId="3F5D53CE" w14:textId="40E71B1B" w:rsidR="00427309" w:rsidRDefault="00427309" w:rsidP="00427309">
      <w:pPr>
        <w:pStyle w:val="ListParagraph"/>
        <w:tabs>
          <w:tab w:val="left" w:pos="2700"/>
        </w:tabs>
        <w:ind w:left="1080" w:right="634"/>
        <w:rPr>
          <w:bCs/>
        </w:rPr>
      </w:pPr>
      <w:r w:rsidRPr="00305BDC">
        <w:rPr>
          <w:b/>
          <w:bCs/>
          <w:highlight w:val="yellow"/>
        </w:rPr>
        <w:t>Response:</w:t>
      </w:r>
      <w:r w:rsidRPr="00305BDC">
        <w:rPr>
          <w:b/>
          <w:bCs/>
          <w:highlight w:val="yellow"/>
        </w:rPr>
        <w:tab/>
      </w:r>
      <w:r w:rsidRPr="00305BDC">
        <w:rPr>
          <w:bCs/>
          <w:highlight w:val="yellow"/>
        </w:rPr>
        <w:t>DEQ……</w:t>
      </w:r>
      <w:r w:rsidR="00A0477F">
        <w:rPr>
          <w:bCs/>
        </w:rPr>
        <w:t xml:space="preserve"> outside the scope of this rulemaking…</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74A60FA8" w:rsidR="00377FA3" w:rsidRDefault="00377FA3" w:rsidP="00377FA3">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17</w:t>
      </w:r>
      <w:r w:rsidRPr="00FB4ACF">
        <w:rPr>
          <w:color w:val="000000" w:themeColor="text1"/>
        </w:rPr>
        <w:t xml:space="preserve"> people</w:t>
      </w:r>
      <w:r w:rsidR="00262962" w:rsidRPr="00FB4ACF">
        <w:rPr>
          <w:color w:val="000000" w:themeColor="text1"/>
        </w:rPr>
        <w:t>,</w:t>
      </w:r>
      <w:r w:rsidRPr="00FB4ACF">
        <w:rPr>
          <w:color w:val="000000" w:themeColor="text1"/>
        </w:rPr>
        <w:t xml:space="preserve"> organizations</w:t>
      </w:r>
      <w:r w:rsidR="00262962" w:rsidRPr="00FB4ACF">
        <w:rPr>
          <w:color w:val="000000" w:themeColor="text1"/>
        </w:rPr>
        <w:t>, or coalitions</w:t>
      </w:r>
      <w:r w:rsidRPr="00377FA3">
        <w:rPr>
          <w:color w:val="000000" w:themeColor="text1"/>
        </w:rPr>
        <w:t xml:space="preserve">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 xml:space="preserve">during public comment periods that were open between </w:t>
      </w:r>
      <w:r w:rsidR="0036375F">
        <w:rPr>
          <w:bCs/>
          <w:color w:val="000000" w:themeColor="text1"/>
        </w:rPr>
        <w:t>15 April</w:t>
      </w:r>
      <w:r w:rsidR="00A71647">
        <w:rPr>
          <w:bCs/>
          <w:color w:val="000000" w:themeColor="text1"/>
        </w:rPr>
        <w:t xml:space="preserve"> and </w:t>
      </w:r>
      <w:r w:rsidR="00087876">
        <w:rPr>
          <w:bCs/>
          <w:color w:val="000000" w:themeColor="text1"/>
        </w:rPr>
        <w:t>25 May</w:t>
      </w:r>
      <w:r w:rsidR="00A71647">
        <w:rPr>
          <w:bCs/>
          <w:color w:val="000000" w:themeColor="text1"/>
        </w:rPr>
        <w:t xml:space="preserve">, </w:t>
      </w:r>
      <w:r w:rsidR="0036375F">
        <w:rPr>
          <w:bCs/>
          <w:color w:val="000000" w:themeColor="text1"/>
        </w:rPr>
        <w:t>20</w:t>
      </w:r>
      <w:r w:rsidR="00087876">
        <w:rPr>
          <w:bCs/>
          <w:color w:val="000000" w:themeColor="text1"/>
        </w:rPr>
        <w:t xml:space="preserve"> June</w:t>
      </w:r>
      <w:r w:rsidR="00A71647">
        <w:rPr>
          <w:bCs/>
          <w:color w:val="000000" w:themeColor="text1"/>
        </w:rPr>
        <w:t xml:space="preserve"> and </w:t>
      </w:r>
      <w:r w:rsidR="00087876">
        <w:rPr>
          <w:bCs/>
          <w:color w:val="000000" w:themeColor="text1"/>
        </w:rPr>
        <w:t>08 July</w:t>
      </w:r>
      <w:r w:rsidR="00200B21">
        <w:rPr>
          <w:bCs/>
          <w:color w:val="000000" w:themeColor="text1"/>
        </w:rPr>
        <w:t>,</w:t>
      </w:r>
      <w:r w:rsidR="00A71647">
        <w:rPr>
          <w:bCs/>
          <w:color w:val="000000" w:themeColor="text1"/>
        </w:rPr>
        <w:t xml:space="preserve"> and </w:t>
      </w:r>
      <w:r w:rsidR="00087876">
        <w:rPr>
          <w:bCs/>
          <w:color w:val="000000" w:themeColor="text1"/>
        </w:rPr>
        <w:t>07 September</w:t>
      </w:r>
      <w:r w:rsidR="00A71647">
        <w:rPr>
          <w:bCs/>
          <w:color w:val="000000" w:themeColor="text1"/>
        </w:rPr>
        <w:t xml:space="preserve"> and </w:t>
      </w:r>
      <w:r w:rsidR="00087876">
        <w:rPr>
          <w:bCs/>
          <w:color w:val="000000" w:themeColor="text1"/>
        </w:rPr>
        <w:t>24 October</w:t>
      </w:r>
      <w:r w:rsidRPr="00377FA3">
        <w:rPr>
          <w:bCs/>
          <w:color w:val="000000" w:themeColor="text1"/>
        </w:rPr>
        <w:t xml:space="preserve">. Original comments are on file with DEQ. </w:t>
      </w:r>
    </w:p>
    <w:p w14:paraId="33EA0FFE" w14:textId="77777777" w:rsidR="00D8597B" w:rsidRPr="007B21FA" w:rsidRDefault="00D8597B" w:rsidP="007B21FA">
      <w:pPr>
        <w:spacing w:after="120"/>
        <w:ind w:left="0" w:right="630"/>
        <w:rPr>
          <w:b/>
          <w:bCs/>
          <w:color w:val="806000" w:themeColor="accent4" w:themeShade="80"/>
          <w:sz w:val="32"/>
          <w:szCs w:val="32"/>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240"/>
        <w:gridCol w:w="432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F45D15">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24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320" w:type="dxa"/>
            <w:shd w:val="clear" w:color="auto" w:fill="A8D08D" w:themeFill="accent6" w:themeFillTint="99"/>
            <w:tcMar>
              <w:top w:w="43" w:type="dxa"/>
              <w:left w:w="43" w:type="dxa"/>
              <w:bottom w:w="43" w:type="dxa"/>
              <w:right w:w="43" w:type="dxa"/>
            </w:tcMar>
            <w:vAlign w:val="center"/>
          </w:tcPr>
          <w:p w14:paraId="33EA1003"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Organization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7B21FA">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24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32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5B253291" w:rsidR="00A71647" w:rsidRPr="002C2E35" w:rsidRDefault="00A71647" w:rsidP="002B207D">
            <w:pPr>
              <w:ind w:left="0" w:right="0"/>
              <w:rPr>
                <w:rFonts w:ascii="Arial" w:hAnsi="Arial" w:cs="Arial"/>
              </w:rPr>
            </w:pPr>
            <w:r>
              <w:rPr>
                <w:rFonts w:ascii="Arial" w:hAnsi="Arial" w:cs="Arial"/>
              </w:rPr>
              <w:t>1</w:t>
            </w:r>
          </w:p>
        </w:tc>
      </w:tr>
      <w:tr w:rsidR="00A71647" w:rsidRPr="00E16CB8" w14:paraId="33EA1012" w14:textId="77777777" w:rsidTr="007B21FA">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24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32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77777777" w:rsidR="00A71647" w:rsidRPr="002C2E35" w:rsidRDefault="00A71647" w:rsidP="002B207D">
            <w:pPr>
              <w:ind w:left="0" w:right="0"/>
              <w:rPr>
                <w:rFonts w:ascii="Arial" w:hAnsi="Arial" w:cs="Arial"/>
              </w:rPr>
            </w:pPr>
          </w:p>
        </w:tc>
      </w:tr>
      <w:tr w:rsidR="00A71647" w:rsidRPr="00E16CB8" w14:paraId="33EA1018" w14:textId="77777777" w:rsidTr="007B21FA">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24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32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77777777" w:rsidR="00A71647" w:rsidRPr="002C2E35" w:rsidRDefault="00A71647" w:rsidP="002B207D">
            <w:pPr>
              <w:ind w:left="0" w:right="0"/>
              <w:rPr>
                <w:rFonts w:ascii="Arial" w:hAnsi="Arial" w:cs="Arial"/>
              </w:rPr>
            </w:pPr>
          </w:p>
        </w:tc>
      </w:tr>
      <w:tr w:rsidR="007B21FA" w:rsidRPr="00E16CB8" w14:paraId="7F094725" w14:textId="77777777" w:rsidTr="007B21FA">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240" w:type="dxa"/>
            <w:vAlign w:val="center"/>
          </w:tcPr>
          <w:p w14:paraId="75F3749F" w14:textId="7297A8E4" w:rsidR="007B21FA" w:rsidRDefault="007B21FA" w:rsidP="002B207D">
            <w:pPr>
              <w:ind w:left="0" w:right="0"/>
              <w:rPr>
                <w:rFonts w:ascii="Arial" w:hAnsi="Arial" w:cs="Arial"/>
              </w:rPr>
            </w:pPr>
            <w:r>
              <w:rPr>
                <w:rFonts w:ascii="Arial" w:hAnsi="Arial" w:cs="Arial"/>
              </w:rPr>
              <w:t>Charles Costanzo, Kate Mickelson, Mark Landauer, Fred Myer, Ross McDonald, Frank Holmes</w:t>
            </w:r>
            <w:r w:rsidR="00666D7D">
              <w:rPr>
                <w:rFonts w:ascii="Arial" w:hAnsi="Arial" w:cs="Arial"/>
              </w:rPr>
              <w:t xml:space="preserve"> (5/24/16; 7/8/16)</w:t>
            </w:r>
          </w:p>
        </w:tc>
        <w:tc>
          <w:tcPr>
            <w:tcW w:w="4320" w:type="dxa"/>
            <w:tcMar>
              <w:top w:w="43" w:type="dxa"/>
              <w:left w:w="43" w:type="dxa"/>
              <w:bottom w:w="43" w:type="dxa"/>
              <w:right w:w="43" w:type="dxa"/>
            </w:tcMar>
            <w:vAlign w:val="center"/>
          </w:tcPr>
          <w:p w14:paraId="17CDE71C" w14:textId="27297635" w:rsidR="007B21FA" w:rsidRDefault="007B21FA" w:rsidP="002B207D">
            <w:pPr>
              <w:ind w:left="0" w:right="0"/>
              <w:rPr>
                <w:rFonts w:ascii="Arial" w:hAnsi="Arial" w:cs="Arial"/>
              </w:rPr>
            </w:pPr>
            <w:r>
              <w:rPr>
                <w:rFonts w:ascii="Arial" w:hAnsi="Arial" w:cs="Arial"/>
              </w:rPr>
              <w:t>American Waterways Operators, Columbia River Steamship Operators Assn., Oregon Public Ports Association, Port of Portland, Sause Bros., Western States Petroleum Association</w:t>
            </w:r>
          </w:p>
        </w:tc>
        <w:tc>
          <w:tcPr>
            <w:tcW w:w="1620" w:type="dxa"/>
            <w:tcMar>
              <w:top w:w="43" w:type="dxa"/>
              <w:left w:w="43" w:type="dxa"/>
              <w:bottom w:w="43" w:type="dxa"/>
              <w:right w:w="43" w:type="dxa"/>
            </w:tcMar>
            <w:vAlign w:val="center"/>
          </w:tcPr>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7B21FA">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24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32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7B21FA">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24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32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7B21FA">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24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32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77777777" w:rsidR="007B21FA" w:rsidRPr="002C2E35" w:rsidRDefault="007B21FA" w:rsidP="002B207D">
            <w:pPr>
              <w:ind w:left="0" w:right="0"/>
              <w:rPr>
                <w:rFonts w:ascii="Arial" w:hAnsi="Arial" w:cs="Arial"/>
              </w:rPr>
            </w:pPr>
          </w:p>
        </w:tc>
      </w:tr>
      <w:tr w:rsidR="00666D7D" w:rsidRPr="00E16CB8" w14:paraId="594B80F1" w14:textId="77777777" w:rsidTr="007B21FA">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24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32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77777777" w:rsidR="00666D7D" w:rsidRPr="002C2E35" w:rsidRDefault="00666D7D" w:rsidP="00666D7D">
            <w:pPr>
              <w:ind w:left="0" w:right="0"/>
              <w:rPr>
                <w:rFonts w:ascii="Arial" w:hAnsi="Arial" w:cs="Arial"/>
              </w:rPr>
            </w:pPr>
          </w:p>
        </w:tc>
      </w:tr>
      <w:tr w:rsidR="00666D7D" w:rsidRPr="00E16CB8" w14:paraId="4130E19A" w14:textId="77777777" w:rsidTr="007B21FA">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24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32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77777777" w:rsidR="00666D7D" w:rsidRPr="002C2E35" w:rsidRDefault="00666D7D" w:rsidP="00666D7D">
            <w:pPr>
              <w:ind w:left="0" w:right="0"/>
              <w:rPr>
                <w:rFonts w:ascii="Arial" w:hAnsi="Arial" w:cs="Arial"/>
              </w:rPr>
            </w:pPr>
          </w:p>
        </w:tc>
      </w:tr>
      <w:tr w:rsidR="00666D7D" w:rsidRPr="00E16CB8" w14:paraId="082F4324" w14:textId="77777777" w:rsidTr="007B21FA">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24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320" w:type="dxa"/>
            <w:tcMar>
              <w:top w:w="43" w:type="dxa"/>
              <w:left w:w="43" w:type="dxa"/>
              <w:bottom w:w="43" w:type="dxa"/>
              <w:right w:w="43" w:type="dxa"/>
            </w:tcMar>
            <w:vAlign w:val="center"/>
          </w:tcPr>
          <w:p w14:paraId="4F889D0B" w14:textId="5FB732D8" w:rsidR="00666D7D" w:rsidRDefault="00F521FB" w:rsidP="00666D7D">
            <w:pPr>
              <w:ind w:left="0" w:right="0"/>
              <w:rPr>
                <w:rFonts w:ascii="Arial" w:hAnsi="Arial" w:cs="Arial"/>
              </w:rPr>
            </w:pPr>
            <w:r>
              <w:rPr>
                <w:rFonts w:ascii="Arial" w:hAnsi="Arial" w:cs="Arial"/>
              </w:rPr>
              <w:t>Willamette University (retired DOJ)</w:t>
            </w:r>
          </w:p>
        </w:tc>
        <w:tc>
          <w:tcPr>
            <w:tcW w:w="1620" w:type="dxa"/>
            <w:tcMar>
              <w:top w:w="43" w:type="dxa"/>
              <w:left w:w="43" w:type="dxa"/>
              <w:bottom w:w="43" w:type="dxa"/>
              <w:right w:w="43" w:type="dxa"/>
            </w:tcMar>
            <w:vAlign w:val="center"/>
          </w:tcPr>
          <w:p w14:paraId="46FD8DA1" w14:textId="77777777" w:rsidR="00666D7D" w:rsidRPr="002C2E35" w:rsidRDefault="00666D7D" w:rsidP="00666D7D">
            <w:pPr>
              <w:ind w:left="0" w:right="0"/>
              <w:rPr>
                <w:rFonts w:ascii="Arial" w:hAnsi="Arial" w:cs="Arial"/>
              </w:rPr>
            </w:pPr>
          </w:p>
        </w:tc>
      </w:tr>
      <w:tr w:rsidR="00F521FB" w:rsidRPr="00E16CB8" w14:paraId="386E66D5" w14:textId="77777777" w:rsidTr="007B21FA">
        <w:tc>
          <w:tcPr>
            <w:tcW w:w="715" w:type="dxa"/>
            <w:tcMar>
              <w:top w:w="43" w:type="dxa"/>
              <w:left w:w="43" w:type="dxa"/>
              <w:bottom w:w="43" w:type="dxa"/>
              <w:right w:w="43" w:type="dxa"/>
            </w:tcMar>
            <w:vAlign w:val="center"/>
          </w:tcPr>
          <w:p w14:paraId="1E659501" w14:textId="5286F029" w:rsidR="00F521FB" w:rsidRDefault="00F521FB" w:rsidP="00F521FB">
            <w:pPr>
              <w:ind w:left="0" w:right="0"/>
              <w:rPr>
                <w:rFonts w:ascii="Arial" w:hAnsi="Arial" w:cs="Arial"/>
              </w:rPr>
            </w:pPr>
            <w:r>
              <w:rPr>
                <w:rFonts w:ascii="Arial" w:hAnsi="Arial" w:cs="Arial"/>
              </w:rPr>
              <w:t>11</w:t>
            </w:r>
          </w:p>
        </w:tc>
        <w:tc>
          <w:tcPr>
            <w:tcW w:w="3240" w:type="dxa"/>
            <w:vAlign w:val="center"/>
          </w:tcPr>
          <w:p w14:paraId="3A121165" w14:textId="5FC0E8DD" w:rsidR="00F521FB" w:rsidRPr="00087876" w:rsidRDefault="00F521FB" w:rsidP="00F521FB">
            <w:pPr>
              <w:ind w:left="0" w:right="0"/>
              <w:rPr>
                <w:rFonts w:ascii="Arial" w:hAnsi="Arial" w:cs="Arial"/>
                <w:highlight w:val="yellow"/>
              </w:rPr>
            </w:pPr>
            <w:r>
              <w:rPr>
                <w:rFonts w:ascii="Arial" w:hAnsi="Arial" w:cs="Arial"/>
              </w:rPr>
              <w:t>Dorothy Shoemaker</w:t>
            </w:r>
          </w:p>
        </w:tc>
        <w:tc>
          <w:tcPr>
            <w:tcW w:w="4320" w:type="dxa"/>
            <w:tcMar>
              <w:top w:w="43" w:type="dxa"/>
              <w:left w:w="43" w:type="dxa"/>
              <w:bottom w:w="43" w:type="dxa"/>
              <w:right w:w="43" w:type="dxa"/>
            </w:tcMar>
            <w:vAlign w:val="center"/>
          </w:tcPr>
          <w:p w14:paraId="623214D9" w14:textId="06B24513" w:rsidR="00F521FB" w:rsidRPr="00087876" w:rsidRDefault="00F521FB" w:rsidP="00F521FB">
            <w:pPr>
              <w:ind w:left="0" w:right="0"/>
              <w:rPr>
                <w:rFonts w:ascii="Arial" w:hAnsi="Arial" w:cs="Arial"/>
                <w:highlight w:val="yellow"/>
              </w:rPr>
            </w:pPr>
            <w:r>
              <w:rPr>
                <w:rFonts w:ascii="Arial" w:hAnsi="Arial" w:cs="Arial"/>
              </w:rPr>
              <w:t>Citizen</w:t>
            </w:r>
          </w:p>
        </w:tc>
        <w:tc>
          <w:tcPr>
            <w:tcW w:w="1620" w:type="dxa"/>
            <w:tcMar>
              <w:top w:w="43" w:type="dxa"/>
              <w:left w:w="43" w:type="dxa"/>
              <w:bottom w:w="43" w:type="dxa"/>
              <w:right w:w="43" w:type="dxa"/>
            </w:tcMar>
            <w:vAlign w:val="center"/>
          </w:tcPr>
          <w:p w14:paraId="3656BBC6" w14:textId="0625D66B" w:rsidR="00F521FB" w:rsidRPr="002C2E35" w:rsidRDefault="00F521FB" w:rsidP="00F521FB">
            <w:pPr>
              <w:ind w:left="0" w:right="0"/>
              <w:rPr>
                <w:rFonts w:ascii="Arial" w:hAnsi="Arial" w:cs="Arial"/>
              </w:rPr>
            </w:pPr>
          </w:p>
        </w:tc>
      </w:tr>
      <w:tr w:rsidR="00F521FB" w:rsidRPr="00E16CB8" w14:paraId="0953DE99" w14:textId="77777777" w:rsidTr="007B21FA">
        <w:tc>
          <w:tcPr>
            <w:tcW w:w="715" w:type="dxa"/>
            <w:tcMar>
              <w:top w:w="43" w:type="dxa"/>
              <w:left w:w="43" w:type="dxa"/>
              <w:bottom w:w="43" w:type="dxa"/>
              <w:right w:w="43" w:type="dxa"/>
            </w:tcMar>
            <w:vAlign w:val="center"/>
          </w:tcPr>
          <w:p w14:paraId="0337E91A" w14:textId="1DB82765" w:rsidR="00F521FB" w:rsidRDefault="00F521FB" w:rsidP="00F521FB">
            <w:pPr>
              <w:ind w:left="0" w:right="0"/>
              <w:rPr>
                <w:rFonts w:ascii="Arial" w:hAnsi="Arial" w:cs="Arial"/>
              </w:rPr>
            </w:pPr>
            <w:r>
              <w:rPr>
                <w:rFonts w:ascii="Arial" w:hAnsi="Arial" w:cs="Arial"/>
              </w:rPr>
              <w:t>12</w:t>
            </w:r>
          </w:p>
        </w:tc>
        <w:tc>
          <w:tcPr>
            <w:tcW w:w="3240" w:type="dxa"/>
            <w:vAlign w:val="center"/>
          </w:tcPr>
          <w:p w14:paraId="12F645B7" w14:textId="001094C4" w:rsidR="00F521FB" w:rsidRDefault="00F521FB" w:rsidP="00F521FB">
            <w:pPr>
              <w:ind w:left="0" w:right="0"/>
              <w:rPr>
                <w:rFonts w:ascii="Arial" w:hAnsi="Arial" w:cs="Arial"/>
              </w:rPr>
            </w:pPr>
            <w:r>
              <w:rPr>
                <w:rFonts w:ascii="Arial" w:hAnsi="Arial" w:cs="Arial"/>
              </w:rPr>
              <w:t>Cybele Knowles and 898 co-signatories</w:t>
            </w:r>
          </w:p>
        </w:tc>
        <w:tc>
          <w:tcPr>
            <w:tcW w:w="4320" w:type="dxa"/>
            <w:tcMar>
              <w:top w:w="43" w:type="dxa"/>
              <w:left w:w="43" w:type="dxa"/>
              <w:bottom w:w="43" w:type="dxa"/>
              <w:right w:w="43" w:type="dxa"/>
            </w:tcMar>
            <w:vAlign w:val="center"/>
          </w:tcPr>
          <w:p w14:paraId="0CDD4AF6" w14:textId="1727D2C9" w:rsidR="00F521FB" w:rsidRDefault="00F521FB" w:rsidP="00F521FB">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209182CE" w14:textId="77777777" w:rsidR="00F521FB" w:rsidRPr="002C2E35" w:rsidRDefault="00F521FB" w:rsidP="00F521FB">
            <w:pPr>
              <w:ind w:left="0" w:right="0"/>
              <w:rPr>
                <w:rFonts w:ascii="Arial" w:hAnsi="Arial" w:cs="Arial"/>
              </w:rPr>
            </w:pPr>
          </w:p>
        </w:tc>
      </w:tr>
      <w:tr w:rsidR="00F521FB" w:rsidRPr="00E16CB8" w14:paraId="064679CD" w14:textId="77777777" w:rsidTr="007B21FA">
        <w:tc>
          <w:tcPr>
            <w:tcW w:w="715" w:type="dxa"/>
            <w:tcMar>
              <w:top w:w="43" w:type="dxa"/>
              <w:left w:w="43" w:type="dxa"/>
              <w:bottom w:w="43" w:type="dxa"/>
              <w:right w:w="43" w:type="dxa"/>
            </w:tcMar>
            <w:vAlign w:val="center"/>
          </w:tcPr>
          <w:p w14:paraId="005B352E" w14:textId="3CCC00A5" w:rsidR="00F521FB" w:rsidRDefault="00F521FB" w:rsidP="00F521FB">
            <w:pPr>
              <w:ind w:left="0" w:right="0"/>
              <w:rPr>
                <w:rFonts w:ascii="Arial" w:hAnsi="Arial" w:cs="Arial"/>
              </w:rPr>
            </w:pPr>
            <w:r>
              <w:rPr>
                <w:rFonts w:ascii="Arial" w:hAnsi="Arial" w:cs="Arial"/>
              </w:rPr>
              <w:t>13</w:t>
            </w:r>
          </w:p>
        </w:tc>
        <w:tc>
          <w:tcPr>
            <w:tcW w:w="3240" w:type="dxa"/>
            <w:vAlign w:val="center"/>
          </w:tcPr>
          <w:p w14:paraId="4613D0B8" w14:textId="6DCE299B" w:rsidR="00F521FB" w:rsidRDefault="00F521FB" w:rsidP="00F521FB">
            <w:pPr>
              <w:ind w:left="0" w:right="0"/>
              <w:rPr>
                <w:rFonts w:ascii="Arial" w:hAnsi="Arial" w:cs="Arial"/>
              </w:rPr>
            </w:pPr>
            <w:r>
              <w:rPr>
                <w:rFonts w:ascii="Arial" w:hAnsi="Arial" w:cs="Arial"/>
              </w:rPr>
              <w:t>Nina Bell and Tierra Curry</w:t>
            </w:r>
          </w:p>
        </w:tc>
        <w:tc>
          <w:tcPr>
            <w:tcW w:w="4320" w:type="dxa"/>
            <w:tcMar>
              <w:top w:w="43" w:type="dxa"/>
              <w:left w:w="43" w:type="dxa"/>
              <w:bottom w:w="43" w:type="dxa"/>
              <w:right w:w="43" w:type="dxa"/>
            </w:tcMar>
            <w:vAlign w:val="center"/>
          </w:tcPr>
          <w:p w14:paraId="013B06BB" w14:textId="191F1CD6" w:rsidR="00F521FB" w:rsidRDefault="00F521FB" w:rsidP="00F521FB">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507DD44D" w14:textId="77777777" w:rsidR="00F521FB" w:rsidRPr="002C2E35" w:rsidRDefault="00F521FB" w:rsidP="00F521FB">
            <w:pPr>
              <w:ind w:left="0" w:right="0"/>
              <w:rPr>
                <w:rFonts w:ascii="Arial" w:hAnsi="Arial" w:cs="Arial"/>
              </w:rPr>
            </w:pPr>
          </w:p>
        </w:tc>
      </w:tr>
      <w:tr w:rsidR="00F521FB" w:rsidRPr="00E16CB8" w14:paraId="5BA78E67" w14:textId="77777777" w:rsidTr="007B21FA">
        <w:tc>
          <w:tcPr>
            <w:tcW w:w="715" w:type="dxa"/>
            <w:tcMar>
              <w:top w:w="43" w:type="dxa"/>
              <w:left w:w="43" w:type="dxa"/>
              <w:bottom w:w="43" w:type="dxa"/>
              <w:right w:w="43" w:type="dxa"/>
            </w:tcMar>
            <w:vAlign w:val="center"/>
          </w:tcPr>
          <w:p w14:paraId="16264192" w14:textId="79418132" w:rsidR="00F521FB" w:rsidRDefault="00F521FB" w:rsidP="00F521FB">
            <w:pPr>
              <w:ind w:left="0" w:right="0"/>
              <w:rPr>
                <w:rFonts w:ascii="Arial" w:hAnsi="Arial" w:cs="Arial"/>
              </w:rPr>
            </w:pPr>
            <w:r>
              <w:rPr>
                <w:rFonts w:ascii="Arial" w:hAnsi="Arial" w:cs="Arial"/>
              </w:rPr>
              <w:t>14</w:t>
            </w:r>
          </w:p>
        </w:tc>
        <w:tc>
          <w:tcPr>
            <w:tcW w:w="3240" w:type="dxa"/>
            <w:vAlign w:val="center"/>
          </w:tcPr>
          <w:p w14:paraId="54AE4D50" w14:textId="59A1F304" w:rsidR="00F521FB" w:rsidRDefault="00F521FB" w:rsidP="00F521FB">
            <w:pPr>
              <w:ind w:left="0" w:right="0"/>
              <w:rPr>
                <w:rFonts w:ascii="Arial" w:hAnsi="Arial" w:cs="Arial"/>
              </w:rPr>
            </w:pPr>
            <w:r>
              <w:rPr>
                <w:rFonts w:ascii="Arial" w:hAnsi="Arial" w:cs="Arial"/>
              </w:rPr>
              <w:t>Paul Henson</w:t>
            </w:r>
          </w:p>
        </w:tc>
        <w:tc>
          <w:tcPr>
            <w:tcW w:w="4320" w:type="dxa"/>
            <w:tcMar>
              <w:top w:w="43" w:type="dxa"/>
              <w:left w:w="43" w:type="dxa"/>
              <w:bottom w:w="43" w:type="dxa"/>
              <w:right w:w="43" w:type="dxa"/>
            </w:tcMar>
            <w:vAlign w:val="center"/>
          </w:tcPr>
          <w:p w14:paraId="3DD8D6A5" w14:textId="34F4BFEA" w:rsidR="00F521FB" w:rsidRDefault="00F521FB" w:rsidP="00F521FB">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42AF56F3" w14:textId="77777777" w:rsidR="00F521FB" w:rsidRPr="002C2E35" w:rsidRDefault="00F521FB" w:rsidP="00F521FB">
            <w:pPr>
              <w:ind w:left="0" w:right="0"/>
              <w:rPr>
                <w:rFonts w:ascii="Arial" w:hAnsi="Arial" w:cs="Arial"/>
              </w:rPr>
            </w:pPr>
          </w:p>
        </w:tc>
      </w:tr>
      <w:tr w:rsidR="00F521FB" w:rsidRPr="00E16CB8" w14:paraId="2E205337" w14:textId="77777777" w:rsidTr="007B21FA">
        <w:tc>
          <w:tcPr>
            <w:tcW w:w="715" w:type="dxa"/>
            <w:tcMar>
              <w:top w:w="43" w:type="dxa"/>
              <w:left w:w="43" w:type="dxa"/>
              <w:bottom w:w="43" w:type="dxa"/>
              <w:right w:w="43" w:type="dxa"/>
            </w:tcMar>
            <w:vAlign w:val="center"/>
          </w:tcPr>
          <w:p w14:paraId="28A2A36A" w14:textId="61065166" w:rsidR="00F521FB" w:rsidRDefault="00F521FB" w:rsidP="00F521FB">
            <w:pPr>
              <w:ind w:left="0" w:right="0"/>
              <w:rPr>
                <w:rFonts w:ascii="Arial" w:hAnsi="Arial" w:cs="Arial"/>
              </w:rPr>
            </w:pPr>
            <w:r>
              <w:rPr>
                <w:rFonts w:ascii="Arial" w:hAnsi="Arial" w:cs="Arial"/>
              </w:rPr>
              <w:t>15</w:t>
            </w:r>
          </w:p>
        </w:tc>
        <w:tc>
          <w:tcPr>
            <w:tcW w:w="3240" w:type="dxa"/>
            <w:vAlign w:val="center"/>
          </w:tcPr>
          <w:p w14:paraId="0263EA6F" w14:textId="6463FD49" w:rsidR="00F521FB" w:rsidRDefault="00F521FB" w:rsidP="00F521FB">
            <w:pPr>
              <w:ind w:left="0" w:right="0"/>
              <w:rPr>
                <w:rFonts w:ascii="Arial" w:hAnsi="Arial" w:cs="Arial"/>
              </w:rPr>
            </w:pPr>
            <w:r>
              <w:rPr>
                <w:rFonts w:ascii="Arial" w:hAnsi="Arial" w:cs="Arial"/>
              </w:rPr>
              <w:t xml:space="preserve">Charles Costanzo, Kate Mickelson, Mark Landauer, </w:t>
            </w:r>
            <w:r>
              <w:rPr>
                <w:rFonts w:ascii="Arial" w:hAnsi="Arial" w:cs="Arial"/>
              </w:rPr>
              <w:lastRenderedPageBreak/>
              <w:t>Ross McDonald, Frank Holmes (10/24/16)</w:t>
            </w:r>
          </w:p>
        </w:tc>
        <w:tc>
          <w:tcPr>
            <w:tcW w:w="4320" w:type="dxa"/>
            <w:tcMar>
              <w:top w:w="43" w:type="dxa"/>
              <w:left w:w="43" w:type="dxa"/>
              <w:bottom w:w="43" w:type="dxa"/>
              <w:right w:w="43" w:type="dxa"/>
            </w:tcMar>
            <w:vAlign w:val="center"/>
          </w:tcPr>
          <w:p w14:paraId="4E255E65" w14:textId="6AF8D18D" w:rsidR="00F521FB" w:rsidRDefault="00F521FB" w:rsidP="00F521FB">
            <w:pPr>
              <w:ind w:left="0" w:right="0"/>
              <w:rPr>
                <w:rFonts w:ascii="Arial" w:hAnsi="Arial" w:cs="Arial"/>
              </w:rPr>
            </w:pPr>
            <w:r>
              <w:rPr>
                <w:rFonts w:ascii="Arial" w:hAnsi="Arial" w:cs="Arial"/>
              </w:rPr>
              <w:lastRenderedPageBreak/>
              <w:t xml:space="preserve">American Waterways Operators, Columbia River Steamship Operators Assn., Oregon </w:t>
            </w:r>
            <w:r>
              <w:rPr>
                <w:rFonts w:ascii="Arial" w:hAnsi="Arial" w:cs="Arial"/>
              </w:rPr>
              <w:lastRenderedPageBreak/>
              <w:t>Public Ports Association, Sause Bros., Western States Petroleum Association</w:t>
            </w:r>
          </w:p>
        </w:tc>
        <w:tc>
          <w:tcPr>
            <w:tcW w:w="1620" w:type="dxa"/>
            <w:tcMar>
              <w:top w:w="43" w:type="dxa"/>
              <w:left w:w="43" w:type="dxa"/>
              <w:bottom w:w="43" w:type="dxa"/>
              <w:right w:w="43" w:type="dxa"/>
            </w:tcMar>
            <w:vAlign w:val="center"/>
          </w:tcPr>
          <w:p w14:paraId="0AA319C5" w14:textId="77777777" w:rsidR="00F521FB" w:rsidRPr="002C2E35" w:rsidRDefault="00F521FB" w:rsidP="00F521FB">
            <w:pPr>
              <w:ind w:left="0" w:right="0"/>
              <w:rPr>
                <w:rFonts w:ascii="Arial" w:hAnsi="Arial" w:cs="Arial"/>
              </w:rPr>
            </w:pPr>
          </w:p>
        </w:tc>
      </w:tr>
      <w:tr w:rsidR="00F521FB" w:rsidRPr="00E16CB8" w14:paraId="23768C05" w14:textId="77777777" w:rsidTr="007B21FA">
        <w:tc>
          <w:tcPr>
            <w:tcW w:w="715" w:type="dxa"/>
            <w:tcMar>
              <w:top w:w="43" w:type="dxa"/>
              <w:left w:w="43" w:type="dxa"/>
              <w:bottom w:w="43" w:type="dxa"/>
              <w:right w:w="43" w:type="dxa"/>
            </w:tcMar>
            <w:vAlign w:val="center"/>
          </w:tcPr>
          <w:p w14:paraId="02DFE343" w14:textId="4A6DA82C" w:rsidR="00F521FB" w:rsidRDefault="00F521FB" w:rsidP="00F521FB">
            <w:pPr>
              <w:ind w:left="0" w:right="0"/>
              <w:rPr>
                <w:rFonts w:ascii="Arial" w:hAnsi="Arial" w:cs="Arial"/>
              </w:rPr>
            </w:pPr>
            <w:r>
              <w:rPr>
                <w:rFonts w:ascii="Arial" w:hAnsi="Arial" w:cs="Arial"/>
              </w:rPr>
              <w:t>16</w:t>
            </w:r>
          </w:p>
        </w:tc>
        <w:tc>
          <w:tcPr>
            <w:tcW w:w="3240" w:type="dxa"/>
            <w:vAlign w:val="center"/>
          </w:tcPr>
          <w:p w14:paraId="621E2022" w14:textId="668C0DF9" w:rsidR="00F521FB" w:rsidRDefault="00F521FB" w:rsidP="00F521FB">
            <w:pPr>
              <w:ind w:left="0" w:right="0"/>
              <w:rPr>
                <w:rFonts w:ascii="Arial" w:hAnsi="Arial" w:cs="Arial"/>
              </w:rPr>
            </w:pPr>
            <w:r>
              <w:rPr>
                <w:rFonts w:ascii="Arial" w:hAnsi="Arial" w:cs="Arial"/>
              </w:rPr>
              <w:t>Charles Costanzo</w:t>
            </w:r>
          </w:p>
        </w:tc>
        <w:tc>
          <w:tcPr>
            <w:tcW w:w="4320" w:type="dxa"/>
            <w:tcMar>
              <w:top w:w="43" w:type="dxa"/>
              <w:left w:w="43" w:type="dxa"/>
              <w:bottom w:w="43" w:type="dxa"/>
              <w:right w:w="43" w:type="dxa"/>
            </w:tcMar>
            <w:vAlign w:val="center"/>
          </w:tcPr>
          <w:p w14:paraId="38C3AB4B" w14:textId="2600FE1F" w:rsidR="00F521FB" w:rsidRDefault="00F521FB" w:rsidP="00F521FB">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458F3F27" w14:textId="77777777" w:rsidR="00F521FB" w:rsidRPr="002C2E35" w:rsidRDefault="00F521FB" w:rsidP="00F521FB">
            <w:pPr>
              <w:ind w:left="0" w:right="0"/>
              <w:rPr>
                <w:rFonts w:ascii="Arial" w:hAnsi="Arial" w:cs="Arial"/>
              </w:rPr>
            </w:pPr>
          </w:p>
        </w:tc>
      </w:tr>
      <w:tr w:rsidR="00F521FB" w:rsidRPr="00E16CB8" w14:paraId="43D537A8" w14:textId="77777777" w:rsidTr="007B21FA">
        <w:tc>
          <w:tcPr>
            <w:tcW w:w="715" w:type="dxa"/>
            <w:tcMar>
              <w:top w:w="43" w:type="dxa"/>
              <w:left w:w="43" w:type="dxa"/>
              <w:bottom w:w="43" w:type="dxa"/>
              <w:right w:w="43" w:type="dxa"/>
            </w:tcMar>
            <w:vAlign w:val="center"/>
          </w:tcPr>
          <w:p w14:paraId="72683454" w14:textId="6BD96BF6" w:rsidR="00F521FB" w:rsidRDefault="00F521FB" w:rsidP="00F521FB">
            <w:pPr>
              <w:ind w:left="0" w:right="0"/>
              <w:rPr>
                <w:rFonts w:ascii="Arial" w:hAnsi="Arial" w:cs="Arial"/>
              </w:rPr>
            </w:pPr>
            <w:commentRangeStart w:id="7"/>
            <w:r>
              <w:rPr>
                <w:rFonts w:ascii="Arial" w:hAnsi="Arial" w:cs="Arial"/>
              </w:rPr>
              <w:t>17</w:t>
            </w:r>
          </w:p>
        </w:tc>
        <w:tc>
          <w:tcPr>
            <w:tcW w:w="3240" w:type="dxa"/>
            <w:vAlign w:val="center"/>
          </w:tcPr>
          <w:p w14:paraId="22AC7F5E" w14:textId="0F21BDFC" w:rsidR="00F521FB" w:rsidRDefault="00F521FB" w:rsidP="00F521FB">
            <w:pPr>
              <w:ind w:left="0" w:right="0"/>
              <w:rPr>
                <w:rFonts w:ascii="Arial" w:hAnsi="Arial" w:cs="Arial"/>
              </w:rPr>
            </w:pPr>
            <w:r>
              <w:rPr>
                <w:rFonts w:ascii="Arial" w:hAnsi="Arial" w:cs="Arial"/>
              </w:rPr>
              <w:t>Rick Boatner</w:t>
            </w:r>
          </w:p>
        </w:tc>
        <w:tc>
          <w:tcPr>
            <w:tcW w:w="4320" w:type="dxa"/>
            <w:tcMar>
              <w:top w:w="43" w:type="dxa"/>
              <w:left w:w="43" w:type="dxa"/>
              <w:bottom w:w="43" w:type="dxa"/>
              <w:right w:w="43" w:type="dxa"/>
            </w:tcMar>
            <w:vAlign w:val="center"/>
          </w:tcPr>
          <w:p w14:paraId="4E9EEE92" w14:textId="1C823468" w:rsidR="00F521FB" w:rsidRDefault="00F521FB" w:rsidP="00F521FB">
            <w:pPr>
              <w:ind w:left="0" w:right="0"/>
              <w:rPr>
                <w:rFonts w:ascii="Arial" w:hAnsi="Arial" w:cs="Arial"/>
              </w:rPr>
            </w:pPr>
            <w:r>
              <w:rPr>
                <w:rFonts w:ascii="Arial" w:hAnsi="Arial" w:cs="Arial"/>
              </w:rPr>
              <w:t>Oregon Department of Fish and Wildlife</w:t>
            </w:r>
            <w:commentRangeEnd w:id="7"/>
            <w:r>
              <w:rPr>
                <w:rStyle w:val="CommentReference"/>
                <w:rFonts w:ascii="Times New Roman" w:hAnsi="Times New Roman" w:cs="Times New Roman"/>
              </w:rPr>
              <w:commentReference w:id="7"/>
            </w:r>
          </w:p>
        </w:tc>
        <w:tc>
          <w:tcPr>
            <w:tcW w:w="1620" w:type="dxa"/>
            <w:tcMar>
              <w:top w:w="43" w:type="dxa"/>
              <w:left w:w="43" w:type="dxa"/>
              <w:bottom w:w="43" w:type="dxa"/>
              <w:right w:w="43" w:type="dxa"/>
            </w:tcMar>
            <w:vAlign w:val="center"/>
          </w:tcPr>
          <w:p w14:paraId="4233446F" w14:textId="77777777" w:rsidR="00F521FB" w:rsidRPr="002C2E35" w:rsidRDefault="00F521FB" w:rsidP="00F521FB">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6"/>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F521FB" w:rsidRPr="007C0ACD" w:rsidRDefault="00F521FB"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F521FB" w:rsidRPr="007C0ACD" w:rsidRDefault="00F521FB"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F521FB" w:rsidRPr="007C0ACD" w:rsidRDefault="00F521FB"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F521FB" w:rsidRPr="007C0ACD" w:rsidRDefault="00F521FB"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F521FB" w:rsidRPr="007C0ACD" w:rsidRDefault="00F521FB"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F521FB" w:rsidRPr="007C0ACD" w:rsidRDefault="00F521FB"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OOFF Rian" w:date="2016-11-21T16:40:00Z" w:initials="HR">
    <w:p w14:paraId="69B6D85D" w14:textId="357A408F" w:rsidR="00F521FB" w:rsidRDefault="00F521FB">
      <w:pPr>
        <w:pStyle w:val="CommentText"/>
      </w:pPr>
      <w:r>
        <w:rPr>
          <w:rStyle w:val="CommentReference"/>
        </w:rPr>
        <w:annotationRef/>
      </w:r>
      <w:r>
        <w:t>Find copy of Directors report to confirm</w:t>
      </w:r>
    </w:p>
  </w:comment>
  <w:comment w:id="6" w:author="HOOFF Rian" w:date="2016-11-21T16:42:00Z" w:initials="HR">
    <w:p w14:paraId="5BA6237F" w14:textId="6B308398" w:rsidR="00F521FB" w:rsidRDefault="00F521FB">
      <w:pPr>
        <w:pStyle w:val="CommentText"/>
      </w:pPr>
      <w:r>
        <w:rPr>
          <w:rStyle w:val="CommentReference"/>
        </w:rPr>
        <w:annotationRef/>
      </w:r>
      <w:r>
        <w:t xml:space="preserve"># </w:t>
      </w:r>
      <w:proofErr w:type="gramStart"/>
      <w:r>
        <w:t>comments</w:t>
      </w:r>
      <w:proofErr w:type="gramEnd"/>
      <w:r>
        <w:t xml:space="preserve"> or commenters?</w:t>
      </w:r>
    </w:p>
  </w:comment>
  <w:comment w:id="7" w:author="HOOFF Rian" w:date="2016-11-22T10:04:00Z" w:initials="HR">
    <w:p w14:paraId="4A2134AD" w14:textId="3BC3C2DF" w:rsidR="00F521FB" w:rsidRDefault="00F521FB">
      <w:pPr>
        <w:pStyle w:val="CommentText"/>
      </w:pPr>
      <w:r>
        <w:rPr>
          <w:rStyle w:val="CommentReference"/>
        </w:rPr>
        <w:annotationRef/>
      </w:r>
      <w:r>
        <w:t>Move up below Jas and reorder numbering?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B6D85D" w15:done="0"/>
  <w15:commentEx w15:paraId="5BA6237F" w15:done="0"/>
  <w15:commentEx w15:paraId="4A2134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F521FB" w:rsidRDefault="00F521FB">
      <w:r>
        <w:separator/>
      </w:r>
    </w:p>
  </w:endnote>
  <w:endnote w:type="continuationSeparator" w:id="0">
    <w:p w14:paraId="33EA10B2" w14:textId="77777777" w:rsidR="00F521FB" w:rsidRDefault="00F5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F521FB" w:rsidRDefault="00F52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F521FB" w:rsidRDefault="00F521FB" w:rsidP="00964A94">
    <w:pPr>
      <w:pStyle w:val="Footer"/>
    </w:pPr>
  </w:p>
  <w:p w14:paraId="33EA10B7" w14:textId="77777777" w:rsidR="00F521FB" w:rsidRPr="002B4E71" w:rsidRDefault="00F521FB" w:rsidP="00964A94">
    <w:pPr>
      <w:pStyle w:val="Footer"/>
    </w:pPr>
    <w:r>
      <w:t>Staff Report</w:t>
    </w:r>
    <w:r w:rsidRPr="002B4E71">
      <w:t xml:space="preserve"> page | </w:t>
    </w:r>
    <w:r>
      <w:fldChar w:fldCharType="begin"/>
    </w:r>
    <w:r>
      <w:instrText xml:space="preserve"> PAGE   \* MERGEFORMAT </w:instrText>
    </w:r>
    <w:r>
      <w:fldChar w:fldCharType="separate"/>
    </w:r>
    <w:r w:rsidR="00BA1900">
      <w:rPr>
        <w:noProof/>
      </w:rPr>
      <w:t>28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F521FB" w:rsidRDefault="00F521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F521FB" w:rsidRDefault="00F521FB" w:rsidP="00964A94">
    <w:pPr>
      <w:pStyle w:val="Footer"/>
    </w:pPr>
  </w:p>
  <w:p w14:paraId="33EA10BB" w14:textId="77777777" w:rsidR="00F521FB" w:rsidRPr="002B4E71" w:rsidRDefault="00F521FB" w:rsidP="00964A94">
    <w:pPr>
      <w:pStyle w:val="Footer"/>
    </w:pPr>
    <w:r w:rsidRPr="002B4E71">
      <w:t xml:space="preserve">Notice page | </w:t>
    </w:r>
    <w:r>
      <w:fldChar w:fldCharType="begin"/>
    </w:r>
    <w:r>
      <w:instrText xml:space="preserve"> PAGE   \* MERGEFORMAT </w:instrText>
    </w:r>
    <w:r>
      <w:fldChar w:fldCharType="separate"/>
    </w:r>
    <w:r w:rsidR="00FC5162">
      <w:rPr>
        <w:noProof/>
      </w:rPr>
      <w:t>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F521FB" w:rsidRDefault="00F521FB">
      <w:r>
        <w:separator/>
      </w:r>
    </w:p>
  </w:footnote>
  <w:footnote w:type="continuationSeparator" w:id="0">
    <w:p w14:paraId="33EA10B0" w14:textId="77777777" w:rsidR="00F521FB" w:rsidRDefault="00F52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F521FB" w:rsidRDefault="00F52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F521FB" w:rsidRDefault="00F521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F521FB" w:rsidRDefault="00F521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2"/>
  </w:num>
  <w:num w:numId="4">
    <w:abstractNumId w:val="4"/>
  </w:num>
  <w:num w:numId="5">
    <w:abstractNumId w:val="9"/>
  </w:num>
  <w:num w:numId="6">
    <w:abstractNumId w:val="3"/>
  </w:num>
  <w:num w:numId="7">
    <w:abstractNumId w:val="1"/>
  </w:num>
  <w:num w:numId="8">
    <w:abstractNumId w:val="10"/>
  </w:num>
  <w:num w:numId="9">
    <w:abstractNumId w:val="15"/>
  </w:num>
  <w:num w:numId="10">
    <w:abstractNumId w:val="5"/>
  </w:num>
  <w:num w:numId="11">
    <w:abstractNumId w:val="16"/>
  </w:num>
  <w:num w:numId="12">
    <w:abstractNumId w:val="0"/>
  </w:num>
  <w:num w:numId="13">
    <w:abstractNumId w:val="6"/>
  </w:num>
  <w:num w:numId="14">
    <w:abstractNumId w:val="11"/>
  </w:num>
  <w:num w:numId="15">
    <w:abstractNumId w:val="13"/>
  </w:num>
  <w:num w:numId="16">
    <w:abstractNumId w:val="7"/>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63484"/>
    <w:rsid w:val="000779A5"/>
    <w:rsid w:val="00087876"/>
    <w:rsid w:val="000B0B39"/>
    <w:rsid w:val="000D03CC"/>
    <w:rsid w:val="001B0B23"/>
    <w:rsid w:val="001B7270"/>
    <w:rsid w:val="001C25B6"/>
    <w:rsid w:val="001F2622"/>
    <w:rsid w:val="00200B21"/>
    <w:rsid w:val="00214C8D"/>
    <w:rsid w:val="002442FB"/>
    <w:rsid w:val="00262962"/>
    <w:rsid w:val="00264F32"/>
    <w:rsid w:val="002665AF"/>
    <w:rsid w:val="00276752"/>
    <w:rsid w:val="002B207D"/>
    <w:rsid w:val="002B5E54"/>
    <w:rsid w:val="002C2E35"/>
    <w:rsid w:val="002F0640"/>
    <w:rsid w:val="0030544D"/>
    <w:rsid w:val="00305BDC"/>
    <w:rsid w:val="00360F45"/>
    <w:rsid w:val="0036375F"/>
    <w:rsid w:val="00377FA3"/>
    <w:rsid w:val="00396E80"/>
    <w:rsid w:val="00396EFA"/>
    <w:rsid w:val="003D3F4F"/>
    <w:rsid w:val="003E40CF"/>
    <w:rsid w:val="004160B1"/>
    <w:rsid w:val="00420496"/>
    <w:rsid w:val="00427309"/>
    <w:rsid w:val="004345C0"/>
    <w:rsid w:val="004646AA"/>
    <w:rsid w:val="005668E9"/>
    <w:rsid w:val="00567FC7"/>
    <w:rsid w:val="00573943"/>
    <w:rsid w:val="005B62FA"/>
    <w:rsid w:val="00616ED0"/>
    <w:rsid w:val="00652B8E"/>
    <w:rsid w:val="00666D7D"/>
    <w:rsid w:val="006D6E87"/>
    <w:rsid w:val="006E5165"/>
    <w:rsid w:val="006E54A7"/>
    <w:rsid w:val="007038EB"/>
    <w:rsid w:val="00746827"/>
    <w:rsid w:val="00746C81"/>
    <w:rsid w:val="00762378"/>
    <w:rsid w:val="007B21FA"/>
    <w:rsid w:val="007D152E"/>
    <w:rsid w:val="00887F56"/>
    <w:rsid w:val="008C09AA"/>
    <w:rsid w:val="008C1E0D"/>
    <w:rsid w:val="008D009E"/>
    <w:rsid w:val="008E2A1B"/>
    <w:rsid w:val="00924404"/>
    <w:rsid w:val="00964A94"/>
    <w:rsid w:val="009A06A3"/>
    <w:rsid w:val="009B6D76"/>
    <w:rsid w:val="00A0477F"/>
    <w:rsid w:val="00A71647"/>
    <w:rsid w:val="00A72D66"/>
    <w:rsid w:val="00AE34D8"/>
    <w:rsid w:val="00AE696D"/>
    <w:rsid w:val="00AF7293"/>
    <w:rsid w:val="00B1715A"/>
    <w:rsid w:val="00B240F4"/>
    <w:rsid w:val="00B83057"/>
    <w:rsid w:val="00BA1900"/>
    <w:rsid w:val="00C25CFC"/>
    <w:rsid w:val="00C3461A"/>
    <w:rsid w:val="00C46BB1"/>
    <w:rsid w:val="00CF33D7"/>
    <w:rsid w:val="00D2135A"/>
    <w:rsid w:val="00D8597B"/>
    <w:rsid w:val="00D90375"/>
    <w:rsid w:val="00E30322"/>
    <w:rsid w:val="00E372D7"/>
    <w:rsid w:val="00F35AE7"/>
    <w:rsid w:val="00F45D15"/>
    <w:rsid w:val="00F521FB"/>
    <w:rsid w:val="00F552BB"/>
    <w:rsid w:val="00F75F76"/>
    <w:rsid w:val="00FA4693"/>
    <w:rsid w:val="00FA7B76"/>
    <w:rsid w:val="00FB4ACF"/>
    <w:rsid w:val="00FC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hyperlink" Target="http://www.oregon.gov/deq/RulesandRegulations/Pages/2015/ballast2016.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microsoft.com/office/2011/relationships/commentsExtended" Target="commentsExtended.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comments" Target="comments.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hyperlink" Target="http://www.oregon.gov/deq/RulesandRegulations/Pages/2015/ballast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ListId:docs;"/>
    <ds:schemaRef ds:uri="http://schemas.microsoft.com/office/infopath/2007/PartnerControls"/>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E4C59-C85E-4E25-AD68-A4FE094F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7771</Words>
  <Characters>44296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dcterms:created xsi:type="dcterms:W3CDTF">2016-11-22T23:18:00Z</dcterms:created>
  <dcterms:modified xsi:type="dcterms:W3CDTF">2016-11-22T23:18:00Z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