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C3F27" w14:textId="77777777" w:rsidR="00377FA3" w:rsidRPr="00CF33D7" w:rsidRDefault="00377FA3" w:rsidP="00377FA3">
      <w:pPr>
        <w:tabs>
          <w:tab w:val="center" w:pos="5040"/>
        </w:tabs>
        <w:jc w:val="center"/>
        <w:rPr>
          <w:color w:val="000000" w:themeColor="text1"/>
          <w:sz w:val="28"/>
          <w:szCs w:val="28"/>
        </w:rPr>
      </w:pPr>
      <w:bookmarkStart w:id="0" w:name="_GoBack"/>
      <w:bookmarkEnd w:id="0"/>
      <w:r w:rsidRPr="00CF33D7">
        <w:rPr>
          <w:caps/>
          <w:noProof/>
          <w:color w:val="000000" w:themeColor="text1"/>
          <w:sz w:val="28"/>
          <w:szCs w:val="28"/>
        </w:rPr>
        <w:drawing>
          <wp:anchor distT="0" distB="0" distL="114300" distR="114300" simplePos="0" relativeHeight="251659264" behindDoc="1" locked="0" layoutInCell="1" allowOverlap="1" wp14:anchorId="3E1C4175" wp14:editId="3E1C4176">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0"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CF33D7">
        <w:rPr>
          <w:color w:val="000000" w:themeColor="text1"/>
          <w:sz w:val="28"/>
          <w:szCs w:val="28"/>
        </w:rPr>
        <w:t>Oregon Department of Environmental Quality</w:t>
      </w:r>
    </w:p>
    <w:p w14:paraId="3E1C3F28" w14:textId="13509111" w:rsidR="00377FA3" w:rsidRPr="00EB0734" w:rsidRDefault="00EB0734" w:rsidP="0054298C">
      <w:pPr>
        <w:tabs>
          <w:tab w:val="center" w:pos="5580"/>
        </w:tabs>
        <w:jc w:val="center"/>
        <w:rPr>
          <w:rStyle w:val="Emphasis"/>
          <w:vanish w:val="0"/>
          <w:color w:val="auto"/>
          <w:szCs w:val="28"/>
        </w:rPr>
      </w:pPr>
      <w:r w:rsidRPr="00EB0734">
        <w:rPr>
          <w:sz w:val="28"/>
          <w:szCs w:val="28"/>
        </w:rPr>
        <w:t>J</w:t>
      </w:r>
      <w:r w:rsidR="005E3DA5">
        <w:rPr>
          <w:sz w:val="28"/>
          <w:szCs w:val="28"/>
        </w:rPr>
        <w:t>anuary</w:t>
      </w:r>
      <w:r w:rsidRPr="00EB0734">
        <w:rPr>
          <w:sz w:val="28"/>
          <w:szCs w:val="28"/>
        </w:rPr>
        <w:t xml:space="preserve"> </w:t>
      </w:r>
      <w:r w:rsidR="005E3DA5">
        <w:rPr>
          <w:sz w:val="28"/>
          <w:szCs w:val="28"/>
        </w:rPr>
        <w:t>18-19</w:t>
      </w:r>
      <w:r w:rsidRPr="00EB0734">
        <w:rPr>
          <w:sz w:val="28"/>
          <w:szCs w:val="28"/>
        </w:rPr>
        <w:t>, 201</w:t>
      </w:r>
      <w:r w:rsidR="005E3DA5">
        <w:rPr>
          <w:sz w:val="28"/>
          <w:szCs w:val="28"/>
        </w:rPr>
        <w:t>7</w:t>
      </w:r>
    </w:p>
    <w:p w14:paraId="3E1C3F29" w14:textId="26966821" w:rsidR="00377FA3" w:rsidRPr="00CF33D7" w:rsidRDefault="00377FA3" w:rsidP="0054298C">
      <w:pPr>
        <w:tabs>
          <w:tab w:val="center" w:pos="5580"/>
        </w:tabs>
        <w:jc w:val="center"/>
        <w:rPr>
          <w:color w:val="000000" w:themeColor="text1"/>
          <w:sz w:val="28"/>
          <w:szCs w:val="28"/>
        </w:rPr>
      </w:pPr>
      <w:r w:rsidRPr="00CF33D7">
        <w:rPr>
          <w:color w:val="000000" w:themeColor="text1"/>
          <w:sz w:val="28"/>
          <w:szCs w:val="28"/>
        </w:rPr>
        <w:t>Oregon Environmental Quality Commission Meeting</w:t>
      </w:r>
    </w:p>
    <w:p w14:paraId="3E1C3F2A" w14:textId="77777777" w:rsidR="00377FA3" w:rsidRPr="00377FA3" w:rsidRDefault="00377FA3" w:rsidP="00377FA3">
      <w:pPr>
        <w:tabs>
          <w:tab w:val="center" w:pos="5580"/>
        </w:tabs>
        <w:jc w:val="center"/>
        <w:rPr>
          <w:color w:val="806000" w:themeColor="accent4" w:themeShade="80"/>
          <w:sz w:val="28"/>
          <w:szCs w:val="28"/>
        </w:rPr>
      </w:pPr>
      <w:r w:rsidRPr="00CF33D7">
        <w:rPr>
          <w:color w:val="000000" w:themeColor="text1"/>
          <w:sz w:val="28"/>
          <w:szCs w:val="28"/>
        </w:rPr>
        <w:t>Rulemaking Action Item</w:t>
      </w:r>
      <w:r w:rsidRPr="00377FA3">
        <w:rPr>
          <w:color w:val="525252" w:themeColor="accent3" w:themeShade="80"/>
          <w:sz w:val="28"/>
          <w:szCs w:val="28"/>
        </w:rPr>
        <w:t xml:space="preserve"> </w:t>
      </w:r>
      <w:r w:rsidRPr="00377FA3">
        <w:rPr>
          <w:caps/>
          <w:color w:val="806000" w:themeColor="accent4" w:themeShade="80"/>
          <w:sz w:val="28"/>
          <w:szCs w:val="28"/>
        </w:rPr>
        <w:t>No. XX</w:t>
      </w:r>
    </w:p>
    <w:p w14:paraId="3E1C3F2B" w14:textId="77777777" w:rsidR="00377FA3" w:rsidRPr="00377FA3" w:rsidRDefault="00377FA3" w:rsidP="00377FA3"/>
    <w:p w14:paraId="3E1C3F2C" w14:textId="77777777" w:rsidR="00377FA3" w:rsidRPr="00377FA3" w:rsidRDefault="00377FA3" w:rsidP="00377FA3">
      <w:pPr>
        <w:rPr>
          <w:b/>
          <w:color w:val="000000"/>
        </w:rPr>
      </w:pPr>
    </w:p>
    <w:p w14:paraId="3E1C3F2D" w14:textId="73257807" w:rsidR="00377FA3" w:rsidRPr="00EB0734" w:rsidRDefault="00EB0734" w:rsidP="00377FA3">
      <w:pPr>
        <w:jc w:val="center"/>
        <w:rPr>
          <w:rStyle w:val="Strong"/>
          <w:rFonts w:ascii="Times New Roman" w:hAnsi="Times New Roman" w:cs="Times New Roman"/>
        </w:rPr>
      </w:pPr>
      <w:r w:rsidRPr="00EB0734">
        <w:rPr>
          <w:rStyle w:val="Strong"/>
          <w:rFonts w:ascii="Times New Roman" w:hAnsi="Times New Roman" w:cs="Times New Roman"/>
        </w:rPr>
        <w:t>Increase Title V Permit Fees by the Consumer Price Index</w:t>
      </w:r>
      <w:r w:rsidR="00BB2FBD">
        <w:rPr>
          <w:rStyle w:val="Strong"/>
          <w:rFonts w:ascii="Times New Roman" w:hAnsi="Times New Roman" w:cs="Times New Roman"/>
        </w:rPr>
        <w:t>: Phase 2</w:t>
      </w:r>
    </w:p>
    <w:p w14:paraId="3E1C3F2E" w14:textId="77777777" w:rsidR="00377FA3" w:rsidRPr="00377FA3" w:rsidRDefault="00377FA3" w:rsidP="00377FA3">
      <w:pPr>
        <w:jc w:val="center"/>
        <w:rPr>
          <w:rStyle w:val="Strong"/>
          <w:rFonts w:ascii="Times New Roman" w:hAnsi="Times New Roman" w:cs="Times New Roman"/>
        </w:rPr>
      </w:pPr>
    </w:p>
    <w:p w14:paraId="3E1C3F2F" w14:textId="77777777" w:rsidR="006E5165" w:rsidRDefault="006E5165" w:rsidP="006E5165">
      <w:pPr>
        <w:rPr>
          <w:rStyle w:val="Strong"/>
          <w:rFonts w:ascii="Times New Roman" w:hAnsi="Times New Roman" w:cs="Times New Roman"/>
          <w:b/>
          <w:sz w:val="28"/>
          <w:szCs w:val="28"/>
        </w:rPr>
      </w:pPr>
    </w:p>
    <w:p w14:paraId="3E1C3F30"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3E1C3F31"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3E1C3F32"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redline/strikethrough</w:t>
      </w:r>
    </w:p>
    <w:p w14:paraId="3E1C3F33"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3E1C3F34" w14:textId="77777777" w:rsidR="00D1390C" w:rsidRPr="006E5165" w:rsidRDefault="00D1390C" w:rsidP="00D1390C">
      <w:pPr>
        <w:pStyle w:val="ListParagraph"/>
        <w:ind w:left="1440"/>
        <w:rPr>
          <w:rStyle w:val="Strong"/>
          <w:rFonts w:ascii="Times New Roman" w:hAnsi="Times New Roman" w:cs="Times New Roman"/>
          <w:sz w:val="24"/>
          <w:szCs w:val="24"/>
        </w:rPr>
      </w:pPr>
    </w:p>
    <w:tbl>
      <w:tblPr>
        <w:tblW w:w="12330" w:type="dxa"/>
        <w:tblInd w:w="-702" w:type="dxa"/>
        <w:tblLook w:val="04A0" w:firstRow="1" w:lastRow="0" w:firstColumn="1" w:lastColumn="0" w:noHBand="0" w:noVBand="1"/>
      </w:tblPr>
      <w:tblGrid>
        <w:gridCol w:w="12330"/>
      </w:tblGrid>
      <w:tr w:rsidR="00377FA3" w:rsidRPr="00377FA3" w14:paraId="3E1C3F36" w14:textId="77777777" w:rsidTr="00EB0734">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3E1C3F35" w14:textId="77777777" w:rsidR="00377FA3" w:rsidRPr="00377FA3" w:rsidRDefault="00377FA3" w:rsidP="00EB0734">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3E1C3F37" w14:textId="77777777" w:rsidR="00377FA3" w:rsidRPr="00377FA3" w:rsidRDefault="00377FA3" w:rsidP="00377FA3"/>
    <w:p w14:paraId="3E1C3F38" w14:textId="77777777" w:rsidR="00377FA3" w:rsidRPr="00D1390C" w:rsidRDefault="00377FA3" w:rsidP="00377FA3">
      <w:pPr>
        <w:spacing w:after="120"/>
      </w:pPr>
      <w:r w:rsidRPr="00D1390C">
        <w:t>DEQ recommends that the Environmental Quality Commission adopt the proposed rules in Attachment A as part of Chapter 340 of the Oregon Administrative Rules.</w:t>
      </w:r>
    </w:p>
    <w:p w14:paraId="3E1C3F39" w14:textId="77777777" w:rsidR="00586C3E" w:rsidRDefault="00586C3E">
      <w:pPr>
        <w:spacing w:after="160" w:line="259" w:lineRule="auto"/>
        <w:ind w:left="0" w:right="0"/>
        <w:outlineLvl w:val="9"/>
      </w:pPr>
      <w:r>
        <w:br w:type="page"/>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E1C3F3B" w14:textId="77777777" w:rsidTr="00EB0734">
        <w:trPr>
          <w:trHeight w:val="603"/>
        </w:trPr>
        <w:tc>
          <w:tcPr>
            <w:tcW w:w="12335" w:type="dxa"/>
            <w:shd w:val="clear" w:color="auto" w:fill="D0CECE" w:themeFill="background2" w:themeFillShade="E6"/>
            <w:noWrap/>
            <w:vAlign w:val="bottom"/>
            <w:hideMark/>
          </w:tcPr>
          <w:p w14:paraId="3E1C3F3A" w14:textId="77777777" w:rsidR="00377FA3" w:rsidRPr="00377FA3" w:rsidRDefault="00377FA3" w:rsidP="00EB0734">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3E1C3F3C"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Short summary </w:t>
      </w:r>
    </w:p>
    <w:p w14:paraId="3E1C3F3D" w14:textId="77777777" w:rsidR="00D1390C" w:rsidRPr="00D1390C" w:rsidRDefault="00D1390C" w:rsidP="00D1390C">
      <w:r w:rsidRPr="00D1390C">
        <w:t>DEQ proposes rules to increase Title V operating permit fees by the change in the consumer price index (CPI) as authorized by federal and state law. The proposed fee increases are necessary for DEQ to provide essential services associated with Oregon’s Title V permitting program.</w:t>
      </w:r>
    </w:p>
    <w:p w14:paraId="3E1C3F3E" w14:textId="77777777" w:rsidR="00D1390C" w:rsidRPr="00D1390C" w:rsidRDefault="00D1390C" w:rsidP="00D1390C"/>
    <w:p w14:paraId="3E1C3F3F" w14:textId="77777777" w:rsidR="00D1390C" w:rsidRPr="00D1390C" w:rsidRDefault="00D1390C" w:rsidP="00D1390C">
      <w:r w:rsidRPr="00D1390C">
        <w:t>The proposed rules would increase the fees in two phases. This approach would save administrative costs by holding a single public notice and comment period for the two rulemakings.</w:t>
      </w:r>
    </w:p>
    <w:p w14:paraId="3E1C3F40" w14:textId="77777777" w:rsidR="00D1390C" w:rsidRPr="00D1390C" w:rsidRDefault="00D1390C" w:rsidP="00D1390C"/>
    <w:p w14:paraId="3E1C3F41" w14:textId="2FF2EE1B" w:rsidR="00D1390C" w:rsidRPr="00D1390C" w:rsidRDefault="00D1390C" w:rsidP="00D1390C">
      <w:pPr>
        <w:ind w:left="2160" w:hanging="1440"/>
      </w:pPr>
      <w:r w:rsidRPr="00D1390C">
        <w:t xml:space="preserve">Phase one: </w:t>
      </w:r>
      <w:r w:rsidRPr="00D1390C">
        <w:tab/>
      </w:r>
      <w:r w:rsidR="00D552B5">
        <w:t>EQC adopted</w:t>
      </w:r>
      <w:r w:rsidRPr="00D1390C">
        <w:t xml:space="preserve"> the phase one rules at the commission’s meeting in June 2016. The </w:t>
      </w:r>
      <w:r w:rsidR="00D552B5">
        <w:t>adopted</w:t>
      </w:r>
      <w:r w:rsidR="00D552B5" w:rsidRPr="00D1390C">
        <w:t xml:space="preserve"> </w:t>
      </w:r>
      <w:r w:rsidRPr="00D1390C">
        <w:t xml:space="preserve">fee increase effective for the 2016 invoice year </w:t>
      </w:r>
      <w:r w:rsidR="00D552B5">
        <w:t>was</w:t>
      </w:r>
      <w:r w:rsidR="00D552B5" w:rsidRPr="00D1390C">
        <w:t xml:space="preserve"> </w:t>
      </w:r>
      <w:r w:rsidRPr="00D1390C">
        <w:t xml:space="preserve">0.45 percent based on the Bureau of Labor Statistics September 2015 consumer price index for the period of September 2014 to August 2015. DEQ </w:t>
      </w:r>
      <w:r w:rsidR="00D552B5">
        <w:t>applied</w:t>
      </w:r>
      <w:r w:rsidRPr="00D1390C">
        <w:t xml:space="preserve"> this CPI increase to permit fees on the invoices DEQ issue</w:t>
      </w:r>
      <w:r w:rsidR="00D552B5">
        <w:t>d</w:t>
      </w:r>
      <w:r w:rsidRPr="00D1390C">
        <w:t xml:space="preserve"> in August 2016 for annual emissions during 2015 and the operating period Nov. 15, 2016 to Nov. 14, 2017. </w:t>
      </w:r>
    </w:p>
    <w:p w14:paraId="3E1C3F42" w14:textId="77777777" w:rsidR="00D1390C" w:rsidRPr="00D1390C" w:rsidRDefault="00D1390C" w:rsidP="00D1390C">
      <w:pPr>
        <w:autoSpaceDE w:val="0"/>
        <w:autoSpaceDN w:val="0"/>
        <w:adjustRightInd w:val="0"/>
        <w:ind w:left="360" w:right="0" w:firstLine="360"/>
        <w:outlineLvl w:val="9"/>
      </w:pPr>
    </w:p>
    <w:p w14:paraId="3E1C3F43" w14:textId="412F872E" w:rsidR="00D1390C" w:rsidRPr="00D1390C" w:rsidRDefault="00D1390C" w:rsidP="00D1390C">
      <w:pPr>
        <w:autoSpaceDE w:val="0"/>
        <w:autoSpaceDN w:val="0"/>
        <w:adjustRightInd w:val="0"/>
        <w:ind w:left="2160" w:right="0" w:hanging="1440"/>
        <w:outlineLvl w:val="9"/>
      </w:pPr>
      <w:r w:rsidRPr="00D1390C">
        <w:t xml:space="preserve">Phase two:  </w:t>
      </w:r>
      <w:r w:rsidRPr="00D1390C">
        <w:tab/>
        <w:t xml:space="preserve">DEQ will propose the phase two rules at a commission meeting </w:t>
      </w:r>
      <w:r w:rsidR="008C4761">
        <w:t>in</w:t>
      </w:r>
      <w:r w:rsidRPr="00D1390C">
        <w:t xml:space="preserve"> </w:t>
      </w:r>
      <w:r w:rsidR="008C4761">
        <w:t>January</w:t>
      </w:r>
      <w:r w:rsidRPr="00D1390C">
        <w:t xml:space="preserve"> 201</w:t>
      </w:r>
      <w:r w:rsidR="008C4761">
        <w:t>7</w:t>
      </w:r>
      <w:r w:rsidRPr="00D1390C">
        <w:t>. The proposed fee increase effective for the 2017 invoice year is 0.</w:t>
      </w:r>
      <w:r w:rsidR="008C4761">
        <w:t>80</w:t>
      </w:r>
      <w:r w:rsidRPr="00D1390C">
        <w:t xml:space="preserve"> percent based on the Bureau of Labor Statistics September 2016 consumer price index for the period September 2015 to August 2016. DEQ would apply this CPI increase to permit fees on the invoices DEQ will issue in August 201</w:t>
      </w:r>
      <w:r w:rsidR="008C4761">
        <w:t>7</w:t>
      </w:r>
      <w:r w:rsidRPr="00D1390C">
        <w:t xml:space="preserve"> for annual emissions during 2016 and the operating period Nov. 15, 2017 to Nov. 14, 2018.</w:t>
      </w:r>
    </w:p>
    <w:p w14:paraId="3E1C3F44"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 xml:space="preserve">Brief history </w:t>
      </w:r>
    </w:p>
    <w:p w14:paraId="3E1C3F45" w14:textId="77777777" w:rsidR="00D1390C" w:rsidRPr="00D1390C" w:rsidRDefault="00D1390C" w:rsidP="00D1390C">
      <w:r w:rsidRPr="00D1390C">
        <w:t>Title V of the federal Clean Air Act requires each state to develop and implement a comprehensive operating permit program for major industrial sources of air pollution.</w:t>
      </w:r>
    </w:p>
    <w:p w14:paraId="3E1C3F46" w14:textId="77777777" w:rsidR="00D1390C" w:rsidRPr="00D1390C" w:rsidRDefault="00D1390C" w:rsidP="00D1390C"/>
    <w:p w14:paraId="3E1C3F47" w14:textId="77777777" w:rsidR="00D1390C" w:rsidRPr="00D1390C" w:rsidRDefault="00D1390C" w:rsidP="00D1390C">
      <w:r w:rsidRPr="00D1390C">
        <w:t>Oregon’s Title V program:</w:t>
      </w:r>
    </w:p>
    <w:p w14:paraId="3E1C3F48" w14:textId="77777777" w:rsidR="00D1390C" w:rsidRPr="00D1390C" w:rsidRDefault="00D1390C" w:rsidP="00D1390C">
      <w:pPr>
        <w:numPr>
          <w:ilvl w:val="0"/>
          <w:numId w:val="11"/>
        </w:numPr>
        <w:contextualSpacing/>
      </w:pPr>
      <w:r w:rsidRPr="00D1390C">
        <w:t>Administers federal health standards, air toxic requirements and other regulations to protect air quality;</w:t>
      </w:r>
    </w:p>
    <w:p w14:paraId="3E1C3F49" w14:textId="77777777" w:rsidR="00D1390C" w:rsidRPr="00D1390C" w:rsidRDefault="00D1390C" w:rsidP="00D1390C">
      <w:pPr>
        <w:numPr>
          <w:ilvl w:val="0"/>
          <w:numId w:val="11"/>
        </w:numPr>
        <w:contextualSpacing/>
      </w:pPr>
      <w:r w:rsidRPr="00D1390C">
        <w:t>Issues, renews or modifies Title V permits to prevent or reduce air pollution through permit requirements;</w:t>
      </w:r>
    </w:p>
    <w:p w14:paraId="3E1C3F4A" w14:textId="77777777" w:rsidR="00D1390C" w:rsidRPr="00D1390C" w:rsidRDefault="00D1390C" w:rsidP="00D1390C">
      <w:pPr>
        <w:numPr>
          <w:ilvl w:val="0"/>
          <w:numId w:val="11"/>
        </w:numPr>
        <w:contextualSpacing/>
      </w:pPr>
      <w:r w:rsidRPr="00D1390C">
        <w:t>Completes required Title V inspections;</w:t>
      </w:r>
    </w:p>
    <w:p w14:paraId="3E1C3F4B" w14:textId="77777777" w:rsidR="00D1390C" w:rsidRPr="00D1390C" w:rsidRDefault="00D1390C" w:rsidP="00D1390C">
      <w:pPr>
        <w:numPr>
          <w:ilvl w:val="0"/>
          <w:numId w:val="11"/>
        </w:numPr>
        <w:contextualSpacing/>
      </w:pPr>
      <w:r w:rsidRPr="00D1390C">
        <w:t>Ensures that existing sources of air pollution comply with state and federal air emissions standards;</w:t>
      </w:r>
    </w:p>
    <w:p w14:paraId="3E1C3F4C" w14:textId="77777777" w:rsidR="00D1390C" w:rsidRPr="00D1390C" w:rsidRDefault="00D1390C" w:rsidP="00D1390C">
      <w:pPr>
        <w:numPr>
          <w:ilvl w:val="0"/>
          <w:numId w:val="11"/>
        </w:numPr>
        <w:contextualSpacing/>
      </w:pPr>
      <w:r w:rsidRPr="00D1390C">
        <w:t>Ensures that new sources of air pollution install controls such as filtration equipment, combustion controls and vapor controls needed to protect air quality;</w:t>
      </w:r>
    </w:p>
    <w:p w14:paraId="3E1C3F4D" w14:textId="77777777" w:rsidR="00D1390C" w:rsidRPr="00D1390C" w:rsidRDefault="00D1390C" w:rsidP="00D1390C">
      <w:pPr>
        <w:numPr>
          <w:ilvl w:val="0"/>
          <w:numId w:val="11"/>
        </w:numPr>
        <w:contextualSpacing/>
      </w:pPr>
      <w:r w:rsidRPr="00D1390C">
        <w:t>Issues public notices and information about the Title V program; and</w:t>
      </w:r>
    </w:p>
    <w:p w14:paraId="3E1C3F4E" w14:textId="77777777" w:rsidR="00D1390C" w:rsidRPr="00D1390C" w:rsidRDefault="00D1390C" w:rsidP="00D1390C">
      <w:pPr>
        <w:numPr>
          <w:ilvl w:val="0"/>
          <w:numId w:val="11"/>
        </w:numPr>
        <w:contextualSpacing/>
      </w:pPr>
      <w:r w:rsidRPr="00D1390C">
        <w:t>Provides other essential services such as emission inventories, technical assistance, inspections, enforcement, rule and policy development, data management and reporting to EPA.</w:t>
      </w:r>
    </w:p>
    <w:p w14:paraId="3E1C3F4F"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 xml:space="preserve">Regulated parties </w:t>
      </w:r>
    </w:p>
    <w:p w14:paraId="3E1C3F50" w14:textId="77777777" w:rsidR="00D1390C" w:rsidRPr="00D1390C" w:rsidRDefault="00D1390C" w:rsidP="00D1390C">
      <w:r w:rsidRPr="00D1390C">
        <w:t>The proposed rules would affect facilities that currently have a Title V permit and any facility that applies for this type of permit in the future.</w:t>
      </w:r>
    </w:p>
    <w:p w14:paraId="3E1C3F51"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lastRenderedPageBreak/>
        <w:t xml:space="preserve">Request for other options </w:t>
      </w:r>
    </w:p>
    <w:p w14:paraId="3E1C3F52" w14:textId="77777777" w:rsidR="00D1390C" w:rsidRPr="00D1390C" w:rsidRDefault="00D1390C" w:rsidP="00D1390C">
      <w:r w:rsidRPr="00D1390C">
        <w:t>During the public comment period, DEQ request</w:t>
      </w:r>
      <w:r>
        <w:t>ed</w:t>
      </w:r>
      <w:r w:rsidRPr="00D1390C">
        <w:t xml:space="preserve"> public comment on whether to consider other options for achieving the rules’ substantive goals while reducing the rules’ negative economic impact on business.</w:t>
      </w:r>
    </w:p>
    <w:p w14:paraId="3E1C3F53" w14:textId="77777777" w:rsidR="00377FA3" w:rsidRPr="00377FA3" w:rsidRDefault="00377FA3" w:rsidP="00377FA3"/>
    <w:p w14:paraId="3E1C3F54" w14:textId="77777777" w:rsidR="00377FA3" w:rsidRPr="00377FA3" w:rsidRDefault="00377FA3" w:rsidP="00377FA3">
      <w:pPr>
        <w:sectPr w:rsidR="00377FA3" w:rsidRPr="00377FA3" w:rsidSect="00EB0734">
          <w:footerReference w:type="default" r:id="rId11"/>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E1C3F56" w14:textId="77777777" w:rsidTr="00EB0734">
        <w:trPr>
          <w:trHeight w:val="603"/>
        </w:trPr>
        <w:tc>
          <w:tcPr>
            <w:tcW w:w="12335" w:type="dxa"/>
            <w:shd w:val="clear" w:color="auto" w:fill="D0CECE" w:themeFill="background2" w:themeFillShade="E6"/>
            <w:noWrap/>
            <w:vAlign w:val="bottom"/>
            <w:hideMark/>
          </w:tcPr>
          <w:p w14:paraId="3E1C3F55" w14:textId="77777777" w:rsidR="00377FA3" w:rsidRPr="00377FA3" w:rsidRDefault="00377FA3" w:rsidP="00EB0734">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Statement of Need</w:t>
            </w:r>
          </w:p>
        </w:tc>
      </w:tr>
    </w:tbl>
    <w:p w14:paraId="3E1C3F57"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What need would the proposed rule address?</w:t>
      </w:r>
    </w:p>
    <w:p w14:paraId="3E1C3F58" w14:textId="77777777" w:rsidR="00D1390C" w:rsidRPr="00D1390C" w:rsidRDefault="00D1390C" w:rsidP="00D1390C">
      <w:pPr>
        <w:rPr>
          <w:color w:val="000000"/>
        </w:rPr>
      </w:pPr>
      <w:r w:rsidRPr="00D1390C">
        <w:rPr>
          <w:color w:val="000000"/>
        </w:rPr>
        <w:t>EPA delegates authority to DEQ to operate the Title V program in Oregon and regularly reviews Oregon’s program for compliance with federal requirements. DEQ must comply with federal requirements to maintain a federally approved and delegated program.</w:t>
      </w:r>
    </w:p>
    <w:p w14:paraId="3E1C3F59" w14:textId="77777777" w:rsidR="00D1390C" w:rsidRPr="00D1390C" w:rsidRDefault="00D1390C" w:rsidP="00D1390C">
      <w:pPr>
        <w:rPr>
          <w:color w:val="000000"/>
        </w:rPr>
      </w:pPr>
    </w:p>
    <w:p w14:paraId="3E1C3F5A" w14:textId="77777777" w:rsidR="00D1390C" w:rsidRPr="00D1390C" w:rsidRDefault="00D1390C" w:rsidP="00D1390C">
      <w:pPr>
        <w:rPr>
          <w:color w:val="000000"/>
        </w:rPr>
      </w:pPr>
      <w:r w:rsidRPr="00D1390C">
        <w:rPr>
          <w:color w:val="000000"/>
        </w:rPr>
        <w:t>The federal Clean Air Act requires each state to fully pay for its Title V program through permit fees. The Oregon Legislature established Oregon’s Title V fees in three categories:</w:t>
      </w:r>
    </w:p>
    <w:p w14:paraId="3E1C3F5B" w14:textId="77777777" w:rsidR="00D1390C" w:rsidRPr="00D1390C" w:rsidRDefault="00D1390C" w:rsidP="00D1390C">
      <w:pPr>
        <w:rPr>
          <w:color w:val="000000"/>
        </w:rPr>
      </w:pPr>
    </w:p>
    <w:p w14:paraId="3E1C3F5C" w14:textId="77777777" w:rsidR="00D1390C" w:rsidRPr="00D1390C" w:rsidRDefault="00D1390C" w:rsidP="00D1390C">
      <w:pPr>
        <w:numPr>
          <w:ilvl w:val="0"/>
          <w:numId w:val="11"/>
        </w:numPr>
        <w:spacing w:line="360" w:lineRule="auto"/>
        <w:ind w:right="14"/>
        <w:contextualSpacing/>
      </w:pPr>
      <w:r w:rsidRPr="00D1390C">
        <w:t>An annual base fee assessed to all Title V sources regardless of emission quantities;</w:t>
      </w:r>
    </w:p>
    <w:p w14:paraId="3E1C3F5D" w14:textId="77777777" w:rsidR="00D1390C" w:rsidRPr="00D1390C" w:rsidRDefault="00D1390C" w:rsidP="00D1390C">
      <w:pPr>
        <w:numPr>
          <w:ilvl w:val="0"/>
          <w:numId w:val="11"/>
        </w:numPr>
        <w:spacing w:line="360" w:lineRule="auto"/>
        <w:ind w:right="14"/>
        <w:contextualSpacing/>
      </w:pPr>
      <w:r w:rsidRPr="00D1390C">
        <w:t>Emission fees assessed per ton of emissions from individual sources per calendar year; and</w:t>
      </w:r>
    </w:p>
    <w:p w14:paraId="3E1C3F5E" w14:textId="77777777" w:rsidR="00D1390C" w:rsidRPr="00D1390C" w:rsidRDefault="00D1390C" w:rsidP="00D1390C">
      <w:pPr>
        <w:numPr>
          <w:ilvl w:val="0"/>
          <w:numId w:val="11"/>
        </w:numPr>
        <w:spacing w:line="360" w:lineRule="auto"/>
        <w:ind w:right="14"/>
        <w:contextualSpacing/>
      </w:pPr>
      <w:r w:rsidRPr="00D1390C">
        <w:t>Specific activity fees assessed when a source owner or operator modifies a permit.</w:t>
      </w:r>
    </w:p>
    <w:p w14:paraId="3E1C3F5F" w14:textId="77777777" w:rsidR="00D1390C" w:rsidRPr="00D1390C" w:rsidRDefault="00D1390C" w:rsidP="00D1390C"/>
    <w:p w14:paraId="3E1C3F60" w14:textId="77777777" w:rsidR="00D1390C" w:rsidRPr="00D1390C" w:rsidRDefault="00D1390C" w:rsidP="00D1390C">
      <w:pPr>
        <w:ind w:right="14"/>
      </w:pPr>
      <w:r w:rsidRPr="00D1390C">
        <w:t xml:space="preserve">The fees cover DEQ’s costs to operate the Title V program. Costs include a portion of air quality monitoring, planning and agency central services such as accounting and human resources. The Clean Air Act and state law authorize DEQ to increase fees by the annual change in the consumer price index to meet funding requirements by considering inflation. </w:t>
      </w:r>
    </w:p>
    <w:p w14:paraId="3E1C3F61" w14:textId="77777777" w:rsidR="00D1390C" w:rsidRPr="00D1390C" w:rsidRDefault="00D1390C" w:rsidP="00D1390C"/>
    <w:p w14:paraId="3E1C3F62" w14:textId="77777777" w:rsidR="00D1390C" w:rsidRPr="00D1390C" w:rsidRDefault="00D1390C" w:rsidP="00D1390C">
      <w:r w:rsidRPr="00D1390C">
        <w:t>Oregon’s Title V operating permit program requires additional funding to provide essential program services. Costs have increased over the last two years due to inflation. The Environmental Quality Commission last increased Title V fees in 2015 calculated to provide requisite program services up to August 2016. DEQ calculates the proposed fees would allow Oregon to provide requisite program services up to August 2018. Failure to increase Title V fees could affect DEQ’s ability to maintain adequate program staff and jeopardize effective program administration.</w:t>
      </w:r>
    </w:p>
    <w:p w14:paraId="3E1C3F63"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 xml:space="preserve">How would the proposed rule address the need? </w:t>
      </w:r>
    </w:p>
    <w:p w14:paraId="3E1C3F64" w14:textId="77777777" w:rsidR="00D1390C" w:rsidRPr="00D1390C" w:rsidRDefault="00D1390C" w:rsidP="00D1390C">
      <w:pPr>
        <w:rPr>
          <w:color w:val="000000"/>
        </w:rPr>
      </w:pPr>
      <w:r w:rsidRPr="00D1390C">
        <w:rPr>
          <w:color w:val="000000"/>
        </w:rPr>
        <w:t>The proposed rules would increase Title V permit fees by the change in the consumer price index, to pay for increased program costs.</w:t>
      </w:r>
    </w:p>
    <w:p w14:paraId="3E1C3F65" w14:textId="77777777" w:rsidR="00D1390C" w:rsidRPr="00D1390C" w:rsidRDefault="00D1390C" w:rsidP="00D1390C"/>
    <w:p w14:paraId="3E1C3F66"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 xml:space="preserve">How will DEQ know the rule addressed the need? </w:t>
      </w:r>
    </w:p>
    <w:p w14:paraId="3E1C3F67" w14:textId="77777777" w:rsidR="00D1390C" w:rsidRPr="00D1390C" w:rsidRDefault="00D1390C" w:rsidP="00D1390C">
      <w:pPr>
        <w:rPr>
          <w:color w:val="000000"/>
        </w:rPr>
      </w:pPr>
      <w:r w:rsidRPr="00D1390C">
        <w:rPr>
          <w:color w:val="000000"/>
        </w:rPr>
        <w:t>The rules will have addressed the need if the increased fees help the Title V program balance its budget and avoid a disruption in requisite services.</w:t>
      </w:r>
    </w:p>
    <w:p w14:paraId="3E1C3F68" w14:textId="77777777" w:rsidR="00377FA3" w:rsidRPr="00377FA3" w:rsidRDefault="00377FA3" w:rsidP="00377FA3"/>
    <w:p w14:paraId="3E1C3F69" w14:textId="77777777" w:rsidR="00377FA3" w:rsidRPr="00377FA3" w:rsidRDefault="00377FA3" w:rsidP="00377FA3">
      <w:pPr>
        <w:sectPr w:rsidR="00377FA3" w:rsidRPr="00377FA3" w:rsidSect="00EB0734">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E1C3F6B" w14:textId="77777777" w:rsidTr="00EB0734">
        <w:trPr>
          <w:trHeight w:val="603"/>
          <w:hidden w:val="0"/>
        </w:trPr>
        <w:tc>
          <w:tcPr>
            <w:tcW w:w="12335" w:type="dxa"/>
            <w:shd w:val="clear" w:color="auto" w:fill="D0CECE" w:themeFill="background2" w:themeFillShade="E6"/>
            <w:noWrap/>
            <w:vAlign w:val="bottom"/>
            <w:hideMark/>
          </w:tcPr>
          <w:p w14:paraId="3E1C3F6A"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lastRenderedPageBreak/>
              <w:t>Rules affected, authorities, supporting documents</w:t>
            </w:r>
          </w:p>
        </w:tc>
      </w:tr>
    </w:tbl>
    <w:p w14:paraId="3E1C3F6C"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Lead division</w:t>
      </w:r>
    </w:p>
    <w:p w14:paraId="3E1C3F6D" w14:textId="77777777" w:rsidR="00D1390C" w:rsidRPr="00D1390C" w:rsidRDefault="00D1390C" w:rsidP="00D1390C">
      <w:pPr>
        <w:tabs>
          <w:tab w:val="left" w:pos="4500"/>
        </w:tabs>
        <w:rPr>
          <w:color w:val="000000"/>
        </w:rPr>
      </w:pPr>
      <w:r w:rsidRPr="00D1390C">
        <w:rPr>
          <w:color w:val="000000"/>
        </w:rPr>
        <w:t>Operations Division</w:t>
      </w:r>
    </w:p>
    <w:p w14:paraId="3E1C3F6E"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Program or activity</w:t>
      </w:r>
    </w:p>
    <w:p w14:paraId="3E1C3F6F" w14:textId="77777777" w:rsidR="00D1390C" w:rsidRPr="00D1390C" w:rsidRDefault="00D1390C" w:rsidP="00D1390C">
      <w:pPr>
        <w:tabs>
          <w:tab w:val="left" w:pos="4500"/>
        </w:tabs>
        <w:rPr>
          <w:color w:val="000000"/>
        </w:rPr>
      </w:pPr>
      <w:r w:rsidRPr="00D1390C">
        <w:rPr>
          <w:color w:val="000000"/>
        </w:rPr>
        <w:t>Title V Operating Permit Program</w:t>
      </w:r>
    </w:p>
    <w:p w14:paraId="3E1C3F70"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Chapter 340 action</w:t>
      </w:r>
    </w:p>
    <w:tbl>
      <w:tblPr>
        <w:tblStyle w:val="TableGrid"/>
        <w:tblW w:w="0" w:type="auto"/>
        <w:tblInd w:w="828" w:type="dxa"/>
        <w:tblBorders>
          <w:top w:val="double" w:sz="4" w:space="0" w:color="385623"/>
          <w:left w:val="double" w:sz="4" w:space="0" w:color="385623"/>
          <w:bottom w:val="double" w:sz="4" w:space="0" w:color="385623"/>
          <w:right w:val="double" w:sz="4" w:space="0" w:color="385623"/>
          <w:insideH w:val="double" w:sz="4" w:space="0" w:color="385623"/>
          <w:insideV w:val="double" w:sz="4" w:space="0" w:color="385623"/>
        </w:tblBorders>
        <w:tblCellMar>
          <w:top w:w="58" w:type="dxa"/>
          <w:left w:w="43" w:type="dxa"/>
          <w:bottom w:w="58" w:type="dxa"/>
          <w:right w:w="43" w:type="dxa"/>
        </w:tblCellMar>
        <w:tblLook w:val="04A0" w:firstRow="1" w:lastRow="0" w:firstColumn="1" w:lastColumn="0" w:noHBand="0" w:noVBand="1"/>
      </w:tblPr>
      <w:tblGrid>
        <w:gridCol w:w="2610"/>
        <w:gridCol w:w="6608"/>
      </w:tblGrid>
      <w:tr w:rsidR="00D1390C" w:rsidRPr="00D1390C" w14:paraId="3E1C3F73" w14:textId="77777777" w:rsidTr="00D1390C">
        <w:tc>
          <w:tcPr>
            <w:tcW w:w="2610" w:type="dxa"/>
            <w:vAlign w:val="center"/>
          </w:tcPr>
          <w:p w14:paraId="3E1C3F71" w14:textId="77777777" w:rsidR="00D1390C" w:rsidRPr="00D1390C" w:rsidRDefault="00D1390C" w:rsidP="00D1390C">
            <w:pPr>
              <w:ind w:left="0"/>
              <w:rPr>
                <w:rFonts w:ascii="Times New Roman" w:hAnsi="Times New Roman" w:cs="Times New Roman"/>
                <w:sz w:val="24"/>
                <w:szCs w:val="24"/>
              </w:rPr>
            </w:pPr>
            <w:r w:rsidRPr="00D1390C">
              <w:rPr>
                <w:rFonts w:ascii="Times New Roman" w:hAnsi="Times New Roman" w:cs="Times New Roman"/>
                <w:sz w:val="24"/>
                <w:szCs w:val="24"/>
              </w:rPr>
              <w:t>Amend</w:t>
            </w:r>
          </w:p>
        </w:tc>
        <w:tc>
          <w:tcPr>
            <w:tcW w:w="6608" w:type="dxa"/>
            <w:vAlign w:val="center"/>
          </w:tcPr>
          <w:p w14:paraId="3E1C3F72" w14:textId="77777777" w:rsidR="00D1390C" w:rsidRPr="00D1390C" w:rsidRDefault="00D1390C" w:rsidP="00D1390C">
            <w:pPr>
              <w:ind w:left="0"/>
              <w:rPr>
                <w:rFonts w:ascii="Times New Roman" w:hAnsi="Times New Roman" w:cs="Times New Roman"/>
                <w:sz w:val="24"/>
                <w:szCs w:val="24"/>
              </w:rPr>
            </w:pPr>
            <w:r w:rsidRPr="00D1390C">
              <w:rPr>
                <w:rFonts w:ascii="Times New Roman" w:hAnsi="Times New Roman" w:cs="Times New Roman"/>
                <w:sz w:val="24"/>
                <w:szCs w:val="24"/>
              </w:rPr>
              <w:t>OAR 340-220-0030, 340-220-0040, 340-220-0050</w:t>
            </w:r>
            <w:r w:rsidRPr="00D1390C">
              <w:rPr>
                <w:rFonts w:ascii="Arial" w:hAnsi="Arial" w:cs="Times New Roman"/>
                <w:bCs/>
                <w:color w:val="C45911"/>
                <w:sz w:val="24"/>
                <w:szCs w:val="24"/>
              </w:rPr>
              <w:t xml:space="preserve"> </w:t>
            </w:r>
          </w:p>
        </w:tc>
      </w:tr>
    </w:tbl>
    <w:p w14:paraId="3E1C3F74" w14:textId="77777777" w:rsidR="00D1390C" w:rsidRPr="00D1390C" w:rsidRDefault="00D1390C" w:rsidP="00D1390C">
      <w:pPr>
        <w:keepNext/>
        <w:keepLines/>
        <w:spacing w:before="200" w:after="120"/>
        <w:ind w:left="547"/>
        <w:outlineLvl w:val="1"/>
        <w:rPr>
          <w:rFonts w:ascii="Arial" w:hAnsi="Arial"/>
          <w:bCs/>
          <w:color w:val="3B3838"/>
          <w:sz w:val="22"/>
          <w:szCs w:val="26"/>
        </w:rPr>
      </w:pPr>
      <w:r w:rsidRPr="00D1390C">
        <w:rPr>
          <w:rFonts w:ascii="Arial" w:hAnsi="Arial" w:cs="Arial"/>
          <w:bCs/>
          <w:color w:val="C45911"/>
        </w:rPr>
        <w:t xml:space="preserve"> </w:t>
      </w:r>
      <w:r w:rsidRPr="00D1390C">
        <w:rPr>
          <w:rFonts w:ascii="Arial" w:hAnsi="Arial" w:cs="Arial"/>
          <w:bCs/>
          <w:color w:val="504938"/>
          <w:sz w:val="22"/>
          <w:szCs w:val="22"/>
        </w:rPr>
        <w:t>Statutory authority</w:t>
      </w:r>
      <w:r w:rsidRPr="00D1390C">
        <w:rPr>
          <w:rFonts w:ascii="Arial" w:hAnsi="Arial"/>
          <w:bCs/>
          <w:color w:val="3B3838"/>
          <w:sz w:val="22"/>
          <w:szCs w:val="26"/>
        </w:rPr>
        <w:t xml:space="preserve"> </w:t>
      </w:r>
    </w:p>
    <w:p w14:paraId="3E1C3F75" w14:textId="77777777" w:rsidR="00D1390C" w:rsidRPr="00D1390C" w:rsidRDefault="00D1390C" w:rsidP="00D1390C">
      <w:pPr>
        <w:rPr>
          <w:rFonts w:ascii="Arial" w:hAnsi="Arial"/>
          <w:bCs/>
          <w:color w:val="C45911"/>
        </w:rPr>
      </w:pPr>
      <w:r w:rsidRPr="00D1390C">
        <w:rPr>
          <w:color w:val="000000"/>
        </w:rPr>
        <w:t>ORS 468.020, 468.065, 468A.025, 468A.040, 468A.050, 468A.310 and 468A.315</w:t>
      </w:r>
    </w:p>
    <w:p w14:paraId="3E1C3F76"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Statute implemented</w:t>
      </w:r>
    </w:p>
    <w:p w14:paraId="3E1C3F77" w14:textId="77777777" w:rsidR="00D1390C" w:rsidRPr="00D1390C" w:rsidRDefault="00D1390C" w:rsidP="00D1390C">
      <w:pPr>
        <w:ind w:right="14"/>
        <w:rPr>
          <w:color w:val="000000"/>
        </w:rPr>
      </w:pPr>
      <w:r w:rsidRPr="00D1390C">
        <w:t>ORS</w:t>
      </w:r>
      <w:r w:rsidRPr="00D1390C">
        <w:rPr>
          <w:rFonts w:ascii="Arial" w:hAnsi="Arial"/>
          <w:bCs/>
          <w:color w:val="C45911"/>
        </w:rPr>
        <w:t xml:space="preserve"> </w:t>
      </w:r>
      <w:r w:rsidRPr="00D1390C">
        <w:rPr>
          <w:bCs/>
          <w:color w:val="000000"/>
        </w:rPr>
        <w:t>468.065, 468A.050 and 468A.315</w:t>
      </w:r>
    </w:p>
    <w:p w14:paraId="3E1C3F78" w14:textId="77777777" w:rsidR="00D1390C" w:rsidRPr="00D1390C" w:rsidRDefault="00D1390C" w:rsidP="00D1390C"/>
    <w:p w14:paraId="3E1C3F79" w14:textId="77777777" w:rsidR="00D1390C" w:rsidRPr="00D1390C" w:rsidRDefault="00D1390C" w:rsidP="00D1390C">
      <w:pPr>
        <w:ind w:left="540"/>
        <w:rPr>
          <w:u w:val="single"/>
        </w:rPr>
      </w:pPr>
      <w:bookmarkStart w:id="1" w:name="SupportingDocuments"/>
      <w:r w:rsidRPr="00D1390C">
        <w:rPr>
          <w:rFonts w:ascii="Arial" w:hAnsi="Arial"/>
          <w:bCs/>
          <w:color w:val="3B3838"/>
          <w:szCs w:val="26"/>
        </w:rPr>
        <w:t xml:space="preserve">Documents relied on for rulemaking </w:t>
      </w:r>
      <w:bookmarkEnd w:id="1"/>
      <w:r w:rsidRPr="00D1390C">
        <w:rPr>
          <w:rFonts w:ascii="Arial" w:hAnsi="Arial"/>
          <w:bCs/>
          <w:color w:val="3B3838"/>
          <w:szCs w:val="26"/>
        </w:rPr>
        <w:tab/>
      </w:r>
      <w:r w:rsidRPr="00D1390C">
        <w:rPr>
          <w:bCs/>
          <w:color w:val="000000"/>
        </w:rPr>
        <w:t>ORS 183.335(2)(b)(D)</w:t>
      </w:r>
    </w:p>
    <w:tbl>
      <w:tblPr>
        <w:tblStyle w:val="TableGrid"/>
        <w:tblW w:w="0" w:type="auto"/>
        <w:tblInd w:w="828" w:type="dxa"/>
        <w:tblLayout w:type="fixed"/>
        <w:tblCellMar>
          <w:top w:w="43" w:type="dxa"/>
          <w:left w:w="115" w:type="dxa"/>
          <w:bottom w:w="43" w:type="dxa"/>
          <w:right w:w="115" w:type="dxa"/>
        </w:tblCellMar>
        <w:tblLook w:val="04A0" w:firstRow="1" w:lastRow="0" w:firstColumn="1" w:lastColumn="0" w:noHBand="0" w:noVBand="1"/>
      </w:tblPr>
      <w:tblGrid>
        <w:gridCol w:w="4860"/>
        <w:gridCol w:w="4950"/>
      </w:tblGrid>
      <w:tr w:rsidR="00D1390C" w:rsidRPr="00D1390C" w14:paraId="3E1C3F7C" w14:textId="77777777" w:rsidTr="00D1390C">
        <w:tc>
          <w:tcPr>
            <w:tcW w:w="4860" w:type="dxa"/>
            <w:tcBorders>
              <w:top w:val="double" w:sz="4" w:space="0" w:color="auto"/>
              <w:left w:val="double" w:sz="4" w:space="0" w:color="auto"/>
            </w:tcBorders>
            <w:shd w:val="clear" w:color="auto" w:fill="008272"/>
            <w:vAlign w:val="center"/>
          </w:tcPr>
          <w:p w14:paraId="3E1C3F7A" w14:textId="77777777" w:rsidR="00D1390C" w:rsidRPr="00D1390C" w:rsidRDefault="00D1390C" w:rsidP="00D1390C">
            <w:pPr>
              <w:ind w:left="162"/>
              <w:rPr>
                <w:rFonts w:ascii="Arial" w:hAnsi="Arial" w:cs="Arial"/>
                <w:b/>
                <w:color w:val="FFFFFF"/>
              </w:rPr>
            </w:pPr>
            <w:r w:rsidRPr="00D1390C">
              <w:rPr>
                <w:rFonts w:ascii="Arial" w:hAnsi="Arial" w:cs="Arial"/>
                <w:b/>
                <w:color w:val="FFFFFF"/>
              </w:rPr>
              <w:tab/>
              <w:t>Document title</w:t>
            </w:r>
          </w:p>
        </w:tc>
        <w:tc>
          <w:tcPr>
            <w:tcW w:w="4950" w:type="dxa"/>
            <w:tcBorders>
              <w:top w:val="double" w:sz="4" w:space="0" w:color="auto"/>
              <w:right w:val="double" w:sz="4" w:space="0" w:color="auto"/>
            </w:tcBorders>
            <w:shd w:val="clear" w:color="auto" w:fill="008272"/>
            <w:vAlign w:val="center"/>
          </w:tcPr>
          <w:p w14:paraId="3E1C3F7B" w14:textId="77777777" w:rsidR="00D1390C" w:rsidRPr="00D1390C" w:rsidRDefault="00D1390C" w:rsidP="00D1390C">
            <w:pPr>
              <w:ind w:left="162"/>
              <w:rPr>
                <w:rFonts w:ascii="Arial" w:hAnsi="Arial" w:cs="Arial"/>
                <w:b/>
                <w:color w:val="FFFFFF"/>
              </w:rPr>
            </w:pPr>
            <w:r w:rsidRPr="00D1390C">
              <w:rPr>
                <w:rFonts w:ascii="Arial" w:hAnsi="Arial" w:cs="Arial"/>
                <w:b/>
                <w:color w:val="FFFFFF"/>
              </w:rPr>
              <w:t>Document location</w:t>
            </w:r>
          </w:p>
        </w:tc>
      </w:tr>
      <w:tr w:rsidR="00D1390C" w:rsidRPr="00D1390C" w14:paraId="3E1C3F7F" w14:textId="77777777" w:rsidTr="00D1390C">
        <w:tc>
          <w:tcPr>
            <w:tcW w:w="4860" w:type="dxa"/>
            <w:tcBorders>
              <w:left w:val="double" w:sz="4" w:space="0" w:color="auto"/>
            </w:tcBorders>
            <w:vAlign w:val="center"/>
          </w:tcPr>
          <w:p w14:paraId="3E1C3F7D" w14:textId="77777777" w:rsidR="00D1390C" w:rsidRPr="00D1390C" w:rsidRDefault="00D1390C" w:rsidP="00D1390C">
            <w:pPr>
              <w:ind w:left="0"/>
              <w:rPr>
                <w:rFonts w:ascii="Times New Roman" w:hAnsi="Times New Roman" w:cs="Times New Roman"/>
                <w:color w:val="000000"/>
                <w:sz w:val="24"/>
                <w:szCs w:val="24"/>
              </w:rPr>
            </w:pPr>
            <w:r w:rsidRPr="00D1390C">
              <w:rPr>
                <w:rFonts w:ascii="Times New Roman" w:hAnsi="Times New Roman" w:cs="Times New Roman"/>
                <w:color w:val="000000"/>
                <w:sz w:val="24"/>
                <w:szCs w:val="24"/>
              </w:rPr>
              <w:t>2015-2017 Legislatively approved budget</w:t>
            </w:r>
          </w:p>
        </w:tc>
        <w:tc>
          <w:tcPr>
            <w:tcW w:w="4950" w:type="dxa"/>
            <w:tcBorders>
              <w:right w:val="double" w:sz="4" w:space="0" w:color="auto"/>
            </w:tcBorders>
            <w:vAlign w:val="center"/>
          </w:tcPr>
          <w:p w14:paraId="3E1C3F7E" w14:textId="77777777" w:rsidR="00D1390C" w:rsidRPr="00D1390C" w:rsidRDefault="007642FC" w:rsidP="00D1390C">
            <w:pPr>
              <w:ind w:left="0"/>
              <w:rPr>
                <w:rFonts w:ascii="Times New Roman" w:hAnsi="Times New Roman" w:cs="Times New Roman"/>
                <w:color w:val="000000"/>
                <w:sz w:val="24"/>
                <w:szCs w:val="24"/>
              </w:rPr>
            </w:pPr>
            <w:hyperlink r:id="rId12" w:history="1">
              <w:r w:rsidR="00D1390C" w:rsidRPr="00D1390C">
                <w:rPr>
                  <w:rFonts w:ascii="Times New Roman" w:hAnsi="Times New Roman" w:cs="Times New Roman"/>
                  <w:color w:val="0563C1"/>
                  <w:sz w:val="24"/>
                  <w:szCs w:val="24"/>
                  <w:u w:val="single"/>
                </w:rPr>
                <w:t>DEQ Website</w:t>
              </w:r>
            </w:hyperlink>
          </w:p>
        </w:tc>
      </w:tr>
      <w:tr w:rsidR="00D1390C" w:rsidRPr="00D1390C" w14:paraId="3E1C3F82" w14:textId="77777777" w:rsidTr="00D1390C">
        <w:tc>
          <w:tcPr>
            <w:tcW w:w="4860" w:type="dxa"/>
            <w:tcBorders>
              <w:left w:val="double" w:sz="4" w:space="0" w:color="auto"/>
              <w:bottom w:val="single" w:sz="4" w:space="0" w:color="auto"/>
            </w:tcBorders>
            <w:vAlign w:val="center"/>
          </w:tcPr>
          <w:p w14:paraId="3E1C3F80" w14:textId="77777777" w:rsidR="00D1390C" w:rsidRPr="00D1390C" w:rsidRDefault="00D1390C" w:rsidP="00D1390C">
            <w:pPr>
              <w:ind w:left="0"/>
              <w:rPr>
                <w:rFonts w:ascii="Times New Roman" w:hAnsi="Times New Roman" w:cs="Times New Roman"/>
                <w:color w:val="000000"/>
                <w:sz w:val="24"/>
                <w:szCs w:val="24"/>
              </w:rPr>
            </w:pPr>
            <w:r w:rsidRPr="00D1390C">
              <w:rPr>
                <w:rFonts w:ascii="Times New Roman" w:hAnsi="Times New Roman" w:cs="Times New Roman"/>
                <w:color w:val="000000"/>
                <w:sz w:val="24"/>
                <w:szCs w:val="24"/>
              </w:rPr>
              <w:t>Clean Air Act, including Clean Air Act Amendments of 1990</w:t>
            </w:r>
          </w:p>
        </w:tc>
        <w:tc>
          <w:tcPr>
            <w:tcW w:w="4950" w:type="dxa"/>
            <w:tcBorders>
              <w:bottom w:val="single" w:sz="4" w:space="0" w:color="auto"/>
              <w:right w:val="double" w:sz="4" w:space="0" w:color="auto"/>
            </w:tcBorders>
            <w:vAlign w:val="center"/>
          </w:tcPr>
          <w:p w14:paraId="3E1C3F81" w14:textId="77777777" w:rsidR="00D1390C" w:rsidRPr="00D1390C" w:rsidRDefault="007642FC" w:rsidP="00D1390C">
            <w:pPr>
              <w:ind w:left="0"/>
              <w:rPr>
                <w:rFonts w:ascii="Times New Roman" w:hAnsi="Times New Roman" w:cs="Times New Roman"/>
                <w:color w:val="000000"/>
                <w:sz w:val="24"/>
                <w:szCs w:val="24"/>
              </w:rPr>
            </w:pPr>
            <w:hyperlink r:id="rId13" w:history="1">
              <w:r w:rsidR="00D1390C" w:rsidRPr="00D1390C">
                <w:rPr>
                  <w:rFonts w:ascii="Times New Roman" w:hAnsi="Times New Roman" w:cs="Times New Roman"/>
                  <w:color w:val="0563C1"/>
                  <w:sz w:val="24"/>
                  <w:szCs w:val="24"/>
                  <w:u w:val="single"/>
                </w:rPr>
                <w:t>EPA Website</w:t>
              </w:r>
            </w:hyperlink>
          </w:p>
        </w:tc>
      </w:tr>
      <w:tr w:rsidR="00D1390C" w:rsidRPr="00D1390C" w14:paraId="3E1C3F85" w14:textId="77777777" w:rsidTr="00D1390C">
        <w:tc>
          <w:tcPr>
            <w:tcW w:w="4860" w:type="dxa"/>
            <w:tcBorders>
              <w:left w:val="double" w:sz="4" w:space="0" w:color="auto"/>
              <w:bottom w:val="double" w:sz="4" w:space="0" w:color="auto"/>
            </w:tcBorders>
            <w:vAlign w:val="center"/>
          </w:tcPr>
          <w:p w14:paraId="3E1C3F83" w14:textId="77777777" w:rsidR="00D1390C" w:rsidRPr="00D1390C" w:rsidRDefault="00D1390C" w:rsidP="00D1390C">
            <w:pPr>
              <w:ind w:left="0"/>
              <w:rPr>
                <w:rFonts w:ascii="Times New Roman" w:hAnsi="Times New Roman" w:cs="Times New Roman"/>
                <w:color w:val="000000"/>
                <w:sz w:val="24"/>
                <w:szCs w:val="24"/>
              </w:rPr>
            </w:pPr>
            <w:r w:rsidRPr="00D1390C">
              <w:rPr>
                <w:rFonts w:ascii="Times New Roman" w:hAnsi="Times New Roman" w:cs="Times New Roman"/>
                <w:color w:val="000000"/>
                <w:sz w:val="24"/>
                <w:szCs w:val="24"/>
              </w:rPr>
              <w:t>U.S. Department of Labor, Bureau of Labor Statistics, Consumer Price Index</w:t>
            </w:r>
          </w:p>
        </w:tc>
        <w:tc>
          <w:tcPr>
            <w:tcW w:w="4950" w:type="dxa"/>
            <w:tcBorders>
              <w:bottom w:val="double" w:sz="4" w:space="0" w:color="auto"/>
              <w:right w:val="double" w:sz="4" w:space="0" w:color="auto"/>
            </w:tcBorders>
            <w:vAlign w:val="center"/>
          </w:tcPr>
          <w:p w14:paraId="3E1C3F84" w14:textId="77777777" w:rsidR="00D1390C" w:rsidRPr="00D1390C" w:rsidRDefault="007642FC" w:rsidP="00D1390C">
            <w:pPr>
              <w:ind w:left="0"/>
              <w:rPr>
                <w:rFonts w:ascii="Times New Roman" w:hAnsi="Times New Roman" w:cs="Times New Roman"/>
                <w:sz w:val="24"/>
                <w:szCs w:val="24"/>
              </w:rPr>
            </w:pPr>
            <w:hyperlink r:id="rId14" w:history="1">
              <w:r w:rsidR="00D1390C" w:rsidRPr="00D1390C">
                <w:rPr>
                  <w:rFonts w:ascii="Times New Roman" w:hAnsi="Times New Roman" w:cs="Times New Roman"/>
                  <w:color w:val="0563C1"/>
                  <w:sz w:val="24"/>
                  <w:szCs w:val="24"/>
                  <w:u w:val="single"/>
                </w:rPr>
                <w:t>Bureau of Labor Statistics Website</w:t>
              </w:r>
            </w:hyperlink>
          </w:p>
        </w:tc>
      </w:tr>
    </w:tbl>
    <w:p w14:paraId="3E1C3F86" w14:textId="77777777" w:rsidR="00EB0734" w:rsidRDefault="00EB0734" w:rsidP="00EB0734"/>
    <w:p w14:paraId="3E1C3F87" w14:textId="77777777" w:rsidR="00377FA3" w:rsidRPr="00377FA3" w:rsidRDefault="00377FA3" w:rsidP="00377FA3"/>
    <w:p w14:paraId="3E1C3F88" w14:textId="77777777" w:rsidR="00377FA3" w:rsidRPr="00377FA3" w:rsidRDefault="00377FA3" w:rsidP="00377FA3">
      <w:pPr>
        <w:sectPr w:rsidR="00377FA3" w:rsidRPr="00377FA3" w:rsidSect="00EB0734">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E1C3F8A" w14:textId="77777777" w:rsidTr="00EB0734">
        <w:trPr>
          <w:trHeight w:val="603"/>
        </w:trPr>
        <w:tc>
          <w:tcPr>
            <w:tcW w:w="12335" w:type="dxa"/>
            <w:shd w:val="clear" w:color="auto" w:fill="D0CECE" w:themeFill="background2" w:themeFillShade="E6"/>
            <w:noWrap/>
            <w:vAlign w:val="bottom"/>
            <w:hideMark/>
          </w:tcPr>
          <w:p w14:paraId="3E1C3F89" w14:textId="77777777" w:rsidR="00377FA3" w:rsidRPr="00377FA3" w:rsidRDefault="00377FA3" w:rsidP="00EB0734">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Fee Analysis</w:t>
            </w:r>
          </w:p>
        </w:tc>
      </w:tr>
    </w:tbl>
    <w:p w14:paraId="3E1C3F8B"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Fee Analysis</w:t>
      </w:r>
    </w:p>
    <w:p w14:paraId="3E1C3F8C" w14:textId="77777777" w:rsidR="00D1390C" w:rsidRPr="00D1390C" w:rsidRDefault="00D1390C" w:rsidP="00D1390C">
      <w:pPr>
        <w:autoSpaceDE w:val="0"/>
        <w:autoSpaceDN w:val="0"/>
        <w:adjustRightInd w:val="0"/>
        <w:ind w:right="0"/>
        <w:outlineLvl w:val="9"/>
        <w:rPr>
          <w:color w:val="000000"/>
        </w:rPr>
      </w:pPr>
      <w:r w:rsidRPr="00D1390C">
        <w:rPr>
          <w:color w:val="000000"/>
        </w:rPr>
        <w:t>The proposed rules would increase existing Title V fees. EQC’s authority to act on the proposed fees is in ORS 468A.050.</w:t>
      </w:r>
    </w:p>
    <w:p w14:paraId="3E1C3F8D" w14:textId="77777777" w:rsidR="00D1390C" w:rsidRPr="00D1390C" w:rsidRDefault="00D1390C" w:rsidP="00D1390C">
      <w:pPr>
        <w:autoSpaceDE w:val="0"/>
        <w:autoSpaceDN w:val="0"/>
        <w:adjustRightInd w:val="0"/>
        <w:ind w:right="0"/>
        <w:outlineLvl w:val="9"/>
        <w:rPr>
          <w:color w:val="000000"/>
        </w:rPr>
      </w:pPr>
    </w:p>
    <w:p w14:paraId="3E1C3F8E" w14:textId="77777777" w:rsidR="00D1390C" w:rsidRPr="00D1390C" w:rsidRDefault="00D1390C" w:rsidP="00D1390C">
      <w:pPr>
        <w:autoSpaceDE w:val="0"/>
        <w:autoSpaceDN w:val="0"/>
        <w:adjustRightInd w:val="0"/>
        <w:ind w:right="0"/>
        <w:outlineLvl w:val="9"/>
        <w:rPr>
          <w:color w:val="000000"/>
        </w:rPr>
      </w:pPr>
      <w:r w:rsidRPr="00D1390C">
        <w:rPr>
          <w:color w:val="000000"/>
        </w:rPr>
        <w:t>Oregon’s Title V program administers federal health standards, air toxic requirements and other regulations to reduce the number of unhealthy air days and health risks from air toxics. The program issues, renews or modifies permits to prevent or reduce air pollution through permit requirements. In addition, it ensures existing pollution sources comply with state and federal air emissions standards and new sources of air pollution install controls such as filtration equipment, combustion controls and vapor controls needed to protect air quality. Other essential services include emission inventories, technical assistance, inspections, enforcement, rule and policy development, data management and reporting to EPA.</w:t>
      </w:r>
    </w:p>
    <w:p w14:paraId="3E1C3F8F"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Brief description of proposed fees</w:t>
      </w:r>
    </w:p>
    <w:p w14:paraId="3E1C3F90" w14:textId="77777777" w:rsidR="00D1390C" w:rsidRPr="00D1390C" w:rsidRDefault="00D1390C" w:rsidP="00D1390C">
      <w:pPr>
        <w:rPr>
          <w:color w:val="000000"/>
        </w:rPr>
      </w:pPr>
      <w:r w:rsidRPr="00D1390C">
        <w:rPr>
          <w:color w:val="000000"/>
        </w:rPr>
        <w:t>The Oregon Legislature established Oregon’s Title V fees in three categories. The proposed rules would increase the annual base fees, emission fees and specific activity fees, described under the Statement of Need section above and based on the consumer price index described under the Summary section on page one.</w:t>
      </w:r>
    </w:p>
    <w:p w14:paraId="3E1C3F91"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Reasons</w:t>
      </w:r>
    </w:p>
    <w:p w14:paraId="3E1C3F92" w14:textId="77777777" w:rsidR="00D1390C" w:rsidRPr="00D1390C" w:rsidRDefault="00D1390C" w:rsidP="00D1390C">
      <w:pPr>
        <w:rPr>
          <w:color w:val="000000"/>
        </w:rPr>
      </w:pPr>
      <w:r w:rsidRPr="00D1390C">
        <w:rPr>
          <w:color w:val="000000"/>
        </w:rPr>
        <w:t>The proposed fees would address increased program costs.</w:t>
      </w:r>
    </w:p>
    <w:p w14:paraId="3E1C3F93"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Fee proposal alternatives considered</w:t>
      </w:r>
    </w:p>
    <w:p w14:paraId="3E1C3F94" w14:textId="77777777" w:rsidR="00D1390C" w:rsidRPr="00D1390C" w:rsidRDefault="00D1390C" w:rsidP="00D1390C">
      <w:pPr>
        <w:rPr>
          <w:color w:val="000000"/>
        </w:rPr>
      </w:pPr>
      <w:r w:rsidRPr="00D1390C">
        <w:rPr>
          <w:color w:val="000000"/>
        </w:rPr>
        <w:t>Federal law requires DEQ to perform requisite program services to retain delegation of the Title V program. Federal law also requires DEQ to fund the permit program entirely by permit fees. DEQ could decline to administer the program, shifting the program from DEQ to EPA; however, DEQ has chosen not to pursue this alternative to maintain regulatory consistency for the regulated public and citizens of Oregon.</w:t>
      </w:r>
    </w:p>
    <w:p w14:paraId="3E1C3F95"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Fee payer</w:t>
      </w:r>
    </w:p>
    <w:p w14:paraId="3E1C3F96" w14:textId="77777777" w:rsidR="00D1390C" w:rsidRPr="00D1390C" w:rsidRDefault="00D1390C" w:rsidP="00D1390C">
      <w:pPr>
        <w:rPr>
          <w:color w:val="000000"/>
        </w:rPr>
      </w:pPr>
      <w:r w:rsidRPr="00D1390C">
        <w:rPr>
          <w:color w:val="000000"/>
        </w:rPr>
        <w:t>Title V permit holders include many of the largest industrial facilities in the state and are the largest point sources of air pollution in the state. These facilities are mainly large employers and produce items for local and regional consumption. Title V permit holders are an important part of the Oregon economy.</w:t>
      </w:r>
    </w:p>
    <w:p w14:paraId="3E1C3F97"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Affected party involvement in fee-setting process</w:t>
      </w:r>
    </w:p>
    <w:p w14:paraId="3E1C3F98" w14:textId="77777777" w:rsidR="00D1390C" w:rsidRPr="00D1390C" w:rsidRDefault="00D1390C" w:rsidP="00D1390C">
      <w:pPr>
        <w:rPr>
          <w:color w:val="000000"/>
        </w:rPr>
      </w:pPr>
      <w:r w:rsidRPr="00D1390C">
        <w:rPr>
          <w:color w:val="000000"/>
        </w:rPr>
        <w:t xml:space="preserve">DEQ negotiated with Title V stakeholders when the fees were increased in the 2007 legislative session and again during the 2009 session when the statutory language related to annual Consumer Price Index increases was clarified. </w:t>
      </w:r>
    </w:p>
    <w:p w14:paraId="3E1C3F99" w14:textId="77777777" w:rsidR="00D1390C" w:rsidRPr="00D1390C" w:rsidRDefault="00D1390C" w:rsidP="00D1390C">
      <w:pPr>
        <w:rPr>
          <w:color w:val="000000"/>
        </w:rPr>
      </w:pPr>
    </w:p>
    <w:p w14:paraId="3E1C3F9A" w14:textId="77777777" w:rsidR="00D1390C" w:rsidRPr="00D1390C" w:rsidRDefault="00D1390C" w:rsidP="00D1390C">
      <w:pPr>
        <w:rPr>
          <w:color w:val="000000"/>
        </w:rPr>
      </w:pPr>
      <w:r w:rsidRPr="00D1390C">
        <w:rPr>
          <w:color w:val="000000"/>
        </w:rPr>
        <w:t>During the pub</w:t>
      </w:r>
      <w:r>
        <w:rPr>
          <w:color w:val="000000"/>
        </w:rPr>
        <w:t>lic comment period, DEQ requested</w:t>
      </w:r>
      <w:r w:rsidRPr="00D1390C">
        <w:rPr>
          <w:color w:val="000000"/>
        </w:rPr>
        <w:t xml:space="preserve"> public comment on whether to consider other options for achieving the rule's substantive goals while reducing negative economic impact of the rule on business.</w:t>
      </w:r>
    </w:p>
    <w:p w14:paraId="3E1C3F9B"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lastRenderedPageBreak/>
        <w:t>Summary of impacts</w:t>
      </w:r>
    </w:p>
    <w:p w14:paraId="3E1C3F9C" w14:textId="5FCE1D40" w:rsidR="00D1390C" w:rsidRPr="00D1390C" w:rsidRDefault="00D1390C" w:rsidP="00D1390C">
      <w:pPr>
        <w:rPr>
          <w:color w:val="000000"/>
        </w:rPr>
      </w:pPr>
      <w:r w:rsidRPr="00D1390C">
        <w:rPr>
          <w:color w:val="000000"/>
        </w:rPr>
        <w:t>The proposed fee increase would affect the 11</w:t>
      </w:r>
      <w:r w:rsidR="008C4761">
        <w:rPr>
          <w:color w:val="000000"/>
        </w:rPr>
        <w:t>3</w:t>
      </w:r>
      <w:r w:rsidRPr="00D1390C">
        <w:rPr>
          <w:color w:val="000000"/>
        </w:rPr>
        <w:t xml:space="preserve"> facilities that currently have a Title V permit and any facility that applies for this type of permit in the future.</w:t>
      </w:r>
    </w:p>
    <w:p w14:paraId="3E1C3F9D"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Fee payer agreement with fee proposal</w:t>
      </w:r>
    </w:p>
    <w:p w14:paraId="3E1C3F9E" w14:textId="77777777" w:rsidR="00D1390C" w:rsidRPr="00D1390C" w:rsidRDefault="00D1390C" w:rsidP="00D1390C">
      <w:pPr>
        <w:rPr>
          <w:color w:val="000000"/>
        </w:rPr>
      </w:pPr>
      <w:r w:rsidRPr="00D1390C">
        <w:rPr>
          <w:color w:val="000000"/>
        </w:rPr>
        <w:t>DEQ has increased Title V fees regularly since the Title V program began in the early nineties. Fee payers generally do not oppose this annual fee increase equal to the rate of inflation.</w:t>
      </w:r>
    </w:p>
    <w:p w14:paraId="3E1C3F9F" w14:textId="77777777" w:rsidR="00D1390C" w:rsidRPr="00D1390C" w:rsidRDefault="00D1390C" w:rsidP="00D1390C">
      <w:pPr>
        <w:spacing w:after="120"/>
        <w:ind w:left="0" w:right="0"/>
        <w:outlineLvl w:val="9"/>
        <w:rPr>
          <w:rFonts w:ascii="Arial" w:hAnsi="Arial" w:cs="Arial"/>
          <w:color w:val="504938"/>
          <w:szCs w:val="22"/>
        </w:rPr>
      </w:pPr>
    </w:p>
    <w:p w14:paraId="3E1C3FA0" w14:textId="77777777" w:rsidR="00D1390C" w:rsidRPr="00D1390C" w:rsidRDefault="00D1390C" w:rsidP="00D1390C">
      <w:pPr>
        <w:spacing w:after="120"/>
        <w:ind w:left="540" w:right="0"/>
        <w:outlineLvl w:val="9"/>
        <w:rPr>
          <w:rFonts w:ascii="Arial" w:hAnsi="Arial" w:cs="Arial"/>
          <w:color w:val="504938"/>
          <w:szCs w:val="22"/>
        </w:rPr>
      </w:pPr>
      <w:r w:rsidRPr="00D1390C">
        <w:rPr>
          <w:rFonts w:ascii="Arial" w:hAnsi="Arial" w:cs="Arial"/>
          <w:color w:val="504938"/>
          <w:szCs w:val="22"/>
        </w:rPr>
        <w:t>Links to supporting documents for proposed fees</w:t>
      </w:r>
    </w:p>
    <w:tbl>
      <w:tblPr>
        <w:tblStyle w:val="TableGrid"/>
        <w:tblW w:w="0" w:type="auto"/>
        <w:tblInd w:w="828" w:type="dxa"/>
        <w:tblLayout w:type="fixed"/>
        <w:tblCellMar>
          <w:top w:w="43" w:type="dxa"/>
          <w:left w:w="115" w:type="dxa"/>
          <w:bottom w:w="43" w:type="dxa"/>
          <w:right w:w="115" w:type="dxa"/>
        </w:tblCellMar>
        <w:tblLook w:val="04A0" w:firstRow="1" w:lastRow="0" w:firstColumn="1" w:lastColumn="0" w:noHBand="0" w:noVBand="1"/>
      </w:tblPr>
      <w:tblGrid>
        <w:gridCol w:w="4860"/>
        <w:gridCol w:w="4950"/>
      </w:tblGrid>
      <w:tr w:rsidR="00D1390C" w:rsidRPr="00D1390C" w14:paraId="3E1C3FA3" w14:textId="77777777" w:rsidTr="00D1390C">
        <w:tc>
          <w:tcPr>
            <w:tcW w:w="4860" w:type="dxa"/>
            <w:tcBorders>
              <w:top w:val="double" w:sz="4" w:space="0" w:color="auto"/>
              <w:left w:val="double" w:sz="4" w:space="0" w:color="auto"/>
            </w:tcBorders>
            <w:shd w:val="clear" w:color="auto" w:fill="008272"/>
            <w:vAlign w:val="center"/>
          </w:tcPr>
          <w:p w14:paraId="3E1C3FA1" w14:textId="77777777" w:rsidR="00D1390C" w:rsidRPr="00D1390C" w:rsidRDefault="00D1390C" w:rsidP="00D1390C">
            <w:pPr>
              <w:ind w:left="162"/>
              <w:rPr>
                <w:rFonts w:ascii="Arial" w:hAnsi="Arial" w:cs="Arial"/>
                <w:b/>
                <w:color w:val="FFFFFF"/>
              </w:rPr>
            </w:pPr>
            <w:r w:rsidRPr="00D1390C">
              <w:rPr>
                <w:rFonts w:ascii="Arial" w:hAnsi="Arial" w:cs="Arial"/>
                <w:b/>
                <w:color w:val="FFFFFF"/>
              </w:rPr>
              <w:t>Document title</w:t>
            </w:r>
          </w:p>
        </w:tc>
        <w:tc>
          <w:tcPr>
            <w:tcW w:w="4950" w:type="dxa"/>
            <w:tcBorders>
              <w:top w:val="double" w:sz="4" w:space="0" w:color="auto"/>
              <w:right w:val="double" w:sz="4" w:space="0" w:color="auto"/>
            </w:tcBorders>
            <w:shd w:val="clear" w:color="auto" w:fill="008272"/>
            <w:vAlign w:val="center"/>
          </w:tcPr>
          <w:p w14:paraId="3E1C3FA2" w14:textId="77777777" w:rsidR="00D1390C" w:rsidRPr="00D1390C" w:rsidRDefault="00D1390C" w:rsidP="00D1390C">
            <w:pPr>
              <w:ind w:left="162"/>
              <w:rPr>
                <w:rFonts w:ascii="Arial" w:hAnsi="Arial" w:cs="Arial"/>
                <w:b/>
                <w:color w:val="FFFFFF"/>
              </w:rPr>
            </w:pPr>
            <w:r w:rsidRPr="00D1390C">
              <w:rPr>
                <w:rFonts w:ascii="Arial" w:hAnsi="Arial" w:cs="Arial"/>
                <w:b/>
                <w:color w:val="FFFFFF"/>
              </w:rPr>
              <w:t>Document location</w:t>
            </w:r>
          </w:p>
        </w:tc>
      </w:tr>
      <w:tr w:rsidR="00D1390C" w:rsidRPr="00D1390C" w14:paraId="3E1C3FA6" w14:textId="77777777" w:rsidTr="00D1390C">
        <w:tc>
          <w:tcPr>
            <w:tcW w:w="4860" w:type="dxa"/>
            <w:tcBorders>
              <w:left w:val="double" w:sz="4" w:space="0" w:color="auto"/>
            </w:tcBorders>
            <w:vAlign w:val="center"/>
          </w:tcPr>
          <w:p w14:paraId="3E1C3FA4" w14:textId="77777777" w:rsidR="00D1390C" w:rsidRPr="00D1390C" w:rsidRDefault="00D1390C" w:rsidP="00D1390C">
            <w:pPr>
              <w:ind w:left="0"/>
              <w:rPr>
                <w:rFonts w:ascii="Times New Roman" w:hAnsi="Times New Roman" w:cs="Times New Roman"/>
                <w:color w:val="000000"/>
                <w:sz w:val="24"/>
                <w:szCs w:val="24"/>
              </w:rPr>
            </w:pPr>
            <w:r w:rsidRPr="00D1390C">
              <w:rPr>
                <w:rFonts w:ascii="Times New Roman" w:hAnsi="Times New Roman" w:cs="Times New Roman"/>
                <w:color w:val="000000"/>
                <w:sz w:val="24"/>
                <w:szCs w:val="24"/>
              </w:rPr>
              <w:t>2015-2017 Legislatively approved budget</w:t>
            </w:r>
          </w:p>
        </w:tc>
        <w:tc>
          <w:tcPr>
            <w:tcW w:w="4950" w:type="dxa"/>
            <w:tcBorders>
              <w:right w:val="double" w:sz="4" w:space="0" w:color="auto"/>
            </w:tcBorders>
            <w:vAlign w:val="center"/>
          </w:tcPr>
          <w:p w14:paraId="3E1C3FA5" w14:textId="77777777" w:rsidR="00D1390C" w:rsidRPr="00D1390C" w:rsidRDefault="007642FC" w:rsidP="00D1390C">
            <w:pPr>
              <w:ind w:left="0"/>
              <w:rPr>
                <w:rFonts w:ascii="Times New Roman" w:hAnsi="Times New Roman" w:cs="Times New Roman"/>
                <w:color w:val="000000"/>
                <w:sz w:val="24"/>
                <w:szCs w:val="24"/>
              </w:rPr>
            </w:pPr>
            <w:hyperlink r:id="rId15" w:history="1">
              <w:r w:rsidR="00D1390C" w:rsidRPr="00D1390C">
                <w:rPr>
                  <w:rFonts w:ascii="Times New Roman" w:hAnsi="Times New Roman" w:cs="Times New Roman"/>
                  <w:color w:val="0563C1"/>
                  <w:sz w:val="24"/>
                  <w:szCs w:val="24"/>
                  <w:u w:val="single"/>
                </w:rPr>
                <w:t>DEQ Website</w:t>
              </w:r>
            </w:hyperlink>
          </w:p>
        </w:tc>
      </w:tr>
      <w:tr w:rsidR="00D1390C" w:rsidRPr="00D1390C" w14:paraId="3E1C3FA9" w14:textId="77777777" w:rsidTr="00D1390C">
        <w:tc>
          <w:tcPr>
            <w:tcW w:w="4860" w:type="dxa"/>
            <w:tcBorders>
              <w:left w:val="double" w:sz="4" w:space="0" w:color="auto"/>
              <w:bottom w:val="single" w:sz="4" w:space="0" w:color="auto"/>
            </w:tcBorders>
            <w:vAlign w:val="center"/>
          </w:tcPr>
          <w:p w14:paraId="3E1C3FA7" w14:textId="77777777" w:rsidR="00D1390C" w:rsidRPr="00D1390C" w:rsidRDefault="00D1390C" w:rsidP="00D1390C">
            <w:pPr>
              <w:ind w:left="0"/>
              <w:rPr>
                <w:rFonts w:ascii="Times New Roman" w:hAnsi="Times New Roman" w:cs="Times New Roman"/>
                <w:color w:val="000000"/>
                <w:sz w:val="24"/>
                <w:szCs w:val="24"/>
              </w:rPr>
            </w:pPr>
            <w:r w:rsidRPr="00D1390C">
              <w:rPr>
                <w:rFonts w:ascii="Times New Roman" w:hAnsi="Times New Roman" w:cs="Times New Roman"/>
                <w:color w:val="000000"/>
                <w:sz w:val="24"/>
                <w:szCs w:val="24"/>
              </w:rPr>
              <w:t>Clean Air Act, including Clean Air Act Amendments of 1990</w:t>
            </w:r>
          </w:p>
        </w:tc>
        <w:tc>
          <w:tcPr>
            <w:tcW w:w="4950" w:type="dxa"/>
            <w:tcBorders>
              <w:bottom w:val="single" w:sz="4" w:space="0" w:color="auto"/>
              <w:right w:val="double" w:sz="4" w:space="0" w:color="auto"/>
            </w:tcBorders>
            <w:vAlign w:val="center"/>
          </w:tcPr>
          <w:p w14:paraId="3E1C3FA8" w14:textId="77777777" w:rsidR="00D1390C" w:rsidRPr="00D1390C" w:rsidRDefault="007642FC" w:rsidP="00D1390C">
            <w:pPr>
              <w:ind w:left="0"/>
              <w:rPr>
                <w:rFonts w:ascii="Times New Roman" w:hAnsi="Times New Roman" w:cs="Times New Roman"/>
                <w:color w:val="000000"/>
                <w:sz w:val="24"/>
                <w:szCs w:val="24"/>
              </w:rPr>
            </w:pPr>
            <w:hyperlink r:id="rId16" w:history="1">
              <w:r w:rsidR="00D1390C" w:rsidRPr="00D1390C">
                <w:rPr>
                  <w:rFonts w:ascii="Times New Roman" w:hAnsi="Times New Roman" w:cs="Times New Roman"/>
                  <w:color w:val="0563C1"/>
                  <w:sz w:val="24"/>
                  <w:szCs w:val="24"/>
                  <w:u w:val="single"/>
                </w:rPr>
                <w:t>EPA Website</w:t>
              </w:r>
            </w:hyperlink>
          </w:p>
        </w:tc>
      </w:tr>
      <w:tr w:rsidR="00D1390C" w:rsidRPr="00D1390C" w14:paraId="3E1C3FAC" w14:textId="77777777" w:rsidTr="00D1390C">
        <w:tc>
          <w:tcPr>
            <w:tcW w:w="4860" w:type="dxa"/>
            <w:tcBorders>
              <w:left w:val="double" w:sz="4" w:space="0" w:color="auto"/>
              <w:bottom w:val="double" w:sz="4" w:space="0" w:color="auto"/>
            </w:tcBorders>
            <w:vAlign w:val="center"/>
          </w:tcPr>
          <w:p w14:paraId="3E1C3FAA" w14:textId="77777777" w:rsidR="00D1390C" w:rsidRPr="00D1390C" w:rsidRDefault="00D1390C" w:rsidP="00D1390C">
            <w:pPr>
              <w:ind w:left="0"/>
              <w:rPr>
                <w:rFonts w:ascii="Times New Roman" w:hAnsi="Times New Roman" w:cs="Times New Roman"/>
                <w:color w:val="000000"/>
                <w:sz w:val="24"/>
                <w:szCs w:val="24"/>
              </w:rPr>
            </w:pPr>
            <w:r w:rsidRPr="00D1390C">
              <w:rPr>
                <w:rFonts w:ascii="Times New Roman" w:hAnsi="Times New Roman" w:cs="Times New Roman"/>
                <w:color w:val="000000"/>
                <w:sz w:val="24"/>
                <w:szCs w:val="24"/>
              </w:rPr>
              <w:t>U.S. Department of Labor, Bureau of Labor Statistics, Consumer Price Index</w:t>
            </w:r>
          </w:p>
        </w:tc>
        <w:tc>
          <w:tcPr>
            <w:tcW w:w="4950" w:type="dxa"/>
            <w:tcBorders>
              <w:bottom w:val="double" w:sz="4" w:space="0" w:color="auto"/>
              <w:right w:val="double" w:sz="4" w:space="0" w:color="auto"/>
            </w:tcBorders>
            <w:vAlign w:val="center"/>
          </w:tcPr>
          <w:p w14:paraId="3E1C3FAB" w14:textId="77777777" w:rsidR="00D1390C" w:rsidRPr="00D1390C" w:rsidRDefault="007642FC" w:rsidP="00D1390C">
            <w:pPr>
              <w:ind w:left="0"/>
              <w:rPr>
                <w:rFonts w:ascii="Times New Roman" w:hAnsi="Times New Roman" w:cs="Times New Roman"/>
                <w:sz w:val="24"/>
                <w:szCs w:val="24"/>
              </w:rPr>
            </w:pPr>
            <w:hyperlink r:id="rId17" w:history="1">
              <w:r w:rsidR="00D1390C" w:rsidRPr="00D1390C">
                <w:rPr>
                  <w:rFonts w:ascii="Times New Roman" w:hAnsi="Times New Roman" w:cs="Times New Roman"/>
                  <w:color w:val="0563C1"/>
                  <w:sz w:val="24"/>
                  <w:szCs w:val="24"/>
                  <w:u w:val="single"/>
                </w:rPr>
                <w:t>Bureau of Labor Statistics Website</w:t>
              </w:r>
            </w:hyperlink>
          </w:p>
        </w:tc>
      </w:tr>
    </w:tbl>
    <w:p w14:paraId="3E1C3FAD"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 xml:space="preserve">How long will the </w:t>
      </w:r>
      <w:r w:rsidRPr="00D1390C">
        <w:rPr>
          <w:rFonts w:ascii="Arial" w:hAnsi="Arial" w:cs="Arial"/>
          <w:bCs/>
          <w:color w:val="504938"/>
          <w:sz w:val="22"/>
          <w:szCs w:val="22"/>
          <w:u w:val="single"/>
        </w:rPr>
        <w:t>current fees</w:t>
      </w:r>
      <w:r w:rsidRPr="00D1390C">
        <w:rPr>
          <w:rFonts w:ascii="Arial" w:hAnsi="Arial" w:cs="Arial"/>
          <w:bCs/>
          <w:color w:val="504938"/>
          <w:sz w:val="22"/>
          <w:szCs w:val="22"/>
        </w:rPr>
        <w:t xml:space="preserve"> sustain the program?</w:t>
      </w:r>
    </w:p>
    <w:p w14:paraId="3E1C3FAE" w14:textId="77777777" w:rsidR="00D1390C" w:rsidRPr="00D1390C" w:rsidRDefault="00D1390C" w:rsidP="00D1390C">
      <w:pPr>
        <w:rPr>
          <w:color w:val="000000"/>
        </w:rPr>
      </w:pPr>
      <w:r w:rsidRPr="00D1390C">
        <w:rPr>
          <w:color w:val="000000"/>
        </w:rPr>
        <w:t>The current fees will not sustain the program.</w:t>
      </w:r>
    </w:p>
    <w:tbl>
      <w:tblPr>
        <w:tblW w:w="8730" w:type="dxa"/>
        <w:tblInd w:w="738" w:type="dxa"/>
        <w:tblLook w:val="04A0" w:firstRow="1" w:lastRow="0" w:firstColumn="1" w:lastColumn="0" w:noHBand="0" w:noVBand="1"/>
      </w:tblPr>
      <w:tblGrid>
        <w:gridCol w:w="5130"/>
        <w:gridCol w:w="2250"/>
        <w:gridCol w:w="384"/>
        <w:gridCol w:w="966"/>
      </w:tblGrid>
      <w:tr w:rsidR="00D1390C" w:rsidRPr="00D1390C" w14:paraId="3E1C3FB3" w14:textId="77777777" w:rsidTr="00D1390C">
        <w:trPr>
          <w:trHeight w:val="315"/>
        </w:trPr>
        <w:tc>
          <w:tcPr>
            <w:tcW w:w="5130" w:type="dxa"/>
            <w:tcBorders>
              <w:top w:val="nil"/>
              <w:left w:val="nil"/>
              <w:bottom w:val="nil"/>
              <w:right w:val="nil"/>
            </w:tcBorders>
            <w:shd w:val="clear" w:color="000000" w:fill="FFFFFF"/>
            <w:noWrap/>
            <w:vAlign w:val="center"/>
            <w:hideMark/>
          </w:tcPr>
          <w:p w14:paraId="3E1C3FAF" w14:textId="77777777" w:rsidR="00D1390C" w:rsidRPr="00D1390C" w:rsidRDefault="00D1390C" w:rsidP="00D1390C">
            <w:pPr>
              <w:ind w:left="0"/>
              <w:jc w:val="right"/>
              <w:rPr>
                <w:rFonts w:ascii="Arial" w:hAnsi="Arial" w:cs="Arial"/>
                <w:color w:val="504938"/>
                <w:sz w:val="20"/>
                <w:szCs w:val="20"/>
              </w:rPr>
            </w:pPr>
            <w:r w:rsidRPr="00D1390C">
              <w:rPr>
                <w:rFonts w:ascii="Arial" w:hAnsi="Arial" w:cs="Arial"/>
                <w:color w:val="504938"/>
                <w:sz w:val="20"/>
                <w:szCs w:val="20"/>
              </w:rPr>
              <w:t>Biennial Program costs covered by fees</w:t>
            </w:r>
          </w:p>
        </w:tc>
        <w:tc>
          <w:tcPr>
            <w:tcW w:w="225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3E1C3FB0" w14:textId="77777777" w:rsidR="00D1390C" w:rsidRPr="00D1390C" w:rsidRDefault="00D1390C" w:rsidP="00D1390C">
            <w:pPr>
              <w:ind w:left="0"/>
              <w:jc w:val="right"/>
              <w:rPr>
                <w:color w:val="000000"/>
              </w:rPr>
            </w:pPr>
            <w:bookmarkStart w:id="2" w:name="RANGE!G182"/>
            <w:r w:rsidRPr="00D1390C">
              <w:rPr>
                <w:color w:val="000000"/>
              </w:rPr>
              <w:t>approx. $</w:t>
            </w:r>
            <w:bookmarkEnd w:id="2"/>
            <w:r w:rsidRPr="00D1390C">
              <w:rPr>
                <w:color w:val="000000"/>
              </w:rPr>
              <w:t xml:space="preserve">7,740,000   </w:t>
            </w:r>
          </w:p>
        </w:tc>
        <w:tc>
          <w:tcPr>
            <w:tcW w:w="384" w:type="dxa"/>
            <w:tcBorders>
              <w:top w:val="nil"/>
              <w:left w:val="nil"/>
              <w:bottom w:val="nil"/>
              <w:right w:val="nil"/>
            </w:tcBorders>
            <w:shd w:val="clear" w:color="000000" w:fill="FFFFFF"/>
            <w:noWrap/>
            <w:vAlign w:val="center"/>
            <w:hideMark/>
          </w:tcPr>
          <w:p w14:paraId="3E1C3FB1" w14:textId="77777777" w:rsidR="00D1390C" w:rsidRPr="00D1390C" w:rsidRDefault="00D1390C" w:rsidP="00D1390C">
            <w:pPr>
              <w:ind w:left="0"/>
              <w:rPr>
                <w:rFonts w:ascii="Cambria" w:hAnsi="Cambria"/>
                <w:color w:val="000000"/>
              </w:rPr>
            </w:pPr>
            <w:r w:rsidRPr="00D1390C">
              <w:rPr>
                <w:rFonts w:ascii="Cambria" w:hAnsi="Cambria"/>
                <w:color w:val="000000"/>
                <w:sz w:val="22"/>
                <w:szCs w:val="22"/>
              </w:rPr>
              <w:t> </w:t>
            </w:r>
          </w:p>
        </w:tc>
        <w:tc>
          <w:tcPr>
            <w:tcW w:w="966"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3E1C3FB2" w14:textId="77777777" w:rsidR="00D1390C" w:rsidRPr="00D1390C" w:rsidRDefault="00D1390C" w:rsidP="00D1390C">
            <w:pPr>
              <w:ind w:left="0"/>
              <w:jc w:val="right"/>
              <w:rPr>
                <w:color w:val="000000"/>
              </w:rPr>
            </w:pPr>
            <w:bookmarkStart w:id="3" w:name="RANGE!J182"/>
            <w:r w:rsidRPr="00D1390C">
              <w:rPr>
                <w:color w:val="000000"/>
              </w:rPr>
              <w:t>100%</w:t>
            </w:r>
            <w:bookmarkEnd w:id="3"/>
          </w:p>
        </w:tc>
      </w:tr>
      <w:tr w:rsidR="00D1390C" w:rsidRPr="00D1390C" w14:paraId="3E1C3FB8" w14:textId="77777777" w:rsidTr="00D1390C">
        <w:trPr>
          <w:trHeight w:val="315"/>
        </w:trPr>
        <w:tc>
          <w:tcPr>
            <w:tcW w:w="5130" w:type="dxa"/>
            <w:tcBorders>
              <w:top w:val="nil"/>
              <w:left w:val="nil"/>
              <w:bottom w:val="nil"/>
              <w:right w:val="nil"/>
            </w:tcBorders>
            <w:shd w:val="clear" w:color="000000" w:fill="FFFFFF"/>
            <w:noWrap/>
            <w:vAlign w:val="center"/>
            <w:hideMark/>
          </w:tcPr>
          <w:p w14:paraId="3E1C3FB4" w14:textId="77777777" w:rsidR="00D1390C" w:rsidRPr="00D1390C" w:rsidRDefault="00D1390C" w:rsidP="00D1390C">
            <w:pPr>
              <w:ind w:left="0"/>
              <w:jc w:val="right"/>
              <w:rPr>
                <w:rFonts w:ascii="Arial" w:hAnsi="Arial" w:cs="Arial"/>
                <w:color w:val="504938"/>
                <w:sz w:val="20"/>
                <w:szCs w:val="20"/>
              </w:rPr>
            </w:pPr>
            <w:r w:rsidRPr="00D1390C">
              <w:rPr>
                <w:rFonts w:ascii="Arial" w:hAnsi="Arial" w:cs="Arial"/>
                <w:color w:val="504938"/>
                <w:sz w:val="20"/>
                <w:szCs w:val="20"/>
              </w:rPr>
              <w:t>Program costs covered by General Fund</w:t>
            </w:r>
          </w:p>
        </w:tc>
        <w:tc>
          <w:tcPr>
            <w:tcW w:w="225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3E1C3FB5" w14:textId="77777777" w:rsidR="00D1390C" w:rsidRPr="00D1390C" w:rsidRDefault="00D1390C" w:rsidP="00D1390C">
            <w:pPr>
              <w:ind w:left="0"/>
              <w:jc w:val="right"/>
              <w:rPr>
                <w:color w:val="000000"/>
              </w:rPr>
            </w:pPr>
            <w:bookmarkStart w:id="4" w:name="RANGE!G183"/>
            <w:r w:rsidRPr="00D1390C">
              <w:rPr>
                <w:color w:val="000000"/>
              </w:rPr>
              <w:t>$0</w:t>
            </w:r>
            <w:bookmarkEnd w:id="4"/>
          </w:p>
        </w:tc>
        <w:tc>
          <w:tcPr>
            <w:tcW w:w="384" w:type="dxa"/>
            <w:tcBorders>
              <w:top w:val="nil"/>
              <w:left w:val="nil"/>
              <w:bottom w:val="nil"/>
              <w:right w:val="nil"/>
            </w:tcBorders>
            <w:shd w:val="clear" w:color="000000" w:fill="FFFFFF"/>
            <w:noWrap/>
            <w:vAlign w:val="center"/>
            <w:hideMark/>
          </w:tcPr>
          <w:p w14:paraId="3E1C3FB6" w14:textId="77777777" w:rsidR="00D1390C" w:rsidRPr="00D1390C" w:rsidRDefault="00D1390C" w:rsidP="00D1390C">
            <w:pPr>
              <w:ind w:left="0"/>
              <w:rPr>
                <w:color w:val="32525C"/>
              </w:rPr>
            </w:pPr>
            <w:r w:rsidRPr="00D1390C">
              <w:rPr>
                <w:color w:val="32525C"/>
              </w:rPr>
              <w:t> </w:t>
            </w:r>
          </w:p>
        </w:tc>
        <w:tc>
          <w:tcPr>
            <w:tcW w:w="966" w:type="dxa"/>
            <w:tcBorders>
              <w:top w:val="nil"/>
              <w:left w:val="single" w:sz="4" w:space="0" w:color="BFBFBF"/>
              <w:bottom w:val="single" w:sz="4" w:space="0" w:color="BFBFBF"/>
              <w:right w:val="single" w:sz="4" w:space="0" w:color="BFBFBF"/>
            </w:tcBorders>
            <w:shd w:val="clear" w:color="000000" w:fill="FFFFFF"/>
            <w:noWrap/>
            <w:vAlign w:val="center"/>
            <w:hideMark/>
          </w:tcPr>
          <w:p w14:paraId="3E1C3FB7" w14:textId="77777777" w:rsidR="00D1390C" w:rsidRPr="00D1390C" w:rsidRDefault="00D1390C" w:rsidP="00D1390C">
            <w:pPr>
              <w:ind w:left="0"/>
              <w:jc w:val="right"/>
              <w:rPr>
                <w:color w:val="000000"/>
              </w:rPr>
            </w:pPr>
            <w:bookmarkStart w:id="5" w:name="RANGE!J183"/>
            <w:r w:rsidRPr="00D1390C">
              <w:rPr>
                <w:color w:val="000000"/>
              </w:rPr>
              <w:t>0%</w:t>
            </w:r>
            <w:bookmarkEnd w:id="5"/>
          </w:p>
        </w:tc>
      </w:tr>
      <w:tr w:rsidR="00D1390C" w:rsidRPr="00D1390C" w14:paraId="3E1C3FBD" w14:textId="77777777" w:rsidTr="00D1390C">
        <w:trPr>
          <w:trHeight w:val="315"/>
        </w:trPr>
        <w:tc>
          <w:tcPr>
            <w:tcW w:w="5130" w:type="dxa"/>
            <w:tcBorders>
              <w:top w:val="nil"/>
              <w:left w:val="nil"/>
              <w:bottom w:val="nil"/>
              <w:right w:val="nil"/>
            </w:tcBorders>
            <w:shd w:val="clear" w:color="000000" w:fill="FFFFFF"/>
            <w:noWrap/>
            <w:vAlign w:val="center"/>
            <w:hideMark/>
          </w:tcPr>
          <w:p w14:paraId="3E1C3FB9" w14:textId="77777777" w:rsidR="00D1390C" w:rsidRPr="00D1390C" w:rsidRDefault="00D1390C" w:rsidP="00D1390C">
            <w:pPr>
              <w:ind w:left="0"/>
              <w:jc w:val="right"/>
              <w:rPr>
                <w:rFonts w:ascii="Arial" w:hAnsi="Arial" w:cs="Arial"/>
                <w:color w:val="504938"/>
                <w:sz w:val="20"/>
                <w:szCs w:val="20"/>
              </w:rPr>
            </w:pPr>
            <w:r w:rsidRPr="00D1390C">
              <w:rPr>
                <w:rFonts w:ascii="Arial" w:hAnsi="Arial" w:cs="Arial"/>
                <w:color w:val="504938"/>
                <w:sz w:val="20"/>
                <w:szCs w:val="20"/>
              </w:rPr>
              <w:t>Fees last changed</w:t>
            </w:r>
          </w:p>
        </w:tc>
        <w:tc>
          <w:tcPr>
            <w:tcW w:w="225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3E1C3FBA" w14:textId="77777777" w:rsidR="00D1390C" w:rsidRPr="00D1390C" w:rsidRDefault="00D1390C" w:rsidP="00D1390C">
            <w:pPr>
              <w:ind w:left="0"/>
              <w:jc w:val="right"/>
            </w:pPr>
            <w:r w:rsidRPr="00D1390C">
              <w:t>1/7/2015</w:t>
            </w:r>
          </w:p>
        </w:tc>
        <w:tc>
          <w:tcPr>
            <w:tcW w:w="384" w:type="dxa"/>
            <w:tcBorders>
              <w:top w:val="nil"/>
              <w:left w:val="nil"/>
              <w:bottom w:val="nil"/>
              <w:right w:val="nil"/>
            </w:tcBorders>
            <w:shd w:val="clear" w:color="000000" w:fill="FFFFFF"/>
            <w:noWrap/>
            <w:vAlign w:val="center"/>
            <w:hideMark/>
          </w:tcPr>
          <w:p w14:paraId="3E1C3FBB" w14:textId="77777777" w:rsidR="00D1390C" w:rsidRPr="00D1390C" w:rsidRDefault="00D1390C" w:rsidP="00D1390C">
            <w:pPr>
              <w:ind w:left="0"/>
              <w:rPr>
                <w:color w:val="32525C"/>
              </w:rPr>
            </w:pPr>
            <w:r w:rsidRPr="00D1390C">
              <w:rPr>
                <w:color w:val="32525C"/>
              </w:rPr>
              <w:t> </w:t>
            </w:r>
          </w:p>
        </w:tc>
        <w:tc>
          <w:tcPr>
            <w:tcW w:w="966" w:type="dxa"/>
            <w:tcBorders>
              <w:top w:val="nil"/>
              <w:left w:val="nil"/>
              <w:bottom w:val="nil"/>
              <w:right w:val="nil"/>
            </w:tcBorders>
            <w:shd w:val="clear" w:color="000000" w:fill="FFFFFF"/>
            <w:noWrap/>
            <w:vAlign w:val="bottom"/>
            <w:hideMark/>
          </w:tcPr>
          <w:p w14:paraId="3E1C3FBC" w14:textId="77777777" w:rsidR="00D1390C" w:rsidRPr="00D1390C" w:rsidRDefault="00D1390C" w:rsidP="00D1390C">
            <w:pPr>
              <w:ind w:left="0"/>
              <w:rPr>
                <w:rFonts w:ascii="Cambria" w:hAnsi="Cambria"/>
                <w:color w:val="000000"/>
              </w:rPr>
            </w:pPr>
            <w:r w:rsidRPr="00D1390C">
              <w:rPr>
                <w:rFonts w:ascii="Cambria" w:hAnsi="Cambria"/>
                <w:color w:val="000000"/>
                <w:sz w:val="22"/>
                <w:szCs w:val="22"/>
              </w:rPr>
              <w:t> </w:t>
            </w:r>
          </w:p>
        </w:tc>
      </w:tr>
    </w:tbl>
    <w:p w14:paraId="3E1C3FBE"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 xml:space="preserve">How long will the </w:t>
      </w:r>
      <w:r w:rsidRPr="00D1390C">
        <w:rPr>
          <w:rFonts w:ascii="Arial" w:hAnsi="Arial" w:cs="Arial"/>
          <w:bCs/>
          <w:color w:val="504938"/>
          <w:sz w:val="22"/>
          <w:szCs w:val="22"/>
          <w:u w:val="single"/>
        </w:rPr>
        <w:t>proposed fee</w:t>
      </w:r>
      <w:r w:rsidRPr="00D1390C">
        <w:rPr>
          <w:rFonts w:ascii="Arial" w:hAnsi="Arial" w:cs="Arial"/>
          <w:bCs/>
          <w:color w:val="504938"/>
          <w:sz w:val="22"/>
          <w:szCs w:val="22"/>
        </w:rPr>
        <w:t xml:space="preserve"> sustain the program?</w:t>
      </w:r>
    </w:p>
    <w:p w14:paraId="3E1C3FBF" w14:textId="77777777" w:rsidR="00D1390C" w:rsidRPr="00D1390C" w:rsidRDefault="00D1390C" w:rsidP="00D1390C">
      <w:pPr>
        <w:spacing w:after="120"/>
        <w:ind w:left="1080"/>
        <w:rPr>
          <w:color w:val="000000"/>
        </w:rPr>
      </w:pPr>
      <w:r w:rsidRPr="00D1390C">
        <w:rPr>
          <w:color w:val="000000"/>
        </w:rPr>
        <w:t xml:space="preserve">The proposed fee increase will sustain the program up to August 2018. </w:t>
      </w:r>
    </w:p>
    <w:p w14:paraId="3E1C3FC0" w14:textId="77777777" w:rsidR="00D1390C" w:rsidRPr="00D1390C" w:rsidRDefault="00D1390C" w:rsidP="00D1390C">
      <w:pPr>
        <w:spacing w:after="120"/>
        <w:ind w:left="1080"/>
        <w:rPr>
          <w:color w:val="000000"/>
        </w:rPr>
      </w:pPr>
    </w:p>
    <w:p w14:paraId="3E1C3FC1" w14:textId="77777777" w:rsidR="00D1390C" w:rsidRPr="00D1390C" w:rsidRDefault="00D1390C" w:rsidP="00D1390C">
      <w:pPr>
        <w:spacing w:after="120"/>
        <w:ind w:left="1080"/>
        <w:rPr>
          <w:spacing w:val="-3"/>
        </w:rPr>
      </w:pPr>
      <w:r w:rsidRPr="00D1390C">
        <w:rPr>
          <w:color w:val="000000"/>
        </w:rPr>
        <w:t>Phase one:</w:t>
      </w:r>
    </w:p>
    <w:tbl>
      <w:tblPr>
        <w:tblpPr w:leftFromText="180" w:rightFromText="180" w:vertAnchor="text" w:horzAnchor="page" w:tblpX="1542" w:tblpY="173"/>
        <w:tblW w:w="8730" w:type="dxa"/>
        <w:tblLook w:val="04A0" w:firstRow="1" w:lastRow="0" w:firstColumn="1" w:lastColumn="0" w:noHBand="0" w:noVBand="1"/>
      </w:tblPr>
      <w:tblGrid>
        <w:gridCol w:w="5120"/>
        <w:gridCol w:w="2248"/>
        <w:gridCol w:w="328"/>
        <w:gridCol w:w="1034"/>
      </w:tblGrid>
      <w:tr w:rsidR="00D1390C" w:rsidRPr="00D1390C" w14:paraId="3E1C3FC6" w14:textId="77777777" w:rsidTr="00D1390C">
        <w:trPr>
          <w:trHeight w:val="315"/>
        </w:trPr>
        <w:tc>
          <w:tcPr>
            <w:tcW w:w="5120" w:type="dxa"/>
            <w:tcBorders>
              <w:top w:val="nil"/>
              <w:left w:val="nil"/>
              <w:bottom w:val="nil"/>
              <w:right w:val="nil"/>
            </w:tcBorders>
            <w:shd w:val="clear" w:color="000000" w:fill="FFFFFF"/>
            <w:noWrap/>
            <w:vAlign w:val="bottom"/>
            <w:hideMark/>
          </w:tcPr>
          <w:p w14:paraId="3E1C3FC2" w14:textId="77777777" w:rsidR="00D1390C" w:rsidRPr="00D1390C" w:rsidRDefault="00D1390C" w:rsidP="00D1390C">
            <w:pPr>
              <w:ind w:left="0"/>
              <w:jc w:val="right"/>
              <w:rPr>
                <w:rFonts w:ascii="Arial" w:hAnsi="Arial" w:cs="Arial"/>
                <w:color w:val="504938"/>
                <w:sz w:val="20"/>
                <w:szCs w:val="20"/>
              </w:rPr>
            </w:pPr>
            <w:r w:rsidRPr="00D1390C">
              <w:rPr>
                <w:rFonts w:ascii="Arial" w:hAnsi="Arial" w:cs="Arial"/>
                <w:color w:val="504938"/>
                <w:sz w:val="20"/>
                <w:szCs w:val="20"/>
              </w:rPr>
              <w:t>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3E1C3FC3" w14:textId="01451B10" w:rsidR="00D1390C" w:rsidRPr="00D1390C" w:rsidRDefault="00D1390C" w:rsidP="00335030">
            <w:pPr>
              <w:ind w:left="0"/>
              <w:jc w:val="right"/>
              <w:rPr>
                <w:color w:val="000000"/>
              </w:rPr>
            </w:pPr>
            <w:bookmarkStart w:id="6" w:name="RANGE!G189"/>
            <w:r w:rsidRPr="00D1390C">
              <w:rPr>
                <w:color w:val="000000"/>
              </w:rPr>
              <w:t>+ $</w:t>
            </w:r>
            <w:bookmarkEnd w:id="6"/>
            <w:r w:rsidRPr="00D1390C">
              <w:rPr>
                <w:color w:val="000000"/>
              </w:rPr>
              <w:t>17,</w:t>
            </w:r>
            <w:r w:rsidR="008C4761">
              <w:rPr>
                <w:color w:val="000000"/>
              </w:rPr>
              <w:t>3</w:t>
            </w:r>
            <w:r w:rsidRPr="00D1390C">
              <w:rPr>
                <w:color w:val="000000"/>
              </w:rPr>
              <w:t>00</w:t>
            </w:r>
          </w:p>
        </w:tc>
        <w:tc>
          <w:tcPr>
            <w:tcW w:w="328" w:type="dxa"/>
            <w:tcBorders>
              <w:top w:val="nil"/>
              <w:left w:val="nil"/>
              <w:bottom w:val="nil"/>
              <w:right w:val="nil"/>
            </w:tcBorders>
            <w:shd w:val="clear" w:color="000000" w:fill="FFFFFF"/>
            <w:noWrap/>
            <w:vAlign w:val="center"/>
            <w:hideMark/>
          </w:tcPr>
          <w:p w14:paraId="3E1C3FC4" w14:textId="77777777" w:rsidR="00D1390C" w:rsidRPr="00D1390C" w:rsidRDefault="00D1390C" w:rsidP="00D1390C">
            <w:pPr>
              <w:ind w:left="0"/>
              <w:jc w:val="right"/>
              <w:rPr>
                <w:color w:val="000000"/>
              </w:rPr>
            </w:pPr>
            <w:r w:rsidRPr="00D1390C">
              <w:rPr>
                <w:color w:val="000000"/>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3E1C3FC5" w14:textId="77777777" w:rsidR="00D1390C" w:rsidRPr="00D1390C" w:rsidRDefault="00D1390C" w:rsidP="00D1390C">
            <w:pPr>
              <w:ind w:left="0"/>
              <w:jc w:val="right"/>
              <w:rPr>
                <w:color w:val="000000"/>
              </w:rPr>
            </w:pPr>
            <w:bookmarkStart w:id="7" w:name="RANGE!J189"/>
            <w:r w:rsidRPr="00D1390C">
              <w:rPr>
                <w:color w:val="000000"/>
              </w:rPr>
              <w:t>+0.45%</w:t>
            </w:r>
            <w:bookmarkEnd w:id="7"/>
          </w:p>
        </w:tc>
      </w:tr>
      <w:tr w:rsidR="00D1390C" w:rsidRPr="00D1390C" w14:paraId="3E1C3FCB" w14:textId="77777777" w:rsidTr="00D1390C">
        <w:trPr>
          <w:trHeight w:val="15"/>
        </w:trPr>
        <w:tc>
          <w:tcPr>
            <w:tcW w:w="5120" w:type="dxa"/>
            <w:tcBorders>
              <w:top w:val="nil"/>
              <w:left w:val="nil"/>
              <w:bottom w:val="nil"/>
              <w:right w:val="nil"/>
            </w:tcBorders>
            <w:shd w:val="clear" w:color="000000" w:fill="FFFFFF"/>
            <w:vAlign w:val="bottom"/>
            <w:hideMark/>
          </w:tcPr>
          <w:p w14:paraId="3E1C3FC7" w14:textId="77777777" w:rsidR="00D1390C" w:rsidRPr="00D1390C" w:rsidRDefault="00D1390C" w:rsidP="00D1390C">
            <w:pPr>
              <w:ind w:left="0"/>
              <w:jc w:val="right"/>
              <w:rPr>
                <w:rFonts w:ascii="Arial" w:hAnsi="Arial" w:cs="Arial"/>
                <w:color w:val="504938"/>
                <w:sz w:val="20"/>
                <w:szCs w:val="20"/>
              </w:rPr>
            </w:pPr>
            <w:r w:rsidRPr="00D1390C">
              <w:rPr>
                <w:rFonts w:ascii="Arial" w:hAnsi="Arial" w:cs="Arial"/>
                <w:color w:val="504938"/>
                <w:sz w:val="20"/>
                <w:szCs w:val="20"/>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3E1C3FC8" w14:textId="77777777" w:rsidR="00D1390C" w:rsidRPr="00D1390C" w:rsidRDefault="00D1390C" w:rsidP="00D1390C">
            <w:pPr>
              <w:ind w:left="0"/>
              <w:jc w:val="right"/>
              <w:rPr>
                <w:color w:val="000000"/>
              </w:rPr>
            </w:pPr>
            <w:r w:rsidRPr="00D1390C">
              <w:rPr>
                <w:color w:val="000000"/>
              </w:rPr>
              <w:t>$0</w:t>
            </w:r>
          </w:p>
        </w:tc>
        <w:tc>
          <w:tcPr>
            <w:tcW w:w="328" w:type="dxa"/>
            <w:tcBorders>
              <w:top w:val="nil"/>
              <w:left w:val="nil"/>
              <w:bottom w:val="nil"/>
              <w:right w:val="nil"/>
            </w:tcBorders>
            <w:shd w:val="clear" w:color="000000" w:fill="FFFFFF"/>
            <w:noWrap/>
            <w:vAlign w:val="center"/>
            <w:hideMark/>
          </w:tcPr>
          <w:p w14:paraId="3E1C3FC9" w14:textId="77777777" w:rsidR="00D1390C" w:rsidRPr="00D1390C" w:rsidRDefault="00D1390C" w:rsidP="00D1390C">
            <w:pPr>
              <w:ind w:left="0"/>
              <w:jc w:val="right"/>
              <w:rPr>
                <w:color w:val="5E636A"/>
              </w:rPr>
            </w:pPr>
            <w:r w:rsidRPr="00D1390C">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3E1C3FCA" w14:textId="77777777" w:rsidR="00D1390C" w:rsidRPr="00D1390C" w:rsidRDefault="00D1390C" w:rsidP="00D1390C">
            <w:pPr>
              <w:ind w:left="0"/>
              <w:jc w:val="right"/>
              <w:rPr>
                <w:color w:val="000000"/>
              </w:rPr>
            </w:pPr>
            <w:r w:rsidRPr="00D1390C">
              <w:rPr>
                <w:color w:val="000000"/>
              </w:rPr>
              <w:t>0%</w:t>
            </w:r>
          </w:p>
        </w:tc>
      </w:tr>
      <w:tr w:rsidR="00D1390C" w:rsidRPr="00D1390C" w14:paraId="3E1C3FD0" w14:textId="77777777" w:rsidTr="00D1390C">
        <w:trPr>
          <w:trHeight w:val="315"/>
        </w:trPr>
        <w:tc>
          <w:tcPr>
            <w:tcW w:w="5120" w:type="dxa"/>
            <w:tcBorders>
              <w:top w:val="nil"/>
              <w:left w:val="nil"/>
              <w:bottom w:val="nil"/>
              <w:right w:val="nil"/>
            </w:tcBorders>
            <w:shd w:val="clear" w:color="000000" w:fill="FFFFFF"/>
            <w:vAlign w:val="bottom"/>
            <w:hideMark/>
          </w:tcPr>
          <w:p w14:paraId="3E1C3FCC" w14:textId="77777777" w:rsidR="00D1390C" w:rsidRPr="00D1390C" w:rsidRDefault="00D1390C" w:rsidP="00D1390C">
            <w:pPr>
              <w:ind w:left="0"/>
              <w:jc w:val="right"/>
              <w:rPr>
                <w:rFonts w:ascii="Arial" w:hAnsi="Arial" w:cs="Arial"/>
                <w:color w:val="504938"/>
                <w:sz w:val="20"/>
                <w:szCs w:val="20"/>
              </w:rPr>
            </w:pPr>
            <w:r w:rsidRPr="00D1390C">
              <w:rPr>
                <w:rFonts w:ascii="Arial" w:hAnsi="Arial" w:cs="Arial"/>
                <w:color w:val="504938"/>
                <w:sz w:val="20"/>
                <w:szCs w:val="20"/>
              </w:rPr>
              <w:t>Proposed fees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3E1C3FCD" w14:textId="77777777" w:rsidR="00D1390C" w:rsidRPr="00D1390C" w:rsidRDefault="00D1390C" w:rsidP="00D1390C">
            <w:pPr>
              <w:ind w:left="0"/>
              <w:jc w:val="right"/>
              <w:rPr>
                <w:color w:val="000000"/>
                <w:highlight w:val="yellow"/>
              </w:rPr>
            </w:pPr>
            <w:r w:rsidRPr="00D1390C">
              <w:rPr>
                <w:color w:val="000000"/>
              </w:rPr>
              <w:t>$0</w:t>
            </w:r>
          </w:p>
        </w:tc>
        <w:tc>
          <w:tcPr>
            <w:tcW w:w="328" w:type="dxa"/>
            <w:tcBorders>
              <w:top w:val="nil"/>
              <w:left w:val="nil"/>
              <w:bottom w:val="nil"/>
              <w:right w:val="nil"/>
            </w:tcBorders>
            <w:shd w:val="clear" w:color="000000" w:fill="FFFFFF"/>
            <w:noWrap/>
            <w:vAlign w:val="center"/>
            <w:hideMark/>
          </w:tcPr>
          <w:p w14:paraId="3E1C3FCE" w14:textId="77777777" w:rsidR="00D1390C" w:rsidRPr="00D1390C" w:rsidRDefault="00D1390C" w:rsidP="00D1390C">
            <w:pPr>
              <w:ind w:left="0"/>
              <w:jc w:val="right"/>
              <w:rPr>
                <w:color w:val="5E636A"/>
              </w:rPr>
            </w:pPr>
            <w:r w:rsidRPr="00D1390C">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3E1C3FCF" w14:textId="77777777" w:rsidR="00D1390C" w:rsidRPr="00D1390C" w:rsidRDefault="00D1390C" w:rsidP="00D1390C">
            <w:pPr>
              <w:ind w:left="0"/>
              <w:jc w:val="right"/>
              <w:rPr>
                <w:color w:val="000000"/>
              </w:rPr>
            </w:pPr>
            <w:r w:rsidRPr="00D1390C">
              <w:rPr>
                <w:color w:val="000000"/>
              </w:rPr>
              <w:t>0%</w:t>
            </w:r>
          </w:p>
        </w:tc>
      </w:tr>
      <w:tr w:rsidR="00D1390C" w:rsidRPr="00D1390C" w14:paraId="3E1C3FD5" w14:textId="77777777" w:rsidTr="00D1390C">
        <w:trPr>
          <w:trHeight w:val="315"/>
        </w:trPr>
        <w:tc>
          <w:tcPr>
            <w:tcW w:w="5120" w:type="dxa"/>
            <w:tcBorders>
              <w:top w:val="nil"/>
              <w:left w:val="nil"/>
              <w:bottom w:val="nil"/>
              <w:right w:val="nil"/>
            </w:tcBorders>
            <w:shd w:val="clear" w:color="000000" w:fill="FFFFFF"/>
            <w:noWrap/>
            <w:vAlign w:val="center"/>
            <w:hideMark/>
          </w:tcPr>
          <w:p w14:paraId="3E1C3FD1" w14:textId="77777777" w:rsidR="00D1390C" w:rsidRPr="00D1390C" w:rsidRDefault="00D1390C" w:rsidP="00D1390C">
            <w:pPr>
              <w:ind w:left="0"/>
              <w:jc w:val="right"/>
              <w:rPr>
                <w:rFonts w:ascii="Arial" w:hAnsi="Arial" w:cs="Arial"/>
                <w:color w:val="504938"/>
                <w:sz w:val="20"/>
                <w:szCs w:val="20"/>
              </w:rPr>
            </w:pPr>
            <w:r w:rsidRPr="00D1390C">
              <w:rPr>
                <w:rFonts w:ascii="Arial" w:hAnsi="Arial" w:cs="Arial"/>
                <w:color w:val="504938"/>
                <w:sz w:val="20"/>
                <w:szCs w:val="20"/>
              </w:rPr>
              <w:t>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3E1C3FD2" w14:textId="77777777" w:rsidR="00D1390C" w:rsidRPr="00D1390C" w:rsidRDefault="00D1390C" w:rsidP="00D1390C">
            <w:pPr>
              <w:ind w:left="0"/>
              <w:jc w:val="right"/>
            </w:pPr>
            <w:r w:rsidRPr="00D1390C">
              <w:t>06/2016</w:t>
            </w:r>
          </w:p>
        </w:tc>
        <w:tc>
          <w:tcPr>
            <w:tcW w:w="328" w:type="dxa"/>
            <w:tcBorders>
              <w:top w:val="nil"/>
              <w:left w:val="nil"/>
              <w:bottom w:val="nil"/>
              <w:right w:val="nil"/>
            </w:tcBorders>
            <w:shd w:val="clear" w:color="000000" w:fill="FFFFFF"/>
            <w:noWrap/>
            <w:vAlign w:val="center"/>
            <w:hideMark/>
          </w:tcPr>
          <w:p w14:paraId="3E1C3FD3" w14:textId="77777777" w:rsidR="00D1390C" w:rsidRPr="00D1390C" w:rsidRDefault="00D1390C" w:rsidP="00D1390C">
            <w:pPr>
              <w:ind w:left="0"/>
              <w:rPr>
                <w:color w:val="32525C"/>
              </w:rPr>
            </w:pPr>
            <w:r w:rsidRPr="00D1390C">
              <w:rPr>
                <w:color w:val="32525C"/>
              </w:rPr>
              <w:t> </w:t>
            </w:r>
          </w:p>
        </w:tc>
        <w:tc>
          <w:tcPr>
            <w:tcW w:w="1034" w:type="dxa"/>
            <w:tcBorders>
              <w:top w:val="nil"/>
              <w:left w:val="nil"/>
              <w:bottom w:val="nil"/>
              <w:right w:val="nil"/>
            </w:tcBorders>
            <w:shd w:val="clear" w:color="000000" w:fill="FFFFFF"/>
            <w:noWrap/>
            <w:vAlign w:val="bottom"/>
            <w:hideMark/>
          </w:tcPr>
          <w:p w14:paraId="3E1C3FD4" w14:textId="77777777" w:rsidR="00D1390C" w:rsidRPr="00D1390C" w:rsidRDefault="00D1390C" w:rsidP="00D1390C">
            <w:pPr>
              <w:ind w:left="0"/>
              <w:rPr>
                <w:rFonts w:ascii="Cambria" w:hAnsi="Cambria"/>
                <w:color w:val="000000"/>
              </w:rPr>
            </w:pPr>
            <w:r w:rsidRPr="00D1390C">
              <w:rPr>
                <w:rFonts w:ascii="Cambria" w:hAnsi="Cambria"/>
                <w:color w:val="000000"/>
                <w:sz w:val="22"/>
                <w:szCs w:val="22"/>
              </w:rPr>
              <w:t> </w:t>
            </w:r>
          </w:p>
        </w:tc>
      </w:tr>
    </w:tbl>
    <w:p w14:paraId="3E1C3FD6"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p>
    <w:p w14:paraId="3E1C3FD7" w14:textId="77777777" w:rsidR="00D1390C" w:rsidRPr="00D1390C" w:rsidRDefault="00D1390C" w:rsidP="00D1390C">
      <w:pPr>
        <w:spacing w:after="120"/>
        <w:ind w:left="1080"/>
        <w:rPr>
          <w:color w:val="000000"/>
        </w:rPr>
      </w:pPr>
    </w:p>
    <w:p w14:paraId="3E1C3FD8" w14:textId="77777777" w:rsidR="00D1390C" w:rsidRPr="00D1390C" w:rsidRDefault="00D1390C" w:rsidP="00D1390C">
      <w:pPr>
        <w:spacing w:after="120"/>
        <w:ind w:left="1080"/>
        <w:rPr>
          <w:color w:val="000000"/>
        </w:rPr>
      </w:pPr>
    </w:p>
    <w:p w14:paraId="3E1C3FD9" w14:textId="77777777" w:rsidR="00D1390C" w:rsidRPr="00D1390C" w:rsidRDefault="00D1390C" w:rsidP="00D1390C">
      <w:pPr>
        <w:spacing w:after="120"/>
        <w:ind w:left="1080"/>
        <w:rPr>
          <w:color w:val="000000"/>
        </w:rPr>
      </w:pPr>
    </w:p>
    <w:p w14:paraId="3E1C3FDA" w14:textId="77777777" w:rsidR="00D1390C" w:rsidRPr="00D1390C" w:rsidRDefault="00D1390C" w:rsidP="00D1390C">
      <w:pPr>
        <w:spacing w:after="120"/>
        <w:ind w:left="1080"/>
        <w:rPr>
          <w:spacing w:val="-3"/>
        </w:rPr>
      </w:pPr>
      <w:r w:rsidRPr="00D1390C">
        <w:rPr>
          <w:color w:val="000000"/>
        </w:rPr>
        <w:t>Phase two:</w:t>
      </w:r>
    </w:p>
    <w:tbl>
      <w:tblPr>
        <w:tblpPr w:leftFromText="180" w:rightFromText="180" w:vertAnchor="text" w:horzAnchor="page" w:tblpX="1632" w:tblpY="173"/>
        <w:tblW w:w="8640" w:type="dxa"/>
        <w:tblLook w:val="04A0" w:firstRow="1" w:lastRow="0" w:firstColumn="1" w:lastColumn="0" w:noHBand="0" w:noVBand="1"/>
      </w:tblPr>
      <w:tblGrid>
        <w:gridCol w:w="5030"/>
        <w:gridCol w:w="2248"/>
        <w:gridCol w:w="328"/>
        <w:gridCol w:w="1034"/>
      </w:tblGrid>
      <w:tr w:rsidR="00D1390C" w:rsidRPr="00D1390C" w14:paraId="3E1C3FDF" w14:textId="77777777" w:rsidTr="00D1390C">
        <w:trPr>
          <w:trHeight w:val="315"/>
        </w:trPr>
        <w:tc>
          <w:tcPr>
            <w:tcW w:w="5030" w:type="dxa"/>
            <w:tcBorders>
              <w:top w:val="nil"/>
              <w:left w:val="nil"/>
              <w:bottom w:val="nil"/>
              <w:right w:val="nil"/>
            </w:tcBorders>
            <w:shd w:val="clear" w:color="000000" w:fill="FFFFFF"/>
            <w:noWrap/>
            <w:vAlign w:val="bottom"/>
            <w:hideMark/>
          </w:tcPr>
          <w:p w14:paraId="3E1C3FDB" w14:textId="77777777" w:rsidR="00D1390C" w:rsidRPr="00D1390C" w:rsidRDefault="00D1390C" w:rsidP="00D1390C">
            <w:pPr>
              <w:ind w:left="0"/>
              <w:jc w:val="right"/>
              <w:rPr>
                <w:rFonts w:ascii="Arial" w:hAnsi="Arial" w:cs="Arial"/>
                <w:color w:val="504938"/>
                <w:sz w:val="20"/>
                <w:szCs w:val="20"/>
              </w:rPr>
            </w:pPr>
            <w:r w:rsidRPr="00D1390C">
              <w:rPr>
                <w:rFonts w:ascii="Arial" w:hAnsi="Arial" w:cs="Arial"/>
                <w:color w:val="504938"/>
                <w:sz w:val="20"/>
                <w:szCs w:val="20"/>
              </w:rPr>
              <w:t>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3E1C3FDC" w14:textId="54CEE3D3" w:rsidR="00D1390C" w:rsidRPr="00D1390C" w:rsidRDefault="00D1390C" w:rsidP="00D1390C">
            <w:pPr>
              <w:ind w:left="0"/>
              <w:jc w:val="right"/>
              <w:rPr>
                <w:color w:val="000000"/>
              </w:rPr>
            </w:pPr>
            <w:r w:rsidRPr="00D1390C">
              <w:rPr>
                <w:color w:val="000000"/>
              </w:rPr>
              <w:t>+ $</w:t>
            </w:r>
            <w:r w:rsidR="008C4761">
              <w:rPr>
                <w:color w:val="000000"/>
              </w:rPr>
              <w:t>61,700</w:t>
            </w:r>
          </w:p>
        </w:tc>
        <w:tc>
          <w:tcPr>
            <w:tcW w:w="328" w:type="dxa"/>
            <w:tcBorders>
              <w:top w:val="nil"/>
              <w:left w:val="nil"/>
              <w:bottom w:val="nil"/>
              <w:right w:val="nil"/>
            </w:tcBorders>
            <w:shd w:val="clear" w:color="000000" w:fill="FFFFFF"/>
            <w:noWrap/>
            <w:vAlign w:val="center"/>
            <w:hideMark/>
          </w:tcPr>
          <w:p w14:paraId="3E1C3FDD" w14:textId="77777777" w:rsidR="00D1390C" w:rsidRPr="00D1390C" w:rsidRDefault="00D1390C" w:rsidP="00D1390C">
            <w:pPr>
              <w:ind w:left="0"/>
              <w:jc w:val="right"/>
              <w:rPr>
                <w:color w:val="000000"/>
              </w:rPr>
            </w:pPr>
            <w:r w:rsidRPr="00D1390C">
              <w:rPr>
                <w:color w:val="000000"/>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3E1C3FDE" w14:textId="2006FABC" w:rsidR="00D1390C" w:rsidRPr="00D1390C" w:rsidRDefault="00D1390C" w:rsidP="00335030">
            <w:pPr>
              <w:ind w:left="0"/>
              <w:jc w:val="right"/>
              <w:rPr>
                <w:color w:val="000000"/>
              </w:rPr>
            </w:pPr>
            <w:r w:rsidRPr="00D1390C">
              <w:rPr>
                <w:color w:val="000000"/>
              </w:rPr>
              <w:t>+0.</w:t>
            </w:r>
            <w:r w:rsidR="008C4761">
              <w:rPr>
                <w:color w:val="000000"/>
              </w:rPr>
              <w:t>80</w:t>
            </w:r>
            <w:r w:rsidRPr="00D1390C">
              <w:rPr>
                <w:color w:val="000000"/>
              </w:rPr>
              <w:t>%</w:t>
            </w:r>
          </w:p>
        </w:tc>
      </w:tr>
      <w:tr w:rsidR="00D1390C" w:rsidRPr="00D1390C" w14:paraId="3E1C3FE4" w14:textId="77777777" w:rsidTr="00D1390C">
        <w:trPr>
          <w:trHeight w:val="15"/>
        </w:trPr>
        <w:tc>
          <w:tcPr>
            <w:tcW w:w="5030" w:type="dxa"/>
            <w:tcBorders>
              <w:top w:val="nil"/>
              <w:left w:val="nil"/>
              <w:bottom w:val="nil"/>
              <w:right w:val="nil"/>
            </w:tcBorders>
            <w:shd w:val="clear" w:color="000000" w:fill="FFFFFF"/>
            <w:vAlign w:val="bottom"/>
            <w:hideMark/>
          </w:tcPr>
          <w:p w14:paraId="3E1C3FE0" w14:textId="77777777" w:rsidR="00D1390C" w:rsidRPr="00D1390C" w:rsidRDefault="00D1390C" w:rsidP="00D1390C">
            <w:pPr>
              <w:ind w:left="0"/>
              <w:jc w:val="right"/>
              <w:rPr>
                <w:rFonts w:ascii="Arial" w:hAnsi="Arial" w:cs="Arial"/>
                <w:color w:val="504938"/>
                <w:sz w:val="20"/>
                <w:szCs w:val="20"/>
              </w:rPr>
            </w:pPr>
            <w:r w:rsidRPr="00D1390C">
              <w:rPr>
                <w:rFonts w:ascii="Arial" w:hAnsi="Arial" w:cs="Arial"/>
                <w:color w:val="504938"/>
                <w:sz w:val="20"/>
                <w:szCs w:val="20"/>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3E1C3FE1" w14:textId="77777777" w:rsidR="00D1390C" w:rsidRPr="00D1390C" w:rsidRDefault="00D1390C" w:rsidP="00D1390C">
            <w:pPr>
              <w:ind w:left="0"/>
              <w:jc w:val="right"/>
              <w:rPr>
                <w:color w:val="000000"/>
              </w:rPr>
            </w:pPr>
            <w:r w:rsidRPr="00D1390C">
              <w:rPr>
                <w:color w:val="000000"/>
              </w:rPr>
              <w:t>$0</w:t>
            </w:r>
          </w:p>
        </w:tc>
        <w:tc>
          <w:tcPr>
            <w:tcW w:w="328" w:type="dxa"/>
            <w:tcBorders>
              <w:top w:val="nil"/>
              <w:left w:val="nil"/>
              <w:bottom w:val="nil"/>
              <w:right w:val="nil"/>
            </w:tcBorders>
            <w:shd w:val="clear" w:color="000000" w:fill="FFFFFF"/>
            <w:noWrap/>
            <w:vAlign w:val="center"/>
            <w:hideMark/>
          </w:tcPr>
          <w:p w14:paraId="3E1C3FE2" w14:textId="77777777" w:rsidR="00D1390C" w:rsidRPr="00D1390C" w:rsidRDefault="00D1390C" w:rsidP="00D1390C">
            <w:pPr>
              <w:ind w:left="0"/>
              <w:jc w:val="right"/>
              <w:rPr>
                <w:color w:val="5E636A"/>
              </w:rPr>
            </w:pPr>
            <w:r w:rsidRPr="00D1390C">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3E1C3FE3" w14:textId="77777777" w:rsidR="00D1390C" w:rsidRPr="00D1390C" w:rsidRDefault="00D1390C" w:rsidP="00D1390C">
            <w:pPr>
              <w:ind w:left="0"/>
              <w:jc w:val="right"/>
              <w:rPr>
                <w:color w:val="000000"/>
              </w:rPr>
            </w:pPr>
            <w:r w:rsidRPr="00D1390C">
              <w:rPr>
                <w:color w:val="000000"/>
              </w:rPr>
              <w:t>0%</w:t>
            </w:r>
          </w:p>
        </w:tc>
      </w:tr>
      <w:tr w:rsidR="00D1390C" w:rsidRPr="00D1390C" w14:paraId="3E1C3FE9" w14:textId="77777777" w:rsidTr="00D1390C">
        <w:trPr>
          <w:trHeight w:val="315"/>
        </w:trPr>
        <w:tc>
          <w:tcPr>
            <w:tcW w:w="5030" w:type="dxa"/>
            <w:tcBorders>
              <w:top w:val="nil"/>
              <w:left w:val="nil"/>
              <w:bottom w:val="nil"/>
              <w:right w:val="nil"/>
            </w:tcBorders>
            <w:shd w:val="clear" w:color="000000" w:fill="FFFFFF"/>
            <w:vAlign w:val="bottom"/>
            <w:hideMark/>
          </w:tcPr>
          <w:p w14:paraId="3E1C3FE5" w14:textId="77777777" w:rsidR="00D1390C" w:rsidRPr="00D1390C" w:rsidRDefault="00D1390C" w:rsidP="00D1390C">
            <w:pPr>
              <w:ind w:left="0"/>
              <w:jc w:val="right"/>
              <w:rPr>
                <w:rFonts w:ascii="Arial" w:hAnsi="Arial" w:cs="Arial"/>
                <w:color w:val="504938"/>
                <w:sz w:val="20"/>
                <w:szCs w:val="20"/>
              </w:rPr>
            </w:pPr>
            <w:r w:rsidRPr="00D1390C">
              <w:rPr>
                <w:rFonts w:ascii="Arial" w:hAnsi="Arial" w:cs="Arial"/>
                <w:color w:val="504938"/>
                <w:sz w:val="20"/>
                <w:szCs w:val="20"/>
              </w:rPr>
              <w:t>Proposed fees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3E1C3FE6" w14:textId="77777777" w:rsidR="00D1390C" w:rsidRPr="00D1390C" w:rsidRDefault="00D1390C" w:rsidP="00D1390C">
            <w:pPr>
              <w:ind w:left="0"/>
              <w:jc w:val="right"/>
              <w:rPr>
                <w:color w:val="000000"/>
                <w:highlight w:val="yellow"/>
              </w:rPr>
            </w:pPr>
            <w:r w:rsidRPr="00D1390C">
              <w:rPr>
                <w:color w:val="000000"/>
              </w:rPr>
              <w:t>$0</w:t>
            </w:r>
          </w:p>
        </w:tc>
        <w:tc>
          <w:tcPr>
            <w:tcW w:w="328" w:type="dxa"/>
            <w:tcBorders>
              <w:top w:val="nil"/>
              <w:left w:val="nil"/>
              <w:bottom w:val="nil"/>
              <w:right w:val="nil"/>
            </w:tcBorders>
            <w:shd w:val="clear" w:color="000000" w:fill="FFFFFF"/>
            <w:noWrap/>
            <w:vAlign w:val="center"/>
            <w:hideMark/>
          </w:tcPr>
          <w:p w14:paraId="3E1C3FE7" w14:textId="77777777" w:rsidR="00D1390C" w:rsidRPr="00D1390C" w:rsidRDefault="00D1390C" w:rsidP="00D1390C">
            <w:pPr>
              <w:ind w:left="0"/>
              <w:jc w:val="right"/>
              <w:rPr>
                <w:color w:val="5E636A"/>
              </w:rPr>
            </w:pPr>
            <w:r w:rsidRPr="00D1390C">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3E1C3FE8" w14:textId="77777777" w:rsidR="00D1390C" w:rsidRPr="00D1390C" w:rsidRDefault="00D1390C" w:rsidP="00D1390C">
            <w:pPr>
              <w:ind w:left="0"/>
              <w:jc w:val="right"/>
              <w:rPr>
                <w:color w:val="000000"/>
              </w:rPr>
            </w:pPr>
            <w:r w:rsidRPr="00D1390C">
              <w:rPr>
                <w:color w:val="000000"/>
              </w:rPr>
              <w:t>0%</w:t>
            </w:r>
          </w:p>
        </w:tc>
      </w:tr>
      <w:tr w:rsidR="00D1390C" w:rsidRPr="00D1390C" w14:paraId="3E1C3FEE" w14:textId="77777777" w:rsidTr="00D1390C">
        <w:trPr>
          <w:trHeight w:val="315"/>
        </w:trPr>
        <w:tc>
          <w:tcPr>
            <w:tcW w:w="5030" w:type="dxa"/>
            <w:tcBorders>
              <w:top w:val="nil"/>
              <w:left w:val="nil"/>
              <w:bottom w:val="nil"/>
              <w:right w:val="nil"/>
            </w:tcBorders>
            <w:shd w:val="clear" w:color="000000" w:fill="FFFFFF"/>
            <w:noWrap/>
            <w:vAlign w:val="center"/>
            <w:hideMark/>
          </w:tcPr>
          <w:p w14:paraId="3E1C3FEA" w14:textId="77777777" w:rsidR="00D1390C" w:rsidRPr="00D1390C" w:rsidRDefault="00D1390C" w:rsidP="00D1390C">
            <w:pPr>
              <w:ind w:left="0"/>
              <w:jc w:val="right"/>
              <w:rPr>
                <w:rFonts w:ascii="Arial" w:hAnsi="Arial" w:cs="Arial"/>
                <w:color w:val="504938"/>
                <w:sz w:val="20"/>
                <w:szCs w:val="20"/>
              </w:rPr>
            </w:pPr>
            <w:r w:rsidRPr="00D1390C">
              <w:rPr>
                <w:rFonts w:ascii="Arial" w:hAnsi="Arial" w:cs="Arial"/>
                <w:color w:val="504938"/>
                <w:sz w:val="20"/>
                <w:szCs w:val="20"/>
              </w:rPr>
              <w:t>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3E1C3FEB" w14:textId="5C5AA867" w:rsidR="00D1390C" w:rsidRPr="00D1390C" w:rsidRDefault="00D1390C" w:rsidP="00335030">
            <w:pPr>
              <w:ind w:left="0"/>
              <w:jc w:val="right"/>
            </w:pPr>
            <w:r w:rsidRPr="00D1390C">
              <w:t>1/201</w:t>
            </w:r>
            <w:r w:rsidR="008C4761">
              <w:t>7</w:t>
            </w:r>
          </w:p>
        </w:tc>
        <w:tc>
          <w:tcPr>
            <w:tcW w:w="328" w:type="dxa"/>
            <w:tcBorders>
              <w:top w:val="nil"/>
              <w:left w:val="nil"/>
              <w:bottom w:val="nil"/>
              <w:right w:val="nil"/>
            </w:tcBorders>
            <w:shd w:val="clear" w:color="000000" w:fill="FFFFFF"/>
            <w:noWrap/>
            <w:vAlign w:val="center"/>
            <w:hideMark/>
          </w:tcPr>
          <w:p w14:paraId="3E1C3FEC" w14:textId="77777777" w:rsidR="00D1390C" w:rsidRPr="00D1390C" w:rsidRDefault="00D1390C" w:rsidP="00D1390C">
            <w:pPr>
              <w:ind w:left="0"/>
              <w:rPr>
                <w:color w:val="32525C"/>
              </w:rPr>
            </w:pPr>
            <w:r w:rsidRPr="00D1390C">
              <w:rPr>
                <w:color w:val="32525C"/>
              </w:rPr>
              <w:t> </w:t>
            </w:r>
          </w:p>
        </w:tc>
        <w:tc>
          <w:tcPr>
            <w:tcW w:w="1034" w:type="dxa"/>
            <w:tcBorders>
              <w:top w:val="nil"/>
              <w:left w:val="nil"/>
              <w:bottom w:val="nil"/>
              <w:right w:val="nil"/>
            </w:tcBorders>
            <w:shd w:val="clear" w:color="000000" w:fill="FFFFFF"/>
            <w:noWrap/>
            <w:vAlign w:val="bottom"/>
            <w:hideMark/>
          </w:tcPr>
          <w:p w14:paraId="3E1C3FED" w14:textId="77777777" w:rsidR="00D1390C" w:rsidRPr="00D1390C" w:rsidRDefault="00D1390C" w:rsidP="00D1390C">
            <w:pPr>
              <w:ind w:left="0"/>
              <w:rPr>
                <w:rFonts w:ascii="Cambria" w:hAnsi="Cambria"/>
                <w:color w:val="000000"/>
              </w:rPr>
            </w:pPr>
            <w:r w:rsidRPr="00D1390C">
              <w:rPr>
                <w:rFonts w:ascii="Cambria" w:hAnsi="Cambria"/>
                <w:color w:val="000000"/>
                <w:sz w:val="22"/>
                <w:szCs w:val="22"/>
              </w:rPr>
              <w:t> </w:t>
            </w:r>
          </w:p>
        </w:tc>
      </w:tr>
    </w:tbl>
    <w:p w14:paraId="3E1C3FEF"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p>
    <w:p w14:paraId="3E1C3FF0" w14:textId="77777777" w:rsidR="00D1390C" w:rsidRPr="00D1390C" w:rsidRDefault="00D1390C" w:rsidP="00D1390C"/>
    <w:p w14:paraId="3E1C3FF1"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p>
    <w:p w14:paraId="3E1C3FF2"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Transactions and revenue</w:t>
      </w:r>
    </w:p>
    <w:p w14:paraId="3E1C3FF3" w14:textId="4D37689E" w:rsidR="00D1390C" w:rsidRPr="00D1390C" w:rsidRDefault="00D1390C" w:rsidP="00D1390C">
      <w:pPr>
        <w:rPr>
          <w:color w:val="000000"/>
        </w:rPr>
      </w:pPr>
      <w:r w:rsidRPr="00D1390C">
        <w:rPr>
          <w:color w:val="000000"/>
        </w:rPr>
        <w:t xml:space="preserve">DEQ estimated revenue forecasts and expenditures based on the assumption that DEQ identified all facilities subject to the Title V program. </w:t>
      </w:r>
    </w:p>
    <w:p w14:paraId="3E1C3FF4" w14:textId="77777777" w:rsidR="00D1390C" w:rsidRPr="00D1390C" w:rsidRDefault="00D1390C" w:rsidP="00D1390C">
      <w:pPr>
        <w:rPr>
          <w:color w:val="000000"/>
        </w:rPr>
      </w:pPr>
    </w:p>
    <w:p w14:paraId="3E1C3FF5" w14:textId="77777777" w:rsidR="00D1390C" w:rsidRPr="00D1390C" w:rsidRDefault="00D1390C" w:rsidP="00D1390C">
      <w:pPr>
        <w:rPr>
          <w:color w:val="000000"/>
        </w:rPr>
      </w:pPr>
      <w:r w:rsidRPr="00D1390C">
        <w:rPr>
          <w:color w:val="000000"/>
        </w:rPr>
        <w:t>Transactions include the number of invoices DEQ issues for annual permit fees in August of each year and the number of invoices DEQ issues for specific activity fees. DEQ issues specific activity fees throughout the year depending on the number of new permit applications and changes to existing permits. These fees are a small portion of program revenue.</w:t>
      </w:r>
    </w:p>
    <w:p w14:paraId="3E1C3FF6" w14:textId="77777777" w:rsidR="00D1390C" w:rsidRPr="00D1390C" w:rsidRDefault="00D1390C" w:rsidP="00D1390C">
      <w:pPr>
        <w:autoSpaceDE w:val="0"/>
        <w:autoSpaceDN w:val="0"/>
        <w:adjustRightInd w:val="0"/>
        <w:ind w:left="0" w:right="0"/>
        <w:outlineLvl w:val="9"/>
        <w:rPr>
          <w:rFonts w:ascii="Arial" w:hAnsi="Arial" w:cs="Arial"/>
          <w:b/>
          <w:bCs/>
          <w:color w:val="FFFFFF"/>
          <w:sz w:val="20"/>
          <w:szCs w:val="20"/>
        </w:rPr>
      </w:pPr>
      <w:r w:rsidRPr="00D1390C">
        <w:rPr>
          <w:rFonts w:ascii="Arial" w:hAnsi="Arial" w:cs="Arial"/>
          <w:b/>
          <w:bCs/>
          <w:color w:val="FFFFFF"/>
          <w:sz w:val="20"/>
          <w:szCs w:val="20"/>
        </w:rPr>
        <w:t>Number of</w:t>
      </w:r>
    </w:p>
    <w:p w14:paraId="3E1C3FF7" w14:textId="77777777" w:rsidR="00D1390C" w:rsidRPr="00D1390C" w:rsidRDefault="00D1390C" w:rsidP="00D1390C">
      <w:pPr>
        <w:autoSpaceDE w:val="0"/>
        <w:autoSpaceDN w:val="0"/>
        <w:adjustRightInd w:val="0"/>
        <w:ind w:left="0" w:right="0"/>
        <w:outlineLvl w:val="9"/>
        <w:rPr>
          <w:rFonts w:ascii="Arial" w:hAnsi="Arial" w:cs="Arial"/>
          <w:b/>
          <w:bCs/>
          <w:color w:val="FFFFFF"/>
          <w:sz w:val="20"/>
          <w:szCs w:val="20"/>
        </w:rPr>
      </w:pPr>
    </w:p>
    <w:tbl>
      <w:tblPr>
        <w:tblW w:w="4735" w:type="pct"/>
        <w:tblInd w:w="108" w:type="dxa"/>
        <w:tblLayout w:type="fixed"/>
        <w:tblLook w:val="04A0" w:firstRow="1" w:lastRow="0" w:firstColumn="1" w:lastColumn="0" w:noHBand="0" w:noVBand="1"/>
      </w:tblPr>
      <w:tblGrid>
        <w:gridCol w:w="287"/>
        <w:gridCol w:w="938"/>
        <w:gridCol w:w="892"/>
        <w:gridCol w:w="1504"/>
        <w:gridCol w:w="1615"/>
        <w:gridCol w:w="1613"/>
        <w:gridCol w:w="2135"/>
        <w:gridCol w:w="1053"/>
        <w:gridCol w:w="71"/>
      </w:tblGrid>
      <w:tr w:rsidR="00D1390C" w:rsidRPr="00D1390C" w14:paraId="3E1C4000" w14:textId="77777777" w:rsidTr="00D1390C">
        <w:trPr>
          <w:trHeight w:val="591"/>
        </w:trPr>
        <w:tc>
          <w:tcPr>
            <w:tcW w:w="142" w:type="pct"/>
            <w:tcBorders>
              <w:top w:val="nil"/>
              <w:left w:val="nil"/>
              <w:bottom w:val="nil"/>
              <w:right w:val="nil"/>
            </w:tcBorders>
            <w:shd w:val="clear" w:color="000000" w:fill="FFFFFF"/>
            <w:vAlign w:val="center"/>
            <w:hideMark/>
          </w:tcPr>
          <w:p w14:paraId="3E1C3FF8" w14:textId="77777777" w:rsidR="00D1390C" w:rsidRPr="00D1390C" w:rsidRDefault="00D1390C" w:rsidP="00D1390C">
            <w:pPr>
              <w:ind w:left="810"/>
              <w:jc w:val="right"/>
              <w:rPr>
                <w:color w:val="5A5A5A"/>
              </w:rPr>
            </w:pPr>
            <w:r w:rsidRPr="00D1390C">
              <w:rPr>
                <w:color w:val="5A5A5A"/>
              </w:rPr>
              <w:t> </w:t>
            </w:r>
          </w:p>
        </w:tc>
        <w:tc>
          <w:tcPr>
            <w:tcW w:w="464" w:type="pct"/>
            <w:tcBorders>
              <w:top w:val="nil"/>
              <w:left w:val="nil"/>
              <w:bottom w:val="nil"/>
              <w:right w:val="nil"/>
            </w:tcBorders>
            <w:shd w:val="clear" w:color="000000" w:fill="FFFFFF"/>
            <w:vAlign w:val="center"/>
            <w:hideMark/>
          </w:tcPr>
          <w:p w14:paraId="3E1C3FF9" w14:textId="77777777" w:rsidR="00D1390C" w:rsidRPr="00D1390C" w:rsidRDefault="00D1390C" w:rsidP="00D1390C">
            <w:pPr>
              <w:ind w:left="810"/>
              <w:jc w:val="right"/>
              <w:rPr>
                <w:color w:val="5A5A5A"/>
              </w:rPr>
            </w:pPr>
            <w:r w:rsidRPr="00D1390C">
              <w:rPr>
                <w:color w:val="5A5A5A"/>
              </w:rPr>
              <w:t> </w:t>
            </w:r>
          </w:p>
        </w:tc>
        <w:tc>
          <w:tcPr>
            <w:tcW w:w="441" w:type="pct"/>
            <w:tcBorders>
              <w:top w:val="nil"/>
              <w:left w:val="nil"/>
              <w:bottom w:val="nil"/>
              <w:right w:val="double" w:sz="4" w:space="0" w:color="auto"/>
            </w:tcBorders>
            <w:shd w:val="clear" w:color="000000" w:fill="FFFFFF"/>
            <w:vAlign w:val="center"/>
            <w:hideMark/>
          </w:tcPr>
          <w:p w14:paraId="3E1C3FFA" w14:textId="77777777" w:rsidR="00D1390C" w:rsidRPr="00D1390C" w:rsidRDefault="00D1390C" w:rsidP="00D1390C">
            <w:pPr>
              <w:ind w:left="810"/>
              <w:jc w:val="center"/>
              <w:rPr>
                <w:b/>
                <w:bCs/>
                <w:color w:val="504938"/>
                <w:vertAlign w:val="subscript"/>
              </w:rPr>
            </w:pPr>
          </w:p>
        </w:tc>
        <w:tc>
          <w:tcPr>
            <w:tcW w:w="744" w:type="pct"/>
            <w:tcBorders>
              <w:top w:val="double" w:sz="4" w:space="0" w:color="auto"/>
              <w:left w:val="double" w:sz="4" w:space="0" w:color="auto"/>
              <w:bottom w:val="single" w:sz="4" w:space="0" w:color="auto"/>
              <w:right w:val="single" w:sz="4" w:space="0" w:color="auto"/>
            </w:tcBorders>
            <w:shd w:val="clear" w:color="auto" w:fill="008272"/>
            <w:vAlign w:val="center"/>
            <w:hideMark/>
          </w:tcPr>
          <w:p w14:paraId="3E1C3FFB" w14:textId="77777777" w:rsidR="00D1390C" w:rsidRPr="00D1390C" w:rsidRDefault="00D1390C" w:rsidP="00D1390C">
            <w:pPr>
              <w:ind w:left="-152" w:right="-90"/>
              <w:jc w:val="center"/>
              <w:rPr>
                <w:rFonts w:ascii="Arial" w:hAnsi="Arial" w:cs="Arial"/>
                <w:b/>
                <w:bCs/>
                <w:color w:val="FFFFFF"/>
              </w:rPr>
            </w:pPr>
            <w:r w:rsidRPr="00D1390C">
              <w:rPr>
                <w:rFonts w:ascii="Arial" w:hAnsi="Arial" w:cs="Arial"/>
                <w:b/>
                <w:bCs/>
                <w:color w:val="FFFFFF"/>
                <w:sz w:val="22"/>
                <w:szCs w:val="22"/>
              </w:rPr>
              <w:t>Number of transactions</w:t>
            </w:r>
          </w:p>
        </w:tc>
        <w:tc>
          <w:tcPr>
            <w:tcW w:w="799" w:type="pct"/>
            <w:tcBorders>
              <w:top w:val="double" w:sz="4" w:space="0" w:color="auto"/>
              <w:left w:val="single" w:sz="4" w:space="0" w:color="auto"/>
              <w:bottom w:val="single" w:sz="4" w:space="0" w:color="auto"/>
              <w:right w:val="single" w:sz="4" w:space="0" w:color="auto"/>
            </w:tcBorders>
            <w:shd w:val="clear" w:color="auto" w:fill="008272"/>
            <w:vAlign w:val="center"/>
          </w:tcPr>
          <w:p w14:paraId="3E1C3FFC" w14:textId="77777777" w:rsidR="00D1390C" w:rsidRPr="00D1390C" w:rsidRDefault="00D1390C" w:rsidP="00D1390C">
            <w:pPr>
              <w:ind w:left="-108" w:right="-94"/>
              <w:jc w:val="center"/>
              <w:rPr>
                <w:rFonts w:ascii="Arial" w:hAnsi="Arial" w:cs="Arial"/>
                <w:b/>
                <w:bCs/>
                <w:color w:val="FFFFFF"/>
              </w:rPr>
            </w:pPr>
            <w:r w:rsidRPr="00D1390C">
              <w:rPr>
                <w:rFonts w:ascii="Arial" w:hAnsi="Arial" w:cs="Arial"/>
                <w:b/>
                <w:bCs/>
                <w:color w:val="FFFFFF"/>
                <w:sz w:val="22"/>
                <w:szCs w:val="22"/>
              </w:rPr>
              <w:t>Number of Fee Payers</w:t>
            </w:r>
          </w:p>
        </w:tc>
        <w:tc>
          <w:tcPr>
            <w:tcW w:w="798" w:type="pct"/>
            <w:tcBorders>
              <w:top w:val="double" w:sz="4" w:space="0" w:color="auto"/>
              <w:left w:val="single" w:sz="4" w:space="0" w:color="auto"/>
              <w:bottom w:val="single" w:sz="4" w:space="0" w:color="auto"/>
              <w:right w:val="single" w:sz="4" w:space="0" w:color="auto"/>
            </w:tcBorders>
            <w:shd w:val="clear" w:color="auto" w:fill="008272"/>
            <w:vAlign w:val="center"/>
            <w:hideMark/>
          </w:tcPr>
          <w:p w14:paraId="3E1C3FFD" w14:textId="77777777" w:rsidR="00D1390C" w:rsidRPr="00D1390C" w:rsidRDefault="00D1390C" w:rsidP="00D1390C">
            <w:pPr>
              <w:ind w:left="-122" w:right="-100"/>
              <w:jc w:val="center"/>
              <w:rPr>
                <w:rFonts w:ascii="Arial" w:hAnsi="Arial" w:cs="Arial"/>
                <w:b/>
                <w:bCs/>
                <w:color w:val="FFFFFF"/>
              </w:rPr>
            </w:pPr>
            <w:r w:rsidRPr="00D1390C">
              <w:rPr>
                <w:rFonts w:ascii="Arial" w:hAnsi="Arial" w:cs="Arial"/>
                <w:b/>
                <w:bCs/>
                <w:color w:val="FFFFFF"/>
                <w:sz w:val="22"/>
                <w:szCs w:val="22"/>
              </w:rPr>
              <w:t>Impact on revenue   (+/-)</w:t>
            </w:r>
          </w:p>
        </w:tc>
        <w:tc>
          <w:tcPr>
            <w:tcW w:w="1056" w:type="pct"/>
            <w:tcBorders>
              <w:top w:val="double" w:sz="4" w:space="0" w:color="auto"/>
              <w:left w:val="single" w:sz="4" w:space="0" w:color="auto"/>
              <w:bottom w:val="single" w:sz="4" w:space="0" w:color="auto"/>
              <w:right w:val="double" w:sz="4" w:space="0" w:color="auto"/>
            </w:tcBorders>
            <w:shd w:val="clear" w:color="auto" w:fill="008272"/>
            <w:vAlign w:val="center"/>
            <w:hideMark/>
          </w:tcPr>
          <w:p w14:paraId="3E1C3FFE" w14:textId="77777777" w:rsidR="00D1390C" w:rsidRPr="00D1390C" w:rsidRDefault="00D1390C" w:rsidP="00D1390C">
            <w:pPr>
              <w:ind w:left="-116" w:right="-124"/>
              <w:jc w:val="center"/>
              <w:rPr>
                <w:rFonts w:ascii="Arial" w:hAnsi="Arial" w:cs="Arial"/>
                <w:b/>
                <w:bCs/>
                <w:color w:val="FFFFFF"/>
              </w:rPr>
            </w:pPr>
            <w:r w:rsidRPr="00D1390C">
              <w:rPr>
                <w:rFonts w:ascii="Arial" w:hAnsi="Arial" w:cs="Arial"/>
                <w:b/>
                <w:bCs/>
                <w:color w:val="FFFFFF"/>
                <w:sz w:val="22"/>
                <w:szCs w:val="22"/>
              </w:rPr>
              <w:t>Total revenue  (+/-)</w:t>
            </w:r>
          </w:p>
        </w:tc>
        <w:tc>
          <w:tcPr>
            <w:tcW w:w="556" w:type="pct"/>
            <w:gridSpan w:val="2"/>
            <w:tcBorders>
              <w:top w:val="nil"/>
              <w:left w:val="double" w:sz="4" w:space="0" w:color="auto"/>
              <w:bottom w:val="nil"/>
              <w:right w:val="nil"/>
            </w:tcBorders>
            <w:shd w:val="clear" w:color="000000" w:fill="FFFFFF"/>
            <w:noWrap/>
            <w:vAlign w:val="center"/>
            <w:hideMark/>
          </w:tcPr>
          <w:p w14:paraId="3E1C3FFF" w14:textId="77777777" w:rsidR="00D1390C" w:rsidRPr="00D1390C" w:rsidRDefault="00D1390C" w:rsidP="00D1390C">
            <w:pPr>
              <w:ind w:left="810"/>
              <w:rPr>
                <w:color w:val="32525C"/>
              </w:rPr>
            </w:pPr>
            <w:r w:rsidRPr="00D1390C">
              <w:rPr>
                <w:color w:val="32525C"/>
              </w:rPr>
              <w:t> </w:t>
            </w:r>
          </w:p>
        </w:tc>
      </w:tr>
      <w:tr w:rsidR="00D1390C" w:rsidRPr="00D1390C" w14:paraId="3E1C4007" w14:textId="77777777" w:rsidTr="00D1390C">
        <w:trPr>
          <w:gridAfter w:val="1"/>
          <w:wAfter w:w="35" w:type="pct"/>
          <w:trHeight w:val="315"/>
        </w:trPr>
        <w:tc>
          <w:tcPr>
            <w:tcW w:w="1047" w:type="pct"/>
            <w:gridSpan w:val="3"/>
            <w:tcBorders>
              <w:top w:val="nil"/>
              <w:left w:val="nil"/>
              <w:bottom w:val="nil"/>
              <w:right w:val="double" w:sz="4" w:space="0" w:color="auto"/>
            </w:tcBorders>
            <w:shd w:val="clear" w:color="000000" w:fill="FFFFFF"/>
            <w:noWrap/>
            <w:vAlign w:val="center"/>
            <w:hideMark/>
          </w:tcPr>
          <w:p w14:paraId="3E1C4001" w14:textId="77777777" w:rsidR="00D1390C" w:rsidRPr="00D1390C" w:rsidRDefault="00D1390C" w:rsidP="00D1390C">
            <w:pPr>
              <w:ind w:left="-90"/>
              <w:jc w:val="right"/>
              <w:rPr>
                <w:color w:val="504938"/>
              </w:rPr>
            </w:pPr>
            <w:r w:rsidRPr="00D1390C">
              <w:rPr>
                <w:color w:val="504938"/>
              </w:rPr>
              <w:t>Current biennium 2015-2017</w:t>
            </w:r>
          </w:p>
        </w:tc>
        <w:tc>
          <w:tcPr>
            <w:tcW w:w="744" w:type="pct"/>
            <w:tcBorders>
              <w:top w:val="single" w:sz="4" w:space="0" w:color="auto"/>
              <w:left w:val="double" w:sz="4" w:space="0" w:color="auto"/>
              <w:bottom w:val="single" w:sz="4" w:space="0" w:color="auto"/>
              <w:right w:val="single" w:sz="4" w:space="0" w:color="auto"/>
            </w:tcBorders>
            <w:shd w:val="clear" w:color="000000" w:fill="FFFFFF"/>
            <w:vAlign w:val="center"/>
            <w:hideMark/>
          </w:tcPr>
          <w:p w14:paraId="3E1C4002" w14:textId="61B562B8" w:rsidR="00D1390C" w:rsidRPr="00D1390C" w:rsidRDefault="00D1390C" w:rsidP="00D1390C">
            <w:pPr>
              <w:ind w:left="-18"/>
              <w:jc w:val="center"/>
              <w:rPr>
                <w:color w:val="000000"/>
              </w:rPr>
            </w:pPr>
            <w:r w:rsidRPr="00D1390C">
              <w:rPr>
                <w:color w:val="000000"/>
              </w:rPr>
              <w:t>2</w:t>
            </w:r>
            <w:r w:rsidR="00FC241A">
              <w:rPr>
                <w:color w:val="000000"/>
              </w:rPr>
              <w:t>65</w:t>
            </w:r>
          </w:p>
        </w:tc>
        <w:tc>
          <w:tcPr>
            <w:tcW w:w="799" w:type="pct"/>
            <w:tcBorders>
              <w:top w:val="single" w:sz="4" w:space="0" w:color="auto"/>
              <w:left w:val="single" w:sz="4" w:space="0" w:color="auto"/>
              <w:bottom w:val="single" w:sz="4" w:space="0" w:color="auto"/>
              <w:right w:val="single" w:sz="4" w:space="0" w:color="auto"/>
            </w:tcBorders>
            <w:shd w:val="clear" w:color="000000" w:fill="FFFFFF"/>
            <w:vAlign w:val="center"/>
          </w:tcPr>
          <w:p w14:paraId="3E1C4003" w14:textId="06990736" w:rsidR="00D1390C" w:rsidRPr="00D1390C" w:rsidRDefault="00D1390C" w:rsidP="00D1390C">
            <w:pPr>
              <w:ind w:left="-108"/>
              <w:jc w:val="center"/>
              <w:rPr>
                <w:color w:val="000000"/>
              </w:rPr>
            </w:pPr>
            <w:r w:rsidRPr="00D1390C">
              <w:rPr>
                <w:color w:val="000000"/>
              </w:rPr>
              <w:t>1</w:t>
            </w:r>
            <w:r w:rsidR="00694F18">
              <w:rPr>
                <w:color w:val="000000"/>
              </w:rPr>
              <w:t>09</w:t>
            </w:r>
          </w:p>
        </w:tc>
        <w:tc>
          <w:tcPr>
            <w:tcW w:w="7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1C4004" w14:textId="37B65857" w:rsidR="00D1390C" w:rsidRPr="00D1390C" w:rsidRDefault="00D1390C">
            <w:pPr>
              <w:ind w:left="0"/>
              <w:jc w:val="center"/>
              <w:rPr>
                <w:color w:val="000000"/>
              </w:rPr>
            </w:pPr>
            <w:r w:rsidRPr="00D1390C">
              <w:rPr>
                <w:color w:val="000000"/>
              </w:rPr>
              <w:t>+ $17,</w:t>
            </w:r>
            <w:r w:rsidR="00694F18">
              <w:rPr>
                <w:color w:val="000000"/>
              </w:rPr>
              <w:t>300</w:t>
            </w:r>
          </w:p>
        </w:tc>
        <w:tc>
          <w:tcPr>
            <w:tcW w:w="1056"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14:paraId="3E1C4005" w14:textId="58B91027" w:rsidR="00D1390C" w:rsidRPr="00D1390C" w:rsidRDefault="00D1390C" w:rsidP="0054298C">
            <w:pPr>
              <w:ind w:left="783"/>
              <w:jc w:val="center"/>
              <w:rPr>
                <w:color w:val="000000"/>
              </w:rPr>
            </w:pPr>
            <w:r w:rsidRPr="00D1390C">
              <w:rPr>
                <w:color w:val="000000"/>
              </w:rPr>
              <w:t>$7,</w:t>
            </w:r>
            <w:r w:rsidR="00694F18">
              <w:rPr>
                <w:color w:val="000000"/>
              </w:rPr>
              <w:t>804,000</w:t>
            </w:r>
          </w:p>
        </w:tc>
        <w:tc>
          <w:tcPr>
            <w:tcW w:w="521" w:type="pct"/>
            <w:tcBorders>
              <w:top w:val="nil"/>
              <w:left w:val="double" w:sz="4" w:space="0" w:color="auto"/>
              <w:bottom w:val="nil"/>
              <w:right w:val="nil"/>
            </w:tcBorders>
            <w:shd w:val="clear" w:color="000000" w:fill="FFFFFF"/>
            <w:noWrap/>
            <w:vAlign w:val="center"/>
            <w:hideMark/>
          </w:tcPr>
          <w:p w14:paraId="3E1C4006" w14:textId="77777777" w:rsidR="00D1390C" w:rsidRPr="00D1390C" w:rsidRDefault="00D1390C" w:rsidP="00D1390C">
            <w:pPr>
              <w:ind w:left="810"/>
              <w:rPr>
                <w:color w:val="32525C"/>
              </w:rPr>
            </w:pPr>
            <w:r w:rsidRPr="00D1390C">
              <w:rPr>
                <w:color w:val="32525C"/>
              </w:rPr>
              <w:t> </w:t>
            </w:r>
          </w:p>
        </w:tc>
      </w:tr>
      <w:tr w:rsidR="00D1390C" w:rsidRPr="00D1390C" w14:paraId="3E1C400E" w14:textId="77777777" w:rsidTr="00D1390C">
        <w:trPr>
          <w:gridAfter w:val="1"/>
          <w:wAfter w:w="35" w:type="pct"/>
          <w:trHeight w:val="602"/>
        </w:trPr>
        <w:tc>
          <w:tcPr>
            <w:tcW w:w="1047" w:type="pct"/>
            <w:gridSpan w:val="3"/>
            <w:tcBorders>
              <w:top w:val="nil"/>
              <w:left w:val="nil"/>
              <w:bottom w:val="nil"/>
              <w:right w:val="double" w:sz="4" w:space="0" w:color="auto"/>
            </w:tcBorders>
            <w:shd w:val="clear" w:color="000000" w:fill="FFFFFF"/>
            <w:noWrap/>
            <w:vAlign w:val="center"/>
            <w:hideMark/>
          </w:tcPr>
          <w:p w14:paraId="3E1C4008" w14:textId="77777777" w:rsidR="00D1390C" w:rsidRPr="00D1390C" w:rsidRDefault="00D1390C" w:rsidP="00D1390C">
            <w:pPr>
              <w:ind w:left="-90"/>
              <w:jc w:val="right"/>
              <w:rPr>
                <w:color w:val="504938"/>
              </w:rPr>
            </w:pPr>
            <w:r w:rsidRPr="00D1390C">
              <w:rPr>
                <w:color w:val="504938"/>
              </w:rPr>
              <w:t>Next biennium 2017-2019</w:t>
            </w:r>
          </w:p>
        </w:tc>
        <w:tc>
          <w:tcPr>
            <w:tcW w:w="744" w:type="pct"/>
            <w:tcBorders>
              <w:top w:val="single" w:sz="4" w:space="0" w:color="auto"/>
              <w:left w:val="double" w:sz="4" w:space="0" w:color="auto"/>
              <w:bottom w:val="double" w:sz="4" w:space="0" w:color="auto"/>
              <w:right w:val="single" w:sz="4" w:space="0" w:color="auto"/>
            </w:tcBorders>
            <w:shd w:val="clear" w:color="000000" w:fill="FFFFFF"/>
            <w:vAlign w:val="center"/>
            <w:hideMark/>
          </w:tcPr>
          <w:p w14:paraId="3E1C4009" w14:textId="4EAD7D5C" w:rsidR="00D1390C" w:rsidRPr="00D1390C" w:rsidRDefault="00D1390C" w:rsidP="00D1390C">
            <w:pPr>
              <w:ind w:left="-18"/>
              <w:jc w:val="center"/>
              <w:rPr>
                <w:color w:val="000000"/>
              </w:rPr>
            </w:pPr>
            <w:r w:rsidRPr="00D1390C">
              <w:rPr>
                <w:color w:val="000000"/>
              </w:rPr>
              <w:t>2</w:t>
            </w:r>
            <w:r w:rsidR="00FC241A">
              <w:rPr>
                <w:color w:val="000000"/>
              </w:rPr>
              <w:t>60</w:t>
            </w:r>
          </w:p>
        </w:tc>
        <w:tc>
          <w:tcPr>
            <w:tcW w:w="799" w:type="pct"/>
            <w:tcBorders>
              <w:top w:val="single" w:sz="4" w:space="0" w:color="auto"/>
              <w:left w:val="single" w:sz="4" w:space="0" w:color="auto"/>
              <w:bottom w:val="double" w:sz="4" w:space="0" w:color="auto"/>
              <w:right w:val="single" w:sz="4" w:space="0" w:color="auto"/>
            </w:tcBorders>
            <w:shd w:val="clear" w:color="000000" w:fill="FFFFFF"/>
            <w:vAlign w:val="center"/>
          </w:tcPr>
          <w:p w14:paraId="3E1C400A" w14:textId="70AF206A" w:rsidR="00D1390C" w:rsidRPr="00D1390C" w:rsidRDefault="00D1390C" w:rsidP="00D1390C">
            <w:pPr>
              <w:ind w:left="-108"/>
              <w:jc w:val="center"/>
              <w:rPr>
                <w:color w:val="000000"/>
              </w:rPr>
            </w:pPr>
            <w:r w:rsidRPr="00D1390C">
              <w:rPr>
                <w:color w:val="000000"/>
              </w:rPr>
              <w:t>11</w:t>
            </w:r>
            <w:r w:rsidR="00694F18">
              <w:rPr>
                <w:color w:val="000000"/>
              </w:rPr>
              <w:t>3</w:t>
            </w:r>
          </w:p>
        </w:tc>
        <w:tc>
          <w:tcPr>
            <w:tcW w:w="798"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14:paraId="3E1C400B" w14:textId="097B753A" w:rsidR="00D1390C" w:rsidRPr="00D1390C" w:rsidRDefault="00D1390C">
            <w:pPr>
              <w:ind w:left="0"/>
              <w:jc w:val="center"/>
              <w:rPr>
                <w:color w:val="000000"/>
              </w:rPr>
            </w:pPr>
            <w:r w:rsidRPr="00D1390C">
              <w:rPr>
                <w:color w:val="000000"/>
              </w:rPr>
              <w:t>+ $</w:t>
            </w:r>
            <w:r w:rsidR="00694F18">
              <w:rPr>
                <w:color w:val="000000"/>
              </w:rPr>
              <w:t>61,700</w:t>
            </w:r>
          </w:p>
        </w:tc>
        <w:tc>
          <w:tcPr>
            <w:tcW w:w="1056"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14:paraId="3E1C400C" w14:textId="604CE924" w:rsidR="00D1390C" w:rsidRPr="00D1390C" w:rsidRDefault="00D1390C" w:rsidP="0054298C">
            <w:pPr>
              <w:ind w:left="783"/>
              <w:jc w:val="center"/>
              <w:rPr>
                <w:color w:val="000000"/>
              </w:rPr>
            </w:pPr>
            <w:r w:rsidRPr="00D1390C">
              <w:rPr>
                <w:color w:val="000000"/>
              </w:rPr>
              <w:t>$7,</w:t>
            </w:r>
            <w:r w:rsidR="00694F18">
              <w:rPr>
                <w:color w:val="000000"/>
              </w:rPr>
              <w:t>772,000</w:t>
            </w:r>
          </w:p>
        </w:tc>
        <w:tc>
          <w:tcPr>
            <w:tcW w:w="521" w:type="pct"/>
            <w:tcBorders>
              <w:top w:val="nil"/>
              <w:left w:val="double" w:sz="4" w:space="0" w:color="auto"/>
              <w:bottom w:val="nil"/>
              <w:right w:val="nil"/>
            </w:tcBorders>
            <w:shd w:val="clear" w:color="000000" w:fill="FFFFFF"/>
            <w:noWrap/>
            <w:vAlign w:val="center"/>
            <w:hideMark/>
          </w:tcPr>
          <w:p w14:paraId="3E1C400D" w14:textId="77777777" w:rsidR="00D1390C" w:rsidRPr="00D1390C" w:rsidRDefault="00D1390C" w:rsidP="00D1390C">
            <w:pPr>
              <w:ind w:left="810"/>
              <w:rPr>
                <w:color w:val="32525C"/>
              </w:rPr>
            </w:pPr>
            <w:r w:rsidRPr="00D1390C">
              <w:rPr>
                <w:color w:val="32525C"/>
              </w:rPr>
              <w:t> </w:t>
            </w:r>
          </w:p>
        </w:tc>
      </w:tr>
    </w:tbl>
    <w:p w14:paraId="3E1C400F" w14:textId="77777777" w:rsidR="00D1390C" w:rsidRPr="00D1390C" w:rsidRDefault="00D1390C" w:rsidP="00D1390C">
      <w:pPr>
        <w:keepNext/>
        <w:keepLines/>
        <w:spacing w:before="200" w:after="120"/>
        <w:ind w:left="547"/>
        <w:outlineLvl w:val="1"/>
        <w:rPr>
          <w:bCs/>
          <w:color w:val="000000"/>
          <w:sz w:val="22"/>
          <w:szCs w:val="26"/>
        </w:rPr>
      </w:pPr>
      <w:r w:rsidRPr="00D1390C">
        <w:rPr>
          <w:rFonts w:ascii="Arial" w:hAnsi="Arial" w:cs="Arial"/>
          <w:bCs/>
          <w:color w:val="504938"/>
          <w:sz w:val="22"/>
          <w:szCs w:val="22"/>
        </w:rPr>
        <w:t>Fee schedule</w:t>
      </w:r>
    </w:p>
    <w:p w14:paraId="3E1C4010" w14:textId="77777777" w:rsidR="00D1390C" w:rsidRPr="00D1390C" w:rsidRDefault="00D1390C" w:rsidP="00D1390C">
      <w:pPr>
        <w:rPr>
          <w:color w:val="000000"/>
        </w:rPr>
      </w:pPr>
      <w:r w:rsidRPr="00D1390C">
        <w:rPr>
          <w:color w:val="000000"/>
        </w:rPr>
        <w:t xml:space="preserve">The following table shows the amounts of the proposed fees. </w:t>
      </w:r>
    </w:p>
    <w:tbl>
      <w:tblPr>
        <w:tblStyle w:val="TableGrid"/>
        <w:tblW w:w="0" w:type="auto"/>
        <w:jc w:val="center"/>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671"/>
        <w:gridCol w:w="1529"/>
        <w:gridCol w:w="1600"/>
        <w:gridCol w:w="1607"/>
        <w:gridCol w:w="81"/>
      </w:tblGrid>
      <w:tr w:rsidR="00D1390C" w:rsidRPr="00D1390C" w14:paraId="3E1C4012" w14:textId="77777777" w:rsidTr="00D1390C">
        <w:trPr>
          <w:tblHeader/>
          <w:jc w:val="center"/>
        </w:trPr>
        <w:tc>
          <w:tcPr>
            <w:tcW w:w="7488" w:type="dxa"/>
            <w:gridSpan w:val="5"/>
            <w:tcBorders>
              <w:top w:val="double" w:sz="4" w:space="0" w:color="auto"/>
            </w:tcBorders>
            <w:shd w:val="clear" w:color="auto" w:fill="008272"/>
            <w:vAlign w:val="center"/>
          </w:tcPr>
          <w:p w14:paraId="3E1C4011" w14:textId="77777777" w:rsidR="00D1390C" w:rsidRPr="00D1390C" w:rsidRDefault="00D1390C" w:rsidP="00D1390C">
            <w:pPr>
              <w:spacing w:after="120"/>
              <w:ind w:left="0"/>
              <w:contextualSpacing/>
              <w:jc w:val="center"/>
              <w:rPr>
                <w:rFonts w:ascii="Arial" w:hAnsi="Arial" w:cs="Arial"/>
                <w:color w:val="FFFFFF"/>
                <w:sz w:val="26"/>
                <w:szCs w:val="26"/>
              </w:rPr>
            </w:pPr>
            <w:r w:rsidRPr="00D1390C">
              <w:rPr>
                <w:rFonts w:ascii="Arial" w:hAnsi="Arial" w:cs="Arial"/>
                <w:b/>
                <w:color w:val="FFFFFF"/>
                <w:sz w:val="26"/>
                <w:szCs w:val="26"/>
              </w:rPr>
              <w:t>Proposed Fees</w:t>
            </w:r>
          </w:p>
        </w:tc>
      </w:tr>
      <w:tr w:rsidR="00D1390C" w:rsidRPr="00D1390C" w14:paraId="3E1C4018" w14:textId="77777777" w:rsidTr="00D1390C">
        <w:trPr>
          <w:trHeight w:val="712"/>
          <w:jc w:val="center"/>
        </w:trPr>
        <w:tc>
          <w:tcPr>
            <w:tcW w:w="2671" w:type="dxa"/>
            <w:tcBorders>
              <w:top w:val="single" w:sz="12" w:space="0" w:color="000000"/>
              <w:bottom w:val="single" w:sz="4" w:space="0" w:color="auto"/>
              <w:right w:val="single" w:sz="12" w:space="0" w:color="auto"/>
            </w:tcBorders>
            <w:shd w:val="clear" w:color="auto" w:fill="DFF1EB"/>
            <w:vAlign w:val="center"/>
          </w:tcPr>
          <w:p w14:paraId="3E1C4013" w14:textId="77777777" w:rsidR="00D1390C" w:rsidRPr="00D1390C" w:rsidRDefault="00D1390C" w:rsidP="00D1390C">
            <w:pPr>
              <w:spacing w:after="120"/>
              <w:ind w:left="0" w:right="70"/>
              <w:contextualSpacing/>
              <w:jc w:val="center"/>
              <w:rPr>
                <w:rFonts w:ascii="Arial" w:hAnsi="Arial" w:cs="Arial"/>
              </w:rPr>
            </w:pPr>
            <w:r w:rsidRPr="00D1390C">
              <w:rPr>
                <w:rFonts w:ascii="Arial" w:hAnsi="Arial" w:cs="Arial"/>
              </w:rPr>
              <w:t>Fee category</w:t>
            </w:r>
          </w:p>
        </w:tc>
        <w:tc>
          <w:tcPr>
            <w:tcW w:w="1529" w:type="dxa"/>
            <w:tcBorders>
              <w:top w:val="single" w:sz="12" w:space="0" w:color="000000"/>
              <w:left w:val="single" w:sz="12" w:space="0" w:color="auto"/>
              <w:bottom w:val="single" w:sz="4" w:space="0" w:color="auto"/>
              <w:right w:val="single" w:sz="12" w:space="0" w:color="auto"/>
            </w:tcBorders>
            <w:shd w:val="clear" w:color="auto" w:fill="DFF1EB"/>
            <w:vAlign w:val="center"/>
          </w:tcPr>
          <w:p w14:paraId="3E1C4014" w14:textId="77777777" w:rsidR="00D1390C" w:rsidRPr="00D1390C" w:rsidRDefault="00D1390C" w:rsidP="00E64681">
            <w:pPr>
              <w:spacing w:after="120"/>
              <w:ind w:left="0" w:right="70"/>
              <w:contextualSpacing/>
              <w:jc w:val="center"/>
              <w:rPr>
                <w:rFonts w:ascii="Arial" w:hAnsi="Arial" w:cs="Arial"/>
              </w:rPr>
            </w:pPr>
            <w:r w:rsidRPr="00D1390C">
              <w:rPr>
                <w:rFonts w:ascii="Arial" w:hAnsi="Arial" w:cs="Arial"/>
              </w:rPr>
              <w:t>2015 Fee</w:t>
            </w:r>
          </w:p>
        </w:tc>
        <w:tc>
          <w:tcPr>
            <w:tcW w:w="1600" w:type="dxa"/>
            <w:tcBorders>
              <w:top w:val="single" w:sz="12" w:space="0" w:color="000000"/>
              <w:left w:val="single" w:sz="12" w:space="0" w:color="auto"/>
              <w:bottom w:val="single" w:sz="4" w:space="0" w:color="auto"/>
              <w:right w:val="single" w:sz="12" w:space="0" w:color="auto"/>
            </w:tcBorders>
            <w:shd w:val="clear" w:color="auto" w:fill="DFF1EB"/>
            <w:vAlign w:val="center"/>
          </w:tcPr>
          <w:p w14:paraId="3E1C4015" w14:textId="77777777" w:rsidR="00D1390C" w:rsidRPr="00D1390C" w:rsidRDefault="00D1390C" w:rsidP="00AB3619">
            <w:pPr>
              <w:spacing w:after="120"/>
              <w:ind w:left="0" w:right="12"/>
              <w:contextualSpacing/>
              <w:jc w:val="center"/>
              <w:rPr>
                <w:rFonts w:ascii="Arial" w:hAnsi="Arial" w:cs="Arial"/>
                <w:color w:val="000000"/>
              </w:rPr>
            </w:pPr>
            <w:r w:rsidRPr="00D1390C">
              <w:rPr>
                <w:rFonts w:ascii="Arial" w:hAnsi="Arial" w:cs="Arial"/>
              </w:rPr>
              <w:t>Proposed 2016 Fees</w:t>
            </w:r>
          </w:p>
        </w:tc>
        <w:tc>
          <w:tcPr>
            <w:tcW w:w="1607" w:type="dxa"/>
            <w:tcBorders>
              <w:top w:val="single" w:sz="12" w:space="0" w:color="000000"/>
              <w:left w:val="single" w:sz="12" w:space="0" w:color="auto"/>
              <w:bottom w:val="single" w:sz="4" w:space="0" w:color="auto"/>
              <w:right w:val="single" w:sz="8" w:space="0" w:color="DFF1EB"/>
            </w:tcBorders>
            <w:shd w:val="clear" w:color="auto" w:fill="DFF1EB"/>
            <w:vAlign w:val="center"/>
          </w:tcPr>
          <w:p w14:paraId="3E1C4016" w14:textId="77777777" w:rsidR="00D1390C" w:rsidRPr="00D1390C" w:rsidRDefault="00D1390C" w:rsidP="00AB3619">
            <w:pPr>
              <w:spacing w:after="120"/>
              <w:ind w:left="0"/>
              <w:contextualSpacing/>
              <w:jc w:val="center"/>
              <w:rPr>
                <w:rFonts w:ascii="Arial" w:hAnsi="Arial" w:cs="Arial"/>
                <w:color w:val="000000"/>
                <w:vertAlign w:val="superscript"/>
              </w:rPr>
            </w:pPr>
            <w:r w:rsidRPr="00D1390C">
              <w:rPr>
                <w:rFonts w:ascii="Arial" w:hAnsi="Arial" w:cs="Arial"/>
              </w:rPr>
              <w:t>Proposed 2017 Fees</w:t>
            </w:r>
            <w:r w:rsidRPr="00D1390C">
              <w:rPr>
                <w:rFonts w:ascii="Arial" w:hAnsi="Arial" w:cs="Arial"/>
                <w:vertAlign w:val="superscript"/>
              </w:rPr>
              <w:t>1</w:t>
            </w:r>
          </w:p>
        </w:tc>
        <w:tc>
          <w:tcPr>
            <w:tcW w:w="81" w:type="dxa"/>
            <w:tcBorders>
              <w:top w:val="single" w:sz="12" w:space="0" w:color="000000"/>
              <w:left w:val="single" w:sz="8" w:space="0" w:color="DFF1EB"/>
              <w:bottom w:val="single" w:sz="4" w:space="0" w:color="auto"/>
            </w:tcBorders>
            <w:shd w:val="clear" w:color="auto" w:fill="DFF1EB"/>
          </w:tcPr>
          <w:p w14:paraId="3E1C4017" w14:textId="77777777" w:rsidR="00D1390C" w:rsidRPr="00D1390C" w:rsidRDefault="00D1390C" w:rsidP="00D1390C">
            <w:pPr>
              <w:spacing w:after="120"/>
              <w:ind w:left="0"/>
              <w:contextualSpacing/>
              <w:jc w:val="center"/>
              <w:rPr>
                <w:rFonts w:ascii="Times New Roman" w:hAnsi="Times New Roman" w:cs="Times New Roman"/>
                <w:sz w:val="20"/>
                <w:szCs w:val="20"/>
              </w:rPr>
            </w:pPr>
          </w:p>
        </w:tc>
      </w:tr>
      <w:tr w:rsidR="00D1390C" w:rsidRPr="00D1390C" w14:paraId="3E1C401B" w14:textId="77777777" w:rsidTr="00D1390C">
        <w:trPr>
          <w:trHeight w:val="350"/>
          <w:jc w:val="center"/>
        </w:trPr>
        <w:tc>
          <w:tcPr>
            <w:tcW w:w="7407" w:type="dxa"/>
            <w:gridSpan w:val="4"/>
            <w:tcBorders>
              <w:top w:val="single" w:sz="12" w:space="0" w:color="000000"/>
              <w:bottom w:val="single" w:sz="4" w:space="0" w:color="auto"/>
              <w:right w:val="single" w:sz="8" w:space="0" w:color="DFF1EB"/>
            </w:tcBorders>
            <w:shd w:val="clear" w:color="auto" w:fill="DFF1EB"/>
            <w:vAlign w:val="center"/>
          </w:tcPr>
          <w:p w14:paraId="3E1C4019" w14:textId="77777777" w:rsidR="00D1390C" w:rsidRPr="00D1390C" w:rsidRDefault="00D1390C" w:rsidP="00D1390C">
            <w:pPr>
              <w:spacing w:after="120"/>
              <w:ind w:left="0"/>
              <w:contextualSpacing/>
              <w:rPr>
                <w:rFonts w:ascii="Arial" w:hAnsi="Arial" w:cs="Arial"/>
              </w:rPr>
            </w:pPr>
            <w:r w:rsidRPr="00D1390C">
              <w:rPr>
                <w:rFonts w:ascii="Arial" w:hAnsi="Arial" w:cs="Arial"/>
              </w:rPr>
              <w:t xml:space="preserve">   Annual Title V Fees</w:t>
            </w:r>
          </w:p>
        </w:tc>
        <w:tc>
          <w:tcPr>
            <w:tcW w:w="81" w:type="dxa"/>
            <w:tcBorders>
              <w:top w:val="single" w:sz="12" w:space="0" w:color="000000"/>
              <w:left w:val="single" w:sz="8" w:space="0" w:color="DFF1EB"/>
              <w:bottom w:val="single" w:sz="4" w:space="0" w:color="auto"/>
            </w:tcBorders>
            <w:shd w:val="clear" w:color="auto" w:fill="DFF1EB"/>
          </w:tcPr>
          <w:p w14:paraId="3E1C401A" w14:textId="77777777" w:rsidR="00D1390C" w:rsidRPr="00D1390C" w:rsidRDefault="00D1390C" w:rsidP="00D1390C">
            <w:pPr>
              <w:spacing w:after="120"/>
              <w:ind w:left="0"/>
              <w:contextualSpacing/>
              <w:jc w:val="center"/>
              <w:rPr>
                <w:rFonts w:ascii="Times New Roman" w:hAnsi="Times New Roman" w:cs="Times New Roman"/>
                <w:sz w:val="20"/>
                <w:szCs w:val="20"/>
              </w:rPr>
            </w:pPr>
          </w:p>
        </w:tc>
      </w:tr>
      <w:tr w:rsidR="00D1390C" w:rsidRPr="00D1390C" w14:paraId="3E1C4021" w14:textId="77777777" w:rsidTr="00D1390C">
        <w:trPr>
          <w:trHeight w:val="350"/>
          <w:jc w:val="center"/>
        </w:trPr>
        <w:tc>
          <w:tcPr>
            <w:tcW w:w="2671" w:type="dxa"/>
            <w:tcBorders>
              <w:top w:val="single" w:sz="4" w:space="0" w:color="auto"/>
              <w:right w:val="single" w:sz="12" w:space="0" w:color="auto"/>
            </w:tcBorders>
            <w:vAlign w:val="center"/>
          </w:tcPr>
          <w:p w14:paraId="3E1C401C" w14:textId="77777777" w:rsidR="00D1390C" w:rsidRPr="00D1390C" w:rsidRDefault="00D1390C" w:rsidP="00D1390C">
            <w:pPr>
              <w:spacing w:after="120"/>
              <w:ind w:left="85" w:right="98"/>
              <w:contextualSpacing/>
              <w:jc w:val="right"/>
              <w:rPr>
                <w:rFonts w:ascii="Arial" w:hAnsi="Arial" w:cs="Arial"/>
                <w:color w:val="000000"/>
                <w:sz w:val="20"/>
                <w:szCs w:val="20"/>
                <w:vertAlign w:val="superscript"/>
              </w:rPr>
            </w:pPr>
            <w:r w:rsidRPr="00D1390C">
              <w:rPr>
                <w:rFonts w:ascii="Arial" w:hAnsi="Arial" w:cs="Arial"/>
                <w:color w:val="000000"/>
                <w:sz w:val="20"/>
                <w:szCs w:val="20"/>
              </w:rPr>
              <w:t>Emission Fee</w:t>
            </w:r>
          </w:p>
        </w:tc>
        <w:tc>
          <w:tcPr>
            <w:tcW w:w="1529" w:type="dxa"/>
            <w:tcBorders>
              <w:top w:val="single" w:sz="4" w:space="0" w:color="auto"/>
              <w:left w:val="single" w:sz="12" w:space="0" w:color="auto"/>
              <w:right w:val="single" w:sz="12" w:space="0" w:color="auto"/>
            </w:tcBorders>
            <w:vAlign w:val="center"/>
          </w:tcPr>
          <w:p w14:paraId="3E1C401D" w14:textId="77777777" w:rsidR="00D1390C" w:rsidRPr="00D1390C" w:rsidRDefault="00D1390C" w:rsidP="00D1390C">
            <w:pPr>
              <w:spacing w:after="120"/>
              <w:ind w:left="85" w:right="98"/>
              <w:contextualSpacing/>
              <w:jc w:val="center"/>
              <w:rPr>
                <w:rFonts w:ascii="Times New Roman" w:hAnsi="Times New Roman" w:cs="Times New Roman"/>
                <w:color w:val="000000"/>
                <w:sz w:val="24"/>
                <w:szCs w:val="24"/>
              </w:rPr>
            </w:pPr>
            <w:r w:rsidRPr="00D1390C">
              <w:rPr>
                <w:rFonts w:ascii="Times New Roman" w:hAnsi="Times New Roman" w:cs="Times New Roman"/>
                <w:color w:val="000000"/>
                <w:sz w:val="24"/>
                <w:szCs w:val="24"/>
              </w:rPr>
              <w:t xml:space="preserve">$59.81  </w:t>
            </w:r>
          </w:p>
        </w:tc>
        <w:tc>
          <w:tcPr>
            <w:tcW w:w="1600" w:type="dxa"/>
            <w:tcBorders>
              <w:top w:val="single" w:sz="4" w:space="0" w:color="auto"/>
              <w:left w:val="single" w:sz="12" w:space="0" w:color="auto"/>
              <w:right w:val="single" w:sz="12" w:space="0" w:color="auto"/>
            </w:tcBorders>
            <w:vAlign w:val="center"/>
          </w:tcPr>
          <w:p w14:paraId="3E1C401E" w14:textId="77777777" w:rsidR="00D1390C" w:rsidRPr="00D1390C" w:rsidRDefault="00D1390C" w:rsidP="00D1390C">
            <w:pPr>
              <w:spacing w:after="120"/>
              <w:ind w:left="85" w:right="98"/>
              <w:contextualSpacing/>
              <w:jc w:val="center"/>
              <w:rPr>
                <w:rFonts w:ascii="Times New Roman" w:hAnsi="Times New Roman" w:cs="Times New Roman"/>
                <w:color w:val="000000"/>
                <w:sz w:val="24"/>
                <w:szCs w:val="24"/>
              </w:rPr>
            </w:pPr>
            <w:r w:rsidRPr="00D1390C">
              <w:rPr>
                <w:rFonts w:ascii="Times New Roman" w:hAnsi="Times New Roman" w:cs="Times New Roman"/>
                <w:color w:val="000000"/>
                <w:sz w:val="24"/>
                <w:szCs w:val="24"/>
              </w:rPr>
              <w:t>$60.08</w:t>
            </w:r>
          </w:p>
        </w:tc>
        <w:tc>
          <w:tcPr>
            <w:tcW w:w="1607" w:type="dxa"/>
            <w:tcBorders>
              <w:top w:val="single" w:sz="4" w:space="0" w:color="auto"/>
              <w:left w:val="single" w:sz="12" w:space="0" w:color="auto"/>
              <w:right w:val="single" w:sz="4" w:space="0" w:color="FFFFFF"/>
            </w:tcBorders>
            <w:vAlign w:val="center"/>
          </w:tcPr>
          <w:p w14:paraId="3E1C401F" w14:textId="0198F754" w:rsidR="00D1390C" w:rsidRPr="00D1390C" w:rsidRDefault="00D1390C">
            <w:pPr>
              <w:spacing w:after="120"/>
              <w:ind w:left="85" w:right="98"/>
              <w:contextualSpacing/>
              <w:jc w:val="center"/>
              <w:rPr>
                <w:rFonts w:ascii="Times New Roman" w:hAnsi="Times New Roman" w:cs="Times New Roman"/>
                <w:color w:val="000000"/>
                <w:sz w:val="24"/>
                <w:szCs w:val="24"/>
              </w:rPr>
            </w:pPr>
            <w:r w:rsidRPr="00D1390C">
              <w:rPr>
                <w:rFonts w:ascii="Times New Roman" w:hAnsi="Times New Roman" w:cs="Times New Roman"/>
                <w:color w:val="000000"/>
                <w:sz w:val="24"/>
                <w:szCs w:val="24"/>
              </w:rPr>
              <w:t>$60.</w:t>
            </w:r>
            <w:r w:rsidR="00196B48">
              <w:rPr>
                <w:rFonts w:ascii="Times New Roman" w:hAnsi="Times New Roman" w:cs="Times New Roman"/>
                <w:color w:val="000000"/>
                <w:sz w:val="24"/>
                <w:szCs w:val="24"/>
              </w:rPr>
              <w:t>56</w:t>
            </w:r>
          </w:p>
        </w:tc>
        <w:tc>
          <w:tcPr>
            <w:tcW w:w="81" w:type="dxa"/>
            <w:tcBorders>
              <w:top w:val="single" w:sz="4" w:space="0" w:color="auto"/>
              <w:left w:val="single" w:sz="4" w:space="0" w:color="FFFFFF"/>
            </w:tcBorders>
          </w:tcPr>
          <w:p w14:paraId="3E1C4020" w14:textId="77777777" w:rsidR="00D1390C" w:rsidRPr="00D1390C" w:rsidRDefault="00D1390C" w:rsidP="00D1390C">
            <w:pPr>
              <w:spacing w:after="120"/>
              <w:ind w:left="85" w:right="98"/>
              <w:contextualSpacing/>
              <w:jc w:val="center"/>
              <w:rPr>
                <w:rFonts w:ascii="Times New Roman" w:hAnsi="Times New Roman" w:cs="Times New Roman"/>
                <w:color w:val="000000"/>
                <w:sz w:val="20"/>
                <w:szCs w:val="20"/>
              </w:rPr>
            </w:pPr>
          </w:p>
        </w:tc>
      </w:tr>
      <w:tr w:rsidR="00D1390C" w:rsidRPr="00D1390C" w14:paraId="3E1C4027" w14:textId="77777777" w:rsidTr="00D1390C">
        <w:trPr>
          <w:trHeight w:val="350"/>
          <w:jc w:val="center"/>
        </w:trPr>
        <w:tc>
          <w:tcPr>
            <w:tcW w:w="2671" w:type="dxa"/>
            <w:tcBorders>
              <w:right w:val="single" w:sz="12" w:space="0" w:color="auto"/>
            </w:tcBorders>
            <w:vAlign w:val="center"/>
          </w:tcPr>
          <w:p w14:paraId="3E1C4022" w14:textId="77777777" w:rsidR="00D1390C" w:rsidRPr="00D1390C" w:rsidRDefault="00D1390C" w:rsidP="00D1390C">
            <w:pPr>
              <w:spacing w:after="120"/>
              <w:ind w:left="85" w:right="98"/>
              <w:contextualSpacing/>
              <w:jc w:val="right"/>
              <w:rPr>
                <w:rFonts w:ascii="Arial" w:hAnsi="Arial" w:cs="Arial"/>
                <w:color w:val="000000"/>
                <w:sz w:val="20"/>
                <w:szCs w:val="20"/>
              </w:rPr>
            </w:pPr>
            <w:r w:rsidRPr="00D1390C">
              <w:rPr>
                <w:rFonts w:ascii="Arial" w:hAnsi="Arial" w:cs="Arial"/>
                <w:color w:val="000000"/>
                <w:sz w:val="20"/>
                <w:szCs w:val="20"/>
              </w:rPr>
              <w:t>Annual Base Fee</w:t>
            </w:r>
          </w:p>
        </w:tc>
        <w:tc>
          <w:tcPr>
            <w:tcW w:w="1529" w:type="dxa"/>
            <w:tcBorders>
              <w:left w:val="single" w:sz="12" w:space="0" w:color="auto"/>
              <w:right w:val="single" w:sz="12" w:space="0" w:color="auto"/>
            </w:tcBorders>
            <w:vAlign w:val="center"/>
          </w:tcPr>
          <w:p w14:paraId="3E1C4023" w14:textId="77777777" w:rsidR="00D1390C" w:rsidRPr="00D1390C" w:rsidDel="00E87A3C" w:rsidRDefault="00D1390C" w:rsidP="00D1390C">
            <w:pPr>
              <w:tabs>
                <w:tab w:val="right" w:pos="2461"/>
              </w:tabs>
              <w:spacing w:after="120"/>
              <w:ind w:left="85" w:right="98"/>
              <w:contextualSpacing/>
              <w:jc w:val="center"/>
              <w:rPr>
                <w:rFonts w:ascii="Times New Roman" w:hAnsi="Times New Roman" w:cs="Times New Roman"/>
                <w:color w:val="000000"/>
                <w:sz w:val="24"/>
                <w:szCs w:val="24"/>
              </w:rPr>
            </w:pPr>
            <w:r w:rsidRPr="00D1390C">
              <w:rPr>
                <w:rFonts w:ascii="Times New Roman" w:hAnsi="Times New Roman" w:cs="Times New Roman"/>
                <w:color w:val="000000"/>
                <w:sz w:val="24"/>
                <w:szCs w:val="24"/>
              </w:rPr>
              <w:t>$7,910</w:t>
            </w:r>
          </w:p>
        </w:tc>
        <w:tc>
          <w:tcPr>
            <w:tcW w:w="1600" w:type="dxa"/>
            <w:tcBorders>
              <w:left w:val="single" w:sz="12" w:space="0" w:color="auto"/>
              <w:right w:val="single" w:sz="12" w:space="0" w:color="auto"/>
            </w:tcBorders>
            <w:vAlign w:val="center"/>
          </w:tcPr>
          <w:p w14:paraId="3E1C4024" w14:textId="77777777" w:rsidR="00D1390C" w:rsidRPr="00D1390C" w:rsidRDefault="00D1390C" w:rsidP="00D1390C">
            <w:pPr>
              <w:tabs>
                <w:tab w:val="right" w:pos="2416"/>
              </w:tabs>
              <w:spacing w:after="120"/>
              <w:ind w:left="85" w:right="98"/>
              <w:contextualSpacing/>
              <w:jc w:val="center"/>
              <w:rPr>
                <w:rFonts w:ascii="Times New Roman" w:hAnsi="Times New Roman" w:cs="Times New Roman"/>
                <w:color w:val="000000"/>
                <w:sz w:val="24"/>
                <w:szCs w:val="24"/>
              </w:rPr>
            </w:pPr>
            <w:r w:rsidRPr="00D1390C">
              <w:rPr>
                <w:rFonts w:ascii="Times New Roman" w:hAnsi="Times New Roman" w:cs="Times New Roman"/>
                <w:color w:val="000000"/>
                <w:sz w:val="24"/>
                <w:szCs w:val="24"/>
              </w:rPr>
              <w:t>$7,946</w:t>
            </w:r>
          </w:p>
        </w:tc>
        <w:tc>
          <w:tcPr>
            <w:tcW w:w="1607" w:type="dxa"/>
            <w:tcBorders>
              <w:left w:val="single" w:sz="12" w:space="0" w:color="auto"/>
              <w:right w:val="single" w:sz="4" w:space="0" w:color="FFFFFF"/>
            </w:tcBorders>
            <w:vAlign w:val="center"/>
          </w:tcPr>
          <w:p w14:paraId="3E1C4025" w14:textId="6454FE8C" w:rsidR="00D1390C" w:rsidRPr="00D1390C" w:rsidRDefault="00D1390C">
            <w:pPr>
              <w:spacing w:after="120"/>
              <w:ind w:left="85" w:right="98"/>
              <w:contextualSpacing/>
              <w:jc w:val="center"/>
              <w:rPr>
                <w:rFonts w:ascii="Times New Roman" w:hAnsi="Times New Roman" w:cs="Times New Roman"/>
                <w:color w:val="000000"/>
                <w:sz w:val="24"/>
                <w:szCs w:val="24"/>
              </w:rPr>
            </w:pPr>
            <w:r w:rsidRPr="00D1390C">
              <w:rPr>
                <w:rFonts w:ascii="Times New Roman" w:hAnsi="Times New Roman" w:cs="Times New Roman"/>
                <w:color w:val="000000"/>
                <w:sz w:val="24"/>
                <w:szCs w:val="24"/>
              </w:rPr>
              <w:t>$</w:t>
            </w:r>
            <w:r w:rsidR="00196B48">
              <w:rPr>
                <w:rFonts w:ascii="Times New Roman" w:hAnsi="Times New Roman" w:cs="Times New Roman"/>
                <w:color w:val="000000"/>
                <w:sz w:val="24"/>
                <w:szCs w:val="24"/>
              </w:rPr>
              <w:t>8,010</w:t>
            </w:r>
          </w:p>
        </w:tc>
        <w:tc>
          <w:tcPr>
            <w:tcW w:w="81" w:type="dxa"/>
            <w:tcBorders>
              <w:left w:val="single" w:sz="4" w:space="0" w:color="FFFFFF"/>
            </w:tcBorders>
          </w:tcPr>
          <w:p w14:paraId="3E1C4026" w14:textId="77777777" w:rsidR="00D1390C" w:rsidRPr="00D1390C" w:rsidRDefault="00D1390C" w:rsidP="00D1390C">
            <w:pPr>
              <w:spacing w:after="120"/>
              <w:ind w:left="85" w:right="98"/>
              <w:contextualSpacing/>
              <w:jc w:val="center"/>
              <w:rPr>
                <w:rFonts w:ascii="Times New Roman" w:hAnsi="Times New Roman" w:cs="Times New Roman"/>
                <w:color w:val="000000"/>
                <w:sz w:val="20"/>
                <w:szCs w:val="20"/>
              </w:rPr>
            </w:pPr>
          </w:p>
        </w:tc>
      </w:tr>
      <w:tr w:rsidR="00D1390C" w:rsidRPr="00D1390C" w14:paraId="3E1C402A" w14:textId="77777777" w:rsidTr="00D1390C">
        <w:trPr>
          <w:trHeight w:val="350"/>
          <w:jc w:val="center"/>
        </w:trPr>
        <w:tc>
          <w:tcPr>
            <w:tcW w:w="7407" w:type="dxa"/>
            <w:gridSpan w:val="4"/>
            <w:tcBorders>
              <w:top w:val="single" w:sz="12" w:space="0" w:color="000000"/>
              <w:bottom w:val="single" w:sz="4" w:space="0" w:color="auto"/>
              <w:right w:val="single" w:sz="8" w:space="0" w:color="DFF1EB"/>
            </w:tcBorders>
            <w:shd w:val="clear" w:color="auto" w:fill="DFF1EB"/>
            <w:vAlign w:val="center"/>
          </w:tcPr>
          <w:p w14:paraId="3E1C4028" w14:textId="77777777" w:rsidR="00D1390C" w:rsidRPr="00D1390C" w:rsidRDefault="00D1390C" w:rsidP="00D1390C">
            <w:pPr>
              <w:spacing w:after="120"/>
              <w:ind w:left="0" w:right="39"/>
              <w:contextualSpacing/>
              <w:rPr>
                <w:rFonts w:ascii="Arial" w:hAnsi="Arial" w:cs="Arial"/>
                <w:color w:val="000000"/>
              </w:rPr>
            </w:pPr>
            <w:r w:rsidRPr="00D1390C">
              <w:rPr>
                <w:rFonts w:ascii="Times New Roman" w:hAnsi="Times New Roman" w:cs="Times New Roman"/>
                <w:sz w:val="24"/>
                <w:szCs w:val="24"/>
              </w:rPr>
              <w:t xml:space="preserve">  </w:t>
            </w:r>
            <w:r w:rsidRPr="00D1390C">
              <w:rPr>
                <w:rFonts w:ascii="Arial" w:hAnsi="Arial" w:cs="Arial"/>
              </w:rPr>
              <w:t xml:space="preserve"> Specific Activity Fees</w:t>
            </w:r>
          </w:p>
        </w:tc>
        <w:tc>
          <w:tcPr>
            <w:tcW w:w="81" w:type="dxa"/>
            <w:tcBorders>
              <w:top w:val="single" w:sz="12" w:space="0" w:color="000000"/>
              <w:left w:val="single" w:sz="8" w:space="0" w:color="DFF1EB"/>
              <w:bottom w:val="single" w:sz="4" w:space="0" w:color="auto"/>
            </w:tcBorders>
            <w:shd w:val="clear" w:color="auto" w:fill="DFF1EB"/>
          </w:tcPr>
          <w:p w14:paraId="3E1C4029" w14:textId="77777777" w:rsidR="00D1390C" w:rsidRPr="00D1390C" w:rsidRDefault="00D1390C" w:rsidP="00D1390C">
            <w:pPr>
              <w:spacing w:after="120"/>
              <w:ind w:left="0"/>
              <w:contextualSpacing/>
              <w:jc w:val="center"/>
              <w:rPr>
                <w:rFonts w:ascii="Times New Roman" w:hAnsi="Times New Roman" w:cs="Times New Roman"/>
                <w:sz w:val="20"/>
                <w:szCs w:val="20"/>
              </w:rPr>
            </w:pPr>
          </w:p>
        </w:tc>
      </w:tr>
      <w:tr w:rsidR="00D1390C" w:rsidRPr="00D1390C" w14:paraId="3E1C4030" w14:textId="77777777" w:rsidTr="00D1390C">
        <w:trPr>
          <w:trHeight w:val="350"/>
          <w:jc w:val="center"/>
        </w:trPr>
        <w:tc>
          <w:tcPr>
            <w:tcW w:w="2671" w:type="dxa"/>
            <w:tcBorders>
              <w:right w:val="single" w:sz="12" w:space="0" w:color="auto"/>
            </w:tcBorders>
            <w:vAlign w:val="center"/>
          </w:tcPr>
          <w:p w14:paraId="3E1C402B" w14:textId="77777777" w:rsidR="00D1390C" w:rsidRPr="00D1390C" w:rsidRDefault="00D1390C" w:rsidP="00D1390C">
            <w:pPr>
              <w:spacing w:after="120"/>
              <w:ind w:left="85" w:right="98"/>
              <w:contextualSpacing/>
              <w:jc w:val="right"/>
              <w:rPr>
                <w:rFonts w:ascii="Arial" w:hAnsi="Arial" w:cs="Arial"/>
                <w:color w:val="000000"/>
                <w:sz w:val="20"/>
                <w:szCs w:val="20"/>
              </w:rPr>
            </w:pPr>
            <w:r w:rsidRPr="00D1390C">
              <w:rPr>
                <w:rFonts w:ascii="Arial" w:hAnsi="Arial" w:cs="Arial"/>
                <w:color w:val="000000"/>
                <w:sz w:val="20"/>
                <w:szCs w:val="20"/>
              </w:rPr>
              <w:t>Administrative Amendment</w:t>
            </w:r>
          </w:p>
        </w:tc>
        <w:tc>
          <w:tcPr>
            <w:tcW w:w="1529" w:type="dxa"/>
            <w:tcBorders>
              <w:left w:val="single" w:sz="12" w:space="0" w:color="auto"/>
              <w:right w:val="single" w:sz="12" w:space="0" w:color="auto"/>
            </w:tcBorders>
            <w:vAlign w:val="center"/>
          </w:tcPr>
          <w:p w14:paraId="3E1C402C" w14:textId="77777777" w:rsidR="00D1390C" w:rsidRPr="00D1390C" w:rsidRDefault="00D1390C" w:rsidP="00D1390C">
            <w:pPr>
              <w:tabs>
                <w:tab w:val="right" w:pos="2461"/>
              </w:tabs>
              <w:spacing w:after="120"/>
              <w:ind w:left="85" w:right="98"/>
              <w:contextualSpacing/>
              <w:jc w:val="center"/>
              <w:rPr>
                <w:rFonts w:ascii="Times New Roman" w:hAnsi="Times New Roman" w:cs="Times New Roman"/>
                <w:color w:val="000000"/>
                <w:sz w:val="24"/>
                <w:szCs w:val="24"/>
              </w:rPr>
            </w:pPr>
            <w:r w:rsidRPr="00D1390C">
              <w:rPr>
                <w:rFonts w:ascii="Times New Roman" w:hAnsi="Times New Roman" w:cs="Times New Roman"/>
                <w:color w:val="000000"/>
                <w:sz w:val="24"/>
                <w:szCs w:val="24"/>
              </w:rPr>
              <w:t>$482</w:t>
            </w:r>
          </w:p>
        </w:tc>
        <w:tc>
          <w:tcPr>
            <w:tcW w:w="1600" w:type="dxa"/>
            <w:tcBorders>
              <w:left w:val="single" w:sz="12" w:space="0" w:color="auto"/>
              <w:right w:val="single" w:sz="12" w:space="0" w:color="auto"/>
            </w:tcBorders>
            <w:vAlign w:val="center"/>
          </w:tcPr>
          <w:p w14:paraId="3E1C402D" w14:textId="77777777" w:rsidR="00D1390C" w:rsidRPr="00D1390C" w:rsidRDefault="00D1390C" w:rsidP="00D1390C">
            <w:pPr>
              <w:tabs>
                <w:tab w:val="right" w:pos="2416"/>
              </w:tabs>
              <w:spacing w:after="120"/>
              <w:ind w:left="85" w:right="98"/>
              <w:contextualSpacing/>
              <w:jc w:val="center"/>
              <w:rPr>
                <w:rFonts w:ascii="Times New Roman" w:hAnsi="Times New Roman" w:cs="Times New Roman"/>
                <w:color w:val="000000"/>
                <w:sz w:val="24"/>
                <w:szCs w:val="24"/>
              </w:rPr>
            </w:pPr>
            <w:r w:rsidRPr="00D1390C">
              <w:rPr>
                <w:rFonts w:ascii="Times New Roman" w:hAnsi="Times New Roman" w:cs="Times New Roman"/>
                <w:color w:val="000000"/>
                <w:sz w:val="24"/>
                <w:szCs w:val="24"/>
              </w:rPr>
              <w:t>$484</w:t>
            </w:r>
          </w:p>
        </w:tc>
        <w:tc>
          <w:tcPr>
            <w:tcW w:w="1607" w:type="dxa"/>
            <w:tcBorders>
              <w:left w:val="single" w:sz="12" w:space="0" w:color="auto"/>
              <w:right w:val="single" w:sz="4" w:space="0" w:color="FFFFFF"/>
            </w:tcBorders>
            <w:vAlign w:val="center"/>
          </w:tcPr>
          <w:p w14:paraId="3E1C402E" w14:textId="2BB62112" w:rsidR="00D1390C" w:rsidRPr="00D1390C" w:rsidRDefault="00D1390C">
            <w:pPr>
              <w:spacing w:after="120"/>
              <w:ind w:left="85" w:right="98"/>
              <w:contextualSpacing/>
              <w:jc w:val="center"/>
              <w:rPr>
                <w:rFonts w:ascii="Times New Roman" w:hAnsi="Times New Roman" w:cs="Times New Roman"/>
                <w:color w:val="000000"/>
                <w:sz w:val="24"/>
                <w:szCs w:val="24"/>
              </w:rPr>
            </w:pPr>
            <w:r w:rsidRPr="00D1390C">
              <w:rPr>
                <w:rFonts w:ascii="Times New Roman" w:hAnsi="Times New Roman" w:cs="Times New Roman"/>
                <w:color w:val="000000"/>
                <w:sz w:val="24"/>
                <w:szCs w:val="24"/>
              </w:rPr>
              <w:t>$48</w:t>
            </w:r>
            <w:r w:rsidR="00196B48">
              <w:rPr>
                <w:rFonts w:ascii="Times New Roman" w:hAnsi="Times New Roman" w:cs="Times New Roman"/>
                <w:color w:val="000000"/>
                <w:sz w:val="24"/>
                <w:szCs w:val="24"/>
              </w:rPr>
              <w:t>8</w:t>
            </w:r>
          </w:p>
        </w:tc>
        <w:tc>
          <w:tcPr>
            <w:tcW w:w="81" w:type="dxa"/>
            <w:tcBorders>
              <w:left w:val="single" w:sz="4" w:space="0" w:color="FFFFFF"/>
            </w:tcBorders>
          </w:tcPr>
          <w:p w14:paraId="3E1C402F" w14:textId="77777777" w:rsidR="00D1390C" w:rsidRPr="00D1390C" w:rsidRDefault="00D1390C" w:rsidP="00D1390C">
            <w:pPr>
              <w:spacing w:after="120"/>
              <w:ind w:left="85" w:right="98"/>
              <w:contextualSpacing/>
              <w:jc w:val="center"/>
              <w:rPr>
                <w:rFonts w:ascii="Times New Roman" w:hAnsi="Times New Roman" w:cs="Times New Roman"/>
                <w:color w:val="000000"/>
                <w:sz w:val="20"/>
                <w:szCs w:val="20"/>
              </w:rPr>
            </w:pPr>
          </w:p>
        </w:tc>
      </w:tr>
      <w:tr w:rsidR="00D1390C" w:rsidRPr="00D1390C" w14:paraId="3E1C4036" w14:textId="77777777" w:rsidTr="00D1390C">
        <w:trPr>
          <w:trHeight w:val="350"/>
          <w:jc w:val="center"/>
        </w:trPr>
        <w:tc>
          <w:tcPr>
            <w:tcW w:w="2671" w:type="dxa"/>
            <w:tcBorders>
              <w:right w:val="single" w:sz="12" w:space="0" w:color="auto"/>
            </w:tcBorders>
            <w:vAlign w:val="center"/>
          </w:tcPr>
          <w:p w14:paraId="3E1C4031" w14:textId="77777777" w:rsidR="00D1390C" w:rsidRPr="00D1390C" w:rsidRDefault="00D1390C" w:rsidP="00D1390C">
            <w:pPr>
              <w:spacing w:after="120"/>
              <w:ind w:left="85" w:right="98"/>
              <w:contextualSpacing/>
              <w:jc w:val="right"/>
              <w:rPr>
                <w:rFonts w:ascii="Arial" w:hAnsi="Arial" w:cs="Arial"/>
                <w:color w:val="000000"/>
                <w:sz w:val="20"/>
                <w:szCs w:val="20"/>
              </w:rPr>
            </w:pPr>
            <w:r w:rsidRPr="00D1390C">
              <w:rPr>
                <w:rFonts w:ascii="Arial" w:hAnsi="Arial" w:cs="Arial"/>
                <w:color w:val="000000"/>
                <w:sz w:val="20"/>
                <w:szCs w:val="20"/>
              </w:rPr>
              <w:t>Simple Modification</w:t>
            </w:r>
          </w:p>
        </w:tc>
        <w:tc>
          <w:tcPr>
            <w:tcW w:w="1529" w:type="dxa"/>
            <w:tcBorders>
              <w:left w:val="single" w:sz="12" w:space="0" w:color="auto"/>
              <w:right w:val="single" w:sz="12" w:space="0" w:color="auto"/>
            </w:tcBorders>
            <w:vAlign w:val="center"/>
          </w:tcPr>
          <w:p w14:paraId="3E1C4032" w14:textId="77777777" w:rsidR="00D1390C" w:rsidRPr="00D1390C" w:rsidRDefault="00D1390C" w:rsidP="00D1390C">
            <w:pPr>
              <w:tabs>
                <w:tab w:val="right" w:pos="2461"/>
              </w:tabs>
              <w:spacing w:after="120"/>
              <w:ind w:left="85" w:right="98"/>
              <w:contextualSpacing/>
              <w:jc w:val="center"/>
              <w:rPr>
                <w:rFonts w:ascii="Times New Roman" w:hAnsi="Times New Roman" w:cs="Times New Roman"/>
                <w:color w:val="000000"/>
                <w:sz w:val="24"/>
                <w:szCs w:val="24"/>
              </w:rPr>
            </w:pPr>
            <w:r w:rsidRPr="00D1390C">
              <w:rPr>
                <w:rFonts w:ascii="Times New Roman" w:hAnsi="Times New Roman" w:cs="Times New Roman"/>
                <w:color w:val="000000"/>
                <w:sz w:val="24"/>
                <w:szCs w:val="24"/>
              </w:rPr>
              <w:t>$1,929</w:t>
            </w:r>
          </w:p>
        </w:tc>
        <w:tc>
          <w:tcPr>
            <w:tcW w:w="1600" w:type="dxa"/>
            <w:tcBorders>
              <w:left w:val="single" w:sz="12" w:space="0" w:color="auto"/>
              <w:right w:val="single" w:sz="12" w:space="0" w:color="auto"/>
            </w:tcBorders>
            <w:vAlign w:val="center"/>
          </w:tcPr>
          <w:p w14:paraId="3E1C4033" w14:textId="77777777" w:rsidR="00D1390C" w:rsidRPr="00D1390C" w:rsidRDefault="00D1390C" w:rsidP="00D1390C">
            <w:pPr>
              <w:tabs>
                <w:tab w:val="right" w:pos="2416"/>
              </w:tabs>
              <w:spacing w:after="120"/>
              <w:ind w:left="85" w:right="98"/>
              <w:contextualSpacing/>
              <w:jc w:val="center"/>
              <w:rPr>
                <w:rFonts w:ascii="Times New Roman" w:hAnsi="Times New Roman" w:cs="Times New Roman"/>
                <w:color w:val="000000"/>
                <w:sz w:val="24"/>
                <w:szCs w:val="24"/>
              </w:rPr>
            </w:pPr>
            <w:r w:rsidRPr="00D1390C">
              <w:rPr>
                <w:rFonts w:ascii="Times New Roman" w:hAnsi="Times New Roman" w:cs="Times New Roman"/>
                <w:color w:val="000000"/>
                <w:sz w:val="24"/>
                <w:szCs w:val="24"/>
              </w:rPr>
              <w:t>$1,938</w:t>
            </w:r>
          </w:p>
        </w:tc>
        <w:tc>
          <w:tcPr>
            <w:tcW w:w="1607" w:type="dxa"/>
            <w:tcBorders>
              <w:left w:val="single" w:sz="12" w:space="0" w:color="auto"/>
              <w:right w:val="single" w:sz="4" w:space="0" w:color="FFFFFF"/>
            </w:tcBorders>
            <w:vAlign w:val="center"/>
          </w:tcPr>
          <w:p w14:paraId="3E1C4034" w14:textId="051F772D" w:rsidR="00D1390C" w:rsidRPr="00D1390C" w:rsidRDefault="00D1390C">
            <w:pPr>
              <w:spacing w:after="120"/>
              <w:ind w:left="85" w:right="98"/>
              <w:contextualSpacing/>
              <w:jc w:val="center"/>
              <w:rPr>
                <w:rFonts w:ascii="Times New Roman" w:hAnsi="Times New Roman" w:cs="Times New Roman"/>
                <w:color w:val="000000"/>
                <w:sz w:val="24"/>
                <w:szCs w:val="24"/>
              </w:rPr>
            </w:pPr>
            <w:r w:rsidRPr="00D1390C">
              <w:rPr>
                <w:rFonts w:ascii="Times New Roman" w:hAnsi="Times New Roman" w:cs="Times New Roman"/>
                <w:color w:val="000000"/>
                <w:sz w:val="24"/>
                <w:szCs w:val="24"/>
              </w:rPr>
              <w:t>$1,9</w:t>
            </w:r>
            <w:r w:rsidR="00196B48">
              <w:rPr>
                <w:rFonts w:ascii="Times New Roman" w:hAnsi="Times New Roman" w:cs="Times New Roman"/>
                <w:color w:val="000000"/>
                <w:sz w:val="24"/>
                <w:szCs w:val="24"/>
              </w:rPr>
              <w:t>53</w:t>
            </w:r>
          </w:p>
        </w:tc>
        <w:tc>
          <w:tcPr>
            <w:tcW w:w="81" w:type="dxa"/>
            <w:tcBorders>
              <w:left w:val="single" w:sz="4" w:space="0" w:color="FFFFFF"/>
            </w:tcBorders>
          </w:tcPr>
          <w:p w14:paraId="3E1C4035" w14:textId="77777777" w:rsidR="00D1390C" w:rsidRPr="00D1390C" w:rsidRDefault="00D1390C" w:rsidP="00D1390C">
            <w:pPr>
              <w:spacing w:after="120"/>
              <w:ind w:left="85" w:right="98"/>
              <w:contextualSpacing/>
              <w:jc w:val="center"/>
              <w:rPr>
                <w:rFonts w:ascii="Times New Roman" w:hAnsi="Times New Roman" w:cs="Times New Roman"/>
                <w:color w:val="000000"/>
                <w:sz w:val="20"/>
                <w:szCs w:val="20"/>
              </w:rPr>
            </w:pPr>
          </w:p>
        </w:tc>
      </w:tr>
      <w:tr w:rsidR="00D1390C" w:rsidRPr="00D1390C" w14:paraId="3E1C403C" w14:textId="77777777" w:rsidTr="00D1390C">
        <w:trPr>
          <w:trHeight w:val="350"/>
          <w:jc w:val="center"/>
        </w:trPr>
        <w:tc>
          <w:tcPr>
            <w:tcW w:w="2671" w:type="dxa"/>
            <w:tcBorders>
              <w:right w:val="single" w:sz="12" w:space="0" w:color="auto"/>
            </w:tcBorders>
            <w:vAlign w:val="center"/>
          </w:tcPr>
          <w:p w14:paraId="3E1C4037" w14:textId="77777777" w:rsidR="00D1390C" w:rsidRPr="00D1390C" w:rsidRDefault="00D1390C" w:rsidP="00D1390C">
            <w:pPr>
              <w:spacing w:after="120"/>
              <w:ind w:left="85" w:right="98"/>
              <w:contextualSpacing/>
              <w:jc w:val="right"/>
              <w:rPr>
                <w:rFonts w:ascii="Arial" w:hAnsi="Arial" w:cs="Arial"/>
                <w:color w:val="000000"/>
                <w:sz w:val="20"/>
                <w:szCs w:val="20"/>
              </w:rPr>
            </w:pPr>
            <w:r w:rsidRPr="00D1390C">
              <w:rPr>
                <w:rFonts w:ascii="Arial" w:hAnsi="Arial" w:cs="Arial"/>
                <w:color w:val="000000"/>
                <w:sz w:val="20"/>
                <w:szCs w:val="20"/>
              </w:rPr>
              <w:t>Moderate Modification</w:t>
            </w:r>
          </w:p>
        </w:tc>
        <w:tc>
          <w:tcPr>
            <w:tcW w:w="1529" w:type="dxa"/>
            <w:tcBorders>
              <w:left w:val="single" w:sz="12" w:space="0" w:color="auto"/>
              <w:right w:val="single" w:sz="12" w:space="0" w:color="auto"/>
            </w:tcBorders>
            <w:vAlign w:val="center"/>
          </w:tcPr>
          <w:p w14:paraId="3E1C4038" w14:textId="77777777" w:rsidR="00D1390C" w:rsidRPr="00D1390C" w:rsidRDefault="00D1390C" w:rsidP="00D1390C">
            <w:pPr>
              <w:tabs>
                <w:tab w:val="right" w:pos="2461"/>
              </w:tabs>
              <w:spacing w:after="120"/>
              <w:ind w:left="85" w:right="98"/>
              <w:contextualSpacing/>
              <w:jc w:val="center"/>
              <w:rPr>
                <w:rFonts w:ascii="Times New Roman" w:hAnsi="Times New Roman" w:cs="Times New Roman"/>
                <w:color w:val="000000"/>
                <w:sz w:val="24"/>
                <w:szCs w:val="24"/>
              </w:rPr>
            </w:pPr>
            <w:r w:rsidRPr="00D1390C">
              <w:rPr>
                <w:rFonts w:ascii="Times New Roman" w:hAnsi="Times New Roman" w:cs="Times New Roman"/>
                <w:color w:val="000000"/>
                <w:sz w:val="24"/>
                <w:szCs w:val="24"/>
              </w:rPr>
              <w:t>$14,471</w:t>
            </w:r>
          </w:p>
        </w:tc>
        <w:tc>
          <w:tcPr>
            <w:tcW w:w="1600" w:type="dxa"/>
            <w:tcBorders>
              <w:left w:val="single" w:sz="12" w:space="0" w:color="auto"/>
              <w:right w:val="single" w:sz="12" w:space="0" w:color="auto"/>
            </w:tcBorders>
            <w:vAlign w:val="center"/>
          </w:tcPr>
          <w:p w14:paraId="3E1C4039" w14:textId="77777777" w:rsidR="00D1390C" w:rsidRPr="00D1390C" w:rsidRDefault="00D1390C" w:rsidP="00D1390C">
            <w:pPr>
              <w:tabs>
                <w:tab w:val="right" w:pos="2416"/>
              </w:tabs>
              <w:spacing w:after="120"/>
              <w:ind w:left="85" w:right="98"/>
              <w:contextualSpacing/>
              <w:jc w:val="center"/>
              <w:rPr>
                <w:rFonts w:ascii="Times New Roman" w:hAnsi="Times New Roman" w:cs="Times New Roman"/>
                <w:color w:val="000000"/>
                <w:sz w:val="24"/>
                <w:szCs w:val="24"/>
              </w:rPr>
            </w:pPr>
            <w:r w:rsidRPr="00D1390C">
              <w:rPr>
                <w:rFonts w:ascii="Times New Roman" w:hAnsi="Times New Roman" w:cs="Times New Roman"/>
                <w:color w:val="000000"/>
                <w:sz w:val="24"/>
                <w:szCs w:val="24"/>
              </w:rPr>
              <w:t>$14,536</w:t>
            </w:r>
          </w:p>
        </w:tc>
        <w:tc>
          <w:tcPr>
            <w:tcW w:w="1607" w:type="dxa"/>
            <w:tcBorders>
              <w:left w:val="single" w:sz="12" w:space="0" w:color="auto"/>
              <w:right w:val="single" w:sz="4" w:space="0" w:color="FFFFFF"/>
            </w:tcBorders>
            <w:vAlign w:val="center"/>
          </w:tcPr>
          <w:p w14:paraId="3E1C403A" w14:textId="232B9F57" w:rsidR="00D1390C" w:rsidRPr="00D1390C" w:rsidRDefault="00D1390C">
            <w:pPr>
              <w:spacing w:after="120"/>
              <w:ind w:left="85" w:right="98"/>
              <w:contextualSpacing/>
              <w:jc w:val="center"/>
              <w:rPr>
                <w:rFonts w:ascii="Times New Roman" w:hAnsi="Times New Roman" w:cs="Times New Roman"/>
                <w:color w:val="000000"/>
                <w:sz w:val="24"/>
                <w:szCs w:val="24"/>
              </w:rPr>
            </w:pPr>
            <w:r w:rsidRPr="00D1390C">
              <w:rPr>
                <w:rFonts w:ascii="Times New Roman" w:hAnsi="Times New Roman" w:cs="Times New Roman"/>
                <w:color w:val="000000"/>
                <w:sz w:val="24"/>
                <w:szCs w:val="24"/>
              </w:rPr>
              <w:t>$14,6</w:t>
            </w:r>
            <w:r w:rsidR="00196B48">
              <w:rPr>
                <w:rFonts w:ascii="Times New Roman" w:hAnsi="Times New Roman" w:cs="Times New Roman"/>
                <w:color w:val="000000"/>
                <w:sz w:val="24"/>
                <w:szCs w:val="24"/>
              </w:rPr>
              <w:t>53</w:t>
            </w:r>
          </w:p>
        </w:tc>
        <w:tc>
          <w:tcPr>
            <w:tcW w:w="81" w:type="dxa"/>
            <w:tcBorders>
              <w:left w:val="single" w:sz="4" w:space="0" w:color="FFFFFF"/>
            </w:tcBorders>
          </w:tcPr>
          <w:p w14:paraId="3E1C403B" w14:textId="77777777" w:rsidR="00D1390C" w:rsidRPr="00D1390C" w:rsidRDefault="00D1390C" w:rsidP="00D1390C">
            <w:pPr>
              <w:spacing w:after="120"/>
              <w:ind w:left="85" w:right="98"/>
              <w:contextualSpacing/>
              <w:jc w:val="center"/>
              <w:rPr>
                <w:rFonts w:ascii="Times New Roman" w:hAnsi="Times New Roman" w:cs="Times New Roman"/>
                <w:color w:val="000000"/>
                <w:sz w:val="20"/>
                <w:szCs w:val="20"/>
              </w:rPr>
            </w:pPr>
          </w:p>
        </w:tc>
      </w:tr>
      <w:tr w:rsidR="00D1390C" w:rsidRPr="00D1390C" w14:paraId="3E1C4042" w14:textId="77777777" w:rsidTr="00D1390C">
        <w:trPr>
          <w:trHeight w:val="350"/>
          <w:jc w:val="center"/>
        </w:trPr>
        <w:tc>
          <w:tcPr>
            <w:tcW w:w="2671" w:type="dxa"/>
            <w:tcBorders>
              <w:right w:val="single" w:sz="12" w:space="0" w:color="auto"/>
            </w:tcBorders>
            <w:vAlign w:val="center"/>
          </w:tcPr>
          <w:p w14:paraId="3E1C403D" w14:textId="77777777" w:rsidR="00D1390C" w:rsidRPr="00D1390C" w:rsidRDefault="00D1390C" w:rsidP="00D1390C">
            <w:pPr>
              <w:spacing w:after="120"/>
              <w:ind w:left="85" w:right="98"/>
              <w:contextualSpacing/>
              <w:jc w:val="right"/>
              <w:rPr>
                <w:rFonts w:ascii="Arial" w:hAnsi="Arial" w:cs="Arial"/>
                <w:color w:val="000000"/>
                <w:sz w:val="20"/>
                <w:szCs w:val="20"/>
              </w:rPr>
            </w:pPr>
            <w:r w:rsidRPr="00D1390C">
              <w:rPr>
                <w:rFonts w:ascii="Arial" w:hAnsi="Arial" w:cs="Arial"/>
                <w:color w:val="000000"/>
                <w:sz w:val="20"/>
                <w:szCs w:val="20"/>
              </w:rPr>
              <w:t>Complex Modification</w:t>
            </w:r>
          </w:p>
        </w:tc>
        <w:tc>
          <w:tcPr>
            <w:tcW w:w="1529" w:type="dxa"/>
            <w:tcBorders>
              <w:left w:val="single" w:sz="12" w:space="0" w:color="auto"/>
              <w:right w:val="single" w:sz="12" w:space="0" w:color="auto"/>
            </w:tcBorders>
            <w:vAlign w:val="center"/>
          </w:tcPr>
          <w:p w14:paraId="3E1C403E" w14:textId="77777777" w:rsidR="00D1390C" w:rsidRPr="00D1390C" w:rsidRDefault="00D1390C" w:rsidP="00D1390C">
            <w:pPr>
              <w:tabs>
                <w:tab w:val="right" w:pos="2461"/>
              </w:tabs>
              <w:spacing w:after="120"/>
              <w:ind w:left="85" w:right="98"/>
              <w:contextualSpacing/>
              <w:jc w:val="center"/>
              <w:rPr>
                <w:rFonts w:ascii="Times New Roman" w:hAnsi="Times New Roman" w:cs="Times New Roman"/>
                <w:color w:val="000000"/>
                <w:sz w:val="24"/>
                <w:szCs w:val="24"/>
              </w:rPr>
            </w:pPr>
            <w:r w:rsidRPr="00D1390C">
              <w:rPr>
                <w:rFonts w:ascii="Times New Roman" w:hAnsi="Times New Roman" w:cs="Times New Roman"/>
                <w:color w:val="000000"/>
                <w:sz w:val="24"/>
                <w:szCs w:val="24"/>
              </w:rPr>
              <w:t>$28,942</w:t>
            </w:r>
          </w:p>
        </w:tc>
        <w:tc>
          <w:tcPr>
            <w:tcW w:w="1600" w:type="dxa"/>
            <w:tcBorders>
              <w:left w:val="single" w:sz="12" w:space="0" w:color="auto"/>
              <w:right w:val="single" w:sz="12" w:space="0" w:color="auto"/>
            </w:tcBorders>
            <w:vAlign w:val="center"/>
          </w:tcPr>
          <w:p w14:paraId="3E1C403F" w14:textId="77777777" w:rsidR="00D1390C" w:rsidRPr="00D1390C" w:rsidRDefault="00D1390C" w:rsidP="00D1390C">
            <w:pPr>
              <w:tabs>
                <w:tab w:val="right" w:pos="2416"/>
              </w:tabs>
              <w:spacing w:after="120"/>
              <w:ind w:left="85" w:right="98"/>
              <w:contextualSpacing/>
              <w:jc w:val="center"/>
              <w:rPr>
                <w:rFonts w:ascii="Times New Roman" w:hAnsi="Times New Roman" w:cs="Times New Roman"/>
                <w:color w:val="000000"/>
                <w:sz w:val="24"/>
                <w:szCs w:val="24"/>
              </w:rPr>
            </w:pPr>
            <w:r w:rsidRPr="00D1390C">
              <w:rPr>
                <w:rFonts w:ascii="Times New Roman" w:hAnsi="Times New Roman" w:cs="Times New Roman"/>
                <w:color w:val="000000"/>
                <w:sz w:val="24"/>
                <w:szCs w:val="24"/>
              </w:rPr>
              <w:t>$29,072</w:t>
            </w:r>
          </w:p>
        </w:tc>
        <w:tc>
          <w:tcPr>
            <w:tcW w:w="1607" w:type="dxa"/>
            <w:tcBorders>
              <w:left w:val="single" w:sz="12" w:space="0" w:color="auto"/>
              <w:right w:val="single" w:sz="4" w:space="0" w:color="FFFFFF"/>
            </w:tcBorders>
            <w:vAlign w:val="center"/>
          </w:tcPr>
          <w:p w14:paraId="3E1C4040" w14:textId="5B8C839A" w:rsidR="00D1390C" w:rsidRPr="00D1390C" w:rsidRDefault="00D1390C">
            <w:pPr>
              <w:spacing w:after="120"/>
              <w:ind w:left="85" w:right="98"/>
              <w:contextualSpacing/>
              <w:jc w:val="center"/>
              <w:rPr>
                <w:rFonts w:ascii="Times New Roman" w:hAnsi="Times New Roman" w:cs="Times New Roman"/>
                <w:color w:val="000000"/>
                <w:sz w:val="24"/>
                <w:szCs w:val="24"/>
              </w:rPr>
            </w:pPr>
            <w:r w:rsidRPr="00D1390C">
              <w:rPr>
                <w:rFonts w:ascii="Times New Roman" w:hAnsi="Times New Roman" w:cs="Times New Roman"/>
                <w:color w:val="000000"/>
                <w:sz w:val="24"/>
                <w:szCs w:val="24"/>
              </w:rPr>
              <w:t>$29,</w:t>
            </w:r>
            <w:r w:rsidR="00196B48">
              <w:rPr>
                <w:rFonts w:ascii="Times New Roman" w:hAnsi="Times New Roman" w:cs="Times New Roman"/>
                <w:color w:val="000000"/>
                <w:sz w:val="24"/>
                <w:szCs w:val="24"/>
              </w:rPr>
              <w:t>306</w:t>
            </w:r>
          </w:p>
        </w:tc>
        <w:tc>
          <w:tcPr>
            <w:tcW w:w="81" w:type="dxa"/>
            <w:tcBorders>
              <w:left w:val="single" w:sz="4" w:space="0" w:color="FFFFFF"/>
            </w:tcBorders>
          </w:tcPr>
          <w:p w14:paraId="3E1C4041" w14:textId="77777777" w:rsidR="00D1390C" w:rsidRPr="00D1390C" w:rsidRDefault="00D1390C" w:rsidP="00D1390C">
            <w:pPr>
              <w:spacing w:after="120"/>
              <w:ind w:left="85" w:right="98"/>
              <w:contextualSpacing/>
              <w:jc w:val="center"/>
              <w:rPr>
                <w:rFonts w:ascii="Times New Roman" w:hAnsi="Times New Roman" w:cs="Times New Roman"/>
                <w:color w:val="000000"/>
                <w:sz w:val="20"/>
                <w:szCs w:val="20"/>
              </w:rPr>
            </w:pPr>
          </w:p>
        </w:tc>
      </w:tr>
      <w:tr w:rsidR="00D1390C" w:rsidRPr="00D1390C" w14:paraId="3E1C4048" w14:textId="77777777" w:rsidTr="00D1390C">
        <w:trPr>
          <w:trHeight w:val="350"/>
          <w:jc w:val="center"/>
        </w:trPr>
        <w:tc>
          <w:tcPr>
            <w:tcW w:w="2671" w:type="dxa"/>
            <w:tcBorders>
              <w:right w:val="single" w:sz="12" w:space="0" w:color="auto"/>
            </w:tcBorders>
            <w:vAlign w:val="center"/>
          </w:tcPr>
          <w:p w14:paraId="3E1C4043" w14:textId="77777777" w:rsidR="00D1390C" w:rsidRPr="00D1390C" w:rsidRDefault="00D1390C" w:rsidP="00D1390C">
            <w:pPr>
              <w:spacing w:after="120"/>
              <w:ind w:left="85" w:right="98"/>
              <w:contextualSpacing/>
              <w:jc w:val="right"/>
              <w:rPr>
                <w:rFonts w:ascii="Arial" w:hAnsi="Arial" w:cs="Arial"/>
                <w:color w:val="000000"/>
                <w:sz w:val="20"/>
                <w:szCs w:val="20"/>
              </w:rPr>
            </w:pPr>
            <w:r w:rsidRPr="00D1390C">
              <w:rPr>
                <w:rFonts w:ascii="Arial" w:hAnsi="Arial" w:cs="Arial"/>
                <w:color w:val="000000"/>
                <w:sz w:val="20"/>
                <w:szCs w:val="20"/>
              </w:rPr>
              <w:t>Air Monitoring Review</w:t>
            </w:r>
          </w:p>
        </w:tc>
        <w:tc>
          <w:tcPr>
            <w:tcW w:w="1529" w:type="dxa"/>
            <w:tcBorders>
              <w:left w:val="single" w:sz="12" w:space="0" w:color="auto"/>
              <w:right w:val="single" w:sz="12" w:space="0" w:color="auto"/>
            </w:tcBorders>
            <w:vAlign w:val="center"/>
          </w:tcPr>
          <w:p w14:paraId="3E1C4044" w14:textId="77777777" w:rsidR="00D1390C" w:rsidRPr="00D1390C" w:rsidRDefault="00D1390C" w:rsidP="00D1390C">
            <w:pPr>
              <w:spacing w:after="120"/>
              <w:ind w:left="85" w:right="98"/>
              <w:contextualSpacing/>
              <w:jc w:val="center"/>
              <w:rPr>
                <w:rFonts w:ascii="Times New Roman" w:hAnsi="Times New Roman" w:cs="Times New Roman"/>
                <w:color w:val="000000"/>
                <w:sz w:val="24"/>
                <w:szCs w:val="24"/>
              </w:rPr>
            </w:pPr>
            <w:r w:rsidRPr="00D1390C">
              <w:rPr>
                <w:rFonts w:ascii="Times New Roman" w:hAnsi="Times New Roman" w:cs="Times New Roman"/>
                <w:color w:val="000000"/>
                <w:sz w:val="24"/>
                <w:szCs w:val="24"/>
              </w:rPr>
              <w:t>$3,858</w:t>
            </w:r>
          </w:p>
        </w:tc>
        <w:tc>
          <w:tcPr>
            <w:tcW w:w="1600" w:type="dxa"/>
            <w:tcBorders>
              <w:left w:val="single" w:sz="12" w:space="0" w:color="auto"/>
              <w:right w:val="single" w:sz="12" w:space="0" w:color="auto"/>
            </w:tcBorders>
            <w:vAlign w:val="center"/>
          </w:tcPr>
          <w:p w14:paraId="3E1C4045" w14:textId="77777777" w:rsidR="00D1390C" w:rsidRPr="00D1390C" w:rsidRDefault="00D1390C" w:rsidP="00D1390C">
            <w:pPr>
              <w:spacing w:after="120"/>
              <w:ind w:left="85" w:right="98"/>
              <w:contextualSpacing/>
              <w:jc w:val="center"/>
              <w:rPr>
                <w:rFonts w:ascii="Times New Roman" w:hAnsi="Times New Roman" w:cs="Times New Roman"/>
                <w:color w:val="000000"/>
                <w:sz w:val="24"/>
                <w:szCs w:val="24"/>
              </w:rPr>
            </w:pPr>
            <w:r w:rsidRPr="00D1390C">
              <w:rPr>
                <w:rFonts w:ascii="Times New Roman" w:hAnsi="Times New Roman" w:cs="Times New Roman"/>
                <w:color w:val="000000"/>
                <w:sz w:val="24"/>
                <w:szCs w:val="24"/>
              </w:rPr>
              <w:t>$3,876</w:t>
            </w:r>
          </w:p>
        </w:tc>
        <w:tc>
          <w:tcPr>
            <w:tcW w:w="1607" w:type="dxa"/>
            <w:tcBorders>
              <w:left w:val="single" w:sz="12" w:space="0" w:color="auto"/>
              <w:right w:val="single" w:sz="4" w:space="0" w:color="FFFFFF"/>
            </w:tcBorders>
            <w:vAlign w:val="center"/>
          </w:tcPr>
          <w:p w14:paraId="3E1C4046" w14:textId="38A19139" w:rsidR="00D1390C" w:rsidRPr="00D1390C" w:rsidRDefault="00D1390C">
            <w:pPr>
              <w:spacing w:after="120"/>
              <w:ind w:left="85" w:right="98"/>
              <w:contextualSpacing/>
              <w:jc w:val="center"/>
              <w:rPr>
                <w:rFonts w:ascii="Times New Roman" w:hAnsi="Times New Roman" w:cs="Times New Roman"/>
                <w:color w:val="000000"/>
                <w:sz w:val="24"/>
                <w:szCs w:val="24"/>
              </w:rPr>
            </w:pPr>
            <w:r w:rsidRPr="00D1390C">
              <w:rPr>
                <w:rFonts w:ascii="Times New Roman" w:hAnsi="Times New Roman" w:cs="Times New Roman"/>
                <w:color w:val="000000"/>
                <w:sz w:val="24"/>
                <w:szCs w:val="24"/>
              </w:rPr>
              <w:t>$3,</w:t>
            </w:r>
            <w:r w:rsidR="00196B48">
              <w:rPr>
                <w:rFonts w:ascii="Times New Roman" w:hAnsi="Times New Roman" w:cs="Times New Roman"/>
                <w:color w:val="000000"/>
                <w:sz w:val="24"/>
                <w:szCs w:val="24"/>
              </w:rPr>
              <w:t>907</w:t>
            </w:r>
          </w:p>
        </w:tc>
        <w:tc>
          <w:tcPr>
            <w:tcW w:w="81" w:type="dxa"/>
            <w:tcBorders>
              <w:left w:val="single" w:sz="4" w:space="0" w:color="FFFFFF"/>
            </w:tcBorders>
          </w:tcPr>
          <w:p w14:paraId="3E1C4047" w14:textId="77777777" w:rsidR="00D1390C" w:rsidRPr="00D1390C" w:rsidRDefault="00D1390C" w:rsidP="00D1390C">
            <w:pPr>
              <w:spacing w:after="120"/>
              <w:ind w:left="85" w:right="98"/>
              <w:contextualSpacing/>
              <w:jc w:val="center"/>
              <w:rPr>
                <w:rFonts w:ascii="Times New Roman" w:hAnsi="Times New Roman" w:cs="Times New Roman"/>
                <w:color w:val="000000"/>
                <w:sz w:val="20"/>
                <w:szCs w:val="20"/>
              </w:rPr>
            </w:pPr>
          </w:p>
        </w:tc>
      </w:tr>
    </w:tbl>
    <w:p w14:paraId="3E1C4049" w14:textId="77777777" w:rsidR="00D1390C" w:rsidRPr="00D1390C" w:rsidRDefault="00D1390C" w:rsidP="00D1390C">
      <w:pPr>
        <w:ind w:left="1080" w:firstLine="360"/>
        <w:rPr>
          <w:color w:val="C45911"/>
        </w:rPr>
      </w:pPr>
      <w:r w:rsidRPr="00D1390C">
        <w:rPr>
          <w:vertAlign w:val="superscript"/>
        </w:rPr>
        <w:t xml:space="preserve">1 </w:t>
      </w:r>
      <w:r w:rsidRPr="00D1390C">
        <w:t>Fees based on an estimate of the 2016 consumer price index.</w:t>
      </w:r>
    </w:p>
    <w:p w14:paraId="3E1C404A" w14:textId="77777777" w:rsidR="00377FA3" w:rsidRPr="00377FA3" w:rsidRDefault="00377FA3" w:rsidP="00377FA3"/>
    <w:p w14:paraId="3E1C404B" w14:textId="77777777" w:rsidR="00377FA3" w:rsidRPr="00377FA3" w:rsidRDefault="00377FA3" w:rsidP="00377FA3">
      <w:pPr>
        <w:sectPr w:rsidR="00377FA3" w:rsidRPr="00377FA3" w:rsidSect="00EB0734">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E1C404D" w14:textId="77777777" w:rsidTr="00EB0734">
        <w:trPr>
          <w:trHeight w:val="603"/>
        </w:trPr>
        <w:tc>
          <w:tcPr>
            <w:tcW w:w="12335" w:type="dxa"/>
            <w:shd w:val="clear" w:color="auto" w:fill="D0CECE" w:themeFill="background2" w:themeFillShade="E6"/>
            <w:noWrap/>
            <w:vAlign w:val="bottom"/>
            <w:hideMark/>
          </w:tcPr>
          <w:p w14:paraId="3E1C404C" w14:textId="77777777" w:rsidR="00377FA3" w:rsidRPr="00377FA3" w:rsidRDefault="00377FA3" w:rsidP="00EB0734">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lastRenderedPageBreak/>
              <w:t>Statement of fiscal and economic impact</w:t>
            </w:r>
          </w:p>
        </w:tc>
      </w:tr>
    </w:tbl>
    <w:p w14:paraId="1ED92166" w14:textId="77777777" w:rsidR="00335030" w:rsidRDefault="00335030" w:rsidP="00D1390C">
      <w:pPr>
        <w:keepNext/>
        <w:keepLines/>
        <w:spacing w:before="200" w:after="120"/>
        <w:ind w:left="547"/>
        <w:outlineLvl w:val="1"/>
        <w:rPr>
          <w:rFonts w:ascii="Arial" w:hAnsi="Arial" w:cs="Arial"/>
          <w:bCs/>
          <w:color w:val="504938"/>
          <w:sz w:val="22"/>
          <w:szCs w:val="22"/>
        </w:rPr>
      </w:pPr>
    </w:p>
    <w:p w14:paraId="0AE312D3" w14:textId="783AC930" w:rsidR="00335030" w:rsidRPr="0054298C" w:rsidRDefault="00335030" w:rsidP="00D1390C">
      <w:pPr>
        <w:keepNext/>
        <w:keepLines/>
        <w:spacing w:before="200" w:after="120"/>
        <w:ind w:left="547"/>
        <w:outlineLvl w:val="1"/>
        <w:rPr>
          <w:bCs/>
        </w:rPr>
      </w:pPr>
      <w:r w:rsidRPr="0054298C">
        <w:rPr>
          <w:bCs/>
        </w:rPr>
        <w:t>When DEQ published the fiscal and economic impact statement in January 2016, DEQ included the proposed fee increases for the 2016 and 2017 invoice years. At that time, DEQ estimated the proposed fee increase for invoice year 2017 would be .45 percent, identical to the increase for invoice year 2016. However, to comply with the laws authorizing the commission to increase fees, DEQ recalculated the proposed fee increase for invoice year 2017 after the Bureau of Labor Statistics published the September 2016 consumer price index. As a result of the recalculation, the fee increase effective for invoice year 2017 would be .8</w:t>
      </w:r>
      <w:r w:rsidR="00BA7289">
        <w:rPr>
          <w:bCs/>
        </w:rPr>
        <w:t>0</w:t>
      </w:r>
      <w:r w:rsidRPr="0054298C">
        <w:rPr>
          <w:bCs/>
        </w:rPr>
        <w:t xml:space="preserve"> percent instead of .45 percent. The final proposed fee increase of .8</w:t>
      </w:r>
      <w:r w:rsidR="00BA7289">
        <w:rPr>
          <w:bCs/>
        </w:rPr>
        <w:t>0</w:t>
      </w:r>
      <w:r w:rsidRPr="0054298C">
        <w:rPr>
          <w:bCs/>
        </w:rPr>
        <w:t xml:space="preserve"> percent is reflected in the proposed rules and in the fiscal and economic impact below.</w:t>
      </w:r>
    </w:p>
    <w:p w14:paraId="3E1C404E"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Fiscal and Economic Impact</w:t>
      </w:r>
    </w:p>
    <w:p w14:paraId="3E1C404F" w14:textId="0C4DDD8B" w:rsidR="00D1390C" w:rsidRPr="00D1390C" w:rsidRDefault="00D1390C" w:rsidP="00D1390C">
      <w:pPr>
        <w:rPr>
          <w:color w:val="000000"/>
        </w:rPr>
      </w:pPr>
      <w:r w:rsidRPr="00D1390C">
        <w:rPr>
          <w:color w:val="000000"/>
        </w:rPr>
        <w:t>The increase in Title V permit fees would affect approximately 11</w:t>
      </w:r>
      <w:r w:rsidR="004A7D33">
        <w:rPr>
          <w:color w:val="000000"/>
        </w:rPr>
        <w:t>3</w:t>
      </w:r>
      <w:r w:rsidRPr="00D1390C">
        <w:rPr>
          <w:color w:val="000000"/>
        </w:rPr>
        <w:t xml:space="preserve"> permit holders directly and increase annual program revenue by approximately 0.45 percent in the 2016 invoice year and an additional 0.</w:t>
      </w:r>
      <w:r w:rsidR="004A7D33">
        <w:rPr>
          <w:color w:val="000000"/>
        </w:rPr>
        <w:t>80</w:t>
      </w:r>
      <w:r w:rsidRPr="00D1390C">
        <w:rPr>
          <w:color w:val="000000"/>
        </w:rPr>
        <w:t xml:space="preserve"> percent in the 2017 invoice year.</w:t>
      </w:r>
    </w:p>
    <w:p w14:paraId="3E1C4050" w14:textId="77777777" w:rsidR="00D1390C" w:rsidRPr="00D1390C" w:rsidRDefault="00D1390C" w:rsidP="00D1390C">
      <w:pPr>
        <w:rPr>
          <w:color w:val="000000"/>
        </w:rPr>
      </w:pPr>
    </w:p>
    <w:p w14:paraId="3E1C4051" w14:textId="7A8A3D0C" w:rsidR="00D1390C" w:rsidRPr="00D1390C" w:rsidRDefault="00D1390C" w:rsidP="00D1390C">
      <w:pPr>
        <w:rPr>
          <w:color w:val="000000"/>
        </w:rPr>
      </w:pPr>
      <w:r w:rsidRPr="00D1390C">
        <w:rPr>
          <w:color w:val="000000"/>
        </w:rPr>
        <w:t>The direct impact of the fee increase on permit holders is based on an assumption that emissions will remain the same in future years.</w:t>
      </w:r>
    </w:p>
    <w:p w14:paraId="3E1C4052" w14:textId="77777777" w:rsidR="00D1390C" w:rsidRPr="00D1390C" w:rsidRDefault="00D1390C" w:rsidP="00D1390C">
      <w:pPr>
        <w:rPr>
          <w:color w:val="000000"/>
        </w:rPr>
      </w:pPr>
    </w:p>
    <w:p w14:paraId="3E1C4053" w14:textId="2454E18F" w:rsidR="00D1390C" w:rsidRPr="00D1390C" w:rsidRDefault="00D1390C" w:rsidP="00D1390C">
      <w:pPr>
        <w:rPr>
          <w:color w:val="000000"/>
        </w:rPr>
      </w:pPr>
      <w:r w:rsidRPr="00D1390C">
        <w:rPr>
          <w:color w:val="000000"/>
        </w:rPr>
        <w:t>Title V permit holders are subject to Oregon’s greenhouse gas reporting program and most of the permit holders are subject to the greenhouse gas reporting fees. The greenhouse gas reporting fee is equal to 15 percent of their Title V annual base and emission fees, up to a maximum greenhouse gas reporting fee of $4,500. Because the greenhouse gas reporting fee calculation is a percentage of the Title V fees, the proposed increase in Title V permit fees would result in a 0.45 percent increase in the greenhouse gas reporting fees for these permit holders in the invoices DEQ will issue in 2016, and an additional 0.</w:t>
      </w:r>
      <w:r w:rsidR="004A7D33">
        <w:rPr>
          <w:color w:val="000000"/>
        </w:rPr>
        <w:t>80</w:t>
      </w:r>
      <w:r w:rsidRPr="00D1390C">
        <w:rPr>
          <w:color w:val="000000"/>
        </w:rPr>
        <w:t xml:space="preserve"> percent increase in the invoices DEQ will issue in 2017. The cap of $4,500 remains unchanged.</w:t>
      </w:r>
    </w:p>
    <w:p w14:paraId="3E1C4054" w14:textId="77777777" w:rsidR="00D1390C" w:rsidRPr="00D1390C" w:rsidRDefault="00D1390C" w:rsidP="00D1390C">
      <w:pPr>
        <w:keepNext/>
        <w:keepLines/>
        <w:spacing w:before="200" w:after="120"/>
        <w:ind w:left="547"/>
        <w:outlineLvl w:val="1"/>
        <w:rPr>
          <w:rFonts w:ascii="Arial" w:hAnsi="Arial"/>
          <w:bCs/>
          <w:color w:val="3B3838"/>
          <w:sz w:val="22"/>
          <w:szCs w:val="26"/>
        </w:rPr>
      </w:pPr>
      <w:r w:rsidRPr="00D1390C">
        <w:rPr>
          <w:rFonts w:ascii="Arial" w:hAnsi="Arial" w:cs="Arial"/>
          <w:bCs/>
          <w:color w:val="504938"/>
          <w:sz w:val="22"/>
          <w:szCs w:val="22"/>
        </w:rPr>
        <w:t>Statement of Cost of Compliance</w:t>
      </w:r>
      <w:r w:rsidRPr="00D1390C">
        <w:rPr>
          <w:rFonts w:ascii="Arial" w:hAnsi="Arial"/>
          <w:bCs/>
          <w:color w:val="3B3838"/>
          <w:sz w:val="22"/>
          <w:szCs w:val="26"/>
        </w:rPr>
        <w:tab/>
      </w:r>
    </w:p>
    <w:p w14:paraId="3E1C4055" w14:textId="77777777" w:rsidR="00D1390C" w:rsidRPr="00D1390C" w:rsidRDefault="00D1390C" w:rsidP="00D1390C">
      <w:pPr>
        <w:numPr>
          <w:ilvl w:val="0"/>
          <w:numId w:val="12"/>
        </w:numPr>
        <w:spacing w:after="120"/>
        <w:ind w:left="1080" w:right="14"/>
        <w:contextualSpacing/>
        <w:rPr>
          <w:color w:val="000000"/>
        </w:rPr>
      </w:pPr>
      <w:r w:rsidRPr="00D1390C">
        <w:rPr>
          <w:color w:val="000000"/>
        </w:rPr>
        <w:t xml:space="preserve">State and federal agencies </w:t>
      </w:r>
    </w:p>
    <w:p w14:paraId="3E1C4056" w14:textId="08BD19BE" w:rsidR="00D1390C" w:rsidRPr="00D1390C" w:rsidRDefault="00D1390C" w:rsidP="00D1390C">
      <w:pPr>
        <w:ind w:left="1080"/>
        <w:rPr>
          <w:color w:val="1F4E79"/>
          <w:u w:val="single"/>
        </w:rPr>
      </w:pPr>
      <w:r w:rsidRPr="00D1390C">
        <w:rPr>
          <w:u w:val="single"/>
        </w:rPr>
        <w:t>Direct Impacts</w:t>
      </w:r>
      <w:r w:rsidRPr="00D1390C">
        <w:rPr>
          <w:color w:val="1F4E79"/>
          <w:u w:val="single"/>
        </w:rPr>
        <w:t>:</w:t>
      </w:r>
      <w:r w:rsidRPr="00D1390C">
        <w:rPr>
          <w:color w:val="1F4E79"/>
        </w:rPr>
        <w:t xml:space="preserve"> </w:t>
      </w:r>
      <w:r w:rsidRPr="00D1390C">
        <w:t>Oregon Health Sciences University is the only state agency that holds a Title V permit and paid Title V permit fees of $</w:t>
      </w:r>
      <w:r w:rsidR="00EB7D3D">
        <w:t>14,070.43</w:t>
      </w:r>
      <w:r w:rsidRPr="00D1390C">
        <w:t xml:space="preserve"> in 2015. The proposed rules would increase their permit fees by about $6</w:t>
      </w:r>
      <w:r w:rsidR="00EB7D3D">
        <w:t>4</w:t>
      </w:r>
      <w:r w:rsidRPr="00D1390C">
        <w:t xml:space="preserve"> for 2016 and an additional estimated $</w:t>
      </w:r>
      <w:r w:rsidR="00EB7D3D">
        <w:t>1</w:t>
      </w:r>
      <w:r w:rsidR="00BE4D73">
        <w:t>13</w:t>
      </w:r>
      <w:r w:rsidRPr="00D1390C">
        <w:t xml:space="preserve"> for 2017. OHSU is also subject to greenhouse gas reporting fees equal to 15 percent of its annual emission fee and base fee. OHSU paid $2,110.56 in greenhouse gas reporting fees in 2015. As a result of the proposed rules, OHSU’s greenhouse gas reporting fees would increase by about $10 in 2016 and increase by an additional estimated $1</w:t>
      </w:r>
      <w:r w:rsidR="00BE4D73">
        <w:t>7</w:t>
      </w:r>
      <w:r w:rsidRPr="00D1390C">
        <w:t xml:space="preserve"> in 2017. No federal agencies hold Title V permits.</w:t>
      </w:r>
    </w:p>
    <w:p w14:paraId="3E1C4057" w14:textId="77777777" w:rsidR="00D1390C" w:rsidRPr="00D1390C" w:rsidRDefault="00D1390C" w:rsidP="00D1390C">
      <w:pPr>
        <w:ind w:left="0" w:firstLine="360"/>
        <w:rPr>
          <w:color w:val="1F4E79"/>
        </w:rPr>
      </w:pPr>
    </w:p>
    <w:p w14:paraId="3E1C4058" w14:textId="77777777" w:rsidR="00D1390C" w:rsidRPr="00D1390C" w:rsidRDefault="00D1390C" w:rsidP="00D1390C">
      <w:pPr>
        <w:ind w:left="1080"/>
      </w:pPr>
      <w:r w:rsidRPr="00D1390C">
        <w:rPr>
          <w:u w:val="single"/>
        </w:rPr>
        <w:t>Indirect Impacts:</w:t>
      </w:r>
      <w:r w:rsidRPr="00D1390C">
        <w:t xml:space="preserve"> Changes to fees could affect state and federal agencies indirectly if businesses holding Title V permits change the price of goods and services to offset any increased costs from paying a permit fee.</w:t>
      </w:r>
    </w:p>
    <w:p w14:paraId="3E1C4059" w14:textId="77777777" w:rsidR="00D1390C" w:rsidRPr="00D1390C" w:rsidRDefault="00D1390C" w:rsidP="00D1390C">
      <w:pPr>
        <w:autoSpaceDE w:val="0"/>
        <w:autoSpaceDN w:val="0"/>
        <w:adjustRightInd w:val="0"/>
        <w:ind w:left="360" w:right="0"/>
        <w:outlineLvl w:val="9"/>
      </w:pPr>
    </w:p>
    <w:p w14:paraId="3E1C405A" w14:textId="77777777" w:rsidR="00D1390C" w:rsidRPr="00D1390C" w:rsidRDefault="00D1390C" w:rsidP="00D1390C">
      <w:pPr>
        <w:numPr>
          <w:ilvl w:val="0"/>
          <w:numId w:val="12"/>
        </w:numPr>
        <w:spacing w:after="120"/>
        <w:ind w:left="1080" w:right="14"/>
        <w:contextualSpacing/>
        <w:rPr>
          <w:bCs/>
          <w:color w:val="000000"/>
        </w:rPr>
      </w:pPr>
      <w:r w:rsidRPr="00D1390C">
        <w:rPr>
          <w:bCs/>
          <w:color w:val="000000"/>
        </w:rPr>
        <w:t>DEQ</w:t>
      </w:r>
      <w:r w:rsidRPr="00D1390C">
        <w:rPr>
          <w:bCs/>
          <w:color w:val="000000"/>
        </w:rPr>
        <w:tab/>
      </w:r>
    </w:p>
    <w:p w14:paraId="3E1C405B" w14:textId="77777777" w:rsidR="00D1390C" w:rsidRPr="00D1390C" w:rsidRDefault="00D1390C" w:rsidP="00D1390C">
      <w:pPr>
        <w:ind w:left="1080"/>
        <w:rPr>
          <w:bCs/>
          <w:color w:val="000000"/>
        </w:rPr>
      </w:pPr>
      <w:r w:rsidRPr="00D1390C">
        <w:rPr>
          <w:bCs/>
          <w:color w:val="000000"/>
          <w:u w:val="single"/>
        </w:rPr>
        <w:t>Direct Impacts:</w:t>
      </w:r>
      <w:r w:rsidRPr="00D1390C">
        <w:rPr>
          <w:bCs/>
          <w:color w:val="000000"/>
        </w:rPr>
        <w:t xml:space="preserve"> DEQ has </w:t>
      </w:r>
      <w:r w:rsidRPr="00D1390C">
        <w:t>no</w:t>
      </w:r>
      <w:r w:rsidRPr="00D1390C">
        <w:rPr>
          <w:bCs/>
          <w:color w:val="000000"/>
        </w:rPr>
        <w:t xml:space="preserve"> facilities that require a Title V permit. The proposed fee increases would affect DEQ directly by providing funding necessary to perform requisite program services. </w:t>
      </w:r>
    </w:p>
    <w:p w14:paraId="3E1C405C" w14:textId="77777777" w:rsidR="00D1390C" w:rsidRPr="00D1390C" w:rsidRDefault="00D1390C" w:rsidP="00D1390C">
      <w:pPr>
        <w:ind w:left="0" w:firstLine="360"/>
        <w:rPr>
          <w:bCs/>
          <w:color w:val="000000"/>
        </w:rPr>
      </w:pPr>
    </w:p>
    <w:p w14:paraId="3E1C405D" w14:textId="77777777" w:rsidR="00D1390C" w:rsidRPr="00D1390C" w:rsidRDefault="00D1390C" w:rsidP="00D1390C">
      <w:pPr>
        <w:ind w:left="1080"/>
        <w:rPr>
          <w:bCs/>
          <w:color w:val="000000"/>
        </w:rPr>
      </w:pPr>
      <w:r w:rsidRPr="00D1390C">
        <w:rPr>
          <w:bCs/>
          <w:color w:val="000000"/>
          <w:u w:val="single"/>
        </w:rPr>
        <w:t>Indirect Impacts:</w:t>
      </w:r>
      <w:r w:rsidRPr="00D1390C">
        <w:rPr>
          <w:bCs/>
          <w:color w:val="000000"/>
        </w:rPr>
        <w:t xml:space="preserve"> Changes to fees could affect DEQ indirectly if businesses change the price of goods and services to offset any increased or decreased costs from paying a permit fee.</w:t>
      </w:r>
    </w:p>
    <w:p w14:paraId="3E1C405E" w14:textId="77777777" w:rsidR="00D1390C" w:rsidRPr="00D1390C" w:rsidRDefault="00D1390C" w:rsidP="00D1390C">
      <w:pPr>
        <w:ind w:left="1080"/>
      </w:pPr>
    </w:p>
    <w:p w14:paraId="3E1C405F" w14:textId="77777777" w:rsidR="00D1390C" w:rsidRPr="00D1390C" w:rsidRDefault="00D1390C" w:rsidP="00D1390C">
      <w:pPr>
        <w:numPr>
          <w:ilvl w:val="0"/>
          <w:numId w:val="12"/>
        </w:numPr>
        <w:spacing w:after="120"/>
        <w:ind w:left="1080" w:right="14"/>
        <w:contextualSpacing/>
        <w:rPr>
          <w:color w:val="000000"/>
        </w:rPr>
      </w:pPr>
      <w:r w:rsidRPr="00D1390C">
        <w:rPr>
          <w:color w:val="000000"/>
        </w:rPr>
        <w:t>Local governments</w:t>
      </w:r>
    </w:p>
    <w:p w14:paraId="3E1C4060" w14:textId="77777777" w:rsidR="00D1390C" w:rsidRPr="00D1390C" w:rsidRDefault="00D1390C" w:rsidP="00D1390C">
      <w:pPr>
        <w:ind w:left="1080"/>
      </w:pPr>
      <w:r w:rsidRPr="00D1390C">
        <w:rPr>
          <w:u w:val="single"/>
        </w:rPr>
        <w:t>Direct Impacts</w:t>
      </w:r>
      <w:r w:rsidRPr="00D1390C">
        <w:rPr>
          <w:color w:val="1F4E79"/>
          <w:u w:val="single"/>
        </w:rPr>
        <w:t>:</w:t>
      </w:r>
      <w:r w:rsidRPr="00D1390C">
        <w:rPr>
          <w:color w:val="1F4E79"/>
        </w:rPr>
        <w:t xml:space="preserve"> </w:t>
      </w:r>
      <w:r w:rsidRPr="00D1390C">
        <w:t xml:space="preserve">Oregon requires county and city local governments to obtain a Title V major source permit for municipal waste landfills. Fees would increase for two landfills operated by local governments: </w:t>
      </w:r>
    </w:p>
    <w:p w14:paraId="3E1C4061" w14:textId="34CF9A12" w:rsidR="00D1390C" w:rsidRPr="00D1390C" w:rsidRDefault="00D1390C" w:rsidP="00D1390C">
      <w:pPr>
        <w:numPr>
          <w:ilvl w:val="0"/>
          <w:numId w:val="13"/>
        </w:numPr>
        <w:ind w:left="1440"/>
        <w:contextualSpacing/>
        <w:rPr>
          <w:color w:val="1F4E79"/>
          <w:u w:val="single"/>
        </w:rPr>
      </w:pPr>
      <w:r w:rsidRPr="00D1390C">
        <w:t>Metropolitan Service District, St. Johns Landfill paid Title V annual permit fees of $</w:t>
      </w:r>
      <w:r w:rsidR="00EA3ED5">
        <w:t>8,388.48</w:t>
      </w:r>
      <w:r w:rsidRPr="00D1390C">
        <w:t xml:space="preserve"> in 2015. The proposed rules would increase their 2016 fees by about $38 and an additional estimated $</w:t>
      </w:r>
      <w:r w:rsidR="00EA3ED5">
        <w:t>68</w:t>
      </w:r>
      <w:r w:rsidRPr="00D1390C">
        <w:t xml:space="preserve"> increase for 2017. St. John’s Landfill is subject to greenhouse gas reporting fees equal to 15 percent of their annual emission fee and base fee. This fee would increase by about $6 in 2016 and increase an additional estimated $</w:t>
      </w:r>
      <w:r w:rsidR="00EA3ED5">
        <w:t>1</w:t>
      </w:r>
      <w:r w:rsidRPr="00D1390C">
        <w:t xml:space="preserve">6 in 2017. </w:t>
      </w:r>
    </w:p>
    <w:p w14:paraId="3E1C4062" w14:textId="77777777" w:rsidR="00D1390C" w:rsidRPr="00D1390C" w:rsidRDefault="00D1390C" w:rsidP="00D1390C">
      <w:pPr>
        <w:rPr>
          <w:color w:val="1F4E79"/>
          <w:u w:val="single"/>
        </w:rPr>
      </w:pPr>
    </w:p>
    <w:p w14:paraId="3E1C4063" w14:textId="4059790E" w:rsidR="00D1390C" w:rsidRPr="00D1390C" w:rsidRDefault="00D1390C" w:rsidP="00D1390C">
      <w:pPr>
        <w:numPr>
          <w:ilvl w:val="0"/>
          <w:numId w:val="13"/>
        </w:numPr>
        <w:ind w:left="1440"/>
        <w:contextualSpacing/>
        <w:rPr>
          <w:color w:val="1F4E79"/>
          <w:u w:val="single"/>
        </w:rPr>
      </w:pPr>
      <w:r w:rsidRPr="00D1390C">
        <w:t>Deschutes County Solid Waste Department, Knott Landfill paid Title V annual permit fees of $10,302.40 in 2015. The proposed rules would increase their 2016 fees by about $4</w:t>
      </w:r>
      <w:r w:rsidR="00EA3ED5">
        <w:t>7</w:t>
      </w:r>
      <w:r w:rsidRPr="00D1390C">
        <w:rPr>
          <w:color w:val="1F4E79"/>
        </w:rPr>
        <w:t xml:space="preserve"> </w:t>
      </w:r>
      <w:r w:rsidRPr="00D1390C">
        <w:t>and an additional estimated $</w:t>
      </w:r>
      <w:r w:rsidR="00EA3ED5">
        <w:t>83</w:t>
      </w:r>
      <w:r w:rsidRPr="00D1390C">
        <w:t xml:space="preserve"> for 2017. Knott Landfill is subject to greenhouse gas reporting fees equal to 15 percent of their annual emission fee and base fee. This fee would increase by about $7 in 2016 and increase an additional estimates $</w:t>
      </w:r>
      <w:r w:rsidR="00EA3ED5">
        <w:t>12</w:t>
      </w:r>
      <w:r w:rsidRPr="00D1390C">
        <w:t xml:space="preserve"> in 2017.</w:t>
      </w:r>
    </w:p>
    <w:p w14:paraId="3E1C4064" w14:textId="77777777" w:rsidR="00D1390C" w:rsidRPr="00D1390C" w:rsidRDefault="00D1390C" w:rsidP="00D1390C">
      <w:pPr>
        <w:autoSpaceDE w:val="0"/>
        <w:autoSpaceDN w:val="0"/>
        <w:adjustRightInd w:val="0"/>
        <w:ind w:left="0" w:right="0"/>
        <w:outlineLvl w:val="9"/>
      </w:pPr>
    </w:p>
    <w:p w14:paraId="3E1C4065" w14:textId="77777777" w:rsidR="00D1390C" w:rsidRPr="00D1390C" w:rsidRDefault="00D1390C" w:rsidP="00D1390C">
      <w:pPr>
        <w:ind w:left="1080"/>
        <w:rPr>
          <w:u w:val="single"/>
        </w:rPr>
      </w:pPr>
      <w:r w:rsidRPr="00D1390C">
        <w:rPr>
          <w:u w:val="single"/>
        </w:rPr>
        <w:t>Indirect Impacts:</w:t>
      </w:r>
      <w:r w:rsidRPr="00D1390C">
        <w:t xml:space="preserve"> Changes to fees could affect county and city local governments indirectly if businesses holding Title V permits change the price of goods and services to offset any increased costs from paying a permit fee.</w:t>
      </w:r>
    </w:p>
    <w:p w14:paraId="3E1C4066" w14:textId="77777777" w:rsidR="00D1390C" w:rsidRPr="00D1390C" w:rsidRDefault="00D1390C" w:rsidP="00D1390C">
      <w:pPr>
        <w:ind w:left="1080"/>
      </w:pPr>
    </w:p>
    <w:p w14:paraId="3E1C4067" w14:textId="77777777" w:rsidR="00D1390C" w:rsidRPr="00D1390C" w:rsidRDefault="00D1390C" w:rsidP="00D1390C">
      <w:pPr>
        <w:numPr>
          <w:ilvl w:val="0"/>
          <w:numId w:val="12"/>
        </w:numPr>
        <w:spacing w:after="120"/>
        <w:ind w:left="1080" w:right="14"/>
        <w:contextualSpacing/>
        <w:rPr>
          <w:color w:val="000000"/>
        </w:rPr>
      </w:pPr>
      <w:r w:rsidRPr="00D1390C">
        <w:rPr>
          <w:color w:val="000000"/>
        </w:rPr>
        <w:t>Public</w:t>
      </w:r>
    </w:p>
    <w:p w14:paraId="3E1C4068" w14:textId="77777777" w:rsidR="00D1390C" w:rsidRPr="00D1390C" w:rsidRDefault="00D1390C" w:rsidP="00D1390C">
      <w:pPr>
        <w:ind w:left="1080"/>
        <w:rPr>
          <w:iCs/>
        </w:rPr>
      </w:pPr>
      <w:r w:rsidRPr="00D1390C">
        <w:rPr>
          <w:u w:val="single"/>
        </w:rPr>
        <w:t>Direct Impacts:</w:t>
      </w:r>
      <w:r w:rsidRPr="00D1390C">
        <w:rPr>
          <w:color w:val="1F4E79"/>
        </w:rPr>
        <w:t xml:space="preserve"> </w:t>
      </w:r>
      <w:r w:rsidRPr="00D1390C">
        <w:rPr>
          <w:iCs/>
        </w:rPr>
        <w:t>Air pollution creates public health problems that can have negative economic impacts. The proposed rules could affect the public directly and positively if the proposed fee increases provide adequate resources for compliance and technical assistance and help avoid public health costs associated with lower compliance and increased air pollution.</w:t>
      </w:r>
      <w:r w:rsidRPr="00D1390C">
        <w:rPr>
          <w:iCs/>
        </w:rPr>
        <w:tab/>
      </w:r>
    </w:p>
    <w:p w14:paraId="3E1C4069" w14:textId="77777777" w:rsidR="00D1390C" w:rsidRPr="00D1390C" w:rsidRDefault="00D1390C" w:rsidP="00D1390C">
      <w:pPr>
        <w:ind w:left="1440"/>
        <w:rPr>
          <w:u w:val="single"/>
        </w:rPr>
      </w:pPr>
    </w:p>
    <w:p w14:paraId="3E1C406A" w14:textId="77777777" w:rsidR="00D1390C" w:rsidRPr="00D1390C" w:rsidRDefault="00D1390C" w:rsidP="00D1390C">
      <w:pPr>
        <w:ind w:left="1080"/>
        <w:rPr>
          <w:u w:val="single"/>
        </w:rPr>
      </w:pPr>
      <w:r w:rsidRPr="00D1390C">
        <w:rPr>
          <w:u w:val="single"/>
        </w:rPr>
        <w:t>Indirect Impacts:</w:t>
      </w:r>
      <w:r w:rsidRPr="00D1390C">
        <w:t xml:space="preserve"> </w:t>
      </w:r>
      <w:r w:rsidRPr="00D1390C">
        <w:rPr>
          <w:iCs/>
        </w:rPr>
        <w:t>Changes to fees could affect the public indirectly if businesses change the price of goods and services to offset any increased or decreased costs from paying a permit fee. DEQ expects any such price increases to be small and lacks available information upon which it could accurately estimate actual potential increases.</w:t>
      </w:r>
      <w:r w:rsidRPr="00D1390C" w:rsidDel="002C7302">
        <w:rPr>
          <w:iCs/>
        </w:rPr>
        <w:t xml:space="preserve"> </w:t>
      </w:r>
    </w:p>
    <w:p w14:paraId="3E1C406B" w14:textId="77777777" w:rsidR="00D1390C" w:rsidRPr="00D1390C" w:rsidRDefault="00D1390C" w:rsidP="00D1390C">
      <w:pPr>
        <w:ind w:left="1440"/>
      </w:pPr>
    </w:p>
    <w:p w14:paraId="3E1C406C" w14:textId="77777777" w:rsidR="00D1390C" w:rsidRPr="00D1390C" w:rsidRDefault="00D1390C" w:rsidP="00D1390C">
      <w:pPr>
        <w:numPr>
          <w:ilvl w:val="0"/>
          <w:numId w:val="12"/>
        </w:numPr>
        <w:spacing w:after="120"/>
        <w:ind w:left="1080" w:right="14"/>
        <w:contextualSpacing/>
        <w:rPr>
          <w:color w:val="000000"/>
        </w:rPr>
      </w:pPr>
      <w:r w:rsidRPr="00D1390C">
        <w:rPr>
          <w:color w:val="000000"/>
        </w:rPr>
        <w:t>Large businesses - businesses with more than 50 employees</w:t>
      </w:r>
    </w:p>
    <w:p w14:paraId="3E1C406D" w14:textId="4385DE42" w:rsidR="00D1390C" w:rsidRPr="00D1390C" w:rsidRDefault="00D1390C" w:rsidP="00D1390C">
      <w:pPr>
        <w:ind w:left="1080"/>
      </w:pPr>
      <w:r w:rsidRPr="00D1390C">
        <w:rPr>
          <w:u w:val="single"/>
        </w:rPr>
        <w:t>Direct Impacts:</w:t>
      </w:r>
      <w:r w:rsidRPr="00D1390C">
        <w:t xml:space="preserve"> </w:t>
      </w:r>
      <w:r w:rsidRPr="00D1390C">
        <w:rPr>
          <w:iCs/>
        </w:rPr>
        <w:t xml:space="preserve">Approximately 100 </w:t>
      </w:r>
      <w:r w:rsidRPr="00D1390C">
        <w:rPr>
          <w:bCs/>
        </w:rPr>
        <w:t>large bus</w:t>
      </w:r>
      <w:r w:rsidRPr="00D1390C">
        <w:rPr>
          <w:bCs/>
          <w:color w:val="000000"/>
        </w:rPr>
        <w:t xml:space="preserve">inesses hold Title V permits and a fee increase would affect these permit holders directly. </w:t>
      </w:r>
      <w:r w:rsidRPr="00D1390C">
        <w:rPr>
          <w:bCs/>
          <w:color w:val="000000"/>
          <w:sz w:val="22"/>
          <w:szCs w:val="22"/>
        </w:rPr>
        <w:t>E</w:t>
      </w:r>
      <w:r w:rsidRPr="00D1390C">
        <w:rPr>
          <w:spacing w:val="-3"/>
        </w:rPr>
        <w:t>stimated impacts are based on the assumption that DEQ identified all facilities subject to the Title V program.</w:t>
      </w:r>
    </w:p>
    <w:p w14:paraId="3E1C406E" w14:textId="77777777" w:rsidR="00D1390C" w:rsidRPr="00D1390C" w:rsidRDefault="00D1390C" w:rsidP="00D1390C">
      <w:pPr>
        <w:spacing w:line="235" w:lineRule="auto"/>
        <w:ind w:left="1080" w:right="14"/>
      </w:pPr>
    </w:p>
    <w:p w14:paraId="3E1C406F" w14:textId="77777777" w:rsidR="00D1390C" w:rsidRPr="00D1390C" w:rsidRDefault="00D1390C" w:rsidP="00D1390C">
      <w:pPr>
        <w:spacing w:after="200" w:line="235" w:lineRule="auto"/>
        <w:ind w:left="1080"/>
      </w:pPr>
      <w:r w:rsidRPr="00D1390C">
        <w:t xml:space="preserve">The proposed annual base fees and emission fees are provided in the following table. The annual base fee is small in comparison to the emission fees paid by most sources. The rulemaking would also increase specific activity fees. Specific activity fees contribute a small portion of Title V program revenue. </w:t>
      </w:r>
    </w:p>
    <w:tbl>
      <w:tblPr>
        <w:tblStyle w:val="Rulemaking"/>
        <w:tblW w:w="8924" w:type="dxa"/>
        <w:jc w:val="center"/>
        <w:tblLayout w:type="fixed"/>
        <w:tblLook w:val="04A0" w:firstRow="1" w:lastRow="0" w:firstColumn="1" w:lastColumn="0" w:noHBand="0" w:noVBand="1"/>
      </w:tblPr>
      <w:tblGrid>
        <w:gridCol w:w="1634"/>
        <w:gridCol w:w="810"/>
        <w:gridCol w:w="1890"/>
        <w:gridCol w:w="1350"/>
        <w:gridCol w:w="1890"/>
        <w:gridCol w:w="1350"/>
      </w:tblGrid>
      <w:tr w:rsidR="00D1390C" w:rsidRPr="00D1390C" w14:paraId="3E1C4071" w14:textId="77777777" w:rsidTr="00D1390C">
        <w:trPr>
          <w:cnfStyle w:val="100000000000" w:firstRow="1" w:lastRow="0" w:firstColumn="0" w:lastColumn="0" w:oddVBand="0" w:evenVBand="0" w:oddHBand="0" w:evenHBand="0" w:firstRowFirstColumn="0" w:firstRowLastColumn="0" w:lastRowFirstColumn="0" w:lastRowLastColumn="0"/>
          <w:trHeight w:val="406"/>
          <w:jc w:val="center"/>
        </w:trPr>
        <w:tc>
          <w:tcPr>
            <w:tcW w:w="8924" w:type="dxa"/>
            <w:gridSpan w:val="6"/>
            <w:tcMar>
              <w:top w:w="43" w:type="dxa"/>
              <w:left w:w="43" w:type="dxa"/>
              <w:bottom w:w="43" w:type="dxa"/>
              <w:right w:w="43" w:type="dxa"/>
            </w:tcMar>
          </w:tcPr>
          <w:p w14:paraId="3E1C4070" w14:textId="77777777" w:rsidR="00D1390C" w:rsidRPr="00D1390C" w:rsidRDefault="00D1390C">
            <w:pPr>
              <w:ind w:right="630"/>
              <w:jc w:val="center"/>
              <w:rPr>
                <w:rFonts w:cs="Arial"/>
                <w:b/>
                <w:color w:val="FFFFFF"/>
                <w:sz w:val="26"/>
                <w:szCs w:val="26"/>
              </w:rPr>
            </w:pPr>
            <w:r w:rsidRPr="00D1390C">
              <w:rPr>
                <w:rFonts w:cs="Arial"/>
                <w:b/>
                <w:color w:val="FFFFFF"/>
                <w:sz w:val="26"/>
                <w:szCs w:val="26"/>
              </w:rPr>
              <w:t>Proposed Title V Fees For 2016 &amp; 2017</w:t>
            </w:r>
          </w:p>
        </w:tc>
      </w:tr>
      <w:tr w:rsidR="00D1390C" w:rsidRPr="00D1390C" w14:paraId="3E1C407A" w14:textId="77777777" w:rsidTr="00D1390C">
        <w:trPr>
          <w:cnfStyle w:val="000000100000" w:firstRow="0" w:lastRow="0" w:firstColumn="0" w:lastColumn="0" w:oddVBand="0" w:evenVBand="0" w:oddHBand="1" w:evenHBand="0" w:firstRowFirstColumn="0" w:firstRowLastColumn="0" w:lastRowFirstColumn="0" w:lastRowLastColumn="0"/>
          <w:trHeight w:val="495"/>
          <w:jc w:val="center"/>
        </w:trPr>
        <w:tc>
          <w:tcPr>
            <w:tcW w:w="1634" w:type="dxa"/>
            <w:tcBorders>
              <w:right w:val="single" w:sz="4" w:space="0" w:color="auto"/>
            </w:tcBorders>
            <w:tcMar>
              <w:top w:w="43" w:type="dxa"/>
              <w:left w:w="43" w:type="dxa"/>
              <w:bottom w:w="43" w:type="dxa"/>
              <w:right w:w="43" w:type="dxa"/>
            </w:tcMar>
          </w:tcPr>
          <w:p w14:paraId="3E1C4072" w14:textId="77777777" w:rsidR="00D1390C" w:rsidRPr="00D1390C" w:rsidRDefault="00D1390C" w:rsidP="00D1390C">
            <w:pPr>
              <w:ind w:left="0" w:right="14"/>
              <w:jc w:val="center"/>
              <w:rPr>
                <w:rFonts w:ascii="Arial" w:hAnsi="Arial" w:cs="Arial"/>
              </w:rPr>
            </w:pPr>
            <w:r w:rsidRPr="00D1390C">
              <w:rPr>
                <w:rFonts w:ascii="Arial" w:hAnsi="Arial" w:cs="Arial"/>
                <w:color w:val="000000"/>
              </w:rPr>
              <w:lastRenderedPageBreak/>
              <w:t>Fee Category</w:t>
            </w:r>
          </w:p>
        </w:tc>
        <w:tc>
          <w:tcPr>
            <w:tcW w:w="810" w:type="dxa"/>
            <w:tcBorders>
              <w:right w:val="single" w:sz="4" w:space="0" w:color="auto"/>
            </w:tcBorders>
            <w:tcMar>
              <w:top w:w="43" w:type="dxa"/>
              <w:left w:w="43" w:type="dxa"/>
              <w:bottom w:w="43" w:type="dxa"/>
              <w:right w:w="43" w:type="dxa"/>
            </w:tcMar>
          </w:tcPr>
          <w:p w14:paraId="3E1C4073" w14:textId="77777777" w:rsidR="00D1390C" w:rsidRPr="00D1390C" w:rsidRDefault="00D1390C" w:rsidP="00AB3619">
            <w:pPr>
              <w:ind w:left="0" w:right="14"/>
              <w:jc w:val="center"/>
              <w:rPr>
                <w:rFonts w:ascii="Arial" w:hAnsi="Arial" w:cs="Arial"/>
              </w:rPr>
            </w:pPr>
            <w:r w:rsidRPr="00D1390C">
              <w:rPr>
                <w:rFonts w:ascii="Arial" w:hAnsi="Arial" w:cs="Arial"/>
                <w:color w:val="000000"/>
              </w:rPr>
              <w:t>2015 Fees</w:t>
            </w:r>
          </w:p>
        </w:tc>
        <w:tc>
          <w:tcPr>
            <w:tcW w:w="1890" w:type="dxa"/>
            <w:tcBorders>
              <w:right w:val="single" w:sz="4" w:space="0" w:color="auto"/>
            </w:tcBorders>
            <w:tcMar>
              <w:top w:w="43" w:type="dxa"/>
              <w:left w:w="43" w:type="dxa"/>
              <w:bottom w:w="43" w:type="dxa"/>
              <w:right w:w="43" w:type="dxa"/>
            </w:tcMar>
          </w:tcPr>
          <w:p w14:paraId="3E1C4074" w14:textId="77777777" w:rsidR="00D1390C" w:rsidRPr="00D1390C" w:rsidRDefault="00D1390C" w:rsidP="00D1390C">
            <w:pPr>
              <w:ind w:left="0" w:right="14"/>
              <w:jc w:val="center"/>
              <w:rPr>
                <w:rFonts w:ascii="Arial" w:hAnsi="Arial" w:cs="Arial"/>
                <w:color w:val="000000"/>
              </w:rPr>
            </w:pPr>
            <w:r w:rsidRPr="00D1390C">
              <w:rPr>
                <w:rFonts w:ascii="Arial" w:hAnsi="Arial" w:cs="Arial"/>
                <w:color w:val="000000"/>
              </w:rPr>
              <w:t>Proposed 2016 Fees</w:t>
            </w:r>
          </w:p>
          <w:p w14:paraId="3E1C4075" w14:textId="77777777" w:rsidR="00D1390C" w:rsidRPr="00D1390C" w:rsidRDefault="00D1390C" w:rsidP="00D1390C">
            <w:pPr>
              <w:ind w:left="0" w:right="14"/>
              <w:jc w:val="center"/>
              <w:rPr>
                <w:rFonts w:ascii="Arial" w:hAnsi="Arial" w:cs="Arial"/>
              </w:rPr>
            </w:pPr>
            <w:r w:rsidRPr="00D1390C">
              <w:rPr>
                <w:rFonts w:ascii="Arial" w:hAnsi="Arial" w:cs="Arial"/>
                <w:color w:val="000000"/>
              </w:rPr>
              <w:t>(to be invoiced)</w:t>
            </w:r>
          </w:p>
        </w:tc>
        <w:tc>
          <w:tcPr>
            <w:tcW w:w="1350" w:type="dxa"/>
            <w:tcBorders>
              <w:right w:val="single" w:sz="4" w:space="0" w:color="auto"/>
            </w:tcBorders>
            <w:tcMar>
              <w:top w:w="43" w:type="dxa"/>
              <w:left w:w="43" w:type="dxa"/>
              <w:bottom w:w="43" w:type="dxa"/>
              <w:right w:w="43" w:type="dxa"/>
            </w:tcMar>
          </w:tcPr>
          <w:p w14:paraId="3E1C4076" w14:textId="77777777" w:rsidR="00D1390C" w:rsidRPr="00D1390C" w:rsidRDefault="00D1390C" w:rsidP="00AB3619">
            <w:pPr>
              <w:ind w:left="0" w:right="14"/>
              <w:jc w:val="center"/>
              <w:rPr>
                <w:rFonts w:ascii="Arial" w:hAnsi="Arial" w:cs="Arial"/>
              </w:rPr>
            </w:pPr>
            <w:r w:rsidRPr="00D1390C">
              <w:rPr>
                <w:rFonts w:ascii="Arial" w:hAnsi="Arial" w:cs="Arial"/>
                <w:color w:val="000000"/>
              </w:rPr>
              <w:t>Increase over 2015 Fees</w:t>
            </w:r>
          </w:p>
        </w:tc>
        <w:tc>
          <w:tcPr>
            <w:tcW w:w="1890" w:type="dxa"/>
            <w:tcBorders>
              <w:right w:val="single" w:sz="4" w:space="0" w:color="auto"/>
            </w:tcBorders>
            <w:tcMar>
              <w:top w:w="43" w:type="dxa"/>
              <w:left w:w="43" w:type="dxa"/>
              <w:bottom w:w="43" w:type="dxa"/>
              <w:right w:w="43" w:type="dxa"/>
            </w:tcMar>
          </w:tcPr>
          <w:p w14:paraId="3E1C4077" w14:textId="77777777" w:rsidR="00D1390C" w:rsidRPr="00D1390C" w:rsidRDefault="00D1390C" w:rsidP="00D1390C">
            <w:pPr>
              <w:ind w:left="0" w:right="14"/>
              <w:jc w:val="center"/>
              <w:rPr>
                <w:rFonts w:ascii="Arial" w:hAnsi="Arial" w:cs="Arial"/>
                <w:color w:val="000000"/>
              </w:rPr>
            </w:pPr>
            <w:r w:rsidRPr="00D1390C">
              <w:rPr>
                <w:rFonts w:ascii="Arial" w:hAnsi="Arial" w:cs="Arial"/>
                <w:color w:val="000000"/>
              </w:rPr>
              <w:t xml:space="preserve">Proposed 2017 Fees </w:t>
            </w:r>
          </w:p>
          <w:p w14:paraId="3E1C4078" w14:textId="77777777" w:rsidR="00D1390C" w:rsidRPr="00D1390C" w:rsidRDefault="00D1390C" w:rsidP="00D1390C">
            <w:pPr>
              <w:ind w:left="0" w:right="14"/>
              <w:jc w:val="center"/>
              <w:rPr>
                <w:rFonts w:ascii="Arial" w:hAnsi="Arial" w:cs="Arial"/>
              </w:rPr>
            </w:pPr>
            <w:r w:rsidRPr="00D1390C">
              <w:rPr>
                <w:rFonts w:ascii="Arial" w:hAnsi="Arial" w:cs="Arial"/>
                <w:color w:val="000000"/>
              </w:rPr>
              <w:t>(to be invoiced)</w:t>
            </w:r>
          </w:p>
        </w:tc>
        <w:tc>
          <w:tcPr>
            <w:tcW w:w="1350" w:type="dxa"/>
            <w:tcBorders>
              <w:left w:val="single" w:sz="4" w:space="0" w:color="auto"/>
            </w:tcBorders>
            <w:tcMar>
              <w:top w:w="43" w:type="dxa"/>
              <w:left w:w="43" w:type="dxa"/>
              <w:bottom w:w="43" w:type="dxa"/>
              <w:right w:w="43" w:type="dxa"/>
            </w:tcMar>
          </w:tcPr>
          <w:p w14:paraId="3E1C4079" w14:textId="77777777" w:rsidR="00D1390C" w:rsidRPr="00D1390C" w:rsidRDefault="00D1390C" w:rsidP="00196B48">
            <w:pPr>
              <w:ind w:left="0" w:right="14"/>
              <w:jc w:val="center"/>
              <w:rPr>
                <w:rFonts w:ascii="Arial" w:hAnsi="Arial" w:cs="Arial"/>
              </w:rPr>
            </w:pPr>
            <w:r w:rsidRPr="00D1390C">
              <w:rPr>
                <w:rFonts w:ascii="Arial" w:hAnsi="Arial" w:cs="Arial"/>
                <w:color w:val="000000"/>
              </w:rPr>
              <w:t>Increase over 201</w:t>
            </w:r>
            <w:r w:rsidR="00196B48">
              <w:rPr>
                <w:rFonts w:ascii="Arial" w:hAnsi="Arial" w:cs="Arial"/>
                <w:color w:val="000000"/>
              </w:rPr>
              <w:t>6</w:t>
            </w:r>
            <w:r w:rsidRPr="00D1390C">
              <w:rPr>
                <w:rFonts w:ascii="Arial" w:hAnsi="Arial" w:cs="Arial"/>
                <w:color w:val="000000"/>
              </w:rPr>
              <w:t xml:space="preserve"> Fees</w:t>
            </w:r>
          </w:p>
        </w:tc>
      </w:tr>
      <w:tr w:rsidR="00D1390C" w:rsidRPr="00D1390C" w14:paraId="3E1C4081" w14:textId="77777777" w:rsidTr="00D1390C">
        <w:trPr>
          <w:cnfStyle w:val="000000010000" w:firstRow="0" w:lastRow="0" w:firstColumn="0" w:lastColumn="0" w:oddVBand="0" w:evenVBand="0" w:oddHBand="0" w:evenHBand="1" w:firstRowFirstColumn="0" w:firstRowLastColumn="0" w:lastRowFirstColumn="0" w:lastRowLastColumn="0"/>
          <w:trHeight w:val="272"/>
          <w:jc w:val="center"/>
        </w:trPr>
        <w:tc>
          <w:tcPr>
            <w:tcW w:w="1634" w:type="dxa"/>
            <w:tcBorders>
              <w:right w:val="single" w:sz="4" w:space="0" w:color="auto"/>
            </w:tcBorders>
            <w:tcMar>
              <w:top w:w="43" w:type="dxa"/>
              <w:left w:w="43" w:type="dxa"/>
              <w:bottom w:w="43" w:type="dxa"/>
              <w:right w:w="43" w:type="dxa"/>
            </w:tcMar>
          </w:tcPr>
          <w:p w14:paraId="3E1C407B" w14:textId="77777777" w:rsidR="00D1390C" w:rsidRPr="00D1390C" w:rsidRDefault="00D1390C" w:rsidP="00D1390C">
            <w:pPr>
              <w:ind w:left="0" w:right="14"/>
              <w:jc w:val="center"/>
              <w:rPr>
                <w:rFonts w:ascii="Arial" w:hAnsi="Arial" w:cs="Arial"/>
                <w:sz w:val="20"/>
                <w:szCs w:val="20"/>
              </w:rPr>
            </w:pPr>
            <w:r w:rsidRPr="00D1390C">
              <w:rPr>
                <w:rFonts w:ascii="Arial" w:hAnsi="Arial" w:cs="Arial"/>
                <w:sz w:val="20"/>
                <w:szCs w:val="20"/>
              </w:rPr>
              <w:t>Annual Base Fee</w:t>
            </w:r>
          </w:p>
        </w:tc>
        <w:tc>
          <w:tcPr>
            <w:tcW w:w="810" w:type="dxa"/>
            <w:tcBorders>
              <w:right w:val="single" w:sz="4" w:space="0" w:color="auto"/>
            </w:tcBorders>
            <w:tcMar>
              <w:top w:w="43" w:type="dxa"/>
              <w:left w:w="43" w:type="dxa"/>
              <w:bottom w:w="43" w:type="dxa"/>
              <w:right w:w="43" w:type="dxa"/>
            </w:tcMar>
          </w:tcPr>
          <w:p w14:paraId="3E1C407C" w14:textId="77777777" w:rsidR="00D1390C" w:rsidRPr="00D1390C" w:rsidRDefault="00D1390C" w:rsidP="00AB3619">
            <w:pPr>
              <w:ind w:left="47" w:right="14"/>
              <w:jc w:val="center"/>
            </w:pPr>
            <w:r w:rsidRPr="00D1390C">
              <w:t>$7,910</w:t>
            </w:r>
          </w:p>
        </w:tc>
        <w:tc>
          <w:tcPr>
            <w:tcW w:w="1890" w:type="dxa"/>
            <w:tcBorders>
              <w:right w:val="single" w:sz="4" w:space="0" w:color="auto"/>
            </w:tcBorders>
            <w:tcMar>
              <w:top w:w="43" w:type="dxa"/>
              <w:left w:w="43" w:type="dxa"/>
              <w:bottom w:w="43" w:type="dxa"/>
              <w:right w:w="43" w:type="dxa"/>
            </w:tcMar>
          </w:tcPr>
          <w:p w14:paraId="3E1C407D" w14:textId="77777777" w:rsidR="00D1390C" w:rsidRPr="00D1390C" w:rsidRDefault="00D1390C" w:rsidP="00AB3619">
            <w:pPr>
              <w:ind w:left="47" w:right="14"/>
              <w:jc w:val="center"/>
            </w:pPr>
            <w:r w:rsidRPr="00D1390C">
              <w:t>$7,946</w:t>
            </w:r>
          </w:p>
        </w:tc>
        <w:tc>
          <w:tcPr>
            <w:tcW w:w="1350" w:type="dxa"/>
            <w:tcBorders>
              <w:right w:val="single" w:sz="4" w:space="0" w:color="auto"/>
            </w:tcBorders>
            <w:tcMar>
              <w:top w:w="43" w:type="dxa"/>
              <w:left w:w="43" w:type="dxa"/>
              <w:bottom w:w="43" w:type="dxa"/>
              <w:right w:w="43" w:type="dxa"/>
            </w:tcMar>
          </w:tcPr>
          <w:p w14:paraId="3E1C407E" w14:textId="77777777" w:rsidR="00D1390C" w:rsidRPr="00D1390C" w:rsidRDefault="00D1390C" w:rsidP="00AB3619">
            <w:pPr>
              <w:ind w:left="47" w:right="14"/>
              <w:jc w:val="center"/>
            </w:pPr>
            <w:r w:rsidRPr="00D1390C">
              <w:t>$36</w:t>
            </w:r>
          </w:p>
        </w:tc>
        <w:tc>
          <w:tcPr>
            <w:tcW w:w="1890" w:type="dxa"/>
            <w:tcBorders>
              <w:right w:val="single" w:sz="4" w:space="0" w:color="auto"/>
            </w:tcBorders>
            <w:tcMar>
              <w:top w:w="43" w:type="dxa"/>
              <w:left w:w="43" w:type="dxa"/>
              <w:bottom w:w="43" w:type="dxa"/>
              <w:right w:w="43" w:type="dxa"/>
            </w:tcMar>
          </w:tcPr>
          <w:p w14:paraId="3E1C407F" w14:textId="01AC7175" w:rsidR="00D1390C" w:rsidRPr="00D1390C" w:rsidRDefault="00D1390C" w:rsidP="00196B48">
            <w:pPr>
              <w:ind w:left="47" w:right="14"/>
              <w:jc w:val="center"/>
            </w:pPr>
            <w:r w:rsidRPr="00D1390C">
              <w:t>$</w:t>
            </w:r>
            <w:r w:rsidR="00196B48">
              <w:t>8,010</w:t>
            </w:r>
          </w:p>
        </w:tc>
        <w:tc>
          <w:tcPr>
            <w:tcW w:w="1350" w:type="dxa"/>
            <w:tcBorders>
              <w:left w:val="single" w:sz="4" w:space="0" w:color="auto"/>
            </w:tcBorders>
            <w:tcMar>
              <w:top w:w="43" w:type="dxa"/>
              <w:left w:w="43" w:type="dxa"/>
              <w:bottom w:w="43" w:type="dxa"/>
              <w:right w:w="43" w:type="dxa"/>
            </w:tcMar>
          </w:tcPr>
          <w:p w14:paraId="3E1C4080" w14:textId="4F89430F" w:rsidR="00D1390C" w:rsidRPr="00D1390C" w:rsidRDefault="00D1390C">
            <w:pPr>
              <w:ind w:left="78" w:right="14"/>
              <w:jc w:val="center"/>
            </w:pPr>
            <w:r w:rsidRPr="00D1390C">
              <w:t>$</w:t>
            </w:r>
            <w:r w:rsidR="00196B48">
              <w:t>64</w:t>
            </w:r>
          </w:p>
        </w:tc>
      </w:tr>
      <w:tr w:rsidR="00D1390C" w:rsidRPr="00D1390C" w14:paraId="3E1C4088" w14:textId="77777777" w:rsidTr="00D1390C">
        <w:trPr>
          <w:cnfStyle w:val="000000100000" w:firstRow="0" w:lastRow="0" w:firstColumn="0" w:lastColumn="0" w:oddVBand="0" w:evenVBand="0" w:oddHBand="1" w:evenHBand="0" w:firstRowFirstColumn="0" w:firstRowLastColumn="0" w:lastRowFirstColumn="0" w:lastRowLastColumn="0"/>
          <w:trHeight w:val="272"/>
          <w:jc w:val="center"/>
        </w:trPr>
        <w:tc>
          <w:tcPr>
            <w:tcW w:w="1634" w:type="dxa"/>
            <w:tcBorders>
              <w:right w:val="single" w:sz="4" w:space="0" w:color="auto"/>
            </w:tcBorders>
            <w:tcMar>
              <w:top w:w="43" w:type="dxa"/>
              <w:left w:w="43" w:type="dxa"/>
              <w:bottom w:w="43" w:type="dxa"/>
              <w:right w:w="43" w:type="dxa"/>
            </w:tcMar>
          </w:tcPr>
          <w:p w14:paraId="3E1C4082" w14:textId="77777777" w:rsidR="00D1390C" w:rsidRPr="00D1390C" w:rsidRDefault="00D1390C" w:rsidP="00D1390C">
            <w:pPr>
              <w:ind w:left="0" w:right="14"/>
              <w:jc w:val="center"/>
              <w:rPr>
                <w:rFonts w:ascii="Arial" w:hAnsi="Arial" w:cs="Arial"/>
                <w:sz w:val="20"/>
                <w:szCs w:val="20"/>
              </w:rPr>
            </w:pPr>
            <w:r w:rsidRPr="00D1390C">
              <w:rPr>
                <w:rFonts w:ascii="Arial" w:hAnsi="Arial" w:cs="Arial"/>
                <w:color w:val="000000"/>
                <w:sz w:val="20"/>
                <w:szCs w:val="20"/>
              </w:rPr>
              <w:t>Emission Fee</w:t>
            </w:r>
          </w:p>
        </w:tc>
        <w:tc>
          <w:tcPr>
            <w:tcW w:w="810" w:type="dxa"/>
            <w:tcBorders>
              <w:right w:val="single" w:sz="4" w:space="0" w:color="auto"/>
            </w:tcBorders>
            <w:tcMar>
              <w:top w:w="43" w:type="dxa"/>
              <w:left w:w="43" w:type="dxa"/>
              <w:bottom w:w="43" w:type="dxa"/>
              <w:right w:w="43" w:type="dxa"/>
            </w:tcMar>
          </w:tcPr>
          <w:p w14:paraId="3E1C4083" w14:textId="77777777" w:rsidR="00D1390C" w:rsidRPr="00D1390C" w:rsidRDefault="00D1390C" w:rsidP="00AB3619">
            <w:pPr>
              <w:ind w:left="47" w:right="14"/>
              <w:jc w:val="center"/>
            </w:pPr>
            <w:r w:rsidRPr="00D1390C">
              <w:rPr>
                <w:color w:val="000000"/>
              </w:rPr>
              <w:t>$59.81</w:t>
            </w:r>
          </w:p>
        </w:tc>
        <w:tc>
          <w:tcPr>
            <w:tcW w:w="1890" w:type="dxa"/>
            <w:tcBorders>
              <w:right w:val="single" w:sz="4" w:space="0" w:color="auto"/>
            </w:tcBorders>
            <w:tcMar>
              <w:top w:w="43" w:type="dxa"/>
              <w:left w:w="43" w:type="dxa"/>
              <w:bottom w:w="43" w:type="dxa"/>
              <w:right w:w="43" w:type="dxa"/>
            </w:tcMar>
          </w:tcPr>
          <w:p w14:paraId="3E1C4084" w14:textId="77777777" w:rsidR="00D1390C" w:rsidRPr="00D1390C" w:rsidRDefault="00D1390C" w:rsidP="00AB3619">
            <w:pPr>
              <w:ind w:left="47" w:right="14"/>
              <w:jc w:val="center"/>
            </w:pPr>
            <w:r w:rsidRPr="00D1390C">
              <w:rPr>
                <w:color w:val="000000"/>
              </w:rPr>
              <w:t>$60.08</w:t>
            </w:r>
          </w:p>
        </w:tc>
        <w:tc>
          <w:tcPr>
            <w:tcW w:w="1350" w:type="dxa"/>
            <w:tcBorders>
              <w:right w:val="single" w:sz="4" w:space="0" w:color="auto"/>
            </w:tcBorders>
            <w:tcMar>
              <w:top w:w="43" w:type="dxa"/>
              <w:left w:w="43" w:type="dxa"/>
              <w:bottom w:w="43" w:type="dxa"/>
              <w:right w:w="43" w:type="dxa"/>
            </w:tcMar>
          </w:tcPr>
          <w:p w14:paraId="3E1C4085" w14:textId="77777777" w:rsidR="00D1390C" w:rsidRPr="00D1390C" w:rsidRDefault="00D1390C" w:rsidP="00AB3619">
            <w:pPr>
              <w:ind w:left="47" w:right="14"/>
              <w:jc w:val="center"/>
            </w:pPr>
            <w:r w:rsidRPr="00D1390C">
              <w:rPr>
                <w:color w:val="000000"/>
              </w:rPr>
              <w:t>$0.27</w:t>
            </w:r>
          </w:p>
        </w:tc>
        <w:tc>
          <w:tcPr>
            <w:tcW w:w="1890" w:type="dxa"/>
            <w:tcBorders>
              <w:right w:val="single" w:sz="4" w:space="0" w:color="auto"/>
            </w:tcBorders>
            <w:tcMar>
              <w:top w:w="43" w:type="dxa"/>
              <w:left w:w="43" w:type="dxa"/>
              <w:bottom w:w="43" w:type="dxa"/>
              <w:right w:w="43" w:type="dxa"/>
            </w:tcMar>
          </w:tcPr>
          <w:p w14:paraId="3E1C4086" w14:textId="760A9296" w:rsidR="00D1390C" w:rsidRPr="00D1390C" w:rsidRDefault="00D1390C" w:rsidP="00196B48">
            <w:pPr>
              <w:ind w:left="47" w:right="14"/>
              <w:jc w:val="center"/>
            </w:pPr>
            <w:r w:rsidRPr="00D1390C">
              <w:rPr>
                <w:color w:val="000000"/>
              </w:rPr>
              <w:t>$</w:t>
            </w:r>
            <w:r w:rsidR="00196B48">
              <w:rPr>
                <w:color w:val="000000"/>
              </w:rPr>
              <w:t>60.56</w:t>
            </w:r>
          </w:p>
        </w:tc>
        <w:tc>
          <w:tcPr>
            <w:tcW w:w="1350" w:type="dxa"/>
            <w:tcBorders>
              <w:left w:val="single" w:sz="4" w:space="0" w:color="auto"/>
              <w:bottom w:val="double" w:sz="6" w:space="0" w:color="auto"/>
            </w:tcBorders>
            <w:tcMar>
              <w:top w:w="43" w:type="dxa"/>
              <w:left w:w="43" w:type="dxa"/>
              <w:bottom w:w="43" w:type="dxa"/>
              <w:right w:w="43" w:type="dxa"/>
            </w:tcMar>
          </w:tcPr>
          <w:p w14:paraId="3E1C4087" w14:textId="0EA678C9" w:rsidR="00D1390C" w:rsidRPr="00D1390C" w:rsidRDefault="00D1390C" w:rsidP="00D1390C">
            <w:pPr>
              <w:ind w:left="78" w:right="14"/>
              <w:jc w:val="center"/>
            </w:pPr>
            <w:r w:rsidRPr="00D1390C">
              <w:rPr>
                <w:color w:val="000000"/>
              </w:rPr>
              <w:t>$0.</w:t>
            </w:r>
            <w:r w:rsidR="00196B48">
              <w:rPr>
                <w:color w:val="000000"/>
              </w:rPr>
              <w:t>48</w:t>
            </w:r>
          </w:p>
        </w:tc>
      </w:tr>
    </w:tbl>
    <w:p w14:paraId="3E1C4089" w14:textId="77777777" w:rsidR="00D1390C" w:rsidRPr="00D1390C" w:rsidRDefault="00D1390C" w:rsidP="00D1390C">
      <w:pPr>
        <w:ind w:left="810"/>
        <w:rPr>
          <w:color w:val="C45911"/>
        </w:rPr>
      </w:pPr>
      <w:r w:rsidRPr="00D1390C">
        <w:rPr>
          <w:vertAlign w:val="superscript"/>
        </w:rPr>
        <w:t xml:space="preserve">1 </w:t>
      </w:r>
      <w:r w:rsidRPr="00D1390C">
        <w:t>Fees based on an estimate of the 2016 consumer price index.</w:t>
      </w:r>
    </w:p>
    <w:p w14:paraId="3E1C408A" w14:textId="77777777" w:rsidR="00D1390C" w:rsidRPr="00D1390C" w:rsidRDefault="00D1390C" w:rsidP="00D1390C">
      <w:pPr>
        <w:ind w:left="1080" w:right="0"/>
        <w:jc w:val="both"/>
        <w:outlineLvl w:val="9"/>
        <w:rPr>
          <w:rFonts w:eastAsia="Times"/>
        </w:rPr>
      </w:pPr>
    </w:p>
    <w:p w14:paraId="3E1C408B" w14:textId="77777777" w:rsidR="00D1390C" w:rsidRPr="00D1390C" w:rsidRDefault="00D1390C" w:rsidP="00D1390C">
      <w:pPr>
        <w:spacing w:after="200" w:line="235" w:lineRule="auto"/>
        <w:ind w:left="1080" w:right="0"/>
        <w:jc w:val="both"/>
        <w:outlineLvl w:val="9"/>
        <w:rPr>
          <w:rFonts w:eastAsia="Times"/>
        </w:rPr>
      </w:pPr>
      <w:r w:rsidRPr="00D1390C">
        <w:rPr>
          <w:rFonts w:eastAsia="Times"/>
        </w:rPr>
        <w:t xml:space="preserve">The requirement for a Title V permit is based on quantity of emissions from a facility. In general, lower emitting sources with less complex permits would experience a smaller annual dollar impact from the proposed fee increases. The table below shows the effect of the proposed fees on invoices issued to sources emitting 50, 250, 500 or 5,000 tons per year. </w:t>
      </w:r>
    </w:p>
    <w:tbl>
      <w:tblPr>
        <w:tblStyle w:val="Rulemaking"/>
        <w:tblW w:w="0" w:type="auto"/>
        <w:jc w:val="center"/>
        <w:tblLayout w:type="fixed"/>
        <w:tblLook w:val="04A0" w:firstRow="1" w:lastRow="0" w:firstColumn="1" w:lastColumn="0" w:noHBand="0" w:noVBand="1"/>
      </w:tblPr>
      <w:tblGrid>
        <w:gridCol w:w="1518"/>
        <w:gridCol w:w="1170"/>
        <w:gridCol w:w="1952"/>
        <w:gridCol w:w="1108"/>
        <w:gridCol w:w="1542"/>
        <w:gridCol w:w="1704"/>
      </w:tblGrid>
      <w:tr w:rsidR="00D1390C" w:rsidRPr="00D1390C" w14:paraId="3E1C408D" w14:textId="77777777" w:rsidTr="00D1390C">
        <w:trPr>
          <w:cnfStyle w:val="100000000000" w:firstRow="1" w:lastRow="0" w:firstColumn="0" w:lastColumn="0" w:oddVBand="0" w:evenVBand="0" w:oddHBand="0" w:evenHBand="0" w:firstRowFirstColumn="0" w:firstRowLastColumn="0" w:lastRowFirstColumn="0" w:lastRowLastColumn="0"/>
          <w:trHeight w:val="406"/>
          <w:jc w:val="center"/>
        </w:trPr>
        <w:tc>
          <w:tcPr>
            <w:tcW w:w="8994" w:type="dxa"/>
            <w:gridSpan w:val="6"/>
          </w:tcPr>
          <w:p w14:paraId="3E1C408C" w14:textId="77777777" w:rsidR="00D1390C" w:rsidRPr="00D1390C" w:rsidRDefault="00D1390C" w:rsidP="00D1390C">
            <w:pPr>
              <w:ind w:right="630"/>
              <w:jc w:val="center"/>
              <w:rPr>
                <w:rFonts w:cs="Arial"/>
                <w:b/>
                <w:color w:val="FFFFFF"/>
                <w:sz w:val="26"/>
                <w:szCs w:val="26"/>
              </w:rPr>
            </w:pPr>
            <w:r w:rsidRPr="00D1390C">
              <w:rPr>
                <w:rFonts w:cs="Arial"/>
                <w:b/>
                <w:color w:val="FFFFFF"/>
                <w:sz w:val="26"/>
                <w:szCs w:val="26"/>
              </w:rPr>
              <w:t xml:space="preserve">Result of Proposed Fees by Quantity of Emissions </w:t>
            </w:r>
          </w:p>
        </w:tc>
      </w:tr>
      <w:tr w:rsidR="00D1390C" w:rsidRPr="00D1390C" w14:paraId="3E1C4098" w14:textId="77777777" w:rsidTr="00D1390C">
        <w:trPr>
          <w:cnfStyle w:val="000000100000" w:firstRow="0" w:lastRow="0" w:firstColumn="0" w:lastColumn="0" w:oddVBand="0" w:evenVBand="0" w:oddHBand="1" w:evenHBand="0" w:firstRowFirstColumn="0" w:firstRowLastColumn="0" w:lastRowFirstColumn="0" w:lastRowLastColumn="0"/>
          <w:trHeight w:val="540"/>
          <w:jc w:val="center"/>
        </w:trPr>
        <w:tc>
          <w:tcPr>
            <w:tcW w:w="1518" w:type="dxa"/>
            <w:tcBorders>
              <w:bottom w:val="single" w:sz="4" w:space="0" w:color="auto"/>
              <w:right w:val="single" w:sz="4" w:space="0" w:color="auto"/>
            </w:tcBorders>
          </w:tcPr>
          <w:p w14:paraId="3E1C408E" w14:textId="77777777" w:rsidR="00D1390C" w:rsidRPr="00D1390C" w:rsidRDefault="00D1390C" w:rsidP="00D1390C">
            <w:pPr>
              <w:ind w:left="0" w:right="0"/>
              <w:jc w:val="center"/>
              <w:rPr>
                <w:rFonts w:ascii="Arial" w:hAnsi="Arial" w:cs="Arial"/>
                <w:color w:val="000000"/>
              </w:rPr>
            </w:pPr>
            <w:r w:rsidRPr="00D1390C">
              <w:rPr>
                <w:rFonts w:ascii="Arial" w:hAnsi="Arial" w:cs="Arial"/>
                <w:color w:val="000000"/>
              </w:rPr>
              <w:t>Emissions per calendar year</w:t>
            </w:r>
          </w:p>
        </w:tc>
        <w:tc>
          <w:tcPr>
            <w:tcW w:w="1170" w:type="dxa"/>
            <w:tcBorders>
              <w:bottom w:val="single" w:sz="4" w:space="0" w:color="auto"/>
              <w:right w:val="single" w:sz="4" w:space="0" w:color="auto"/>
            </w:tcBorders>
          </w:tcPr>
          <w:p w14:paraId="3E1C408F" w14:textId="77777777" w:rsidR="00D1390C" w:rsidRPr="00D1390C" w:rsidRDefault="00D1390C" w:rsidP="00D1390C">
            <w:pPr>
              <w:ind w:left="0" w:right="0"/>
              <w:jc w:val="center"/>
              <w:rPr>
                <w:rFonts w:ascii="Arial" w:hAnsi="Arial" w:cs="Arial"/>
                <w:color w:val="000000"/>
              </w:rPr>
            </w:pPr>
          </w:p>
          <w:p w14:paraId="3E1C4090" w14:textId="77777777" w:rsidR="00D1390C" w:rsidRPr="00D1390C" w:rsidRDefault="00D1390C" w:rsidP="00D1390C">
            <w:pPr>
              <w:ind w:left="0" w:right="0"/>
              <w:jc w:val="center"/>
              <w:rPr>
                <w:rFonts w:ascii="Arial" w:hAnsi="Arial" w:cs="Arial"/>
                <w:color w:val="000000"/>
              </w:rPr>
            </w:pPr>
            <w:r w:rsidRPr="00D1390C">
              <w:rPr>
                <w:rFonts w:ascii="Arial" w:hAnsi="Arial" w:cs="Arial"/>
                <w:color w:val="000000"/>
              </w:rPr>
              <w:t>2015 Fees</w:t>
            </w:r>
          </w:p>
        </w:tc>
        <w:tc>
          <w:tcPr>
            <w:tcW w:w="1952" w:type="dxa"/>
            <w:tcBorders>
              <w:bottom w:val="single" w:sz="4" w:space="0" w:color="auto"/>
              <w:right w:val="single" w:sz="4" w:space="0" w:color="auto"/>
            </w:tcBorders>
          </w:tcPr>
          <w:p w14:paraId="3E1C4091" w14:textId="77777777" w:rsidR="00D1390C" w:rsidRPr="00D1390C" w:rsidRDefault="00D1390C" w:rsidP="00D1390C">
            <w:pPr>
              <w:ind w:left="0" w:right="0"/>
              <w:jc w:val="center"/>
              <w:rPr>
                <w:rFonts w:ascii="Arial" w:hAnsi="Arial" w:cs="Arial"/>
                <w:color w:val="000000"/>
              </w:rPr>
            </w:pPr>
            <w:r w:rsidRPr="00D1390C">
              <w:rPr>
                <w:rFonts w:ascii="Arial" w:hAnsi="Arial" w:cs="Arial"/>
                <w:color w:val="000000"/>
              </w:rPr>
              <w:t>Proposed 2016 Fees</w:t>
            </w:r>
          </w:p>
          <w:p w14:paraId="3E1C4092" w14:textId="77777777" w:rsidR="00D1390C" w:rsidRPr="00D1390C" w:rsidRDefault="00D1390C" w:rsidP="00D1390C">
            <w:pPr>
              <w:ind w:left="0" w:right="0"/>
              <w:jc w:val="center"/>
              <w:rPr>
                <w:rFonts w:ascii="Arial" w:hAnsi="Arial" w:cs="Arial"/>
                <w:color w:val="000000"/>
              </w:rPr>
            </w:pPr>
            <w:r w:rsidRPr="00D1390C">
              <w:rPr>
                <w:rFonts w:ascii="Arial" w:hAnsi="Arial" w:cs="Arial"/>
                <w:color w:val="000000"/>
              </w:rPr>
              <w:t>(to be invoiced)</w:t>
            </w:r>
          </w:p>
        </w:tc>
        <w:tc>
          <w:tcPr>
            <w:tcW w:w="1108" w:type="dxa"/>
            <w:tcBorders>
              <w:bottom w:val="single" w:sz="4" w:space="0" w:color="auto"/>
              <w:right w:val="single" w:sz="4" w:space="0" w:color="auto"/>
            </w:tcBorders>
          </w:tcPr>
          <w:p w14:paraId="3E1C4093" w14:textId="77777777" w:rsidR="00D1390C" w:rsidRPr="00D1390C" w:rsidRDefault="00D1390C" w:rsidP="00D1390C">
            <w:pPr>
              <w:ind w:left="0" w:right="0"/>
              <w:jc w:val="center"/>
              <w:rPr>
                <w:rFonts w:ascii="Arial" w:hAnsi="Arial" w:cs="Arial"/>
                <w:color w:val="000000"/>
              </w:rPr>
            </w:pPr>
          </w:p>
          <w:p w14:paraId="3E1C4094" w14:textId="77777777" w:rsidR="00D1390C" w:rsidRPr="00D1390C" w:rsidRDefault="00D1390C" w:rsidP="00D1390C">
            <w:pPr>
              <w:ind w:left="0" w:right="0"/>
              <w:jc w:val="center"/>
              <w:rPr>
                <w:rFonts w:ascii="Arial" w:hAnsi="Arial" w:cs="Arial"/>
                <w:color w:val="000000"/>
              </w:rPr>
            </w:pPr>
            <w:r w:rsidRPr="00D1390C">
              <w:rPr>
                <w:rFonts w:ascii="Arial" w:hAnsi="Arial" w:cs="Arial"/>
                <w:color w:val="000000"/>
              </w:rPr>
              <w:t>Increase in fees</w:t>
            </w:r>
          </w:p>
        </w:tc>
        <w:tc>
          <w:tcPr>
            <w:tcW w:w="1542" w:type="dxa"/>
            <w:tcBorders>
              <w:bottom w:val="single" w:sz="4" w:space="0" w:color="auto"/>
              <w:right w:val="single" w:sz="4" w:space="0" w:color="auto"/>
            </w:tcBorders>
          </w:tcPr>
          <w:p w14:paraId="3E1C4095" w14:textId="77777777" w:rsidR="00D1390C" w:rsidRPr="00D1390C" w:rsidRDefault="00D1390C" w:rsidP="00D1390C">
            <w:pPr>
              <w:ind w:left="0" w:right="0"/>
              <w:jc w:val="center"/>
              <w:rPr>
                <w:rFonts w:ascii="Arial" w:hAnsi="Arial" w:cs="Arial"/>
                <w:color w:val="000000"/>
              </w:rPr>
            </w:pPr>
            <w:r w:rsidRPr="00D1390C">
              <w:rPr>
                <w:rFonts w:ascii="Arial" w:hAnsi="Arial" w:cs="Arial"/>
                <w:color w:val="000000"/>
              </w:rPr>
              <w:t>Estimated 2017 Fees (est.)</w:t>
            </w:r>
          </w:p>
        </w:tc>
        <w:tc>
          <w:tcPr>
            <w:tcW w:w="1704" w:type="dxa"/>
            <w:tcBorders>
              <w:left w:val="single" w:sz="4" w:space="0" w:color="auto"/>
              <w:bottom w:val="single" w:sz="4" w:space="0" w:color="auto"/>
            </w:tcBorders>
          </w:tcPr>
          <w:p w14:paraId="3E1C4096" w14:textId="77777777" w:rsidR="00D1390C" w:rsidRPr="00D1390C" w:rsidRDefault="00D1390C" w:rsidP="00D1390C">
            <w:pPr>
              <w:ind w:left="0" w:right="0"/>
              <w:jc w:val="center"/>
              <w:rPr>
                <w:rFonts w:ascii="Arial" w:hAnsi="Arial" w:cs="Arial"/>
                <w:color w:val="000000"/>
              </w:rPr>
            </w:pPr>
          </w:p>
          <w:p w14:paraId="3E1C4097" w14:textId="77777777" w:rsidR="00D1390C" w:rsidRPr="00D1390C" w:rsidRDefault="00D1390C" w:rsidP="00D1390C">
            <w:pPr>
              <w:ind w:left="0" w:right="0"/>
              <w:jc w:val="center"/>
              <w:rPr>
                <w:rFonts w:ascii="Arial" w:hAnsi="Arial" w:cs="Arial"/>
                <w:color w:val="000000"/>
              </w:rPr>
            </w:pPr>
            <w:r w:rsidRPr="00D1390C">
              <w:rPr>
                <w:rFonts w:ascii="Arial" w:hAnsi="Arial" w:cs="Arial"/>
                <w:color w:val="000000"/>
              </w:rPr>
              <w:t>Increase in fees (est.)</w:t>
            </w:r>
          </w:p>
        </w:tc>
      </w:tr>
      <w:tr w:rsidR="00D1390C" w:rsidRPr="00D1390C" w14:paraId="3E1C409F" w14:textId="77777777" w:rsidTr="00D1390C">
        <w:trPr>
          <w:cnfStyle w:val="000000010000" w:firstRow="0" w:lastRow="0" w:firstColumn="0" w:lastColumn="0" w:oddVBand="0" w:evenVBand="0" w:oddHBand="0" w:evenHBand="1" w:firstRowFirstColumn="0" w:firstRowLastColumn="0" w:lastRowFirstColumn="0" w:lastRowLastColumn="0"/>
          <w:trHeight w:val="260"/>
          <w:jc w:val="center"/>
        </w:trPr>
        <w:tc>
          <w:tcPr>
            <w:tcW w:w="1518" w:type="dxa"/>
            <w:tcBorders>
              <w:top w:val="single" w:sz="4" w:space="0" w:color="auto"/>
              <w:right w:val="single" w:sz="4" w:space="0" w:color="auto"/>
            </w:tcBorders>
          </w:tcPr>
          <w:p w14:paraId="3E1C4099" w14:textId="77777777" w:rsidR="00D1390C" w:rsidRPr="00D1390C" w:rsidRDefault="00D1390C" w:rsidP="00D1390C">
            <w:pPr>
              <w:tabs>
                <w:tab w:val="left" w:pos="1854"/>
              </w:tabs>
              <w:ind w:left="9" w:right="0"/>
              <w:jc w:val="center"/>
              <w:rPr>
                <w:rFonts w:ascii="Arial" w:hAnsi="Arial" w:cs="Arial"/>
                <w:sz w:val="20"/>
                <w:szCs w:val="20"/>
              </w:rPr>
            </w:pPr>
            <w:r w:rsidRPr="00D1390C">
              <w:rPr>
                <w:rFonts w:ascii="Arial" w:hAnsi="Arial" w:cs="Arial"/>
                <w:sz w:val="20"/>
                <w:szCs w:val="20"/>
              </w:rPr>
              <w:t>50 tons/yr</w:t>
            </w:r>
          </w:p>
        </w:tc>
        <w:tc>
          <w:tcPr>
            <w:tcW w:w="1170" w:type="dxa"/>
            <w:tcBorders>
              <w:top w:val="single" w:sz="4" w:space="0" w:color="auto"/>
              <w:right w:val="single" w:sz="4" w:space="0" w:color="auto"/>
            </w:tcBorders>
          </w:tcPr>
          <w:p w14:paraId="3E1C409A" w14:textId="77777777" w:rsidR="00D1390C" w:rsidRPr="00D1390C" w:rsidRDefault="00D1390C" w:rsidP="00D1390C">
            <w:pPr>
              <w:ind w:left="9" w:right="0"/>
              <w:jc w:val="center"/>
            </w:pPr>
            <w:r w:rsidRPr="00D1390C">
              <w:t>$10,901</w:t>
            </w:r>
          </w:p>
        </w:tc>
        <w:tc>
          <w:tcPr>
            <w:tcW w:w="1952" w:type="dxa"/>
            <w:tcBorders>
              <w:top w:val="single" w:sz="4" w:space="0" w:color="auto"/>
              <w:right w:val="single" w:sz="4" w:space="0" w:color="auto"/>
            </w:tcBorders>
          </w:tcPr>
          <w:p w14:paraId="3E1C409B" w14:textId="77777777" w:rsidR="00D1390C" w:rsidRPr="00D1390C" w:rsidRDefault="00D1390C" w:rsidP="00D1390C">
            <w:pPr>
              <w:ind w:left="9" w:right="0"/>
              <w:jc w:val="center"/>
            </w:pPr>
            <w:r w:rsidRPr="00D1390C">
              <w:t>$10,950</w:t>
            </w:r>
          </w:p>
        </w:tc>
        <w:tc>
          <w:tcPr>
            <w:tcW w:w="1108" w:type="dxa"/>
            <w:tcBorders>
              <w:top w:val="single" w:sz="4" w:space="0" w:color="auto"/>
              <w:right w:val="single" w:sz="4" w:space="0" w:color="auto"/>
            </w:tcBorders>
          </w:tcPr>
          <w:p w14:paraId="3E1C409C" w14:textId="77777777" w:rsidR="00D1390C" w:rsidRPr="00D1390C" w:rsidRDefault="00D1390C" w:rsidP="00D1390C">
            <w:pPr>
              <w:ind w:left="9" w:right="0"/>
              <w:jc w:val="center"/>
            </w:pPr>
            <w:r w:rsidRPr="00D1390C">
              <w:t>$49</w:t>
            </w:r>
          </w:p>
        </w:tc>
        <w:tc>
          <w:tcPr>
            <w:tcW w:w="1542" w:type="dxa"/>
            <w:tcBorders>
              <w:top w:val="single" w:sz="4" w:space="0" w:color="auto"/>
              <w:right w:val="single" w:sz="4" w:space="0" w:color="auto"/>
            </w:tcBorders>
          </w:tcPr>
          <w:p w14:paraId="3E1C409D" w14:textId="237466E7" w:rsidR="00D1390C" w:rsidRPr="00D1390C" w:rsidRDefault="00D1390C">
            <w:pPr>
              <w:ind w:left="9" w:right="0"/>
              <w:jc w:val="center"/>
            </w:pPr>
            <w:r w:rsidRPr="00D1390C">
              <w:t>$11,0</w:t>
            </w:r>
            <w:r w:rsidR="00EA3ED5">
              <w:t>38</w:t>
            </w:r>
          </w:p>
        </w:tc>
        <w:tc>
          <w:tcPr>
            <w:tcW w:w="1704" w:type="dxa"/>
            <w:tcBorders>
              <w:top w:val="single" w:sz="4" w:space="0" w:color="auto"/>
              <w:left w:val="single" w:sz="4" w:space="0" w:color="auto"/>
            </w:tcBorders>
          </w:tcPr>
          <w:p w14:paraId="3E1C409E" w14:textId="439C6204" w:rsidR="00D1390C" w:rsidRPr="00D1390C" w:rsidRDefault="00D1390C" w:rsidP="00D1390C">
            <w:pPr>
              <w:ind w:left="9" w:right="0"/>
              <w:jc w:val="center"/>
            </w:pPr>
            <w:r w:rsidRPr="00D1390C">
              <w:t>$</w:t>
            </w:r>
            <w:r w:rsidR="00EA3ED5">
              <w:t>88</w:t>
            </w:r>
          </w:p>
        </w:tc>
      </w:tr>
      <w:tr w:rsidR="00D1390C" w:rsidRPr="00D1390C" w14:paraId="3E1C40A6" w14:textId="77777777" w:rsidTr="00D1390C">
        <w:trPr>
          <w:cnfStyle w:val="000000100000" w:firstRow="0" w:lastRow="0" w:firstColumn="0" w:lastColumn="0" w:oddVBand="0" w:evenVBand="0" w:oddHBand="1" w:evenHBand="0" w:firstRowFirstColumn="0" w:firstRowLastColumn="0" w:lastRowFirstColumn="0" w:lastRowLastColumn="0"/>
          <w:trHeight w:val="270"/>
          <w:jc w:val="center"/>
        </w:trPr>
        <w:tc>
          <w:tcPr>
            <w:tcW w:w="1518" w:type="dxa"/>
            <w:tcBorders>
              <w:right w:val="single" w:sz="4" w:space="0" w:color="auto"/>
            </w:tcBorders>
          </w:tcPr>
          <w:p w14:paraId="3E1C40A0" w14:textId="77777777" w:rsidR="00D1390C" w:rsidRPr="00D1390C" w:rsidRDefault="00D1390C" w:rsidP="00D1390C">
            <w:pPr>
              <w:tabs>
                <w:tab w:val="left" w:pos="1854"/>
              </w:tabs>
              <w:ind w:left="9" w:right="0"/>
              <w:jc w:val="center"/>
              <w:rPr>
                <w:rFonts w:ascii="Arial" w:hAnsi="Arial" w:cs="Arial"/>
                <w:color w:val="000000"/>
                <w:sz w:val="20"/>
                <w:szCs w:val="20"/>
              </w:rPr>
            </w:pPr>
            <w:r w:rsidRPr="00D1390C">
              <w:rPr>
                <w:rFonts w:ascii="Arial" w:hAnsi="Arial" w:cs="Arial"/>
                <w:color w:val="000000"/>
                <w:sz w:val="20"/>
                <w:szCs w:val="20"/>
              </w:rPr>
              <w:t>250 tons/yr</w:t>
            </w:r>
          </w:p>
        </w:tc>
        <w:tc>
          <w:tcPr>
            <w:tcW w:w="1170" w:type="dxa"/>
            <w:tcBorders>
              <w:right w:val="single" w:sz="4" w:space="0" w:color="auto"/>
            </w:tcBorders>
          </w:tcPr>
          <w:p w14:paraId="3E1C40A1" w14:textId="77777777" w:rsidR="00D1390C" w:rsidRPr="00D1390C" w:rsidRDefault="00D1390C" w:rsidP="00D1390C">
            <w:pPr>
              <w:ind w:left="9" w:right="0"/>
              <w:jc w:val="center"/>
              <w:rPr>
                <w:color w:val="000000"/>
              </w:rPr>
            </w:pPr>
            <w:r w:rsidRPr="00D1390C">
              <w:rPr>
                <w:color w:val="000000"/>
              </w:rPr>
              <w:t>$22,863</w:t>
            </w:r>
          </w:p>
        </w:tc>
        <w:tc>
          <w:tcPr>
            <w:tcW w:w="1952" w:type="dxa"/>
            <w:tcBorders>
              <w:right w:val="single" w:sz="4" w:space="0" w:color="auto"/>
            </w:tcBorders>
          </w:tcPr>
          <w:p w14:paraId="3E1C40A2" w14:textId="77777777" w:rsidR="00D1390C" w:rsidRPr="00D1390C" w:rsidRDefault="00D1390C" w:rsidP="00D1390C">
            <w:pPr>
              <w:ind w:left="9" w:right="0"/>
              <w:jc w:val="center"/>
              <w:rPr>
                <w:color w:val="000000"/>
              </w:rPr>
            </w:pPr>
            <w:r w:rsidRPr="00D1390C">
              <w:rPr>
                <w:color w:val="000000"/>
              </w:rPr>
              <w:t>$22,966</w:t>
            </w:r>
          </w:p>
        </w:tc>
        <w:tc>
          <w:tcPr>
            <w:tcW w:w="1108" w:type="dxa"/>
            <w:tcBorders>
              <w:right w:val="single" w:sz="4" w:space="0" w:color="auto"/>
            </w:tcBorders>
          </w:tcPr>
          <w:p w14:paraId="3E1C40A3" w14:textId="77777777" w:rsidR="00D1390C" w:rsidRPr="00D1390C" w:rsidRDefault="00D1390C" w:rsidP="00D1390C">
            <w:pPr>
              <w:ind w:left="9" w:right="0"/>
              <w:jc w:val="center"/>
            </w:pPr>
            <w:r w:rsidRPr="00D1390C">
              <w:t>$103</w:t>
            </w:r>
          </w:p>
        </w:tc>
        <w:tc>
          <w:tcPr>
            <w:tcW w:w="1542" w:type="dxa"/>
            <w:tcBorders>
              <w:right w:val="single" w:sz="4" w:space="0" w:color="auto"/>
            </w:tcBorders>
          </w:tcPr>
          <w:p w14:paraId="3E1C40A4" w14:textId="616912D6" w:rsidR="00D1390C" w:rsidRPr="00D1390C" w:rsidRDefault="00D1390C">
            <w:pPr>
              <w:ind w:left="9" w:right="0"/>
              <w:jc w:val="center"/>
            </w:pPr>
            <w:r w:rsidRPr="00D1390C">
              <w:t>$23,</w:t>
            </w:r>
            <w:r w:rsidR="00EA3ED5">
              <w:t>150</w:t>
            </w:r>
          </w:p>
        </w:tc>
        <w:tc>
          <w:tcPr>
            <w:tcW w:w="1704" w:type="dxa"/>
            <w:tcBorders>
              <w:left w:val="single" w:sz="4" w:space="0" w:color="auto"/>
            </w:tcBorders>
          </w:tcPr>
          <w:p w14:paraId="3E1C40A5" w14:textId="226FF7AC" w:rsidR="00D1390C" w:rsidRPr="00D1390C" w:rsidRDefault="00D1390C">
            <w:pPr>
              <w:ind w:left="9" w:right="0"/>
              <w:jc w:val="center"/>
            </w:pPr>
            <w:r w:rsidRPr="00D1390C">
              <w:t>$1</w:t>
            </w:r>
            <w:r w:rsidR="00EA3ED5">
              <w:t>84</w:t>
            </w:r>
          </w:p>
        </w:tc>
      </w:tr>
      <w:tr w:rsidR="00D1390C" w:rsidRPr="00D1390C" w14:paraId="3E1C40AD" w14:textId="77777777" w:rsidTr="00D1390C">
        <w:trPr>
          <w:cnfStyle w:val="000000010000" w:firstRow="0" w:lastRow="0" w:firstColumn="0" w:lastColumn="0" w:oddVBand="0" w:evenVBand="0" w:oddHBand="0" w:evenHBand="1" w:firstRowFirstColumn="0" w:firstRowLastColumn="0" w:lastRowFirstColumn="0" w:lastRowLastColumn="0"/>
          <w:trHeight w:val="270"/>
          <w:jc w:val="center"/>
        </w:trPr>
        <w:tc>
          <w:tcPr>
            <w:tcW w:w="1518" w:type="dxa"/>
            <w:tcBorders>
              <w:right w:val="single" w:sz="4" w:space="0" w:color="auto"/>
            </w:tcBorders>
          </w:tcPr>
          <w:p w14:paraId="3E1C40A7" w14:textId="77777777" w:rsidR="00D1390C" w:rsidRPr="00D1390C" w:rsidRDefault="00D1390C" w:rsidP="00D1390C">
            <w:pPr>
              <w:tabs>
                <w:tab w:val="left" w:pos="1854"/>
              </w:tabs>
              <w:ind w:left="9" w:right="0"/>
              <w:jc w:val="center"/>
              <w:rPr>
                <w:rFonts w:ascii="Arial" w:hAnsi="Arial" w:cs="Arial"/>
                <w:sz w:val="20"/>
                <w:szCs w:val="20"/>
              </w:rPr>
            </w:pPr>
            <w:r w:rsidRPr="00D1390C">
              <w:rPr>
                <w:rFonts w:ascii="Arial" w:hAnsi="Arial" w:cs="Arial"/>
                <w:sz w:val="20"/>
                <w:szCs w:val="20"/>
              </w:rPr>
              <w:t>500 tons/yr</w:t>
            </w:r>
          </w:p>
        </w:tc>
        <w:tc>
          <w:tcPr>
            <w:tcW w:w="1170" w:type="dxa"/>
            <w:tcBorders>
              <w:right w:val="single" w:sz="4" w:space="0" w:color="auto"/>
            </w:tcBorders>
          </w:tcPr>
          <w:p w14:paraId="3E1C40A8" w14:textId="77777777" w:rsidR="00D1390C" w:rsidRPr="00D1390C" w:rsidRDefault="00D1390C" w:rsidP="00D1390C">
            <w:pPr>
              <w:ind w:left="9" w:right="0"/>
              <w:jc w:val="center"/>
            </w:pPr>
            <w:r w:rsidRPr="00D1390C">
              <w:t>$37,815</w:t>
            </w:r>
          </w:p>
        </w:tc>
        <w:tc>
          <w:tcPr>
            <w:tcW w:w="1952" w:type="dxa"/>
            <w:tcBorders>
              <w:right w:val="single" w:sz="4" w:space="0" w:color="auto"/>
            </w:tcBorders>
          </w:tcPr>
          <w:p w14:paraId="3E1C40A9" w14:textId="77777777" w:rsidR="00D1390C" w:rsidRPr="00D1390C" w:rsidRDefault="00D1390C" w:rsidP="00D1390C">
            <w:pPr>
              <w:ind w:left="9" w:right="0"/>
              <w:jc w:val="center"/>
            </w:pPr>
            <w:r w:rsidRPr="00D1390C">
              <w:t>$37,986</w:t>
            </w:r>
          </w:p>
        </w:tc>
        <w:tc>
          <w:tcPr>
            <w:tcW w:w="1108" w:type="dxa"/>
            <w:tcBorders>
              <w:right w:val="single" w:sz="4" w:space="0" w:color="auto"/>
            </w:tcBorders>
          </w:tcPr>
          <w:p w14:paraId="3E1C40AA" w14:textId="77777777" w:rsidR="00D1390C" w:rsidRPr="00D1390C" w:rsidRDefault="00D1390C" w:rsidP="00D1390C">
            <w:pPr>
              <w:ind w:left="9" w:right="0"/>
              <w:jc w:val="center"/>
            </w:pPr>
            <w:r w:rsidRPr="00D1390C">
              <w:t>$171</w:t>
            </w:r>
          </w:p>
        </w:tc>
        <w:tc>
          <w:tcPr>
            <w:tcW w:w="1542" w:type="dxa"/>
            <w:tcBorders>
              <w:right w:val="single" w:sz="4" w:space="0" w:color="auto"/>
            </w:tcBorders>
          </w:tcPr>
          <w:p w14:paraId="3E1C40AB" w14:textId="3C7D4512" w:rsidR="00D1390C" w:rsidRPr="00D1390C" w:rsidRDefault="00D1390C">
            <w:pPr>
              <w:ind w:left="9" w:right="0"/>
              <w:jc w:val="center"/>
            </w:pPr>
            <w:r w:rsidRPr="00D1390C">
              <w:t>$38,</w:t>
            </w:r>
            <w:r w:rsidR="00EA3ED5">
              <w:t>290</w:t>
            </w:r>
          </w:p>
        </w:tc>
        <w:tc>
          <w:tcPr>
            <w:tcW w:w="1704" w:type="dxa"/>
            <w:tcBorders>
              <w:left w:val="single" w:sz="4" w:space="0" w:color="auto"/>
            </w:tcBorders>
          </w:tcPr>
          <w:p w14:paraId="3E1C40AC" w14:textId="32E9AE84" w:rsidR="00D1390C" w:rsidRPr="00D1390C" w:rsidRDefault="00D1390C" w:rsidP="00D1390C">
            <w:pPr>
              <w:ind w:left="9" w:right="0"/>
              <w:jc w:val="center"/>
            </w:pPr>
            <w:r w:rsidRPr="00D1390C">
              <w:t>$</w:t>
            </w:r>
            <w:r w:rsidR="00EA3ED5">
              <w:t>304</w:t>
            </w:r>
          </w:p>
        </w:tc>
      </w:tr>
      <w:tr w:rsidR="00D1390C" w:rsidRPr="00D1390C" w14:paraId="3E1C40B4" w14:textId="77777777" w:rsidTr="00D1390C">
        <w:trPr>
          <w:cnfStyle w:val="000000100000" w:firstRow="0" w:lastRow="0" w:firstColumn="0" w:lastColumn="0" w:oddVBand="0" w:evenVBand="0" w:oddHBand="1" w:evenHBand="0" w:firstRowFirstColumn="0" w:firstRowLastColumn="0" w:lastRowFirstColumn="0" w:lastRowLastColumn="0"/>
          <w:trHeight w:val="270"/>
          <w:jc w:val="center"/>
        </w:trPr>
        <w:tc>
          <w:tcPr>
            <w:tcW w:w="1518" w:type="dxa"/>
            <w:tcBorders>
              <w:right w:val="single" w:sz="4" w:space="0" w:color="auto"/>
            </w:tcBorders>
          </w:tcPr>
          <w:p w14:paraId="3E1C40AE" w14:textId="77777777" w:rsidR="00D1390C" w:rsidRPr="00D1390C" w:rsidRDefault="00D1390C" w:rsidP="00D1390C">
            <w:pPr>
              <w:tabs>
                <w:tab w:val="left" w:pos="1854"/>
              </w:tabs>
              <w:ind w:left="9" w:right="0"/>
              <w:jc w:val="center"/>
              <w:rPr>
                <w:rFonts w:ascii="Arial" w:hAnsi="Arial" w:cs="Arial"/>
                <w:color w:val="000000"/>
                <w:sz w:val="20"/>
                <w:szCs w:val="20"/>
              </w:rPr>
            </w:pPr>
            <w:r w:rsidRPr="00D1390C">
              <w:rPr>
                <w:rFonts w:ascii="Arial" w:hAnsi="Arial" w:cs="Arial"/>
                <w:color w:val="000000"/>
                <w:sz w:val="20"/>
                <w:szCs w:val="20"/>
              </w:rPr>
              <w:t>5,000 tons/yr</w:t>
            </w:r>
          </w:p>
        </w:tc>
        <w:tc>
          <w:tcPr>
            <w:tcW w:w="1170" w:type="dxa"/>
            <w:tcBorders>
              <w:right w:val="single" w:sz="4" w:space="0" w:color="auto"/>
            </w:tcBorders>
          </w:tcPr>
          <w:p w14:paraId="3E1C40AF" w14:textId="77777777" w:rsidR="00D1390C" w:rsidRPr="00D1390C" w:rsidRDefault="00D1390C" w:rsidP="00D1390C">
            <w:pPr>
              <w:ind w:left="9" w:right="0"/>
              <w:jc w:val="center"/>
              <w:rPr>
                <w:color w:val="000000"/>
              </w:rPr>
            </w:pPr>
            <w:r w:rsidRPr="00D1390C">
              <w:rPr>
                <w:color w:val="000000"/>
              </w:rPr>
              <w:t>$306,960</w:t>
            </w:r>
          </w:p>
        </w:tc>
        <w:tc>
          <w:tcPr>
            <w:tcW w:w="1952" w:type="dxa"/>
            <w:tcBorders>
              <w:right w:val="single" w:sz="4" w:space="0" w:color="auto"/>
            </w:tcBorders>
          </w:tcPr>
          <w:p w14:paraId="3E1C40B0" w14:textId="77777777" w:rsidR="00D1390C" w:rsidRPr="00D1390C" w:rsidRDefault="00D1390C" w:rsidP="00D1390C">
            <w:pPr>
              <w:ind w:left="9" w:right="0"/>
              <w:jc w:val="center"/>
              <w:rPr>
                <w:color w:val="000000"/>
              </w:rPr>
            </w:pPr>
            <w:r w:rsidRPr="00D1390C">
              <w:rPr>
                <w:color w:val="000000"/>
              </w:rPr>
              <w:t>$308,346</w:t>
            </w:r>
          </w:p>
        </w:tc>
        <w:tc>
          <w:tcPr>
            <w:tcW w:w="1108" w:type="dxa"/>
            <w:tcBorders>
              <w:right w:val="single" w:sz="4" w:space="0" w:color="auto"/>
            </w:tcBorders>
          </w:tcPr>
          <w:p w14:paraId="3E1C40B1" w14:textId="77777777" w:rsidR="00D1390C" w:rsidRPr="00D1390C" w:rsidRDefault="00D1390C" w:rsidP="00D1390C">
            <w:pPr>
              <w:ind w:left="9" w:right="0"/>
              <w:jc w:val="center"/>
            </w:pPr>
            <w:r w:rsidRPr="00D1390C">
              <w:t>$1,386</w:t>
            </w:r>
          </w:p>
        </w:tc>
        <w:tc>
          <w:tcPr>
            <w:tcW w:w="1542" w:type="dxa"/>
            <w:tcBorders>
              <w:right w:val="single" w:sz="4" w:space="0" w:color="auto"/>
            </w:tcBorders>
          </w:tcPr>
          <w:p w14:paraId="3E1C40B2" w14:textId="1DB065DF" w:rsidR="00D1390C" w:rsidRPr="00D1390C" w:rsidRDefault="00D1390C">
            <w:pPr>
              <w:ind w:left="9" w:right="0"/>
              <w:jc w:val="center"/>
            </w:pPr>
            <w:r w:rsidRPr="00D1390C">
              <w:t>$3</w:t>
            </w:r>
            <w:r w:rsidR="00EA3ED5">
              <w:t>10</w:t>
            </w:r>
            <w:r w:rsidRPr="00D1390C">
              <w:t>,8</w:t>
            </w:r>
            <w:r w:rsidR="00EA3ED5">
              <w:t>10</w:t>
            </w:r>
          </w:p>
        </w:tc>
        <w:tc>
          <w:tcPr>
            <w:tcW w:w="1704" w:type="dxa"/>
            <w:tcBorders>
              <w:left w:val="single" w:sz="4" w:space="0" w:color="auto"/>
              <w:bottom w:val="double" w:sz="6" w:space="0" w:color="auto"/>
            </w:tcBorders>
          </w:tcPr>
          <w:p w14:paraId="3E1C40B3" w14:textId="1340D5A2" w:rsidR="00D1390C" w:rsidRPr="00D1390C" w:rsidRDefault="00D1390C" w:rsidP="00D1390C">
            <w:pPr>
              <w:ind w:left="9" w:right="0"/>
              <w:jc w:val="center"/>
            </w:pPr>
            <w:r w:rsidRPr="00D1390C">
              <w:t>$</w:t>
            </w:r>
            <w:r w:rsidR="00EA3ED5">
              <w:t>2,464</w:t>
            </w:r>
          </w:p>
        </w:tc>
      </w:tr>
    </w:tbl>
    <w:p w14:paraId="3E1C40B5" w14:textId="77777777" w:rsidR="00D1390C" w:rsidRPr="00D1390C" w:rsidRDefault="00D1390C" w:rsidP="00D1390C">
      <w:pPr>
        <w:rPr>
          <w:color w:val="C45911"/>
        </w:rPr>
      </w:pPr>
      <w:r w:rsidRPr="00D1390C">
        <w:rPr>
          <w:vertAlign w:val="superscript"/>
        </w:rPr>
        <w:t xml:space="preserve">1 </w:t>
      </w:r>
      <w:r w:rsidRPr="00D1390C">
        <w:t>Fees based on an estimate of the 2016 consumer price index.</w:t>
      </w:r>
    </w:p>
    <w:p w14:paraId="3E1C40B6" w14:textId="77777777" w:rsidR="00D1390C" w:rsidRPr="00D1390C" w:rsidRDefault="00D1390C" w:rsidP="00D1390C">
      <w:pPr>
        <w:ind w:left="0"/>
        <w:rPr>
          <w:iCs/>
          <w:color w:val="1F4E79"/>
        </w:rPr>
      </w:pPr>
    </w:p>
    <w:p w14:paraId="3E1C40B7" w14:textId="77777777" w:rsidR="00D1390C" w:rsidRPr="00D1390C" w:rsidRDefault="00D1390C" w:rsidP="00D1390C">
      <w:pPr>
        <w:ind w:left="1080" w:right="0"/>
        <w:jc w:val="both"/>
        <w:outlineLvl w:val="9"/>
        <w:rPr>
          <w:rFonts w:eastAsia="Times"/>
        </w:rPr>
      </w:pPr>
      <w:r w:rsidRPr="00D1390C">
        <w:rPr>
          <w:rFonts w:eastAsia="Times"/>
          <w:iCs/>
          <w:u w:val="single"/>
        </w:rPr>
        <w:t>Indirect Impacts:</w:t>
      </w:r>
      <w:r w:rsidRPr="00D1390C">
        <w:rPr>
          <w:rFonts w:eastAsia="Times"/>
          <w:iCs/>
          <w:color w:val="1F4E79"/>
        </w:rPr>
        <w:t xml:space="preserve"> </w:t>
      </w:r>
      <w:r w:rsidRPr="00D1390C">
        <w:rPr>
          <w:rFonts w:eastAsia="Times"/>
          <w:iCs/>
        </w:rPr>
        <w:t>Changes to fees could affect businesses indirectly</w:t>
      </w:r>
      <w:r w:rsidRPr="00D1390C">
        <w:rPr>
          <w:rFonts w:eastAsia="Times"/>
        </w:rPr>
        <w:t xml:space="preserve"> if other businesses change the price of goods and services to offset any increased or decreased costs from paying a permit fee.</w:t>
      </w:r>
    </w:p>
    <w:p w14:paraId="3E1C40B8" w14:textId="77777777" w:rsidR="00D1390C" w:rsidRPr="00D1390C" w:rsidRDefault="00D1390C" w:rsidP="00D1390C">
      <w:pPr>
        <w:autoSpaceDE w:val="0"/>
        <w:autoSpaceDN w:val="0"/>
        <w:adjustRightInd w:val="0"/>
        <w:ind w:left="0" w:right="0"/>
        <w:outlineLvl w:val="9"/>
      </w:pPr>
      <w:r w:rsidRPr="00D1390C">
        <w:rPr>
          <w:rFonts w:ascii="Arial" w:hAnsi="Arial" w:cs="Arial"/>
          <w:b/>
          <w:bCs/>
          <w:color w:val="FFFFFF"/>
          <w:sz w:val="26"/>
          <w:szCs w:val="26"/>
        </w:rPr>
        <w:t xml:space="preserve">Proposed Title </w:t>
      </w:r>
    </w:p>
    <w:p w14:paraId="3E1C40B9" w14:textId="77777777" w:rsidR="00D1390C" w:rsidRPr="00D1390C" w:rsidRDefault="00D1390C" w:rsidP="00D1390C">
      <w:pPr>
        <w:numPr>
          <w:ilvl w:val="0"/>
          <w:numId w:val="12"/>
        </w:numPr>
        <w:spacing w:after="120"/>
        <w:ind w:left="1080" w:right="14"/>
        <w:contextualSpacing/>
        <w:rPr>
          <w:color w:val="000000"/>
        </w:rPr>
      </w:pPr>
      <w:r w:rsidRPr="00D1390C">
        <w:rPr>
          <w:color w:val="000000"/>
        </w:rPr>
        <w:t>Small businesses – businesses with 50 or fewer employees ORS 183.336</w:t>
      </w:r>
    </w:p>
    <w:p w14:paraId="3E1C40BA" w14:textId="3950757A" w:rsidR="00D1390C" w:rsidRPr="00D1390C" w:rsidRDefault="00D1390C" w:rsidP="00D1390C">
      <w:pPr>
        <w:ind w:left="1080" w:right="0"/>
        <w:jc w:val="both"/>
        <w:outlineLvl w:val="9"/>
        <w:rPr>
          <w:rFonts w:eastAsia="Times"/>
          <w:color w:val="1F4E79"/>
          <w:u w:val="single"/>
        </w:rPr>
      </w:pPr>
      <w:r w:rsidRPr="00D1390C">
        <w:rPr>
          <w:rFonts w:eastAsia="Times"/>
          <w:u w:val="single"/>
        </w:rPr>
        <w:t>Direct Impacts:</w:t>
      </w:r>
      <w:r w:rsidRPr="00D1390C">
        <w:rPr>
          <w:rFonts w:eastAsia="Times"/>
          <w:color w:val="1F4E79"/>
        </w:rPr>
        <w:t xml:space="preserve"> </w:t>
      </w:r>
      <w:r w:rsidRPr="00D1390C">
        <w:t>Most Title V permit holders are large businesses, but the requirement to hold a permit is based on potential emission levels rather than business size. Approximately 15 small businesses are required to hold Title V permits because their potential emissions exceed Title V applicability thresholds. None of the small businesses holding Title V permits emit more than 250 tons per year in a typical year. Businesses emitting 250 tons per year would experience a fee increase of $103 in 2016 over existing fees and an additional fee increase of $1</w:t>
      </w:r>
      <w:r w:rsidR="00EA3ED5">
        <w:t>84</w:t>
      </w:r>
      <w:r w:rsidRPr="00D1390C">
        <w:t xml:space="preserve"> in 2017 over 2016 fees. None of the small businesses are subject to greenhouse gas reporting fees.</w:t>
      </w:r>
      <w:r w:rsidRPr="00D1390C">
        <w:rPr>
          <w:sz w:val="20"/>
          <w:szCs w:val="20"/>
        </w:rPr>
        <w:t xml:space="preserve"> </w:t>
      </w:r>
    </w:p>
    <w:p w14:paraId="3E1C40BB" w14:textId="77777777" w:rsidR="00D1390C" w:rsidRPr="00D1390C" w:rsidRDefault="00D1390C" w:rsidP="00D1390C">
      <w:pPr>
        <w:ind w:left="1440"/>
        <w:rPr>
          <w:bCs/>
          <w:color w:val="000000"/>
        </w:rPr>
      </w:pPr>
    </w:p>
    <w:p w14:paraId="3E1C40BC" w14:textId="77777777" w:rsidR="00D1390C" w:rsidRPr="00D1390C" w:rsidRDefault="00D1390C" w:rsidP="00D1390C">
      <w:pPr>
        <w:ind w:left="1080"/>
      </w:pPr>
      <w:r w:rsidRPr="00D1390C">
        <w:rPr>
          <w:u w:val="single"/>
        </w:rPr>
        <w:t>Indirect Impacts:</w:t>
      </w:r>
      <w:r w:rsidRPr="00D1390C">
        <w:t xml:space="preserve"> Changes to fees could affect small businesses if other businesses holding Title</w:t>
      </w:r>
      <w:r w:rsidRPr="00D1390C">
        <w:rPr>
          <w:u w:val="single"/>
        </w:rPr>
        <w:t xml:space="preserve"> </w:t>
      </w:r>
      <w:r w:rsidRPr="00D1390C">
        <w:t>V permits change the price of goods and services to offset any increased costs from paying a</w:t>
      </w:r>
      <w:r w:rsidRPr="00D1390C">
        <w:rPr>
          <w:u w:val="single"/>
        </w:rPr>
        <w:t xml:space="preserve"> </w:t>
      </w:r>
      <w:r w:rsidRPr="00D1390C">
        <w:t>permit fee.</w:t>
      </w:r>
    </w:p>
    <w:p w14:paraId="3E1C40BD" w14:textId="77777777" w:rsidR="00D1390C" w:rsidRPr="00D1390C" w:rsidRDefault="00D1390C" w:rsidP="00D1390C">
      <w:pPr>
        <w:ind w:left="1080"/>
        <w:rPr>
          <w:u w:val="single"/>
        </w:rPr>
      </w:pPr>
    </w:p>
    <w:tbl>
      <w:tblPr>
        <w:tblStyle w:val="TableGrid"/>
        <w:tblW w:w="9270" w:type="dxa"/>
        <w:tblInd w:w="763" w:type="dxa"/>
        <w:tblBorders>
          <w:top w:val="double" w:sz="4" w:space="0" w:color="538135"/>
          <w:left w:val="double" w:sz="4" w:space="0" w:color="538135"/>
          <w:bottom w:val="double" w:sz="4" w:space="0" w:color="538135"/>
          <w:right w:val="double" w:sz="4" w:space="0" w:color="538135"/>
          <w:insideH w:val="double" w:sz="4" w:space="0" w:color="538135"/>
          <w:insideV w:val="double" w:sz="4" w:space="0" w:color="538135"/>
        </w:tblBorders>
        <w:tblLayout w:type="fixed"/>
        <w:tblCellMar>
          <w:top w:w="43" w:type="dxa"/>
          <w:left w:w="43" w:type="dxa"/>
          <w:bottom w:w="43" w:type="dxa"/>
          <w:right w:w="43" w:type="dxa"/>
        </w:tblCellMar>
        <w:tblLook w:val="04A0" w:firstRow="1" w:lastRow="0" w:firstColumn="1" w:lastColumn="0" w:noHBand="0" w:noVBand="1"/>
      </w:tblPr>
      <w:tblGrid>
        <w:gridCol w:w="4205"/>
        <w:gridCol w:w="5065"/>
      </w:tblGrid>
      <w:tr w:rsidR="00D1390C" w:rsidRPr="00D1390C" w14:paraId="3E1C40C1" w14:textId="77777777" w:rsidTr="00D1390C">
        <w:tc>
          <w:tcPr>
            <w:tcW w:w="4205" w:type="dxa"/>
            <w:vAlign w:val="center"/>
          </w:tcPr>
          <w:p w14:paraId="3E1C40BE" w14:textId="77777777" w:rsidR="00D1390C" w:rsidRPr="00D1390C" w:rsidRDefault="00D1390C" w:rsidP="00D1390C">
            <w:pPr>
              <w:ind w:left="0"/>
              <w:rPr>
                <w:rFonts w:ascii="Times New Roman" w:hAnsi="Times New Roman" w:cs="Times New Roman"/>
              </w:rPr>
            </w:pPr>
            <w:r w:rsidRPr="00D1390C">
              <w:rPr>
                <w:rFonts w:ascii="Times New Roman" w:hAnsi="Times New Roman" w:cs="Times New Roman"/>
                <w:bCs/>
              </w:rPr>
              <w:t xml:space="preserve">a. </w:t>
            </w:r>
            <w:r w:rsidRPr="00D1390C">
              <w:rPr>
                <w:rFonts w:ascii="Times New Roman" w:hAnsi="Times New Roman" w:cs="Times New Roman"/>
              </w:rPr>
              <w:t>Estimated number of small businesses and types of businesses and industries with small businesses subject to proposed rule.</w:t>
            </w:r>
          </w:p>
          <w:p w14:paraId="3E1C40BF" w14:textId="77777777" w:rsidR="00D1390C" w:rsidRPr="00D1390C" w:rsidRDefault="00D1390C" w:rsidP="00D1390C">
            <w:pPr>
              <w:rPr>
                <w:rFonts w:ascii="Times New Roman" w:hAnsi="Times New Roman" w:cs="Times New Roman"/>
              </w:rPr>
            </w:pPr>
            <w:r w:rsidRPr="00D1390C">
              <w:rPr>
                <w:rFonts w:ascii="Times New Roman" w:hAnsi="Times New Roman" w:cs="Times New Roman"/>
              </w:rPr>
              <w:tab/>
            </w:r>
          </w:p>
        </w:tc>
        <w:tc>
          <w:tcPr>
            <w:tcW w:w="5065" w:type="dxa"/>
            <w:vAlign w:val="center"/>
          </w:tcPr>
          <w:p w14:paraId="3E1C40C0" w14:textId="77777777" w:rsidR="00D1390C" w:rsidRPr="00D1390C" w:rsidRDefault="00D1390C" w:rsidP="00D1390C">
            <w:pPr>
              <w:autoSpaceDE w:val="0"/>
              <w:autoSpaceDN w:val="0"/>
              <w:adjustRightInd w:val="0"/>
              <w:ind w:left="0" w:right="0"/>
              <w:outlineLvl w:val="9"/>
              <w:rPr>
                <w:rFonts w:ascii="Times New Roman" w:hAnsi="Times New Roman" w:cs="Times New Roman"/>
              </w:rPr>
            </w:pPr>
            <w:r w:rsidRPr="00D1390C">
              <w:rPr>
                <w:rFonts w:ascii="Times New Roman" w:hAnsi="Times New Roman" w:cs="Times New Roman"/>
              </w:rPr>
              <w:t>DEQ estimates that approximately 13 percent of Title V permit holders (about 15 businesses) are small businesses with 50 or fewer employees, such as such as fiberglass reinforced plastic facilities and smaller wood refinishing operations.</w:t>
            </w:r>
          </w:p>
        </w:tc>
      </w:tr>
      <w:tr w:rsidR="00D1390C" w:rsidRPr="00D1390C" w14:paraId="3E1C40C5" w14:textId="77777777" w:rsidTr="00D1390C">
        <w:tc>
          <w:tcPr>
            <w:tcW w:w="4205" w:type="dxa"/>
            <w:vAlign w:val="center"/>
          </w:tcPr>
          <w:p w14:paraId="3E1C40C2" w14:textId="77777777" w:rsidR="00D1390C" w:rsidRPr="00D1390C" w:rsidRDefault="00D1390C" w:rsidP="00D1390C">
            <w:pPr>
              <w:ind w:left="0"/>
              <w:rPr>
                <w:rFonts w:ascii="Times New Roman" w:hAnsi="Times New Roman" w:cs="Times New Roman"/>
              </w:rPr>
            </w:pPr>
            <w:r w:rsidRPr="00D1390C">
              <w:rPr>
                <w:rFonts w:ascii="Times New Roman" w:hAnsi="Times New Roman" w:cs="Times New Roman"/>
                <w:bCs/>
              </w:rPr>
              <w:t>b.</w:t>
            </w:r>
            <w:r w:rsidRPr="00D1390C">
              <w:rPr>
                <w:rFonts w:ascii="Times New Roman" w:hAnsi="Times New Roman" w:cs="Times New Roman"/>
              </w:rPr>
              <w:t xml:space="preserve"> Projected reporting, recordkeeping and other administrative activities, including costs </w:t>
            </w:r>
            <w:r w:rsidRPr="00D1390C">
              <w:rPr>
                <w:rFonts w:ascii="Times New Roman" w:hAnsi="Times New Roman" w:cs="Times New Roman"/>
              </w:rPr>
              <w:lastRenderedPageBreak/>
              <w:t>of professional services, required for small businesses to comply with the proposed rule.</w:t>
            </w:r>
          </w:p>
        </w:tc>
        <w:tc>
          <w:tcPr>
            <w:tcW w:w="5065" w:type="dxa"/>
            <w:vAlign w:val="center"/>
          </w:tcPr>
          <w:p w14:paraId="3E1C40C3" w14:textId="77777777" w:rsidR="00D1390C" w:rsidRPr="00D1390C" w:rsidRDefault="00D1390C" w:rsidP="00D1390C">
            <w:pPr>
              <w:autoSpaceDE w:val="0"/>
              <w:autoSpaceDN w:val="0"/>
              <w:adjustRightInd w:val="0"/>
              <w:ind w:left="0" w:right="0"/>
              <w:outlineLvl w:val="9"/>
              <w:rPr>
                <w:rFonts w:ascii="Times New Roman" w:hAnsi="Times New Roman" w:cs="Times New Roman"/>
              </w:rPr>
            </w:pPr>
            <w:r w:rsidRPr="00D1390C">
              <w:rPr>
                <w:rFonts w:ascii="Times New Roman" w:hAnsi="Times New Roman" w:cs="Times New Roman"/>
              </w:rPr>
              <w:lastRenderedPageBreak/>
              <w:t xml:space="preserve">The proposed rule amendments do not establish any additional reporting, recordkeeping or other </w:t>
            </w:r>
            <w:r w:rsidRPr="00D1390C">
              <w:rPr>
                <w:rFonts w:ascii="Times New Roman" w:hAnsi="Times New Roman" w:cs="Times New Roman"/>
              </w:rPr>
              <w:lastRenderedPageBreak/>
              <w:t>administrative activities.</w:t>
            </w:r>
          </w:p>
          <w:p w14:paraId="3E1C40C4" w14:textId="77777777" w:rsidR="00D1390C" w:rsidRPr="00D1390C" w:rsidRDefault="00D1390C" w:rsidP="00D1390C">
            <w:pPr>
              <w:ind w:left="0"/>
              <w:rPr>
                <w:rFonts w:ascii="Times New Roman" w:hAnsi="Times New Roman" w:cs="Times New Roman"/>
                <w:color w:val="000000"/>
              </w:rPr>
            </w:pPr>
          </w:p>
        </w:tc>
      </w:tr>
      <w:tr w:rsidR="00D1390C" w:rsidRPr="00D1390C" w14:paraId="3E1C40C8" w14:textId="77777777" w:rsidTr="00D1390C">
        <w:tc>
          <w:tcPr>
            <w:tcW w:w="4205" w:type="dxa"/>
            <w:vAlign w:val="center"/>
          </w:tcPr>
          <w:p w14:paraId="3E1C40C6" w14:textId="77777777" w:rsidR="00D1390C" w:rsidRPr="00D1390C" w:rsidRDefault="00D1390C" w:rsidP="00D1390C">
            <w:pPr>
              <w:ind w:left="0"/>
              <w:rPr>
                <w:rFonts w:ascii="Times New Roman" w:hAnsi="Times New Roman" w:cs="Times New Roman"/>
              </w:rPr>
            </w:pPr>
            <w:r w:rsidRPr="00D1390C">
              <w:rPr>
                <w:rFonts w:ascii="Times New Roman" w:hAnsi="Times New Roman" w:cs="Times New Roman"/>
                <w:bCs/>
              </w:rPr>
              <w:lastRenderedPageBreak/>
              <w:t>c.</w:t>
            </w:r>
            <w:r w:rsidRPr="00D1390C">
              <w:rPr>
                <w:rFonts w:ascii="Times New Roman" w:hAnsi="Times New Roman" w:cs="Times New Roman"/>
              </w:rPr>
              <w:t xml:space="preserve"> Projected equipment, supplies, labor and increased administration required for small businesses to comply with the proposed rule.</w:t>
            </w:r>
          </w:p>
        </w:tc>
        <w:tc>
          <w:tcPr>
            <w:tcW w:w="5065" w:type="dxa"/>
            <w:vAlign w:val="center"/>
          </w:tcPr>
          <w:p w14:paraId="3E1C40C7" w14:textId="77777777" w:rsidR="00D1390C" w:rsidRPr="00D1390C" w:rsidRDefault="00D1390C" w:rsidP="00D1390C">
            <w:pPr>
              <w:autoSpaceDE w:val="0"/>
              <w:autoSpaceDN w:val="0"/>
              <w:adjustRightInd w:val="0"/>
              <w:ind w:left="0" w:right="0"/>
              <w:outlineLvl w:val="9"/>
              <w:rPr>
                <w:rFonts w:ascii="Times New Roman" w:hAnsi="Times New Roman" w:cs="Times New Roman"/>
              </w:rPr>
            </w:pPr>
            <w:r w:rsidRPr="00D1390C">
              <w:rPr>
                <w:rFonts w:ascii="Times New Roman" w:hAnsi="Times New Roman" w:cs="Times New Roman"/>
              </w:rPr>
              <w:t>The proposed rule amendments do not require any additional equipment, supplies, labor or increased administration.</w:t>
            </w:r>
          </w:p>
        </w:tc>
      </w:tr>
      <w:tr w:rsidR="00D1390C" w:rsidRPr="00D1390C" w14:paraId="3E1C40CB" w14:textId="77777777" w:rsidTr="00D1390C">
        <w:trPr>
          <w:trHeight w:val="638"/>
        </w:trPr>
        <w:tc>
          <w:tcPr>
            <w:tcW w:w="4205" w:type="dxa"/>
            <w:vAlign w:val="center"/>
          </w:tcPr>
          <w:p w14:paraId="3E1C40C9" w14:textId="77777777" w:rsidR="00D1390C" w:rsidRPr="00D1390C" w:rsidRDefault="00D1390C" w:rsidP="00D1390C">
            <w:pPr>
              <w:ind w:left="0"/>
              <w:rPr>
                <w:rFonts w:ascii="Times New Roman" w:hAnsi="Times New Roman" w:cs="Times New Roman"/>
              </w:rPr>
            </w:pPr>
            <w:r w:rsidRPr="00D1390C">
              <w:rPr>
                <w:rFonts w:ascii="Times New Roman" w:hAnsi="Times New Roman" w:cs="Times New Roman"/>
                <w:bCs/>
              </w:rPr>
              <w:t>d.</w:t>
            </w:r>
            <w:r w:rsidRPr="00D1390C">
              <w:rPr>
                <w:rFonts w:ascii="Times New Roman" w:hAnsi="Times New Roman" w:cs="Times New Roman"/>
              </w:rPr>
              <w:t xml:space="preserve"> Describe how DEQ involved small businesses in developing this proposed rule.</w:t>
            </w:r>
          </w:p>
        </w:tc>
        <w:tc>
          <w:tcPr>
            <w:tcW w:w="5065" w:type="dxa"/>
            <w:vAlign w:val="center"/>
          </w:tcPr>
          <w:p w14:paraId="3E1C40CA" w14:textId="77777777" w:rsidR="00D1390C" w:rsidRPr="00D1390C" w:rsidRDefault="00D1390C" w:rsidP="00D1390C">
            <w:pPr>
              <w:autoSpaceDE w:val="0"/>
              <w:autoSpaceDN w:val="0"/>
              <w:adjustRightInd w:val="0"/>
              <w:ind w:left="0" w:right="0"/>
              <w:outlineLvl w:val="9"/>
              <w:rPr>
                <w:rFonts w:ascii="Times New Roman" w:hAnsi="Times New Roman" w:cs="Times New Roman"/>
              </w:rPr>
            </w:pPr>
            <w:r w:rsidRPr="00D1390C">
              <w:rPr>
                <w:rFonts w:ascii="Times New Roman" w:hAnsi="Times New Roman" w:cs="Times New Roman"/>
              </w:rPr>
              <w:t>DEQ provided notice of the proposed rules to all Title V permit holders, including those that are small businesses.</w:t>
            </w:r>
          </w:p>
        </w:tc>
      </w:tr>
    </w:tbl>
    <w:p w14:paraId="3E1C40CC"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Documents relied on for fiscal and economic impact</w:t>
      </w:r>
    </w:p>
    <w:tbl>
      <w:tblPr>
        <w:tblStyle w:val="TableGrid"/>
        <w:tblW w:w="9270" w:type="dxa"/>
        <w:tblInd w:w="828" w:type="dxa"/>
        <w:tblLayout w:type="fixed"/>
        <w:tblLook w:val="04A0" w:firstRow="1" w:lastRow="0" w:firstColumn="1" w:lastColumn="0" w:noHBand="0" w:noVBand="1"/>
      </w:tblPr>
      <w:tblGrid>
        <w:gridCol w:w="4320"/>
        <w:gridCol w:w="4950"/>
      </w:tblGrid>
      <w:tr w:rsidR="00D1390C" w:rsidRPr="00D1390C" w14:paraId="3E1C40CF" w14:textId="77777777" w:rsidTr="00D1390C">
        <w:trPr>
          <w:trHeight w:val="294"/>
        </w:trPr>
        <w:tc>
          <w:tcPr>
            <w:tcW w:w="4320" w:type="dxa"/>
            <w:tcBorders>
              <w:top w:val="double" w:sz="4" w:space="0" w:color="auto"/>
              <w:left w:val="double" w:sz="4" w:space="0" w:color="auto"/>
            </w:tcBorders>
            <w:shd w:val="clear" w:color="auto" w:fill="008272"/>
            <w:vAlign w:val="center"/>
          </w:tcPr>
          <w:p w14:paraId="3E1C40CD" w14:textId="77777777" w:rsidR="00D1390C" w:rsidRPr="00D1390C" w:rsidRDefault="00D1390C" w:rsidP="00D1390C">
            <w:pPr>
              <w:ind w:left="0" w:right="630"/>
              <w:rPr>
                <w:rFonts w:ascii="Times New Roman" w:hAnsi="Times New Roman" w:cs="Times New Roman"/>
                <w:color w:val="FFFFFF"/>
                <w:sz w:val="24"/>
                <w:szCs w:val="24"/>
              </w:rPr>
            </w:pPr>
            <w:r w:rsidRPr="00D1390C">
              <w:rPr>
                <w:rFonts w:ascii="Arial" w:hAnsi="Arial" w:cs="Arial"/>
                <w:b/>
                <w:color w:val="FFFFFF"/>
                <w:sz w:val="24"/>
                <w:szCs w:val="24"/>
              </w:rPr>
              <w:t>Document title</w:t>
            </w:r>
          </w:p>
        </w:tc>
        <w:tc>
          <w:tcPr>
            <w:tcW w:w="4950" w:type="dxa"/>
            <w:tcBorders>
              <w:top w:val="double" w:sz="4" w:space="0" w:color="auto"/>
              <w:right w:val="double" w:sz="4" w:space="0" w:color="auto"/>
            </w:tcBorders>
            <w:shd w:val="clear" w:color="auto" w:fill="008272"/>
            <w:vAlign w:val="center"/>
          </w:tcPr>
          <w:p w14:paraId="3E1C40CE" w14:textId="77777777" w:rsidR="00D1390C" w:rsidRPr="00D1390C" w:rsidRDefault="00D1390C" w:rsidP="00D1390C">
            <w:pPr>
              <w:ind w:left="0" w:right="630"/>
              <w:rPr>
                <w:rFonts w:ascii="Times New Roman" w:hAnsi="Times New Roman" w:cs="Times New Roman"/>
                <w:sz w:val="24"/>
                <w:szCs w:val="24"/>
              </w:rPr>
            </w:pPr>
            <w:r w:rsidRPr="00D1390C">
              <w:rPr>
                <w:rFonts w:ascii="Arial" w:hAnsi="Arial" w:cs="Arial"/>
                <w:b/>
                <w:color w:val="FFFFFF"/>
                <w:sz w:val="24"/>
                <w:szCs w:val="24"/>
              </w:rPr>
              <w:t>Document location</w:t>
            </w:r>
          </w:p>
        </w:tc>
      </w:tr>
      <w:tr w:rsidR="00D1390C" w:rsidRPr="00D1390C" w14:paraId="3E1C40D2" w14:textId="77777777" w:rsidTr="00D1390C">
        <w:trPr>
          <w:trHeight w:val="296"/>
        </w:trPr>
        <w:tc>
          <w:tcPr>
            <w:tcW w:w="4320" w:type="dxa"/>
            <w:tcBorders>
              <w:left w:val="double" w:sz="4" w:space="0" w:color="auto"/>
            </w:tcBorders>
            <w:vAlign w:val="center"/>
          </w:tcPr>
          <w:p w14:paraId="3E1C40D0" w14:textId="77777777" w:rsidR="00D1390C" w:rsidRPr="00D1390C" w:rsidRDefault="00D1390C" w:rsidP="00D1390C">
            <w:pPr>
              <w:ind w:left="-18"/>
              <w:rPr>
                <w:rFonts w:ascii="Arial" w:hAnsi="Arial" w:cs="Arial"/>
                <w:bCs/>
                <w:vanish/>
                <w:color w:val="000000"/>
                <w:sz w:val="24"/>
              </w:rPr>
            </w:pPr>
            <w:r w:rsidRPr="00D1390C">
              <w:rPr>
                <w:rFonts w:ascii="Arial" w:hAnsi="Arial" w:cs="Arial"/>
              </w:rPr>
              <w:t>2015-2017 Legislatively approved budget</w:t>
            </w:r>
          </w:p>
        </w:tc>
        <w:tc>
          <w:tcPr>
            <w:tcW w:w="4950" w:type="dxa"/>
            <w:tcBorders>
              <w:right w:val="double" w:sz="4" w:space="0" w:color="auto"/>
            </w:tcBorders>
            <w:vAlign w:val="center"/>
          </w:tcPr>
          <w:p w14:paraId="3E1C40D1" w14:textId="77777777" w:rsidR="00D1390C" w:rsidRPr="00D1390C" w:rsidRDefault="007642FC" w:rsidP="00D1390C">
            <w:pPr>
              <w:ind w:left="0"/>
              <w:rPr>
                <w:rFonts w:ascii="Times New Roman" w:hAnsi="Times New Roman" w:cs="Times New Roman"/>
                <w:color w:val="000000"/>
                <w:sz w:val="24"/>
                <w:szCs w:val="24"/>
              </w:rPr>
            </w:pPr>
            <w:hyperlink r:id="rId18" w:history="1">
              <w:r w:rsidR="00D1390C" w:rsidRPr="00D1390C">
                <w:rPr>
                  <w:rFonts w:ascii="Times New Roman" w:hAnsi="Times New Roman" w:cs="Times New Roman"/>
                  <w:color w:val="0563C1"/>
                  <w:sz w:val="24"/>
                  <w:szCs w:val="24"/>
                  <w:u w:val="single"/>
                </w:rPr>
                <w:t>DEQ Website</w:t>
              </w:r>
            </w:hyperlink>
          </w:p>
        </w:tc>
      </w:tr>
      <w:tr w:rsidR="00D1390C" w:rsidRPr="00D1390C" w14:paraId="3E1C40D6" w14:textId="77777777" w:rsidTr="00D1390C">
        <w:trPr>
          <w:trHeight w:val="530"/>
        </w:trPr>
        <w:tc>
          <w:tcPr>
            <w:tcW w:w="4320" w:type="dxa"/>
            <w:tcBorders>
              <w:left w:val="double" w:sz="4" w:space="0" w:color="auto"/>
            </w:tcBorders>
            <w:vAlign w:val="center"/>
          </w:tcPr>
          <w:p w14:paraId="3E1C40D3" w14:textId="77777777" w:rsidR="00D1390C" w:rsidRPr="00D1390C" w:rsidRDefault="00D1390C" w:rsidP="00D1390C">
            <w:pPr>
              <w:autoSpaceDE w:val="0"/>
              <w:autoSpaceDN w:val="0"/>
              <w:adjustRightInd w:val="0"/>
              <w:ind w:left="0" w:right="0"/>
              <w:outlineLvl w:val="9"/>
              <w:rPr>
                <w:rFonts w:ascii="Arial" w:hAnsi="Arial" w:cs="Arial"/>
              </w:rPr>
            </w:pPr>
            <w:r w:rsidRPr="00D1390C">
              <w:rPr>
                <w:rFonts w:ascii="Arial" w:hAnsi="Arial" w:cs="Arial"/>
              </w:rPr>
              <w:t>Clean Air Act, including Clean Air Act</w:t>
            </w:r>
          </w:p>
          <w:p w14:paraId="3E1C40D4" w14:textId="77777777" w:rsidR="00D1390C" w:rsidRPr="00D1390C" w:rsidRDefault="00D1390C" w:rsidP="00D1390C">
            <w:pPr>
              <w:ind w:left="0"/>
              <w:rPr>
                <w:rFonts w:ascii="Arial" w:hAnsi="Arial" w:cs="Arial"/>
              </w:rPr>
            </w:pPr>
            <w:r w:rsidRPr="00D1390C">
              <w:rPr>
                <w:rFonts w:ascii="Arial" w:hAnsi="Arial" w:cs="Arial"/>
              </w:rPr>
              <w:t>Amendments of 1990</w:t>
            </w:r>
          </w:p>
        </w:tc>
        <w:tc>
          <w:tcPr>
            <w:tcW w:w="4950" w:type="dxa"/>
            <w:tcBorders>
              <w:right w:val="double" w:sz="4" w:space="0" w:color="auto"/>
            </w:tcBorders>
            <w:vAlign w:val="center"/>
          </w:tcPr>
          <w:p w14:paraId="3E1C40D5" w14:textId="77777777" w:rsidR="00D1390C" w:rsidRPr="00D1390C" w:rsidRDefault="007642FC" w:rsidP="00D1390C">
            <w:pPr>
              <w:ind w:left="0"/>
              <w:rPr>
                <w:rFonts w:ascii="Times New Roman" w:hAnsi="Times New Roman" w:cs="Times New Roman"/>
                <w:color w:val="000000"/>
                <w:sz w:val="24"/>
                <w:szCs w:val="24"/>
              </w:rPr>
            </w:pPr>
            <w:hyperlink r:id="rId19" w:history="1">
              <w:r w:rsidR="00D1390C" w:rsidRPr="00D1390C">
                <w:rPr>
                  <w:rFonts w:ascii="Times New Roman" w:hAnsi="Times New Roman" w:cs="Times New Roman"/>
                  <w:color w:val="0563C1"/>
                  <w:sz w:val="24"/>
                  <w:szCs w:val="24"/>
                  <w:u w:val="single"/>
                </w:rPr>
                <w:t>EPA Website</w:t>
              </w:r>
            </w:hyperlink>
          </w:p>
        </w:tc>
      </w:tr>
      <w:tr w:rsidR="00D1390C" w:rsidRPr="00D1390C" w14:paraId="3E1C40D9" w14:textId="77777777" w:rsidTr="00D1390C">
        <w:trPr>
          <w:trHeight w:val="530"/>
        </w:trPr>
        <w:tc>
          <w:tcPr>
            <w:tcW w:w="4320" w:type="dxa"/>
            <w:tcBorders>
              <w:left w:val="double" w:sz="4" w:space="0" w:color="auto"/>
              <w:bottom w:val="double" w:sz="4" w:space="0" w:color="auto"/>
            </w:tcBorders>
            <w:vAlign w:val="center"/>
          </w:tcPr>
          <w:p w14:paraId="3E1C40D7" w14:textId="77777777" w:rsidR="00D1390C" w:rsidRPr="00D1390C" w:rsidRDefault="00D1390C" w:rsidP="00D1390C">
            <w:pPr>
              <w:autoSpaceDE w:val="0"/>
              <w:autoSpaceDN w:val="0"/>
              <w:adjustRightInd w:val="0"/>
              <w:ind w:left="0" w:right="0"/>
              <w:outlineLvl w:val="9"/>
              <w:rPr>
                <w:rFonts w:ascii="Arial" w:hAnsi="Arial" w:cs="Arial"/>
              </w:rPr>
            </w:pPr>
            <w:r w:rsidRPr="00D1390C">
              <w:rPr>
                <w:rFonts w:ascii="Arial" w:hAnsi="Arial" w:cs="Arial"/>
              </w:rPr>
              <w:t>U.S. Department of Labor, Bureau of Labor Statistics, Consumer Price Index</w:t>
            </w:r>
          </w:p>
        </w:tc>
        <w:tc>
          <w:tcPr>
            <w:tcW w:w="4950" w:type="dxa"/>
            <w:tcBorders>
              <w:bottom w:val="double" w:sz="4" w:space="0" w:color="auto"/>
              <w:right w:val="double" w:sz="4" w:space="0" w:color="auto"/>
            </w:tcBorders>
            <w:vAlign w:val="center"/>
          </w:tcPr>
          <w:p w14:paraId="3E1C40D8" w14:textId="77777777" w:rsidR="00D1390C" w:rsidRPr="00D1390C" w:rsidRDefault="007642FC" w:rsidP="00D1390C">
            <w:pPr>
              <w:ind w:left="0"/>
              <w:rPr>
                <w:rFonts w:ascii="Times New Roman" w:hAnsi="Times New Roman" w:cs="Times New Roman"/>
                <w:sz w:val="24"/>
                <w:szCs w:val="24"/>
              </w:rPr>
            </w:pPr>
            <w:hyperlink r:id="rId20" w:history="1">
              <w:r w:rsidR="00D1390C" w:rsidRPr="00D1390C">
                <w:rPr>
                  <w:rFonts w:ascii="Times New Roman" w:hAnsi="Times New Roman" w:cs="Times New Roman"/>
                  <w:color w:val="0563C1"/>
                  <w:sz w:val="24"/>
                  <w:szCs w:val="24"/>
                  <w:u w:val="single"/>
                </w:rPr>
                <w:t>Bureau of Labor Statistics Website</w:t>
              </w:r>
            </w:hyperlink>
          </w:p>
        </w:tc>
      </w:tr>
    </w:tbl>
    <w:p w14:paraId="3E1C40DA"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bCs/>
          <w:color w:val="3B3838"/>
          <w:sz w:val="22"/>
          <w:szCs w:val="26"/>
        </w:rPr>
        <w:t xml:space="preserve"> </w:t>
      </w:r>
      <w:r w:rsidRPr="00D1390C">
        <w:rPr>
          <w:rFonts w:ascii="Arial" w:hAnsi="Arial" w:cs="Arial"/>
          <w:bCs/>
          <w:color w:val="504938"/>
          <w:sz w:val="22"/>
          <w:szCs w:val="22"/>
        </w:rPr>
        <w:t>Advisory committee</w:t>
      </w:r>
    </w:p>
    <w:p w14:paraId="3E1C40DB" w14:textId="77777777" w:rsidR="00D1390C" w:rsidRPr="00D1390C" w:rsidRDefault="00D1390C" w:rsidP="00D1390C">
      <w:pPr>
        <w:rPr>
          <w:rFonts w:ascii="Arial" w:hAnsi="Arial" w:cs="Arial"/>
          <w:color w:val="C45911"/>
        </w:rPr>
      </w:pPr>
      <w:r w:rsidRPr="00D1390C">
        <w:t>DEQ did not appoint an advisory committee for the proposed rules because federal law and Oregon statute authorize the fee increases.</w:t>
      </w:r>
    </w:p>
    <w:p w14:paraId="3E1C40DC"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 xml:space="preserve">Housing cost  </w:t>
      </w:r>
    </w:p>
    <w:p w14:paraId="3E1C40DD" w14:textId="77777777" w:rsidR="00D1390C" w:rsidRPr="00D1390C" w:rsidRDefault="00D1390C" w:rsidP="00D1390C">
      <w:r w:rsidRPr="00D1390C">
        <w:t>To comply with ORS 183.534, DEQ determined the proposed rules may have an effect on the development cost of a 6,000-square-foot parcel and construction of a 1,200-square-foot detached, single-family dwelling on that parcel. It is possible that a permit holder could change the price of goods and services to pass on any fee changes to consumers, though any estimate of the possible impact would be speculative using information available at this time.</w:t>
      </w:r>
    </w:p>
    <w:p w14:paraId="3E1C40DE"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Request for other options</w:t>
      </w:r>
    </w:p>
    <w:p w14:paraId="3E1C40DF" w14:textId="77777777" w:rsidR="00D1390C" w:rsidRPr="00D1390C" w:rsidRDefault="00D1390C" w:rsidP="00D1390C">
      <w:r w:rsidRPr="00D1390C">
        <w:t>During the public comment period, DEQ request</w:t>
      </w:r>
      <w:r>
        <w:t>ed</w:t>
      </w:r>
      <w:r w:rsidRPr="00D1390C">
        <w:t xml:space="preserve"> public comment on whether to consider other options for achieving the rule’s substantive goals while reducing negative economic impact of the rule on business.</w:t>
      </w:r>
    </w:p>
    <w:p w14:paraId="3E1C40E0" w14:textId="77777777" w:rsidR="00377FA3" w:rsidRPr="00377FA3" w:rsidRDefault="00377FA3" w:rsidP="00377FA3">
      <w:pPr>
        <w:sectPr w:rsidR="00377FA3" w:rsidRPr="00377FA3" w:rsidSect="00EB0734">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E1C40E2" w14:textId="77777777" w:rsidTr="00EB0734">
        <w:trPr>
          <w:trHeight w:val="603"/>
        </w:trPr>
        <w:tc>
          <w:tcPr>
            <w:tcW w:w="12335" w:type="dxa"/>
            <w:shd w:val="clear" w:color="auto" w:fill="D0CECE" w:themeFill="background2" w:themeFillShade="E6"/>
            <w:noWrap/>
            <w:vAlign w:val="bottom"/>
            <w:hideMark/>
          </w:tcPr>
          <w:p w14:paraId="3E1C40E1" w14:textId="77777777" w:rsidR="00377FA3" w:rsidRPr="00377FA3" w:rsidRDefault="00377FA3" w:rsidP="00EB0734">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Federal relationship</w:t>
            </w:r>
          </w:p>
        </w:tc>
      </w:tr>
    </w:tbl>
    <w:p w14:paraId="3E1C40E3" w14:textId="77777777" w:rsidR="00377FA3" w:rsidRPr="00377FA3" w:rsidRDefault="00377FA3" w:rsidP="00377FA3"/>
    <w:p w14:paraId="3E1C40E4" w14:textId="77777777" w:rsidR="00D1390C" w:rsidRPr="00D1390C" w:rsidRDefault="00D1390C" w:rsidP="00D1390C">
      <w:pPr>
        <w:spacing w:after="120"/>
        <w:ind w:left="180"/>
        <w:rPr>
          <w:bCs/>
          <w:color w:val="BF8F00"/>
        </w:rPr>
      </w:pPr>
      <w:r w:rsidRPr="00D1390C">
        <w:rPr>
          <w:bCs/>
          <w:i/>
          <w:color w:val="504938"/>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Pr="00D1390C">
        <w:rPr>
          <w:i/>
          <w:iCs/>
          <w:color w:val="BF8F00"/>
        </w:rPr>
        <w:t xml:space="preserve"> </w:t>
      </w:r>
      <w:r w:rsidRPr="00D1390C">
        <w:t>ORS 183.332</w:t>
      </w:r>
    </w:p>
    <w:p w14:paraId="3E1C40E5"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Relationship to federal requirements</w:t>
      </w:r>
    </w:p>
    <w:p w14:paraId="3E1C40E6" w14:textId="77777777" w:rsidR="00D1390C" w:rsidRPr="00D1390C" w:rsidRDefault="00D1390C" w:rsidP="00D1390C">
      <w:pPr>
        <w:ind w:right="14"/>
        <w:rPr>
          <w:rFonts w:ascii="Arial" w:hAnsi="Arial" w:cs="Arial"/>
          <w:bCs/>
          <w:color w:val="BF8F00"/>
          <w:sz w:val="22"/>
          <w:szCs w:val="22"/>
        </w:rPr>
      </w:pPr>
      <w:r w:rsidRPr="00D1390C">
        <w:rPr>
          <w:color w:val="000000"/>
        </w:rPr>
        <w:t xml:space="preserve">This section complies with OAR 340-011-0029 and ORS 468A.327 to clearly identify the relationship between the proposed rules and applicable federal requirements. </w:t>
      </w:r>
    </w:p>
    <w:p w14:paraId="3E1C40E7" w14:textId="77777777" w:rsidR="00D1390C" w:rsidRPr="00D1390C" w:rsidRDefault="00D1390C" w:rsidP="00D1390C">
      <w:pPr>
        <w:ind w:left="0"/>
        <w:rPr>
          <w:bCs/>
          <w:color w:val="385623"/>
        </w:rPr>
      </w:pPr>
    </w:p>
    <w:p w14:paraId="3E1C40E8" w14:textId="77777777" w:rsidR="00D1390C" w:rsidRPr="00D1390C" w:rsidRDefault="00D1390C" w:rsidP="00D1390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pPr>
      <w:r w:rsidRPr="00D1390C">
        <w:rPr>
          <w:spacing w:val="-3"/>
        </w:rPr>
        <w:t xml:space="preserve">The proposed rulemaking is not different from, or in addition to, applicable federal requirements and impose stringency equivalent to federal requirements. The proposed rules implement federal requirements of the Clean Air Act and EPA rules (40 CFR Part 70) that </w:t>
      </w:r>
      <w:r w:rsidRPr="00D1390C">
        <w:t xml:space="preserve">Oregon’s Title V operating permit program be fully funded through permit fees. </w:t>
      </w:r>
      <w:bookmarkStart w:id="8" w:name="AlternativesConsidered"/>
      <w:bookmarkStart w:id="9" w:name="RANGE!C35"/>
    </w:p>
    <w:p w14:paraId="3E1C40E9"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What alternatives did DEQ consider</w:t>
      </w:r>
      <w:bookmarkEnd w:id="8"/>
      <w:r w:rsidRPr="00D1390C">
        <w:rPr>
          <w:rFonts w:ascii="Arial" w:hAnsi="Arial" w:cs="Arial"/>
          <w:bCs/>
          <w:color w:val="504938"/>
          <w:sz w:val="22"/>
          <w:szCs w:val="22"/>
        </w:rPr>
        <w:t xml:space="preserve"> if any?</w:t>
      </w:r>
      <w:bookmarkEnd w:id="9"/>
      <w:r w:rsidRPr="00D1390C">
        <w:rPr>
          <w:rFonts w:ascii="Arial" w:hAnsi="Arial" w:cs="Arial"/>
          <w:bCs/>
          <w:color w:val="504938"/>
          <w:sz w:val="22"/>
          <w:szCs w:val="22"/>
        </w:rPr>
        <w:t xml:space="preserve"> </w:t>
      </w:r>
    </w:p>
    <w:p w14:paraId="3E1C40EA" w14:textId="77777777" w:rsidR="00D1390C" w:rsidRPr="00D1390C" w:rsidRDefault="00D1390C" w:rsidP="00D1390C">
      <w:pPr>
        <w:rPr>
          <w:color w:val="000000"/>
        </w:rPr>
      </w:pPr>
      <w:r w:rsidRPr="00D1390C">
        <w:rPr>
          <w:color w:val="000000"/>
        </w:rPr>
        <w:t>During the public comment period, DEQ reque</w:t>
      </w:r>
      <w:r>
        <w:rPr>
          <w:color w:val="000000"/>
        </w:rPr>
        <w:t>sted</w:t>
      </w:r>
      <w:r w:rsidRPr="00D1390C">
        <w:rPr>
          <w:color w:val="000000"/>
        </w:rPr>
        <w:t xml:space="preserve"> public comment on whether to consider other options for achieving the rule's substantive goals while reducing negative economic impact of the rule on business. Federal law requires DEQ to perform requisite program services to retain delegation of the Title V program. Federal law also requires DEQ to fund the permit program entirely by permit fees. DEQ could decline to administer the program, shifting the program from DEQ to EPA; however, DEQ has chosen not to pursue this alternative to maintain regulatory consistency for the regulated public and citizens of Oregon. </w:t>
      </w:r>
    </w:p>
    <w:p w14:paraId="3E1C40EB" w14:textId="77777777" w:rsidR="00377FA3" w:rsidRPr="00377FA3" w:rsidRDefault="00377FA3" w:rsidP="00377FA3"/>
    <w:p w14:paraId="3E1C40EC" w14:textId="77777777" w:rsidR="00377FA3" w:rsidRPr="00377FA3" w:rsidRDefault="00377FA3" w:rsidP="00377FA3">
      <w:pPr>
        <w:sectPr w:rsidR="00377FA3" w:rsidRPr="00377FA3" w:rsidSect="00EB0734">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E1C40EE" w14:textId="77777777" w:rsidTr="00EB0734">
        <w:trPr>
          <w:trHeight w:val="603"/>
        </w:trPr>
        <w:tc>
          <w:tcPr>
            <w:tcW w:w="12335" w:type="dxa"/>
            <w:shd w:val="clear" w:color="auto" w:fill="D0CECE" w:themeFill="background2" w:themeFillShade="E6"/>
            <w:noWrap/>
            <w:vAlign w:val="bottom"/>
            <w:hideMark/>
          </w:tcPr>
          <w:p w14:paraId="3E1C40ED" w14:textId="77777777" w:rsidR="00377FA3" w:rsidRPr="00377FA3" w:rsidRDefault="00377FA3" w:rsidP="00EB0734">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Land Use</w:t>
            </w:r>
          </w:p>
        </w:tc>
      </w:tr>
    </w:tbl>
    <w:p w14:paraId="3E1C40EF" w14:textId="77777777" w:rsidR="00377FA3" w:rsidRPr="00377FA3" w:rsidRDefault="00377FA3" w:rsidP="00377FA3"/>
    <w:p w14:paraId="3E1C40F0" w14:textId="77777777" w:rsidR="00D1390C" w:rsidRPr="00D1390C" w:rsidRDefault="00D1390C" w:rsidP="00D1390C">
      <w:pPr>
        <w:ind w:left="360"/>
        <w:rPr>
          <w:color w:val="504938"/>
          <w:sz w:val="16"/>
          <w:szCs w:val="16"/>
          <w:u w:val="single"/>
        </w:rPr>
      </w:pPr>
      <w:r w:rsidRPr="00D1390C">
        <w:rPr>
          <w:i/>
          <w:iCs/>
          <w:color w:val="1D1D1D"/>
        </w:rPr>
        <w:t>“It is the Commission's policy to coordinate the Department's programs, rules and actions that affect land use with local acknowledged plans to the fullest degree possible.”</w:t>
      </w:r>
      <w:r w:rsidRPr="00D1390C">
        <w:rPr>
          <w:i/>
          <w:iCs/>
          <w:color w:val="1D1D1D"/>
        </w:rPr>
        <w:tab/>
        <w:t xml:space="preserve"> </w:t>
      </w:r>
      <w:r w:rsidRPr="00D1390C">
        <w:t>OAR 340-018-0010</w:t>
      </w:r>
    </w:p>
    <w:p w14:paraId="3E1C40F1"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Land-use considerations</w:t>
      </w:r>
    </w:p>
    <w:p w14:paraId="3E1C40F2" w14:textId="77777777" w:rsidR="00D1390C" w:rsidRPr="00D1390C" w:rsidRDefault="00D1390C" w:rsidP="00D1390C">
      <w:pPr>
        <w:spacing w:after="120"/>
        <w:ind w:left="810"/>
        <w:rPr>
          <w:color w:val="000000"/>
        </w:rPr>
      </w:pPr>
      <w:r w:rsidRPr="00D1390C">
        <w:rPr>
          <w:color w:val="000000"/>
        </w:rPr>
        <w:t xml:space="preserve">To determine whether the proposed rules involve programs or actions that are considered a </w:t>
      </w:r>
      <w:r w:rsidRPr="00D1390C">
        <w:rPr>
          <w:i/>
          <w:iCs/>
          <w:color w:val="000000"/>
        </w:rPr>
        <w:t>land-use action</w:t>
      </w:r>
      <w:r w:rsidRPr="00D1390C">
        <w:rPr>
          <w:color w:val="000000"/>
        </w:rPr>
        <w:t>, DEQ considered:</w:t>
      </w:r>
    </w:p>
    <w:p w14:paraId="3E1C40F3" w14:textId="77777777" w:rsidR="00D1390C" w:rsidRPr="00D1390C" w:rsidRDefault="00D1390C" w:rsidP="00D1390C">
      <w:pPr>
        <w:numPr>
          <w:ilvl w:val="0"/>
          <w:numId w:val="14"/>
        </w:numPr>
        <w:ind w:left="1440"/>
        <w:contextualSpacing/>
        <w:outlineLvl w:val="9"/>
        <w:rPr>
          <w:color w:val="000000"/>
        </w:rPr>
      </w:pPr>
      <w:r w:rsidRPr="00D1390C">
        <w:rPr>
          <w:color w:val="000000"/>
        </w:rPr>
        <w:t>Statewide planning goals for specific references. Section III, subsection 2 of the DEQ State Agency Coordination Program document identifies the following statewide goal relating to DEQ's authority:</w:t>
      </w:r>
    </w:p>
    <w:p w14:paraId="3E1C40F4" w14:textId="77777777" w:rsidR="00D1390C" w:rsidRPr="00D1390C" w:rsidRDefault="00D1390C" w:rsidP="00D1390C">
      <w:pPr>
        <w:ind w:left="450"/>
        <w:rPr>
          <w:rFonts w:ascii="Cambria" w:hAnsi="Cambria"/>
          <w:color w:val="000000"/>
        </w:rPr>
      </w:pPr>
    </w:p>
    <w:p w14:paraId="3E1C40F5" w14:textId="77777777" w:rsidR="00D1390C" w:rsidRPr="00D1390C" w:rsidRDefault="00D1390C" w:rsidP="00D1390C">
      <w:pPr>
        <w:ind w:left="1440"/>
        <w:rPr>
          <w:b/>
          <w:color w:val="000000"/>
        </w:rPr>
      </w:pPr>
      <w:r w:rsidRPr="00D1390C">
        <w:rPr>
          <w:b/>
          <w:color w:val="000000"/>
        </w:rPr>
        <w:tab/>
        <w:t>Goal</w:t>
      </w:r>
      <w:r w:rsidRPr="00D1390C">
        <w:rPr>
          <w:b/>
          <w:color w:val="000000"/>
        </w:rPr>
        <w:tab/>
      </w:r>
      <w:r w:rsidRPr="00D1390C">
        <w:rPr>
          <w:b/>
          <w:color w:val="000000"/>
        </w:rPr>
        <w:tab/>
        <w:t>Title</w:t>
      </w:r>
    </w:p>
    <w:p w14:paraId="3E1C40F6" w14:textId="77777777" w:rsidR="00D1390C" w:rsidRPr="00D1390C" w:rsidRDefault="00D1390C" w:rsidP="00D1390C">
      <w:pPr>
        <w:ind w:left="1800"/>
        <w:rPr>
          <w:color w:val="000000"/>
        </w:rPr>
      </w:pPr>
      <w:r w:rsidRPr="00D1390C">
        <w:rPr>
          <w:color w:val="000000"/>
        </w:rPr>
        <w:t xml:space="preserve">5 </w:t>
      </w:r>
      <w:r w:rsidRPr="00D1390C">
        <w:rPr>
          <w:color w:val="000000"/>
        </w:rPr>
        <w:tab/>
      </w:r>
      <w:r w:rsidRPr="00D1390C">
        <w:rPr>
          <w:color w:val="000000"/>
        </w:rPr>
        <w:tab/>
      </w:r>
      <w:r w:rsidRPr="00D1390C">
        <w:rPr>
          <w:color w:val="000000"/>
        </w:rPr>
        <w:tab/>
        <w:t>Open Spaces, Scenic and Historic Areas, and Natural Resources</w:t>
      </w:r>
    </w:p>
    <w:p w14:paraId="3E1C40F7" w14:textId="77777777" w:rsidR="00D1390C" w:rsidRPr="00D1390C" w:rsidRDefault="00D1390C" w:rsidP="00D1390C">
      <w:pPr>
        <w:ind w:left="1800"/>
        <w:rPr>
          <w:color w:val="000000"/>
        </w:rPr>
      </w:pPr>
      <w:r w:rsidRPr="00D1390C">
        <w:rPr>
          <w:color w:val="000000"/>
        </w:rPr>
        <w:t xml:space="preserve">6 </w:t>
      </w:r>
      <w:r w:rsidRPr="00D1390C">
        <w:rPr>
          <w:color w:val="000000"/>
        </w:rPr>
        <w:tab/>
      </w:r>
      <w:r w:rsidRPr="00D1390C">
        <w:rPr>
          <w:color w:val="000000"/>
        </w:rPr>
        <w:tab/>
      </w:r>
      <w:r w:rsidRPr="00D1390C">
        <w:rPr>
          <w:color w:val="000000"/>
        </w:rPr>
        <w:tab/>
        <w:t>Air, Water and Land Resources Quality</w:t>
      </w:r>
    </w:p>
    <w:p w14:paraId="3E1C40F8" w14:textId="77777777" w:rsidR="00D1390C" w:rsidRPr="00D1390C" w:rsidRDefault="00D1390C" w:rsidP="00D1390C">
      <w:pPr>
        <w:ind w:left="1800"/>
        <w:rPr>
          <w:color w:val="000000"/>
        </w:rPr>
      </w:pPr>
      <w:r w:rsidRPr="00D1390C">
        <w:rPr>
          <w:color w:val="000000"/>
        </w:rPr>
        <w:t xml:space="preserve">11 </w:t>
      </w:r>
      <w:r w:rsidRPr="00D1390C">
        <w:rPr>
          <w:color w:val="000000"/>
        </w:rPr>
        <w:tab/>
      </w:r>
      <w:r w:rsidRPr="00D1390C">
        <w:rPr>
          <w:color w:val="000000"/>
        </w:rPr>
        <w:tab/>
      </w:r>
      <w:r w:rsidRPr="00D1390C">
        <w:rPr>
          <w:color w:val="000000"/>
        </w:rPr>
        <w:tab/>
        <w:t>Public Facilities and Services</w:t>
      </w:r>
    </w:p>
    <w:p w14:paraId="3E1C40F9" w14:textId="77777777" w:rsidR="00D1390C" w:rsidRPr="00D1390C" w:rsidRDefault="00D1390C" w:rsidP="00D1390C">
      <w:pPr>
        <w:ind w:left="1800"/>
        <w:rPr>
          <w:color w:val="000000"/>
        </w:rPr>
      </w:pPr>
      <w:r w:rsidRPr="00D1390C">
        <w:rPr>
          <w:color w:val="000000"/>
        </w:rPr>
        <w:t>16</w:t>
      </w:r>
      <w:r w:rsidRPr="00D1390C">
        <w:rPr>
          <w:color w:val="000000"/>
        </w:rPr>
        <w:tab/>
      </w:r>
      <w:r w:rsidRPr="00D1390C">
        <w:rPr>
          <w:color w:val="000000"/>
        </w:rPr>
        <w:tab/>
      </w:r>
      <w:r w:rsidRPr="00D1390C">
        <w:rPr>
          <w:color w:val="000000"/>
        </w:rPr>
        <w:tab/>
        <w:t>Estuarial resources</w:t>
      </w:r>
    </w:p>
    <w:p w14:paraId="3E1C40FA" w14:textId="77777777" w:rsidR="00D1390C" w:rsidRPr="00D1390C" w:rsidRDefault="00D1390C" w:rsidP="00D1390C">
      <w:pPr>
        <w:ind w:left="1800"/>
        <w:rPr>
          <w:color w:val="000000"/>
        </w:rPr>
      </w:pPr>
      <w:r w:rsidRPr="00D1390C">
        <w:rPr>
          <w:color w:val="000000"/>
        </w:rPr>
        <w:t>19</w:t>
      </w:r>
      <w:r w:rsidRPr="00D1390C">
        <w:rPr>
          <w:color w:val="000000"/>
        </w:rPr>
        <w:tab/>
      </w:r>
      <w:r w:rsidRPr="00D1390C">
        <w:rPr>
          <w:color w:val="000000"/>
        </w:rPr>
        <w:tab/>
      </w:r>
      <w:r w:rsidRPr="00D1390C">
        <w:rPr>
          <w:color w:val="000000"/>
        </w:rPr>
        <w:tab/>
        <w:t>Ocean Resources</w:t>
      </w:r>
    </w:p>
    <w:p w14:paraId="3E1C40FB" w14:textId="77777777" w:rsidR="00D1390C" w:rsidRPr="00D1390C" w:rsidRDefault="00D1390C" w:rsidP="00D1390C">
      <w:pPr>
        <w:ind w:left="1062"/>
        <w:rPr>
          <w:rFonts w:ascii="Cambria" w:hAnsi="Cambria"/>
          <w:color w:val="000000"/>
        </w:rPr>
      </w:pPr>
    </w:p>
    <w:p w14:paraId="3E1C40FC" w14:textId="77777777" w:rsidR="00D1390C" w:rsidRPr="00D1390C" w:rsidRDefault="00D1390C" w:rsidP="00D1390C">
      <w:pPr>
        <w:numPr>
          <w:ilvl w:val="0"/>
          <w:numId w:val="15"/>
        </w:numPr>
        <w:spacing w:after="120"/>
        <w:ind w:left="1440"/>
        <w:outlineLvl w:val="1"/>
        <w:rPr>
          <w:rFonts w:ascii="Arial" w:hAnsi="Arial" w:cs="Arial"/>
          <w:bCs/>
          <w:sz w:val="22"/>
          <w:szCs w:val="22"/>
        </w:rPr>
      </w:pPr>
      <w:r w:rsidRPr="00D1390C">
        <w:t>OAR 340-018-0030 for EQC rules on land-use coordination. Division 18 requires DEQ to determine whether proposed rules will significantly affect land use. If yes, how will DEQ:</w:t>
      </w:r>
    </w:p>
    <w:p w14:paraId="3E1C40FD" w14:textId="77777777" w:rsidR="00D1390C" w:rsidRPr="00D1390C" w:rsidRDefault="00D1390C" w:rsidP="00D1390C">
      <w:pPr>
        <w:numPr>
          <w:ilvl w:val="1"/>
          <w:numId w:val="15"/>
        </w:numPr>
        <w:spacing w:after="120"/>
        <w:ind w:left="2160"/>
        <w:outlineLvl w:val="1"/>
        <w:rPr>
          <w:rFonts w:ascii="Arial" w:hAnsi="Arial" w:cs="Arial"/>
          <w:bCs/>
          <w:sz w:val="22"/>
          <w:szCs w:val="22"/>
        </w:rPr>
      </w:pPr>
      <w:r w:rsidRPr="00D1390C">
        <w:t xml:space="preserve">Comply with statewide land-use goals, and </w:t>
      </w:r>
    </w:p>
    <w:p w14:paraId="3E1C40FE" w14:textId="77777777" w:rsidR="00D1390C" w:rsidRPr="00D1390C" w:rsidRDefault="00D1390C" w:rsidP="00D1390C">
      <w:pPr>
        <w:numPr>
          <w:ilvl w:val="1"/>
          <w:numId w:val="15"/>
        </w:numPr>
        <w:spacing w:after="120"/>
        <w:ind w:left="2160"/>
        <w:outlineLvl w:val="1"/>
        <w:rPr>
          <w:rFonts w:ascii="Arial" w:hAnsi="Arial" w:cs="Arial"/>
          <w:bCs/>
          <w:sz w:val="22"/>
          <w:szCs w:val="22"/>
        </w:rPr>
      </w:pPr>
      <w:r w:rsidRPr="00D1390C">
        <w:t xml:space="preserve">Ensure compatibility with acknowledged comprehensive plans, which DEQ most commonly achieves by requiring a </w:t>
      </w:r>
      <w:hyperlink r:id="rId21" w:history="1">
        <w:r w:rsidRPr="00D1390C">
          <w:rPr>
            <w:color w:val="0563C1"/>
            <w:u w:val="single"/>
          </w:rPr>
          <w:t>Land Use Compatibility Statement</w:t>
        </w:r>
      </w:hyperlink>
      <w:r w:rsidRPr="00D1390C">
        <w:t>.</w:t>
      </w:r>
    </w:p>
    <w:p w14:paraId="3E1C40FF" w14:textId="77777777" w:rsidR="00D1390C" w:rsidRPr="00D1390C" w:rsidRDefault="00D1390C" w:rsidP="00D1390C">
      <w:pPr>
        <w:numPr>
          <w:ilvl w:val="0"/>
          <w:numId w:val="15"/>
        </w:numPr>
        <w:spacing w:after="120"/>
        <w:ind w:left="1440"/>
        <w:outlineLvl w:val="1"/>
        <w:rPr>
          <w:rFonts w:ascii="Arial" w:hAnsi="Arial" w:cs="Arial"/>
          <w:bCs/>
          <w:sz w:val="22"/>
          <w:szCs w:val="22"/>
        </w:rPr>
      </w:pPr>
      <w:r w:rsidRPr="00D1390C">
        <w:rPr>
          <w:bCs/>
        </w:rPr>
        <w:t>DEQ’s mandate to protect public health and safety and the environment.</w:t>
      </w:r>
    </w:p>
    <w:p w14:paraId="3E1C4100" w14:textId="77777777" w:rsidR="00D1390C" w:rsidRPr="00D1390C" w:rsidRDefault="00D1390C" w:rsidP="00D1390C">
      <w:pPr>
        <w:numPr>
          <w:ilvl w:val="0"/>
          <w:numId w:val="15"/>
        </w:numPr>
        <w:spacing w:after="120"/>
        <w:ind w:left="1440"/>
        <w:outlineLvl w:val="1"/>
        <w:rPr>
          <w:rFonts w:ascii="Arial" w:hAnsi="Arial" w:cs="Arial"/>
          <w:bCs/>
          <w:sz w:val="22"/>
          <w:szCs w:val="22"/>
        </w:rPr>
      </w:pPr>
      <w:r w:rsidRPr="00D1390C">
        <w:rPr>
          <w:color w:val="000000"/>
        </w:rPr>
        <w:t>Whether DEQ is the primary authority that is responsible for land-use programs or actions in the proposed rules.</w:t>
      </w:r>
    </w:p>
    <w:p w14:paraId="3E1C4101" w14:textId="77777777" w:rsidR="00D1390C" w:rsidRPr="00D1390C" w:rsidRDefault="00D1390C" w:rsidP="00D1390C">
      <w:pPr>
        <w:numPr>
          <w:ilvl w:val="0"/>
          <w:numId w:val="15"/>
        </w:numPr>
        <w:ind w:left="1440"/>
        <w:contextualSpacing/>
        <w:outlineLvl w:val="9"/>
      </w:pPr>
      <w:r w:rsidRPr="00D1390C">
        <w:rPr>
          <w:bCs/>
        </w:rPr>
        <w:t>Present or future land uses identified in acknowledged comprehensive plans.</w:t>
      </w:r>
    </w:p>
    <w:p w14:paraId="3E1C4102"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Determination</w:t>
      </w:r>
    </w:p>
    <w:p w14:paraId="3E1C4103" w14:textId="77777777" w:rsidR="00D1390C" w:rsidRPr="00D1390C" w:rsidRDefault="00D1390C" w:rsidP="00D1390C">
      <w:pPr>
        <w:ind w:left="810"/>
        <w:rPr>
          <w:color w:val="32525C"/>
          <w:sz w:val="28"/>
          <w:szCs w:val="28"/>
        </w:rPr>
      </w:pPr>
      <w:r w:rsidRPr="00D1390C">
        <w:rPr>
          <w:color w:val="000000"/>
        </w:rPr>
        <w:t xml:space="preserve">DEQ determined that the proposed rules listed under the Chapter 340 Action section above </w:t>
      </w:r>
      <w:r w:rsidRPr="00D1390C">
        <w:rPr>
          <w:b/>
          <w:color w:val="000000"/>
        </w:rPr>
        <w:t xml:space="preserve">do not affect </w:t>
      </w:r>
      <w:r w:rsidRPr="00D1390C">
        <w:rPr>
          <w:color w:val="000000"/>
        </w:rPr>
        <w:t>existing rules, programs or activities that are considered land-use programs and actions in OAR 340-018-0030 or in the DEQ State Agency Coordination Program.</w:t>
      </w:r>
    </w:p>
    <w:p w14:paraId="3E1C4104" w14:textId="77777777" w:rsidR="00377FA3" w:rsidRPr="00377FA3" w:rsidRDefault="00377FA3" w:rsidP="00377FA3"/>
    <w:p w14:paraId="3E1C4105" w14:textId="77777777" w:rsidR="00377FA3" w:rsidRPr="00377FA3" w:rsidRDefault="00377FA3" w:rsidP="00377FA3">
      <w:pPr>
        <w:sectPr w:rsidR="00377FA3" w:rsidRPr="00377FA3" w:rsidSect="00EB0734">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3E1C4107" w14:textId="77777777" w:rsidTr="00EB0734">
        <w:trPr>
          <w:trHeight w:val="571"/>
        </w:trPr>
        <w:tc>
          <w:tcPr>
            <w:tcW w:w="12240" w:type="dxa"/>
            <w:shd w:val="clear" w:color="auto" w:fill="D0CECE" w:themeFill="background2" w:themeFillShade="E6"/>
            <w:noWrap/>
            <w:vAlign w:val="bottom"/>
            <w:hideMark/>
          </w:tcPr>
          <w:p w14:paraId="3E1C4106" w14:textId="77777777" w:rsidR="00377FA3" w:rsidRPr="00377FA3" w:rsidRDefault="00377FA3" w:rsidP="00EB0734">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Stakeholder and public involvement</w:t>
            </w:r>
          </w:p>
        </w:tc>
      </w:tr>
    </w:tbl>
    <w:p w14:paraId="3E1C4108" w14:textId="77777777" w:rsidR="002E25BF" w:rsidRPr="002E25BF" w:rsidRDefault="002E25BF" w:rsidP="002E25BF">
      <w:pPr>
        <w:keepNext/>
        <w:keepLines/>
        <w:spacing w:before="200" w:after="120"/>
        <w:ind w:left="547"/>
        <w:outlineLvl w:val="1"/>
        <w:rPr>
          <w:rFonts w:ascii="Arial" w:hAnsi="Arial" w:cs="Arial"/>
          <w:bCs/>
          <w:color w:val="504938"/>
          <w:sz w:val="22"/>
          <w:szCs w:val="22"/>
        </w:rPr>
      </w:pPr>
      <w:r w:rsidRPr="002E25BF">
        <w:rPr>
          <w:rFonts w:ascii="Arial" w:hAnsi="Arial" w:cs="Arial"/>
          <w:bCs/>
          <w:color w:val="504938"/>
          <w:sz w:val="22"/>
          <w:szCs w:val="22"/>
        </w:rPr>
        <w:t>Advisory committee</w:t>
      </w:r>
    </w:p>
    <w:p w14:paraId="3E1C4109" w14:textId="77777777" w:rsidR="002E25BF" w:rsidRPr="002E25BF" w:rsidRDefault="002E25BF" w:rsidP="002E25BF">
      <w:pPr>
        <w:ind w:left="810"/>
        <w:rPr>
          <w:color w:val="000000"/>
        </w:rPr>
      </w:pPr>
      <w:r w:rsidRPr="002E25BF">
        <w:rPr>
          <w:color w:val="000000"/>
        </w:rPr>
        <w:t>DEQ did not convene an advisory committee because federal law and Oregon statute authorize the fee increases.</w:t>
      </w:r>
    </w:p>
    <w:p w14:paraId="3E1C410A" w14:textId="77777777" w:rsidR="002E25BF" w:rsidRPr="002E25BF" w:rsidRDefault="002E25BF" w:rsidP="002E25BF">
      <w:pPr>
        <w:keepNext/>
        <w:keepLines/>
        <w:spacing w:before="200" w:after="120"/>
        <w:ind w:left="547"/>
        <w:outlineLvl w:val="1"/>
        <w:rPr>
          <w:rFonts w:ascii="Arial" w:hAnsi="Arial" w:cs="Arial"/>
          <w:bCs/>
          <w:color w:val="504938"/>
          <w:sz w:val="22"/>
          <w:szCs w:val="22"/>
        </w:rPr>
      </w:pPr>
      <w:r w:rsidRPr="002E25BF">
        <w:rPr>
          <w:rFonts w:ascii="Arial" w:hAnsi="Arial" w:cs="Arial"/>
          <w:bCs/>
          <w:color w:val="504938"/>
          <w:sz w:val="22"/>
          <w:szCs w:val="22"/>
        </w:rPr>
        <w:t>EQC prior involvement</w:t>
      </w:r>
    </w:p>
    <w:p w14:paraId="3E1C410B" w14:textId="77777777" w:rsidR="002E25BF" w:rsidRPr="002E25BF" w:rsidRDefault="002E25BF" w:rsidP="002E25BF">
      <w:pPr>
        <w:ind w:left="810"/>
        <w:rPr>
          <w:color w:val="000000"/>
        </w:rPr>
      </w:pPr>
      <w:r w:rsidRPr="002E25BF">
        <w:rPr>
          <w:color w:val="000000"/>
        </w:rPr>
        <w:t>DEQ shares general rulemaking information with EQC through the monthly Director’s Report.</w:t>
      </w:r>
    </w:p>
    <w:p w14:paraId="3E1C410C" w14:textId="77777777" w:rsidR="002E25BF" w:rsidRPr="002E25BF" w:rsidRDefault="002E25BF" w:rsidP="002E25BF">
      <w:pPr>
        <w:ind w:left="810"/>
        <w:rPr>
          <w:color w:val="000000"/>
        </w:rPr>
      </w:pPr>
      <w:r w:rsidRPr="002E25BF">
        <w:rPr>
          <w:color w:val="000000"/>
        </w:rPr>
        <w:t>DEQ did not present additional information specific to this proposed rule revision.</w:t>
      </w:r>
    </w:p>
    <w:p w14:paraId="3E1C410D" w14:textId="77777777" w:rsidR="002E25BF" w:rsidRPr="002E25BF" w:rsidRDefault="002E25BF" w:rsidP="002E25BF">
      <w:pPr>
        <w:keepNext/>
        <w:keepLines/>
        <w:spacing w:before="200" w:after="120"/>
        <w:ind w:left="547"/>
        <w:outlineLvl w:val="1"/>
        <w:rPr>
          <w:rFonts w:ascii="Arial" w:hAnsi="Arial" w:cs="Arial"/>
          <w:bCs/>
          <w:color w:val="504938"/>
          <w:sz w:val="22"/>
          <w:szCs w:val="22"/>
        </w:rPr>
      </w:pPr>
      <w:r w:rsidRPr="002E25BF">
        <w:rPr>
          <w:rFonts w:ascii="Arial" w:hAnsi="Arial" w:cs="Arial"/>
          <w:bCs/>
          <w:color w:val="504938"/>
          <w:sz w:val="22"/>
          <w:szCs w:val="22"/>
        </w:rPr>
        <w:t>Public notice</w:t>
      </w:r>
    </w:p>
    <w:p w14:paraId="3E1C410E" w14:textId="77777777" w:rsidR="002E25BF" w:rsidRPr="002E25BF" w:rsidRDefault="002E25BF" w:rsidP="002E25BF">
      <w:r w:rsidRPr="002E25BF">
        <w:t xml:space="preserve">DEQ provided notice of the proposed rulemaking and rulemaking hearing on January 15, 2016 by: </w:t>
      </w:r>
    </w:p>
    <w:p w14:paraId="3E1C410F" w14:textId="77777777" w:rsidR="002E25BF" w:rsidRPr="002E25BF" w:rsidRDefault="002E25BF" w:rsidP="002E25BF"/>
    <w:p w14:paraId="3E1C4110" w14:textId="77777777" w:rsidR="002E25BF" w:rsidRPr="002E25BF" w:rsidRDefault="002E25BF" w:rsidP="002E25BF">
      <w:pPr>
        <w:numPr>
          <w:ilvl w:val="0"/>
          <w:numId w:val="16"/>
        </w:numPr>
        <w:contextualSpacing/>
      </w:pPr>
      <w:r w:rsidRPr="002E25BF">
        <w:t>Filing notice with the Oregon Secretary of State for publication in the Oregon Bulletin on January 15, 2016</w:t>
      </w:r>
    </w:p>
    <w:p w14:paraId="3E1C4111" w14:textId="77777777" w:rsidR="002E25BF" w:rsidRPr="002E25BF" w:rsidRDefault="002E25BF" w:rsidP="002E25BF">
      <w:pPr>
        <w:ind w:left="1440"/>
        <w:contextualSpacing/>
      </w:pPr>
    </w:p>
    <w:p w14:paraId="3E1C4112" w14:textId="77777777" w:rsidR="002E25BF" w:rsidRPr="002E25BF" w:rsidRDefault="002E25BF" w:rsidP="002E25BF">
      <w:pPr>
        <w:numPr>
          <w:ilvl w:val="0"/>
          <w:numId w:val="16"/>
        </w:numPr>
        <w:contextualSpacing/>
      </w:pPr>
      <w:r w:rsidRPr="002E25BF">
        <w:t>Notifying the Environmental Protection Agency, Region 10, Seattle by email</w:t>
      </w:r>
    </w:p>
    <w:p w14:paraId="3E1C4113" w14:textId="77777777" w:rsidR="002E25BF" w:rsidRPr="002E25BF" w:rsidRDefault="002E25BF" w:rsidP="002E25BF">
      <w:pPr>
        <w:contextualSpacing/>
        <w:rPr>
          <w:color w:val="000000"/>
        </w:rPr>
      </w:pPr>
    </w:p>
    <w:p w14:paraId="3E1C4114" w14:textId="77777777" w:rsidR="002E25BF" w:rsidRPr="002E25BF" w:rsidRDefault="002E25BF" w:rsidP="002E25BF">
      <w:pPr>
        <w:numPr>
          <w:ilvl w:val="0"/>
          <w:numId w:val="16"/>
        </w:numPr>
        <w:contextualSpacing/>
        <w:rPr>
          <w:color w:val="000000"/>
        </w:rPr>
      </w:pPr>
      <w:r w:rsidRPr="002E25BF">
        <w:rPr>
          <w:color w:val="000000"/>
        </w:rPr>
        <w:t xml:space="preserve">Posting the Notice, Invitation to Comment and Draft Rules on the web page for this rulemaking; located at: </w:t>
      </w:r>
      <w:hyperlink r:id="rId22" w:history="1">
        <w:r w:rsidRPr="002E25BF">
          <w:rPr>
            <w:color w:val="0563C1"/>
            <w:u w:val="single"/>
          </w:rPr>
          <w:t>Title V CPI 2016</w:t>
        </w:r>
      </w:hyperlink>
      <w:r w:rsidRPr="002E25BF">
        <w:rPr>
          <w:color w:val="C45911"/>
        </w:rPr>
        <w:t xml:space="preserve"> </w:t>
      </w:r>
    </w:p>
    <w:p w14:paraId="3E1C4115" w14:textId="77777777" w:rsidR="002E25BF" w:rsidRPr="002E25BF" w:rsidRDefault="002E25BF" w:rsidP="002E25BF">
      <w:pPr>
        <w:contextualSpacing/>
        <w:rPr>
          <w:highlight w:val="lightGray"/>
        </w:rPr>
      </w:pPr>
    </w:p>
    <w:p w14:paraId="3E1C4116" w14:textId="77777777" w:rsidR="002E25BF" w:rsidRPr="002E25BF" w:rsidRDefault="002E25BF" w:rsidP="002E25BF">
      <w:pPr>
        <w:numPr>
          <w:ilvl w:val="0"/>
          <w:numId w:val="16"/>
        </w:numPr>
        <w:contextualSpacing/>
      </w:pPr>
      <w:r w:rsidRPr="002E25BF">
        <w:t>Emailing 7,617 interested parties on the following DEQ lists through GovDelivery:</w:t>
      </w:r>
    </w:p>
    <w:p w14:paraId="3E1C4117" w14:textId="77777777" w:rsidR="002E25BF" w:rsidRPr="002E25BF" w:rsidRDefault="002E25BF" w:rsidP="002E25BF">
      <w:pPr>
        <w:numPr>
          <w:ilvl w:val="1"/>
          <w:numId w:val="16"/>
        </w:numPr>
        <w:contextualSpacing/>
      </w:pPr>
      <w:r w:rsidRPr="002E25BF">
        <w:t>Agency Rulemaking</w:t>
      </w:r>
    </w:p>
    <w:p w14:paraId="3E1C4118" w14:textId="77777777" w:rsidR="002E25BF" w:rsidRPr="002E25BF" w:rsidRDefault="002E25BF" w:rsidP="002E25BF">
      <w:pPr>
        <w:numPr>
          <w:ilvl w:val="1"/>
          <w:numId w:val="16"/>
        </w:numPr>
        <w:contextualSpacing/>
      </w:pPr>
      <w:r w:rsidRPr="002E25BF">
        <w:t>DEQ Public Notices</w:t>
      </w:r>
    </w:p>
    <w:p w14:paraId="3E1C4119" w14:textId="77777777" w:rsidR="002E25BF" w:rsidRPr="002E25BF" w:rsidRDefault="002E25BF" w:rsidP="002E25BF">
      <w:pPr>
        <w:numPr>
          <w:ilvl w:val="1"/>
          <w:numId w:val="16"/>
        </w:numPr>
        <w:contextualSpacing/>
      </w:pPr>
      <w:r w:rsidRPr="002E25BF">
        <w:t>Air Quality Permits</w:t>
      </w:r>
    </w:p>
    <w:p w14:paraId="3E1C411A" w14:textId="77777777" w:rsidR="002E25BF" w:rsidRPr="002E25BF" w:rsidRDefault="002E25BF" w:rsidP="002E25BF">
      <w:pPr>
        <w:numPr>
          <w:ilvl w:val="1"/>
          <w:numId w:val="16"/>
        </w:numPr>
        <w:contextualSpacing/>
      </w:pPr>
      <w:r w:rsidRPr="002E25BF">
        <w:t>Title V Permit Program Public</w:t>
      </w:r>
    </w:p>
    <w:p w14:paraId="3E1C411B" w14:textId="77777777" w:rsidR="002E25BF" w:rsidRPr="002E25BF" w:rsidRDefault="002E25BF" w:rsidP="002E25BF">
      <w:pPr>
        <w:contextualSpacing/>
        <w:rPr>
          <w:bCs/>
          <w:color w:val="385623"/>
        </w:rPr>
      </w:pPr>
    </w:p>
    <w:p w14:paraId="3E1C411C" w14:textId="77777777" w:rsidR="002E25BF" w:rsidRPr="002E25BF" w:rsidRDefault="002E25BF" w:rsidP="002E25BF">
      <w:pPr>
        <w:numPr>
          <w:ilvl w:val="0"/>
          <w:numId w:val="17"/>
        </w:numPr>
        <w:spacing w:after="120"/>
        <w:rPr>
          <w:color w:val="000000"/>
        </w:rPr>
      </w:pPr>
      <w:r w:rsidRPr="002E25BF">
        <w:rPr>
          <w:bCs/>
        </w:rPr>
        <w:t xml:space="preserve">Emailing </w:t>
      </w:r>
      <w:r w:rsidRPr="002E25BF">
        <w:t>89 representatives of permit holders</w:t>
      </w:r>
    </w:p>
    <w:p w14:paraId="3E1C411D" w14:textId="77777777" w:rsidR="002E25BF" w:rsidRPr="002E25BF" w:rsidRDefault="002E25BF" w:rsidP="002E25BF">
      <w:pPr>
        <w:numPr>
          <w:ilvl w:val="0"/>
          <w:numId w:val="16"/>
        </w:numPr>
        <w:contextualSpacing/>
      </w:pPr>
      <w:r w:rsidRPr="002E25BF">
        <w:t xml:space="preserve">Emailing the following key legislators required under </w:t>
      </w:r>
      <w:hyperlink r:id="rId23" w:history="1">
        <w:r w:rsidRPr="002E25BF">
          <w:rPr>
            <w:u w:val="single"/>
          </w:rPr>
          <w:t>ORS 183.335</w:t>
        </w:r>
      </w:hyperlink>
      <w:r w:rsidRPr="002E25BF">
        <w:t>:</w:t>
      </w:r>
    </w:p>
    <w:p w14:paraId="3E1C411E" w14:textId="77777777" w:rsidR="002E25BF" w:rsidRPr="002E25BF" w:rsidRDefault="002E25BF" w:rsidP="002E25BF">
      <w:pPr>
        <w:contextualSpacing/>
      </w:pPr>
    </w:p>
    <w:p w14:paraId="3E1C411F" w14:textId="77777777" w:rsidR="002E25BF" w:rsidRPr="002E25BF" w:rsidRDefault="002E25BF" w:rsidP="002E25BF">
      <w:pPr>
        <w:numPr>
          <w:ilvl w:val="1"/>
          <w:numId w:val="16"/>
        </w:numPr>
        <w:contextualSpacing/>
        <w:rPr>
          <w:bCs/>
        </w:rPr>
      </w:pPr>
      <w:r w:rsidRPr="002E25BF">
        <w:rPr>
          <w:bCs/>
        </w:rPr>
        <w:t>State Representative Kathleen Taylor, Co-Chair, Ways and Means Sub-Committee, Natural Resources</w:t>
      </w:r>
    </w:p>
    <w:p w14:paraId="3E1C4120" w14:textId="77777777" w:rsidR="002E25BF" w:rsidRPr="002E25BF" w:rsidRDefault="002E25BF" w:rsidP="002E25BF">
      <w:pPr>
        <w:numPr>
          <w:ilvl w:val="1"/>
          <w:numId w:val="16"/>
        </w:numPr>
        <w:contextualSpacing/>
        <w:rPr>
          <w:bCs/>
          <w:sz w:val="28"/>
        </w:rPr>
      </w:pPr>
      <w:r w:rsidRPr="002E25BF">
        <w:rPr>
          <w:bCs/>
        </w:rPr>
        <w:t>State Senator Richard Devlin, Co-Chair, Ways and Means Sub-Committee</w:t>
      </w:r>
    </w:p>
    <w:p w14:paraId="3E1C4121" w14:textId="77777777" w:rsidR="002E25BF" w:rsidRPr="002E25BF" w:rsidRDefault="002E25BF" w:rsidP="002E25BF">
      <w:pPr>
        <w:ind w:left="1800"/>
        <w:rPr>
          <w:bCs/>
          <w:sz w:val="28"/>
        </w:rPr>
      </w:pPr>
    </w:p>
    <w:p w14:paraId="3E1C4122" w14:textId="77777777" w:rsidR="002E25BF" w:rsidRPr="002E25BF" w:rsidRDefault="002E25BF" w:rsidP="002E25BF">
      <w:pPr>
        <w:numPr>
          <w:ilvl w:val="0"/>
          <w:numId w:val="17"/>
        </w:numPr>
        <w:spacing w:after="120"/>
        <w:rPr>
          <w:color w:val="000000"/>
        </w:rPr>
      </w:pPr>
      <w:r w:rsidRPr="002E25BF">
        <w:rPr>
          <w:color w:val="000000"/>
        </w:rPr>
        <w:t>Emailing advisory committee members</w:t>
      </w:r>
    </w:p>
    <w:p w14:paraId="3E1C4123" w14:textId="77777777" w:rsidR="002E25BF" w:rsidRPr="002E25BF" w:rsidRDefault="002E25BF" w:rsidP="002E25BF">
      <w:pPr>
        <w:numPr>
          <w:ilvl w:val="0"/>
          <w:numId w:val="17"/>
        </w:numPr>
        <w:spacing w:after="120"/>
        <w:rPr>
          <w:color w:val="000000"/>
        </w:rPr>
      </w:pPr>
      <w:r w:rsidRPr="002E25BF">
        <w:rPr>
          <w:color w:val="000000"/>
        </w:rPr>
        <w:t>Postings on Twitter and Facebook</w:t>
      </w:r>
    </w:p>
    <w:p w14:paraId="3E1C4124" w14:textId="77777777" w:rsidR="002E25BF" w:rsidRPr="002E25BF" w:rsidRDefault="002E25BF" w:rsidP="002E25BF">
      <w:pPr>
        <w:numPr>
          <w:ilvl w:val="0"/>
          <w:numId w:val="17"/>
        </w:numPr>
        <w:spacing w:after="120"/>
        <w:rPr>
          <w:color w:val="000000"/>
        </w:rPr>
      </w:pPr>
      <w:r w:rsidRPr="002E25BF">
        <w:rPr>
          <w:color w:val="000000"/>
        </w:rPr>
        <w:t xml:space="preserve">Posting on the DEQ event calendar: </w:t>
      </w:r>
      <w:hyperlink r:id="rId24" w:history="1">
        <w:r w:rsidRPr="002E25BF">
          <w:rPr>
            <w:color w:val="0563C1"/>
            <w:u w:val="single"/>
          </w:rPr>
          <w:t>DEQ Calendar</w:t>
        </w:r>
      </w:hyperlink>
    </w:p>
    <w:p w14:paraId="3E1C4125" w14:textId="77777777" w:rsidR="00D1390C" w:rsidRDefault="00D1390C" w:rsidP="00A72D66">
      <w:pPr>
        <w:pStyle w:val="Heading2"/>
        <w:spacing w:before="0" w:after="0"/>
        <w:rPr>
          <w:rFonts w:ascii="Times New Roman" w:hAnsi="Times New Roman" w:cs="Times New Roman"/>
          <w:b/>
          <w:color w:val="000000" w:themeColor="text1"/>
          <w:sz w:val="24"/>
          <w:szCs w:val="24"/>
        </w:rPr>
      </w:pPr>
    </w:p>
    <w:p w14:paraId="3E1C4126" w14:textId="77777777" w:rsidR="00C22EDF" w:rsidRDefault="00C22EDF">
      <w:pPr>
        <w:spacing w:after="160" w:line="259" w:lineRule="auto"/>
        <w:ind w:left="0" w:right="0"/>
        <w:outlineLvl w:val="9"/>
        <w:rPr>
          <w:b/>
          <w:bCs/>
          <w:color w:val="000000" w:themeColor="text1"/>
        </w:rPr>
      </w:pPr>
      <w:r>
        <w:rPr>
          <w:b/>
          <w:color w:val="000000" w:themeColor="text1"/>
        </w:rPr>
        <w:br w:type="page"/>
      </w:r>
    </w:p>
    <w:p w14:paraId="3E1C4127" w14:textId="77777777" w:rsidR="00377FA3" w:rsidRDefault="00377FA3" w:rsidP="00A72D66">
      <w:pPr>
        <w:pStyle w:val="Heading2"/>
        <w:spacing w:before="0" w:after="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lastRenderedPageBreak/>
        <w:t>Request for other options</w:t>
      </w:r>
    </w:p>
    <w:p w14:paraId="3E1C4128" w14:textId="77777777" w:rsidR="00A72D66" w:rsidRPr="00A72D66" w:rsidRDefault="00A72D66" w:rsidP="00A72D66"/>
    <w:p w14:paraId="3E1C4129" w14:textId="77777777" w:rsidR="00377FA3" w:rsidRDefault="00377FA3" w:rsidP="00A72D66">
      <w:pPr>
        <w:ind w:left="1080"/>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3E1C412A" w14:textId="77777777" w:rsidR="00A72D66" w:rsidRPr="00A72D66" w:rsidRDefault="00A72D66" w:rsidP="00A72D66">
      <w:pPr>
        <w:ind w:left="1080"/>
        <w:rPr>
          <w:color w:val="000000" w:themeColor="text1"/>
        </w:rPr>
      </w:pPr>
    </w:p>
    <w:p w14:paraId="3E1C412B" w14:textId="77777777" w:rsidR="00377FA3" w:rsidRDefault="00377FA3" w:rsidP="00A72D66">
      <w:pPr>
        <w:pStyle w:val="Heading2"/>
        <w:spacing w:before="0" w:after="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14:paraId="3E1C412C" w14:textId="77777777" w:rsidR="00A72D66" w:rsidRPr="00A72D66" w:rsidRDefault="00A72D66" w:rsidP="00A72D66"/>
    <w:p w14:paraId="3E1C412D" w14:textId="77777777" w:rsidR="00377FA3" w:rsidRDefault="00377FA3" w:rsidP="00A72D66">
      <w:pPr>
        <w:ind w:left="1080" w:right="828"/>
        <w:rPr>
          <w:bCs/>
          <w:color w:val="000000" w:themeColor="text1"/>
        </w:rPr>
      </w:pPr>
      <w:r w:rsidRPr="00A72D66">
        <w:rPr>
          <w:bCs/>
          <w:color w:val="000000" w:themeColor="text1"/>
        </w:rPr>
        <w:t xml:space="preserve">DEQ held </w:t>
      </w:r>
      <w:r w:rsidR="00D1390C">
        <w:rPr>
          <w:rStyle w:val="Emphasis"/>
          <w:vanish w:val="0"/>
          <w:color w:val="000000" w:themeColor="text1"/>
          <w:sz w:val="24"/>
        </w:rPr>
        <w:t>one</w:t>
      </w:r>
      <w:r w:rsidRPr="00A72D66">
        <w:rPr>
          <w:bCs/>
          <w:color w:val="000000" w:themeColor="text1"/>
        </w:rPr>
        <w:t xml:space="preserve"> public hearing. DEQ received </w:t>
      </w:r>
      <w:r w:rsidR="008A587E">
        <w:rPr>
          <w:rStyle w:val="Emphasis"/>
          <w:vanish w:val="0"/>
          <w:color w:val="000000" w:themeColor="text1"/>
          <w:sz w:val="24"/>
        </w:rPr>
        <w:t>two</w:t>
      </w:r>
      <w:r w:rsidRPr="00A72D66">
        <w:rPr>
          <w:bCs/>
          <w:color w:val="000000" w:themeColor="text1"/>
        </w:rPr>
        <w:t xml:space="preserve"> public comments. </w:t>
      </w:r>
      <w:r w:rsidR="00214C8D">
        <w:rPr>
          <w:bCs/>
          <w:color w:val="000000" w:themeColor="text1"/>
        </w:rPr>
        <w:t>Later sections of this document include a summary of comments received, DEQ’s responses, and a list of the commenters. Ori</w:t>
      </w:r>
      <w:r w:rsidRPr="00A72D66">
        <w:rPr>
          <w:bCs/>
          <w:color w:val="000000" w:themeColor="text1"/>
        </w:rPr>
        <w:t>ginal comments are on file with DEQ.</w:t>
      </w:r>
    </w:p>
    <w:p w14:paraId="3E1C412E" w14:textId="77777777" w:rsidR="00A72D66" w:rsidRPr="00A72D66" w:rsidRDefault="00A72D66" w:rsidP="00A72D66">
      <w:pPr>
        <w:ind w:left="1080" w:right="828"/>
        <w:rPr>
          <w:bCs/>
          <w:color w:val="000000" w:themeColor="text1"/>
        </w:rPr>
      </w:pPr>
    </w:p>
    <w:p w14:paraId="3E1C412F" w14:textId="77777777" w:rsidR="00377FA3" w:rsidRDefault="00377FA3" w:rsidP="00A72D66">
      <w:pPr>
        <w:pStyle w:val="Heading2"/>
        <w:spacing w:before="0" w:after="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14:paraId="3E1C4130" w14:textId="77777777" w:rsidR="00A72D66" w:rsidRPr="00A72D66" w:rsidRDefault="00A72D66" w:rsidP="00A72D66"/>
    <w:p w14:paraId="3E1C4131" w14:textId="77777777" w:rsidR="00377FA3" w:rsidRPr="00A72D66" w:rsidRDefault="00377FA3" w:rsidP="00A72D66">
      <w:pPr>
        <w:ind w:firstLine="360"/>
        <w:rPr>
          <w:rStyle w:val="Emphasis"/>
          <w:vanish w:val="0"/>
          <w:color w:val="000000" w:themeColor="text1"/>
          <w:sz w:val="24"/>
        </w:rPr>
      </w:pPr>
      <w:r w:rsidRPr="00A72D66">
        <w:rPr>
          <w:rStyle w:val="Emphasis"/>
          <w:vanish w:val="0"/>
          <w:color w:val="000000" w:themeColor="text1"/>
          <w:sz w:val="24"/>
        </w:rPr>
        <w:t>Meeting location:</w:t>
      </w:r>
      <w:r w:rsidR="00D1390C">
        <w:rPr>
          <w:rStyle w:val="Emphasis"/>
          <w:vanish w:val="0"/>
          <w:color w:val="000000" w:themeColor="text1"/>
          <w:sz w:val="24"/>
        </w:rPr>
        <w:t xml:space="preserve"> </w:t>
      </w:r>
      <w:r w:rsidR="00D1390C" w:rsidRPr="00D1390C">
        <w:rPr>
          <w:rStyle w:val="Emphasis"/>
          <w:color w:val="000000" w:themeColor="text1"/>
          <w:sz w:val="24"/>
        </w:rPr>
        <w:t>DEQ Headquarters Building, Room EQC A on the 10</w:t>
      </w:r>
      <w:r w:rsidR="00D1390C" w:rsidRPr="00D1390C">
        <w:rPr>
          <w:rStyle w:val="Emphasis"/>
          <w:color w:val="000000" w:themeColor="text1"/>
          <w:sz w:val="24"/>
          <w:vertAlign w:val="superscript"/>
        </w:rPr>
        <w:t>th</w:t>
      </w:r>
      <w:r w:rsidR="00D1390C" w:rsidRPr="00D1390C">
        <w:rPr>
          <w:rStyle w:val="Emphasis"/>
          <w:color w:val="000000" w:themeColor="text1"/>
          <w:sz w:val="24"/>
        </w:rPr>
        <w:t xml:space="preserve"> floor</w:t>
      </w:r>
    </w:p>
    <w:p w14:paraId="3E1C4132" w14:textId="77777777" w:rsidR="00377FA3" w:rsidRPr="00A72D66" w:rsidRDefault="00377FA3" w:rsidP="00A72D66">
      <w:pPr>
        <w:ind w:left="1080"/>
        <w:rPr>
          <w:color w:val="000000" w:themeColor="text1"/>
        </w:rPr>
      </w:pPr>
      <w:r w:rsidRPr="00A72D66">
        <w:rPr>
          <w:rStyle w:val="Emphasis"/>
          <w:vanish w:val="0"/>
          <w:color w:val="000000" w:themeColor="text1"/>
          <w:sz w:val="24"/>
        </w:rPr>
        <w:t>Meeting date and time:</w:t>
      </w:r>
      <w:r w:rsidR="00D1390C">
        <w:rPr>
          <w:rStyle w:val="Emphasis"/>
          <w:vanish w:val="0"/>
          <w:color w:val="000000" w:themeColor="text1"/>
          <w:sz w:val="24"/>
        </w:rPr>
        <w:t xml:space="preserve"> </w:t>
      </w:r>
      <w:r w:rsidR="00D1390C">
        <w:t>February 18</w:t>
      </w:r>
      <w:r w:rsidR="00D1390C" w:rsidRPr="00690E50">
        <w:rPr>
          <w:vertAlign w:val="superscript"/>
        </w:rPr>
        <w:t>th</w:t>
      </w:r>
      <w:r w:rsidR="00D1390C">
        <w:t>, 2016 at 5pm</w:t>
      </w:r>
    </w:p>
    <w:p w14:paraId="3E1C4133" w14:textId="77777777" w:rsidR="00377FA3" w:rsidRPr="00A72D66" w:rsidRDefault="00377FA3" w:rsidP="00A72D66">
      <w:pPr>
        <w:tabs>
          <w:tab w:val="left" w:pos="-1440"/>
          <w:tab w:val="left" w:pos="-720"/>
        </w:tabs>
        <w:suppressAutoHyphens/>
        <w:ind w:left="1080" w:right="558"/>
        <w:rPr>
          <w:color w:val="000000" w:themeColor="text1"/>
        </w:rPr>
      </w:pPr>
      <w:r w:rsidRPr="00A72D66">
        <w:rPr>
          <w:color w:val="000000" w:themeColor="text1"/>
        </w:rPr>
        <w:t>Presiding Officer:</w:t>
      </w:r>
      <w:r w:rsidR="00D1390C">
        <w:rPr>
          <w:color w:val="000000" w:themeColor="text1"/>
        </w:rPr>
        <w:t xml:space="preserve"> </w:t>
      </w:r>
      <w:r w:rsidR="0068127A">
        <w:rPr>
          <w:color w:val="000000" w:themeColor="text1"/>
        </w:rPr>
        <w:t>Jill Inahara</w:t>
      </w:r>
    </w:p>
    <w:p w14:paraId="3E1C4134" w14:textId="77777777" w:rsidR="00377FA3" w:rsidRPr="00A72D66" w:rsidRDefault="00377FA3" w:rsidP="00A72D66">
      <w:pPr>
        <w:tabs>
          <w:tab w:val="left" w:pos="-1440"/>
          <w:tab w:val="left" w:pos="-720"/>
        </w:tabs>
        <w:suppressAutoHyphens/>
        <w:ind w:left="1080" w:right="558"/>
        <w:rPr>
          <w:color w:val="000000" w:themeColor="text1"/>
        </w:rPr>
      </w:pPr>
    </w:p>
    <w:p w14:paraId="3E1C4135" w14:textId="77777777" w:rsidR="00377FA3" w:rsidRDefault="0068127A" w:rsidP="0068127A">
      <w:pPr>
        <w:tabs>
          <w:tab w:val="left" w:pos="-1440"/>
          <w:tab w:val="left" w:pos="-720"/>
        </w:tabs>
        <w:suppressAutoHyphens/>
        <w:ind w:left="1080" w:right="558"/>
        <w:rPr>
          <w:color w:val="000000" w:themeColor="text1"/>
        </w:rPr>
      </w:pPr>
      <w:r>
        <w:rPr>
          <w:color w:val="000000" w:themeColor="text1"/>
        </w:rPr>
        <w:t xml:space="preserve">No one attended the public hearing.  DEQ staff waited until 5:20 pm for commenters.  </w:t>
      </w:r>
      <w:r w:rsidR="00377FA3" w:rsidRPr="00A72D66">
        <w:rPr>
          <w:color w:val="000000" w:themeColor="text1"/>
        </w:rPr>
        <w:t>The presiding officer convened the hearing</w:t>
      </w:r>
      <w:r w:rsidR="00746C81">
        <w:rPr>
          <w:color w:val="000000" w:themeColor="text1"/>
        </w:rPr>
        <w:t xml:space="preserve">, </w:t>
      </w:r>
      <w:r>
        <w:rPr>
          <w:color w:val="000000" w:themeColor="text1"/>
        </w:rPr>
        <w:t>stated that no one attended</w:t>
      </w:r>
      <w:r w:rsidR="00746C81">
        <w:rPr>
          <w:color w:val="000000" w:themeColor="text1"/>
        </w:rPr>
        <w:t xml:space="preserve">, explained </w:t>
      </w:r>
      <w:r w:rsidR="00377FA3" w:rsidRPr="00A72D66">
        <w:rPr>
          <w:color w:val="000000" w:themeColor="text1"/>
        </w:rPr>
        <w:t>that DEQ was recording the hearing</w:t>
      </w:r>
      <w:r>
        <w:rPr>
          <w:color w:val="000000" w:themeColor="text1"/>
        </w:rPr>
        <w:t xml:space="preserve"> and closed the hearing</w:t>
      </w:r>
      <w:r w:rsidR="00377FA3" w:rsidRPr="00A72D66">
        <w:rPr>
          <w:color w:val="000000" w:themeColor="text1"/>
        </w:rPr>
        <w:t xml:space="preserve">. </w:t>
      </w:r>
    </w:p>
    <w:p w14:paraId="3E1C4136" w14:textId="77777777" w:rsidR="00C22EDF" w:rsidRDefault="00C22EDF" w:rsidP="0068127A">
      <w:pPr>
        <w:tabs>
          <w:tab w:val="left" w:pos="-1440"/>
          <w:tab w:val="left" w:pos="-720"/>
        </w:tabs>
        <w:suppressAutoHyphens/>
        <w:ind w:left="1080" w:right="558"/>
        <w:rPr>
          <w:color w:val="000000" w:themeColor="text1"/>
        </w:rPr>
      </w:pPr>
    </w:p>
    <w:p w14:paraId="3E1C4137" w14:textId="77777777" w:rsidR="00586C3E" w:rsidRDefault="00586C3E">
      <w:pPr>
        <w:spacing w:after="160" w:line="259" w:lineRule="auto"/>
        <w:ind w:left="0" w:right="0"/>
        <w:outlineLvl w:val="9"/>
        <w:rPr>
          <w:color w:val="000000" w:themeColor="text1"/>
        </w:rPr>
      </w:pPr>
      <w:r>
        <w:rPr>
          <w:color w:val="000000" w:themeColor="text1"/>
        </w:rPr>
        <w:br w:type="page"/>
      </w:r>
    </w:p>
    <w:tbl>
      <w:tblPr>
        <w:tblW w:w="12240" w:type="dxa"/>
        <w:tblInd w:w="-702" w:type="dxa"/>
        <w:tblLook w:val="04A0" w:firstRow="1" w:lastRow="0" w:firstColumn="1" w:lastColumn="0" w:noHBand="0" w:noVBand="1"/>
      </w:tblPr>
      <w:tblGrid>
        <w:gridCol w:w="12240"/>
      </w:tblGrid>
      <w:tr w:rsidR="00377FA3" w:rsidRPr="00377FA3" w14:paraId="3E1C4139" w14:textId="77777777" w:rsidTr="00D36B20">
        <w:trPr>
          <w:trHeight w:val="600"/>
        </w:trPr>
        <w:tc>
          <w:tcPr>
            <w:tcW w:w="12240" w:type="dxa"/>
            <w:tcBorders>
              <w:top w:val="nil"/>
              <w:left w:val="nil"/>
              <w:bottom w:val="double" w:sz="6" w:space="0" w:color="7F7F7F"/>
              <w:right w:val="nil"/>
            </w:tcBorders>
            <w:shd w:val="clear" w:color="auto" w:fill="D0CECE" w:themeFill="background2" w:themeFillShade="E6"/>
            <w:noWrap/>
            <w:vAlign w:val="bottom"/>
            <w:hideMark/>
          </w:tcPr>
          <w:p w14:paraId="3E1C4138" w14:textId="77777777" w:rsidR="00377FA3" w:rsidRPr="00377FA3" w:rsidRDefault="00377FA3" w:rsidP="00EB0734">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Summary of comments and DEQ responses</w:t>
            </w:r>
          </w:p>
        </w:tc>
      </w:tr>
    </w:tbl>
    <w:p w14:paraId="3E1C413A" w14:textId="77777777" w:rsidR="00377FA3" w:rsidRPr="00377FA3" w:rsidRDefault="00377FA3" w:rsidP="00377FA3">
      <w:pPr>
        <w:rPr>
          <w:color w:val="32525C"/>
        </w:rPr>
      </w:pPr>
      <w:r w:rsidRPr="00377FA3">
        <w:rPr>
          <w:color w:val="32525C"/>
        </w:rPr>
        <w:t>  </w:t>
      </w:r>
    </w:p>
    <w:p w14:paraId="3E1C413B" w14:textId="77777777" w:rsidR="00377FA3" w:rsidRPr="00377FA3" w:rsidRDefault="00377FA3" w:rsidP="004646AA">
      <w:pPr>
        <w:ind w:right="630"/>
        <w:rPr>
          <w:color w:val="385623" w:themeColor="accent6" w:themeShade="80"/>
        </w:rPr>
      </w:pPr>
      <w:r w:rsidRPr="00377FA3">
        <w:rPr>
          <w:bCs/>
          <w:color w:val="000000" w:themeColor="text1"/>
        </w:rPr>
        <w:t xml:space="preserve">For public comments received by the close of the public comment period, </w:t>
      </w:r>
      <w:r w:rsidR="005D2E7B">
        <w:rPr>
          <w:bCs/>
          <w:color w:val="000000" w:themeColor="text1"/>
        </w:rPr>
        <w:t>DEQ</w:t>
      </w:r>
      <w:r w:rsidRPr="00377FA3">
        <w:rPr>
          <w:color w:val="000000" w:themeColor="text1"/>
        </w:rPr>
        <w:t xml:space="preserve"> or</w:t>
      </w:r>
      <w:r w:rsidRPr="00377FA3">
        <w:rPr>
          <w:bCs/>
          <w:color w:val="000000" w:themeColor="text1"/>
        </w:rPr>
        <w:t>ganize</w:t>
      </w:r>
      <w:r w:rsidR="005D2E7B">
        <w:rPr>
          <w:bCs/>
          <w:color w:val="000000" w:themeColor="text1"/>
        </w:rPr>
        <w:t>d the</w:t>
      </w:r>
      <w:r w:rsidRPr="00377FA3">
        <w:rPr>
          <w:bCs/>
          <w:color w:val="000000" w:themeColor="text1"/>
        </w:rPr>
        <w:t xml:space="preserve"> comments into </w:t>
      </w:r>
      <w:r w:rsidR="005D2E7B" w:rsidRPr="005D2E7B">
        <w:rPr>
          <w:bCs/>
        </w:rPr>
        <w:t>two</w:t>
      </w:r>
      <w:r w:rsidRPr="005D2E7B">
        <w:rPr>
          <w:bCs/>
        </w:rPr>
        <w:t xml:space="preserve"> </w:t>
      </w:r>
      <w:r w:rsidRPr="00377FA3">
        <w:rPr>
          <w:bCs/>
          <w:color w:val="000000" w:themeColor="text1"/>
        </w:rPr>
        <w:t>categories with cross references to the commenter number. DEQ’s response follows the summary. Original comments are on file with DEQ.</w:t>
      </w:r>
    </w:p>
    <w:p w14:paraId="3E1C413C" w14:textId="77777777" w:rsidR="00377FA3" w:rsidRPr="00377FA3" w:rsidRDefault="00377FA3" w:rsidP="004646AA">
      <w:pPr>
        <w:ind w:right="835"/>
        <w:rPr>
          <w:rStyle w:val="Emphasis"/>
          <w:caps/>
          <w:vanish w:val="0"/>
          <w:color w:val="806000" w:themeColor="accent4" w:themeShade="80"/>
          <w:sz w:val="24"/>
        </w:rPr>
      </w:pPr>
    </w:p>
    <w:p w14:paraId="3E1C413D" w14:textId="77777777" w:rsidR="00377FA3" w:rsidRPr="00B64E7A" w:rsidRDefault="00377FA3" w:rsidP="004646AA">
      <w:pPr>
        <w:ind w:right="828"/>
      </w:pPr>
      <w:r w:rsidRPr="00B64E7A">
        <w:t>DEQ did not change the proposed rules in response to comments.</w:t>
      </w:r>
    </w:p>
    <w:p w14:paraId="3E1C413E" w14:textId="77777777" w:rsidR="00377FA3" w:rsidRPr="00377FA3" w:rsidRDefault="00377FA3" w:rsidP="004646AA">
      <w:pPr>
        <w:ind w:right="828"/>
        <w:rPr>
          <w:color w:val="806000" w:themeColor="accent4" w:themeShade="80"/>
        </w:rPr>
      </w:pPr>
    </w:p>
    <w:p w14:paraId="3E1C413F" w14:textId="77777777" w:rsidR="00377FA3" w:rsidRPr="00377FA3" w:rsidRDefault="004646AA" w:rsidP="004646AA">
      <w:pPr>
        <w:tabs>
          <w:tab w:val="left" w:pos="1080"/>
        </w:tabs>
        <w:ind w:right="634"/>
      </w:pPr>
      <w:r>
        <w:rPr>
          <w:b/>
          <w:bCs/>
        </w:rPr>
        <w:t xml:space="preserve">Comment 1 </w:t>
      </w:r>
    </w:p>
    <w:p w14:paraId="3E1C4140" w14:textId="77777777" w:rsidR="00D150AE" w:rsidRDefault="00377FA3" w:rsidP="004646AA">
      <w:pPr>
        <w:pStyle w:val="ListParagraph"/>
        <w:ind w:left="1440" w:right="634"/>
        <w:contextualSpacing w:val="0"/>
        <w:rPr>
          <w:bCs/>
          <w:color w:val="000000" w:themeColor="text1"/>
        </w:rPr>
      </w:pPr>
      <w:r w:rsidRPr="00377FA3">
        <w:rPr>
          <w:bCs/>
          <w:color w:val="000000" w:themeColor="text1"/>
        </w:rPr>
        <w:t>DEQ received</w:t>
      </w:r>
      <w:r w:rsidRPr="00377FA3">
        <w:rPr>
          <w:rStyle w:val="Emphasis"/>
          <w:vanish w:val="0"/>
          <w:color w:val="000000" w:themeColor="text1"/>
          <w:sz w:val="24"/>
        </w:rPr>
        <w:t xml:space="preserve"> </w:t>
      </w:r>
      <w:r w:rsidR="005D2E7B">
        <w:rPr>
          <w:rStyle w:val="Emphasis"/>
          <w:vanish w:val="0"/>
          <w:color w:val="000000" w:themeColor="text1"/>
          <w:sz w:val="24"/>
        </w:rPr>
        <w:t xml:space="preserve">questions regarding </w:t>
      </w:r>
      <w:r w:rsidR="005D2E7B">
        <w:rPr>
          <w:bCs/>
          <w:color w:val="000000" w:themeColor="text1"/>
        </w:rPr>
        <w:t>implementation of the Title V permitting program, no specific comments on the proposed rules</w:t>
      </w:r>
      <w:r w:rsidR="005D2E7B" w:rsidRPr="00377FA3">
        <w:rPr>
          <w:bCs/>
          <w:color w:val="000000" w:themeColor="text1"/>
        </w:rPr>
        <w:t xml:space="preserve"> </w:t>
      </w:r>
      <w:r w:rsidRPr="00377FA3">
        <w:rPr>
          <w:bCs/>
          <w:color w:val="000000" w:themeColor="text1"/>
        </w:rPr>
        <w:t>from commenter</w:t>
      </w:r>
      <w:r w:rsidR="00D150AE">
        <w:rPr>
          <w:bCs/>
          <w:color w:val="000000" w:themeColor="text1"/>
        </w:rPr>
        <w:t xml:space="preserve"> #1.</w:t>
      </w:r>
    </w:p>
    <w:p w14:paraId="3E1C4141" w14:textId="77777777" w:rsidR="00D150AE" w:rsidRDefault="00D150AE" w:rsidP="004646AA">
      <w:pPr>
        <w:pStyle w:val="ListParagraph"/>
        <w:ind w:left="1440" w:right="634"/>
        <w:contextualSpacing w:val="0"/>
        <w:rPr>
          <w:bCs/>
          <w:color w:val="000000" w:themeColor="text1"/>
        </w:rPr>
      </w:pPr>
    </w:p>
    <w:p w14:paraId="3E1C4142" w14:textId="77777777" w:rsidR="004646AA" w:rsidRDefault="00377FA3" w:rsidP="004646AA">
      <w:pPr>
        <w:ind w:left="2880" w:right="630" w:hanging="1800"/>
        <w:rPr>
          <w:b/>
          <w:bCs/>
          <w:color w:val="000000" w:themeColor="text1"/>
        </w:rPr>
      </w:pPr>
      <w:r w:rsidRPr="004646AA">
        <w:rPr>
          <w:b/>
          <w:bCs/>
          <w:color w:val="000000" w:themeColor="text1"/>
        </w:rPr>
        <w:t>Response</w:t>
      </w:r>
    </w:p>
    <w:p w14:paraId="3E1C4143" w14:textId="77777777" w:rsidR="001902DF" w:rsidRDefault="001902DF" w:rsidP="001902DF">
      <w:pPr>
        <w:pStyle w:val="ListParagraph"/>
        <w:ind w:left="1440" w:right="634"/>
        <w:contextualSpacing w:val="0"/>
        <w:rPr>
          <w:rStyle w:val="Emphasis"/>
          <w:vanish w:val="0"/>
          <w:color w:val="806000" w:themeColor="accent4" w:themeShade="80"/>
          <w:sz w:val="24"/>
        </w:rPr>
      </w:pPr>
      <w:r>
        <w:rPr>
          <w:bCs/>
          <w:color w:val="000000" w:themeColor="text1"/>
        </w:rPr>
        <w:t xml:space="preserve">DEQ wrote a letter to the commenter answering questions about </w:t>
      </w:r>
      <w:r w:rsidR="00C50058">
        <w:rPr>
          <w:bCs/>
          <w:color w:val="000000" w:themeColor="text1"/>
        </w:rPr>
        <w:t xml:space="preserve">the </w:t>
      </w:r>
      <w:r>
        <w:rPr>
          <w:bCs/>
          <w:color w:val="000000" w:themeColor="text1"/>
        </w:rPr>
        <w:t xml:space="preserve">resources to implement the Title V permitting program.  </w:t>
      </w:r>
    </w:p>
    <w:p w14:paraId="3E1C4144" w14:textId="77777777" w:rsidR="00377FA3" w:rsidRPr="00377FA3" w:rsidRDefault="00377FA3" w:rsidP="004646AA">
      <w:pPr>
        <w:ind w:right="630"/>
        <w:rPr>
          <w:bCs/>
          <w:color w:val="000000" w:themeColor="text1"/>
        </w:rPr>
      </w:pPr>
    </w:p>
    <w:p w14:paraId="3E1C4145" w14:textId="77777777" w:rsidR="004646AA" w:rsidRDefault="00377FA3" w:rsidP="004646AA">
      <w:pPr>
        <w:pStyle w:val="ListParagraph"/>
        <w:tabs>
          <w:tab w:val="left" w:pos="1080"/>
        </w:tabs>
        <w:ind w:right="634"/>
        <w:contextualSpacing w:val="0"/>
        <w:rPr>
          <w:b/>
          <w:bCs/>
        </w:rPr>
      </w:pPr>
      <w:r w:rsidRPr="00377FA3">
        <w:rPr>
          <w:b/>
          <w:bCs/>
        </w:rPr>
        <w:t>Comment</w:t>
      </w:r>
      <w:r w:rsidR="004646AA">
        <w:rPr>
          <w:b/>
          <w:bCs/>
        </w:rPr>
        <w:t xml:space="preserve"> 2</w:t>
      </w:r>
    </w:p>
    <w:p w14:paraId="3E1C4146" w14:textId="77777777" w:rsidR="00264F32" w:rsidRDefault="00264F32" w:rsidP="00264F32">
      <w:pPr>
        <w:pStyle w:val="ListParagraph"/>
        <w:ind w:left="144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vanish w:val="0"/>
          <w:color w:val="000000" w:themeColor="text1"/>
          <w:sz w:val="24"/>
        </w:rPr>
        <w:t xml:space="preserve"> </w:t>
      </w:r>
      <w:r w:rsidR="005D2E7B">
        <w:rPr>
          <w:rStyle w:val="Emphasis"/>
          <w:vanish w:val="0"/>
          <w:color w:val="000000" w:themeColor="text1"/>
          <w:sz w:val="24"/>
        </w:rPr>
        <w:t xml:space="preserve">a </w:t>
      </w:r>
      <w:r w:rsidRPr="00377FA3">
        <w:rPr>
          <w:bCs/>
          <w:color w:val="000000" w:themeColor="text1"/>
        </w:rPr>
        <w:t>comment</w:t>
      </w:r>
      <w:r w:rsidR="005D2E7B">
        <w:rPr>
          <w:bCs/>
          <w:color w:val="000000" w:themeColor="text1"/>
        </w:rPr>
        <w:t xml:space="preserve"> </w:t>
      </w:r>
      <w:r w:rsidRPr="00377FA3">
        <w:rPr>
          <w:bCs/>
          <w:color w:val="000000" w:themeColor="text1"/>
        </w:rPr>
        <w:t>from commenter</w:t>
      </w:r>
      <w:r w:rsidR="00AA0BEB">
        <w:rPr>
          <w:bCs/>
          <w:color w:val="000000" w:themeColor="text1"/>
        </w:rPr>
        <w:t xml:space="preserve"> #2 in support of the proposed </w:t>
      </w:r>
      <w:r w:rsidR="00AA0BEB" w:rsidRPr="00AA0BEB">
        <w:rPr>
          <w:bCs/>
          <w:color w:val="000000" w:themeColor="text1"/>
        </w:rPr>
        <w:t xml:space="preserve">increase </w:t>
      </w:r>
      <w:r w:rsidR="00AA0BEB">
        <w:rPr>
          <w:bCs/>
          <w:color w:val="000000" w:themeColor="text1"/>
        </w:rPr>
        <w:t xml:space="preserve">in </w:t>
      </w:r>
      <w:r w:rsidR="00AA0BEB" w:rsidRPr="00AA0BEB">
        <w:rPr>
          <w:bCs/>
          <w:color w:val="000000" w:themeColor="text1"/>
        </w:rPr>
        <w:t>Title V operating permit fees by the change in the consumer price index (CPI)</w:t>
      </w:r>
      <w:r w:rsidR="00AA0BEB">
        <w:rPr>
          <w:bCs/>
          <w:color w:val="000000" w:themeColor="text1"/>
        </w:rPr>
        <w:t xml:space="preserve">.  </w:t>
      </w:r>
    </w:p>
    <w:p w14:paraId="3E1C4147" w14:textId="77777777" w:rsidR="00264F32" w:rsidRDefault="00264F32" w:rsidP="001B0B23">
      <w:pPr>
        <w:pStyle w:val="ListParagraph"/>
        <w:ind w:left="1440" w:right="634"/>
        <w:contextualSpacing w:val="0"/>
        <w:rPr>
          <w:rStyle w:val="Emphasis"/>
          <w:caps/>
          <w:vanish w:val="0"/>
          <w:color w:val="806000" w:themeColor="accent4" w:themeShade="80"/>
          <w:sz w:val="24"/>
        </w:rPr>
      </w:pPr>
    </w:p>
    <w:p w14:paraId="3E1C4148" w14:textId="77777777" w:rsidR="004646AA" w:rsidRDefault="00377FA3" w:rsidP="004646AA">
      <w:pPr>
        <w:ind w:left="2880" w:right="630" w:hanging="1800"/>
        <w:rPr>
          <w:b/>
          <w:bCs/>
          <w:color w:val="000000" w:themeColor="text1"/>
        </w:rPr>
      </w:pPr>
      <w:r w:rsidRPr="004646AA">
        <w:rPr>
          <w:b/>
          <w:bCs/>
          <w:color w:val="000000" w:themeColor="text1"/>
        </w:rPr>
        <w:t>Response</w:t>
      </w:r>
    </w:p>
    <w:p w14:paraId="3E1C4149" w14:textId="77777777" w:rsidR="005D2E7B" w:rsidRDefault="005D2E7B" w:rsidP="005D2E7B">
      <w:pPr>
        <w:pStyle w:val="ListParagraph"/>
        <w:ind w:left="1440" w:right="634"/>
        <w:contextualSpacing w:val="0"/>
        <w:rPr>
          <w:bCs/>
          <w:color w:val="000000" w:themeColor="text1"/>
        </w:rPr>
      </w:pPr>
      <w:r>
        <w:rPr>
          <w:bCs/>
          <w:color w:val="000000" w:themeColor="text1"/>
        </w:rPr>
        <w:t>DEQ agrees with the commenter and appreciates the support of the proposed rule changes.</w:t>
      </w:r>
    </w:p>
    <w:p w14:paraId="3E1C414A" w14:textId="77777777" w:rsidR="005D2E7B" w:rsidRDefault="005D2E7B" w:rsidP="005D2E7B">
      <w:pPr>
        <w:pStyle w:val="ListParagraph"/>
        <w:ind w:left="1440" w:right="634"/>
        <w:contextualSpacing w:val="0"/>
        <w:rPr>
          <w:bCs/>
          <w:color w:val="000000" w:themeColor="text1"/>
        </w:rPr>
      </w:pPr>
    </w:p>
    <w:p w14:paraId="3E1C414B" w14:textId="77777777" w:rsidR="00586C3E" w:rsidRDefault="00377FA3" w:rsidP="005D2E7B">
      <w:pPr>
        <w:pStyle w:val="ListParagraph"/>
        <w:ind w:left="1440" w:right="634"/>
        <w:contextualSpacing w:val="0"/>
        <w:rPr>
          <w:b/>
          <w:bCs/>
          <w:color w:val="806000" w:themeColor="accent4" w:themeShade="80"/>
        </w:rPr>
      </w:pPr>
      <w:r w:rsidRPr="004646AA">
        <w:rPr>
          <w:b/>
          <w:bCs/>
          <w:color w:val="806000" w:themeColor="accent4" w:themeShade="80"/>
        </w:rPr>
        <w:tab/>
      </w:r>
    </w:p>
    <w:p w14:paraId="3E1C414C" w14:textId="77777777" w:rsidR="00586C3E" w:rsidRDefault="00586C3E">
      <w:pPr>
        <w:spacing w:after="160" w:line="259" w:lineRule="auto"/>
        <w:ind w:left="0" w:right="0"/>
        <w:outlineLvl w:val="9"/>
        <w:rPr>
          <w:b/>
          <w:bCs/>
          <w:color w:val="806000" w:themeColor="accent4" w:themeShade="80"/>
        </w:rPr>
      </w:pPr>
      <w:r>
        <w:rPr>
          <w:b/>
          <w:bCs/>
          <w:color w:val="806000" w:themeColor="accent4" w:themeShade="80"/>
        </w:rPr>
        <w:br w:type="page"/>
      </w:r>
    </w:p>
    <w:tbl>
      <w:tblPr>
        <w:tblW w:w="12240" w:type="dxa"/>
        <w:tblInd w:w="-702" w:type="dxa"/>
        <w:tblLook w:val="04A0" w:firstRow="1" w:lastRow="0" w:firstColumn="1" w:lastColumn="0" w:noHBand="0" w:noVBand="1"/>
      </w:tblPr>
      <w:tblGrid>
        <w:gridCol w:w="12240"/>
      </w:tblGrid>
      <w:tr w:rsidR="00377FA3" w:rsidRPr="00377FA3" w14:paraId="3E1C414E" w14:textId="77777777" w:rsidTr="00D36B20">
        <w:trPr>
          <w:trHeight w:val="600"/>
        </w:trPr>
        <w:tc>
          <w:tcPr>
            <w:tcW w:w="12240" w:type="dxa"/>
            <w:tcBorders>
              <w:top w:val="nil"/>
              <w:left w:val="nil"/>
              <w:bottom w:val="double" w:sz="6" w:space="0" w:color="7F7F7F"/>
              <w:right w:val="nil"/>
            </w:tcBorders>
            <w:shd w:val="clear" w:color="auto" w:fill="D0CECE" w:themeFill="background2" w:themeFillShade="E6"/>
            <w:noWrap/>
            <w:vAlign w:val="bottom"/>
            <w:hideMark/>
          </w:tcPr>
          <w:p w14:paraId="3E1C414D" w14:textId="77777777" w:rsidR="00377FA3" w:rsidRPr="00D36B20" w:rsidRDefault="00377FA3" w:rsidP="00EB0734">
            <w:pPr>
              <w:ind w:left="0"/>
              <w:rPr>
                <w:b/>
                <w:bCs/>
                <w:color w:val="385623" w:themeColor="accent6" w:themeShade="80"/>
                <w:sz w:val="28"/>
                <w:szCs w:val="28"/>
              </w:rPr>
            </w:pPr>
            <w:r w:rsidRPr="00377FA3">
              <w:rPr>
                <w:bCs/>
                <w:color w:val="32525C"/>
                <w:sz w:val="28"/>
                <w:szCs w:val="28"/>
              </w:rPr>
              <w:lastRenderedPageBreak/>
              <w:tab/>
            </w:r>
            <w:r w:rsidRPr="00D36B20">
              <w:rPr>
                <w:b/>
                <w:bCs/>
                <w:color w:val="385623" w:themeColor="accent6" w:themeShade="80"/>
                <w:sz w:val="28"/>
                <w:szCs w:val="28"/>
              </w:rPr>
              <w:t>Commenters</w:t>
            </w:r>
          </w:p>
        </w:tc>
      </w:tr>
    </w:tbl>
    <w:p w14:paraId="3E1C414F" w14:textId="77777777" w:rsidR="00377FA3" w:rsidRPr="00377FA3" w:rsidRDefault="00377FA3" w:rsidP="00377FA3">
      <w:pPr>
        <w:rPr>
          <w:color w:val="32525C"/>
        </w:rPr>
      </w:pPr>
      <w:r w:rsidRPr="00377FA3">
        <w:rPr>
          <w:color w:val="32525C"/>
        </w:rPr>
        <w:t>  </w:t>
      </w:r>
    </w:p>
    <w:p w14:paraId="3E1C4150" w14:textId="77777777" w:rsidR="00377FA3" w:rsidRPr="00D36B20" w:rsidRDefault="00377FA3" w:rsidP="00377FA3">
      <w:pPr>
        <w:pStyle w:val="Heading2"/>
        <w:rPr>
          <w:rFonts w:ascii="Arial" w:hAnsi="Arial" w:cs="Arial"/>
          <w:szCs w:val="22"/>
        </w:rPr>
      </w:pPr>
      <w:r w:rsidRPr="00D36B20">
        <w:rPr>
          <w:rFonts w:ascii="Arial" w:hAnsi="Arial" w:cs="Arial"/>
          <w:szCs w:val="22"/>
        </w:rPr>
        <w:t>Comments received by close of public comment period</w:t>
      </w:r>
    </w:p>
    <w:p w14:paraId="3E1C4151" w14:textId="77777777" w:rsidR="00377FA3" w:rsidRDefault="00377FA3" w:rsidP="00377FA3">
      <w:pPr>
        <w:spacing w:after="120"/>
        <w:ind w:right="630"/>
        <w:rPr>
          <w:bCs/>
          <w:color w:val="000000" w:themeColor="text1"/>
        </w:rPr>
      </w:pPr>
      <w:r w:rsidRPr="00377FA3">
        <w:rPr>
          <w:color w:val="000000" w:themeColor="text1"/>
        </w:rPr>
        <w:t xml:space="preserve">The table below lists people and organizations that submitted public </w:t>
      </w:r>
      <w:r w:rsidRPr="00377FA3">
        <w:rPr>
          <w:bCs/>
          <w:color w:val="000000" w:themeColor="text1"/>
        </w:rPr>
        <w:t xml:space="preserve">comments about the proposed rules by the deadline. Original comments are on file with DEQ. </w:t>
      </w: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3555"/>
        <w:gridCol w:w="1485"/>
        <w:gridCol w:w="1170"/>
      </w:tblGrid>
      <w:tr w:rsidR="00D8597B" w:rsidRPr="00E16CB8" w14:paraId="3E1C4153" w14:textId="77777777" w:rsidTr="00746C81">
        <w:trPr>
          <w:trHeight w:val="881"/>
        </w:trPr>
        <w:tc>
          <w:tcPr>
            <w:tcW w:w="10705" w:type="dxa"/>
            <w:gridSpan w:val="5"/>
            <w:shd w:val="clear" w:color="auto" w:fill="C5E0B3" w:themeFill="accent6" w:themeFillTint="66"/>
            <w:tcMar>
              <w:top w:w="43" w:type="dxa"/>
              <w:left w:w="43" w:type="dxa"/>
              <w:bottom w:w="43" w:type="dxa"/>
              <w:right w:w="43" w:type="dxa"/>
            </w:tcMar>
            <w:vAlign w:val="center"/>
          </w:tcPr>
          <w:p w14:paraId="3E1C4152" w14:textId="77777777"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567FC7" w:rsidRPr="00E16CB8" w14:paraId="3E1C4159" w14:textId="77777777" w:rsidTr="000D03CC">
        <w:tc>
          <w:tcPr>
            <w:tcW w:w="715" w:type="dxa"/>
            <w:shd w:val="clear" w:color="auto" w:fill="385623" w:themeFill="accent6" w:themeFillShade="80"/>
            <w:tcMar>
              <w:top w:w="43" w:type="dxa"/>
              <w:left w:w="43" w:type="dxa"/>
              <w:bottom w:w="43" w:type="dxa"/>
              <w:right w:w="43" w:type="dxa"/>
            </w:tcMar>
            <w:vAlign w:val="center"/>
          </w:tcPr>
          <w:p w14:paraId="3E1C4154" w14:textId="77777777" w:rsidR="00567FC7" w:rsidRPr="001B7270" w:rsidRDefault="000D03CC"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14:paraId="3E1C4155" w14:textId="77777777" w:rsidR="00567FC7" w:rsidRPr="001B7270" w:rsidRDefault="00567FC7"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3555" w:type="dxa"/>
            <w:shd w:val="clear" w:color="auto" w:fill="385623" w:themeFill="accent6" w:themeFillShade="80"/>
            <w:tcMar>
              <w:top w:w="43" w:type="dxa"/>
              <w:left w:w="43" w:type="dxa"/>
              <w:bottom w:w="43" w:type="dxa"/>
              <w:right w:w="43" w:type="dxa"/>
            </w:tcMar>
            <w:vAlign w:val="center"/>
          </w:tcPr>
          <w:p w14:paraId="3E1C4156" w14:textId="77777777" w:rsidR="00567FC7" w:rsidRPr="001B7270" w:rsidRDefault="00567FC7" w:rsidP="002B207D">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c>
          <w:tcPr>
            <w:tcW w:w="1485" w:type="dxa"/>
            <w:shd w:val="clear" w:color="auto" w:fill="385623" w:themeFill="accent6" w:themeFillShade="80"/>
            <w:tcMar>
              <w:top w:w="43" w:type="dxa"/>
              <w:left w:w="43" w:type="dxa"/>
              <w:bottom w:w="43" w:type="dxa"/>
              <w:right w:w="43" w:type="dxa"/>
            </w:tcMar>
            <w:vAlign w:val="center"/>
          </w:tcPr>
          <w:p w14:paraId="3E1C4157" w14:textId="77777777" w:rsidR="00567FC7" w:rsidRPr="001B7270" w:rsidRDefault="00567FC7" w:rsidP="00746C81">
            <w:pPr>
              <w:ind w:left="0" w:right="0"/>
              <w:jc w:val="center"/>
              <w:rPr>
                <w:rFonts w:ascii="Arial" w:hAnsi="Arial" w:cs="Arial"/>
                <w:b/>
                <w:color w:val="FFFFFF" w:themeColor="background1"/>
              </w:rPr>
            </w:pPr>
            <w:r w:rsidRPr="001B7270">
              <w:rPr>
                <w:rFonts w:ascii="Arial" w:hAnsi="Arial" w:cs="Arial"/>
                <w:b/>
                <w:color w:val="FFFFFF" w:themeColor="background1"/>
                <w:sz w:val="24"/>
                <w:szCs w:val="24"/>
              </w:rPr>
              <w:t>Comment Categor</w:t>
            </w:r>
            <w:r>
              <w:rPr>
                <w:rFonts w:ascii="Arial" w:hAnsi="Arial" w:cs="Arial"/>
                <w:b/>
                <w:color w:val="FFFFFF" w:themeColor="background1"/>
                <w:sz w:val="24"/>
                <w:szCs w:val="24"/>
              </w:rPr>
              <w:t>y</w:t>
            </w:r>
          </w:p>
        </w:tc>
        <w:tc>
          <w:tcPr>
            <w:tcW w:w="1170" w:type="dxa"/>
            <w:shd w:val="clear" w:color="auto" w:fill="385623" w:themeFill="accent6" w:themeFillShade="80"/>
            <w:vAlign w:val="center"/>
          </w:tcPr>
          <w:p w14:paraId="3E1C4158" w14:textId="77777777" w:rsidR="00567FC7" w:rsidRPr="001B7270" w:rsidRDefault="00567FC7" w:rsidP="009B6D76">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Hearing #</w:t>
            </w:r>
          </w:p>
        </w:tc>
      </w:tr>
      <w:tr w:rsidR="00567FC7" w:rsidRPr="00E16CB8" w14:paraId="3E1C415F" w14:textId="77777777" w:rsidTr="000D03CC">
        <w:tc>
          <w:tcPr>
            <w:tcW w:w="715" w:type="dxa"/>
            <w:tcMar>
              <w:top w:w="43" w:type="dxa"/>
              <w:left w:w="43" w:type="dxa"/>
              <w:bottom w:w="43" w:type="dxa"/>
              <w:right w:w="43" w:type="dxa"/>
            </w:tcMar>
            <w:vAlign w:val="center"/>
          </w:tcPr>
          <w:p w14:paraId="3E1C415A" w14:textId="77777777" w:rsidR="00567FC7" w:rsidRPr="002C2E35" w:rsidRDefault="00157BBD" w:rsidP="00157BBD">
            <w:pPr>
              <w:ind w:left="0" w:right="0"/>
              <w:jc w:val="center"/>
              <w:rPr>
                <w:rFonts w:ascii="Arial" w:hAnsi="Arial" w:cs="Arial"/>
              </w:rPr>
            </w:pPr>
            <w:r>
              <w:rPr>
                <w:rFonts w:ascii="Arial" w:hAnsi="Arial" w:cs="Arial"/>
              </w:rPr>
              <w:t>1</w:t>
            </w:r>
          </w:p>
        </w:tc>
        <w:tc>
          <w:tcPr>
            <w:tcW w:w="3780" w:type="dxa"/>
            <w:vAlign w:val="center"/>
          </w:tcPr>
          <w:p w14:paraId="3E1C415B" w14:textId="77777777" w:rsidR="00567FC7" w:rsidRPr="002C2E35" w:rsidRDefault="00157BBD" w:rsidP="002B207D">
            <w:pPr>
              <w:ind w:left="0" w:right="0"/>
              <w:rPr>
                <w:rFonts w:ascii="Arial" w:hAnsi="Arial" w:cs="Arial"/>
              </w:rPr>
            </w:pPr>
            <w:r>
              <w:rPr>
                <w:rFonts w:ascii="Arial" w:hAnsi="Arial" w:cs="Arial"/>
              </w:rPr>
              <w:t>Kathryn VanNatta</w:t>
            </w:r>
          </w:p>
        </w:tc>
        <w:tc>
          <w:tcPr>
            <w:tcW w:w="3555" w:type="dxa"/>
            <w:tcMar>
              <w:top w:w="43" w:type="dxa"/>
              <w:left w:w="43" w:type="dxa"/>
              <w:bottom w:w="43" w:type="dxa"/>
              <w:right w:w="43" w:type="dxa"/>
            </w:tcMar>
            <w:vAlign w:val="center"/>
          </w:tcPr>
          <w:p w14:paraId="3E1C415C" w14:textId="77777777" w:rsidR="00567FC7" w:rsidRPr="002C2E35" w:rsidRDefault="00157BBD" w:rsidP="002B207D">
            <w:pPr>
              <w:ind w:left="0" w:right="0"/>
              <w:rPr>
                <w:rFonts w:ascii="Arial" w:hAnsi="Arial" w:cs="Arial"/>
              </w:rPr>
            </w:pPr>
            <w:r>
              <w:rPr>
                <w:rFonts w:ascii="Arial" w:hAnsi="Arial" w:cs="Arial"/>
              </w:rPr>
              <w:t>Northwest Pulp and Paper Association</w:t>
            </w:r>
          </w:p>
        </w:tc>
        <w:tc>
          <w:tcPr>
            <w:tcW w:w="1485" w:type="dxa"/>
            <w:tcMar>
              <w:top w:w="43" w:type="dxa"/>
              <w:left w:w="43" w:type="dxa"/>
              <w:bottom w:w="43" w:type="dxa"/>
              <w:right w:w="43" w:type="dxa"/>
            </w:tcMar>
            <w:vAlign w:val="center"/>
          </w:tcPr>
          <w:p w14:paraId="3E1C415D" w14:textId="77777777" w:rsidR="00567FC7" w:rsidRPr="002C2E35" w:rsidRDefault="00157BBD" w:rsidP="00157BBD">
            <w:pPr>
              <w:ind w:left="0" w:right="0"/>
              <w:jc w:val="center"/>
              <w:rPr>
                <w:rFonts w:ascii="Arial" w:hAnsi="Arial" w:cs="Arial"/>
              </w:rPr>
            </w:pPr>
            <w:r>
              <w:rPr>
                <w:rFonts w:ascii="Arial" w:hAnsi="Arial" w:cs="Arial"/>
              </w:rPr>
              <w:t>1</w:t>
            </w:r>
          </w:p>
        </w:tc>
        <w:tc>
          <w:tcPr>
            <w:tcW w:w="1170" w:type="dxa"/>
            <w:vAlign w:val="center"/>
          </w:tcPr>
          <w:p w14:paraId="3E1C415E" w14:textId="77777777" w:rsidR="00567FC7" w:rsidRPr="002C2E35" w:rsidRDefault="00157BBD" w:rsidP="00157BBD">
            <w:pPr>
              <w:ind w:left="0" w:right="0"/>
              <w:jc w:val="center"/>
              <w:rPr>
                <w:rFonts w:ascii="Arial" w:hAnsi="Arial" w:cs="Arial"/>
              </w:rPr>
            </w:pPr>
            <w:r>
              <w:rPr>
                <w:rFonts w:ascii="Arial" w:hAnsi="Arial" w:cs="Arial"/>
              </w:rPr>
              <w:t>1</w:t>
            </w:r>
          </w:p>
        </w:tc>
      </w:tr>
      <w:tr w:rsidR="00567FC7" w:rsidRPr="00E16CB8" w14:paraId="3E1C4165" w14:textId="77777777" w:rsidTr="000D03CC">
        <w:tc>
          <w:tcPr>
            <w:tcW w:w="715" w:type="dxa"/>
            <w:tcMar>
              <w:top w:w="43" w:type="dxa"/>
              <w:left w:w="43" w:type="dxa"/>
              <w:bottom w:w="43" w:type="dxa"/>
              <w:right w:w="43" w:type="dxa"/>
            </w:tcMar>
            <w:vAlign w:val="center"/>
          </w:tcPr>
          <w:p w14:paraId="3E1C4160" w14:textId="77777777" w:rsidR="00567FC7" w:rsidRPr="002C2E35" w:rsidRDefault="00157BBD" w:rsidP="00157BBD">
            <w:pPr>
              <w:ind w:left="0" w:right="0"/>
              <w:jc w:val="center"/>
              <w:rPr>
                <w:rFonts w:ascii="Arial" w:hAnsi="Arial" w:cs="Arial"/>
              </w:rPr>
            </w:pPr>
            <w:r>
              <w:rPr>
                <w:rFonts w:ascii="Arial" w:hAnsi="Arial" w:cs="Arial"/>
              </w:rPr>
              <w:t>2</w:t>
            </w:r>
          </w:p>
        </w:tc>
        <w:tc>
          <w:tcPr>
            <w:tcW w:w="3780" w:type="dxa"/>
            <w:vAlign w:val="center"/>
          </w:tcPr>
          <w:p w14:paraId="3E1C4161" w14:textId="77777777" w:rsidR="00567FC7" w:rsidRPr="002C2E35" w:rsidRDefault="00157BBD" w:rsidP="002B207D">
            <w:pPr>
              <w:ind w:left="0" w:right="0"/>
              <w:rPr>
                <w:rFonts w:ascii="Arial" w:hAnsi="Arial" w:cs="Arial"/>
              </w:rPr>
            </w:pPr>
            <w:r>
              <w:rPr>
                <w:rFonts w:ascii="Arial" w:hAnsi="Arial" w:cs="Arial"/>
              </w:rPr>
              <w:t>Dresden Skees-Gregory</w:t>
            </w:r>
          </w:p>
        </w:tc>
        <w:tc>
          <w:tcPr>
            <w:tcW w:w="3555" w:type="dxa"/>
            <w:tcMar>
              <w:top w:w="43" w:type="dxa"/>
              <w:left w:w="43" w:type="dxa"/>
              <w:bottom w:w="43" w:type="dxa"/>
              <w:right w:w="43" w:type="dxa"/>
            </w:tcMar>
            <w:vAlign w:val="center"/>
          </w:tcPr>
          <w:p w14:paraId="3E1C4162" w14:textId="77777777" w:rsidR="00567FC7" w:rsidRPr="002C2E35" w:rsidRDefault="00157BBD" w:rsidP="002B207D">
            <w:pPr>
              <w:ind w:left="0" w:right="0"/>
              <w:rPr>
                <w:rFonts w:ascii="Arial" w:hAnsi="Arial" w:cs="Arial"/>
              </w:rPr>
            </w:pPr>
            <w:r w:rsidRPr="00157BBD">
              <w:rPr>
                <w:rFonts w:ascii="Arial" w:hAnsi="Arial" w:cs="Arial"/>
              </w:rPr>
              <w:t>Sustainable Environmental Services Corp.</w:t>
            </w:r>
          </w:p>
        </w:tc>
        <w:tc>
          <w:tcPr>
            <w:tcW w:w="1485" w:type="dxa"/>
            <w:tcMar>
              <w:top w:w="43" w:type="dxa"/>
              <w:left w:w="43" w:type="dxa"/>
              <w:bottom w:w="43" w:type="dxa"/>
              <w:right w:w="43" w:type="dxa"/>
            </w:tcMar>
            <w:vAlign w:val="center"/>
          </w:tcPr>
          <w:p w14:paraId="3E1C4163" w14:textId="77777777" w:rsidR="00567FC7" w:rsidRPr="002C2E35" w:rsidRDefault="00157BBD" w:rsidP="00157BBD">
            <w:pPr>
              <w:ind w:left="0" w:right="0"/>
              <w:jc w:val="center"/>
              <w:rPr>
                <w:rFonts w:ascii="Arial" w:hAnsi="Arial" w:cs="Arial"/>
              </w:rPr>
            </w:pPr>
            <w:r>
              <w:rPr>
                <w:rFonts w:ascii="Arial" w:hAnsi="Arial" w:cs="Arial"/>
              </w:rPr>
              <w:t>2</w:t>
            </w:r>
          </w:p>
        </w:tc>
        <w:tc>
          <w:tcPr>
            <w:tcW w:w="1170" w:type="dxa"/>
            <w:vAlign w:val="center"/>
          </w:tcPr>
          <w:p w14:paraId="3E1C4164" w14:textId="77777777" w:rsidR="00567FC7" w:rsidRPr="002C2E35" w:rsidRDefault="00157BBD" w:rsidP="00157BBD">
            <w:pPr>
              <w:ind w:left="0" w:right="0"/>
              <w:jc w:val="center"/>
              <w:rPr>
                <w:rFonts w:ascii="Arial" w:hAnsi="Arial" w:cs="Arial"/>
              </w:rPr>
            </w:pPr>
            <w:r>
              <w:rPr>
                <w:rFonts w:ascii="Arial" w:hAnsi="Arial" w:cs="Arial"/>
              </w:rPr>
              <w:t>1</w:t>
            </w:r>
          </w:p>
        </w:tc>
      </w:tr>
    </w:tbl>
    <w:p w14:paraId="3E1C4166" w14:textId="77777777" w:rsidR="00C22EDF" w:rsidRDefault="00C22EDF" w:rsidP="00C50058">
      <w:pPr>
        <w:ind w:left="0" w:right="1008"/>
        <w:rPr>
          <w:color w:val="32525C"/>
        </w:rPr>
      </w:pPr>
    </w:p>
    <w:p w14:paraId="3E1C4167" w14:textId="77777777" w:rsidR="00586C3E" w:rsidRDefault="00586C3E">
      <w:pPr>
        <w:spacing w:after="160" w:line="259" w:lineRule="auto"/>
        <w:ind w:left="0" w:right="0"/>
        <w:outlineLvl w:val="9"/>
        <w:rPr>
          <w:color w:val="32525C"/>
        </w:rPr>
      </w:pPr>
      <w:r>
        <w:rPr>
          <w:color w:val="32525C"/>
        </w:rPr>
        <w:br w:type="page"/>
      </w:r>
    </w:p>
    <w:tbl>
      <w:tblPr>
        <w:tblW w:w="12240" w:type="dxa"/>
        <w:tblInd w:w="-702" w:type="dxa"/>
        <w:tblLook w:val="04A0" w:firstRow="1" w:lastRow="0" w:firstColumn="1" w:lastColumn="0" w:noHBand="0" w:noVBand="1"/>
      </w:tblPr>
      <w:tblGrid>
        <w:gridCol w:w="12240"/>
      </w:tblGrid>
      <w:tr w:rsidR="00377FA3" w:rsidRPr="00377FA3" w14:paraId="3E1C4169" w14:textId="77777777" w:rsidTr="00D36B20">
        <w:trPr>
          <w:trHeight w:val="560"/>
        </w:trPr>
        <w:tc>
          <w:tcPr>
            <w:tcW w:w="12240" w:type="dxa"/>
            <w:tcBorders>
              <w:top w:val="nil"/>
              <w:left w:val="nil"/>
              <w:bottom w:val="double" w:sz="6" w:space="0" w:color="7F7F7F"/>
              <w:right w:val="nil"/>
            </w:tcBorders>
            <w:shd w:val="clear" w:color="auto" w:fill="D0CECE" w:themeFill="background2" w:themeFillShade="E6"/>
            <w:noWrap/>
            <w:vAlign w:val="bottom"/>
            <w:hideMark/>
          </w:tcPr>
          <w:p w14:paraId="3E1C4168" w14:textId="77777777" w:rsidR="00377FA3" w:rsidRPr="00377FA3" w:rsidRDefault="00377FA3" w:rsidP="00EB0734">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lastRenderedPageBreak/>
              <w:t xml:space="preserve">Implementation </w:t>
            </w:r>
          </w:p>
        </w:tc>
      </w:tr>
    </w:tbl>
    <w:p w14:paraId="3E1C416A" w14:textId="77777777" w:rsidR="00377FA3" w:rsidRPr="00377FA3" w:rsidRDefault="00377FA3" w:rsidP="00377FA3">
      <w:r w:rsidRPr="00377FA3">
        <w:t>  </w:t>
      </w:r>
    </w:p>
    <w:p w14:paraId="3E1C416B"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3E1C416C" w14:textId="0A53681F" w:rsidR="00377FA3" w:rsidRDefault="00C22EDF" w:rsidP="00C22EDF">
      <w:pPr>
        <w:spacing w:after="120"/>
        <w:ind w:right="1008"/>
        <w:rPr>
          <w:color w:val="000000" w:themeColor="text1"/>
        </w:rPr>
      </w:pPr>
      <w:r w:rsidRPr="00C22EDF">
        <w:rPr>
          <w:color w:val="000000" w:themeColor="text1"/>
        </w:rPr>
        <w:t xml:space="preserve">If adopted by the Environmental Quality Commission, the proposed rules would become effective when filed and certified by the Secretary of State, approximately </w:t>
      </w:r>
      <w:r w:rsidR="00335030">
        <w:rPr>
          <w:color w:val="000000" w:themeColor="text1"/>
        </w:rPr>
        <w:t>January 2</w:t>
      </w:r>
      <w:r>
        <w:rPr>
          <w:color w:val="000000" w:themeColor="text1"/>
        </w:rPr>
        <w:t>0, 2</w:t>
      </w:r>
      <w:r w:rsidR="00F317C5">
        <w:rPr>
          <w:color w:val="000000" w:themeColor="text1"/>
        </w:rPr>
        <w:t>0</w:t>
      </w:r>
      <w:r>
        <w:rPr>
          <w:color w:val="000000" w:themeColor="text1"/>
        </w:rPr>
        <w:t>1</w:t>
      </w:r>
      <w:r w:rsidR="00335030">
        <w:rPr>
          <w:color w:val="000000" w:themeColor="text1"/>
        </w:rPr>
        <w:t>7</w:t>
      </w:r>
      <w:r w:rsidRPr="00C22EDF">
        <w:rPr>
          <w:color w:val="000000" w:themeColor="text1"/>
        </w:rPr>
        <w:t>. DEQ would apply the specific activity fees upon the effective date and invoice annual fees to affected parties in August 201</w:t>
      </w:r>
      <w:r w:rsidR="00335030">
        <w:rPr>
          <w:color w:val="000000" w:themeColor="text1"/>
        </w:rPr>
        <w:t>7</w:t>
      </w:r>
      <w:r w:rsidRPr="00C22EDF">
        <w:rPr>
          <w:color w:val="000000" w:themeColor="text1"/>
        </w:rPr>
        <w:t xml:space="preserve"> with payment due Oct. 1, 201</w:t>
      </w:r>
      <w:r w:rsidR="00335030">
        <w:rPr>
          <w:color w:val="000000" w:themeColor="text1"/>
        </w:rPr>
        <w:t>7</w:t>
      </w:r>
      <w:r w:rsidRPr="00C22EDF">
        <w:rPr>
          <w:color w:val="000000" w:themeColor="text1"/>
        </w:rPr>
        <w:t>, or later. Because this is a continuation of an existing program, no additional resources or training will be needed to implement the rule.</w:t>
      </w:r>
    </w:p>
    <w:p w14:paraId="3E1C416D" w14:textId="77777777" w:rsidR="00586C3E" w:rsidRDefault="00586C3E">
      <w:pPr>
        <w:spacing w:after="160" w:line="259" w:lineRule="auto"/>
        <w:ind w:left="0" w:right="0"/>
        <w:outlineLvl w:val="9"/>
        <w:rPr>
          <w:color w:val="000000" w:themeColor="text1"/>
        </w:rPr>
      </w:pPr>
      <w:r>
        <w:rPr>
          <w:color w:val="000000" w:themeColor="text1"/>
        </w:rPr>
        <w:br w:type="page"/>
      </w:r>
    </w:p>
    <w:tbl>
      <w:tblPr>
        <w:tblW w:w="12255" w:type="dxa"/>
        <w:tblInd w:w="-702" w:type="dxa"/>
        <w:tblLook w:val="04A0" w:firstRow="1" w:lastRow="0" w:firstColumn="1" w:lastColumn="0" w:noHBand="0" w:noVBand="1"/>
      </w:tblPr>
      <w:tblGrid>
        <w:gridCol w:w="12255"/>
      </w:tblGrid>
      <w:tr w:rsidR="00377FA3" w:rsidRPr="00377FA3" w14:paraId="3E1C416F" w14:textId="77777777" w:rsidTr="00D36B20">
        <w:trPr>
          <w:trHeight w:val="574"/>
        </w:trPr>
        <w:tc>
          <w:tcPr>
            <w:tcW w:w="12255" w:type="dxa"/>
            <w:tcBorders>
              <w:top w:val="nil"/>
              <w:left w:val="nil"/>
              <w:bottom w:val="double" w:sz="6" w:space="0" w:color="7F7F7F"/>
              <w:right w:val="nil"/>
            </w:tcBorders>
            <w:shd w:val="clear" w:color="auto" w:fill="D0CECE" w:themeFill="background2" w:themeFillShade="E6"/>
            <w:noWrap/>
            <w:vAlign w:val="bottom"/>
            <w:hideMark/>
          </w:tcPr>
          <w:p w14:paraId="3E1C416E" w14:textId="77777777" w:rsidR="00377FA3" w:rsidRPr="00377FA3" w:rsidRDefault="00377FA3" w:rsidP="00EB0734">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lastRenderedPageBreak/>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3E1C4170" w14:textId="77777777" w:rsidR="00377FA3" w:rsidRPr="00377FA3" w:rsidRDefault="00377FA3" w:rsidP="00377FA3">
      <w:pPr>
        <w:rPr>
          <w:color w:val="32525C"/>
        </w:rPr>
      </w:pPr>
    </w:p>
    <w:p w14:paraId="3E1C4171" w14:textId="77777777" w:rsidR="00377FA3" w:rsidRPr="00C46BB1" w:rsidRDefault="00377FA3" w:rsidP="00377FA3">
      <w:pPr>
        <w:spacing w:after="120"/>
        <w:ind w:left="360"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3E1C4172"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E1C4173" w14:textId="77777777" w:rsidR="00C22EDF" w:rsidRDefault="00377FA3" w:rsidP="00377FA3">
      <w:pPr>
        <w:pStyle w:val="Heading2"/>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3E1C4174" w14:textId="77777777" w:rsidR="00C22EDF" w:rsidRDefault="00C22EDF" w:rsidP="00C22EDF">
      <w:r w:rsidRPr="00C22EDF">
        <w:t xml:space="preserve">The Administrative Procedures Act exempts all of the proposed rules from the five-year rule review because the proposed rules would amend an existing rule. ORS 183.405 (4) </w:t>
      </w:r>
    </w:p>
    <w:sectPr w:rsidR="00C22EDF" w:rsidSect="00EB0734">
      <w:footerReference w:type="default" r:id="rId25"/>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C4179" w14:textId="77777777" w:rsidR="00335030" w:rsidRDefault="00335030">
      <w:r>
        <w:separator/>
      </w:r>
    </w:p>
  </w:endnote>
  <w:endnote w:type="continuationSeparator" w:id="0">
    <w:p w14:paraId="3E1C417A" w14:textId="77777777" w:rsidR="00335030" w:rsidRDefault="00335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C417B" w14:textId="77777777" w:rsidR="00335030" w:rsidRDefault="00335030" w:rsidP="00EB0734">
    <w:pPr>
      <w:pStyle w:val="Footer"/>
    </w:pPr>
  </w:p>
  <w:p w14:paraId="3E1C417C" w14:textId="77777777" w:rsidR="00335030" w:rsidRPr="002B4E71" w:rsidRDefault="00335030" w:rsidP="00EB0734">
    <w:pPr>
      <w:pStyle w:val="Footer"/>
    </w:pPr>
    <w:r>
      <w:t>Staff Report</w:t>
    </w:r>
    <w:r w:rsidRPr="002B4E71">
      <w:t xml:space="preserve"> page | </w:t>
    </w:r>
    <w:r>
      <w:fldChar w:fldCharType="begin"/>
    </w:r>
    <w:r>
      <w:instrText xml:space="preserve"> PAGE   \* MERGEFORMAT </w:instrText>
    </w:r>
    <w:r>
      <w:fldChar w:fldCharType="separate"/>
    </w:r>
    <w:r w:rsidR="007642FC">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C417D" w14:textId="77777777" w:rsidR="00335030" w:rsidRDefault="00335030" w:rsidP="00EB0734">
    <w:pPr>
      <w:pStyle w:val="Footer"/>
    </w:pPr>
  </w:p>
  <w:p w14:paraId="3E1C417E" w14:textId="77777777" w:rsidR="00335030" w:rsidRPr="002B4E71" w:rsidRDefault="00335030" w:rsidP="00EB0734">
    <w:pPr>
      <w:pStyle w:val="Footer"/>
    </w:pPr>
    <w:r w:rsidRPr="002B4E71">
      <w:t xml:space="preserve">Notice page | </w:t>
    </w:r>
    <w:r>
      <w:fldChar w:fldCharType="begin"/>
    </w:r>
    <w:r>
      <w:instrText xml:space="preserve"> PAGE   \* MERGEFORMAT </w:instrText>
    </w:r>
    <w:r>
      <w:fldChar w:fldCharType="separate"/>
    </w:r>
    <w:r w:rsidR="007642FC">
      <w:rPr>
        <w:noProof/>
      </w:rPr>
      <w:t>20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1C4177" w14:textId="77777777" w:rsidR="00335030" w:rsidRDefault="00335030">
      <w:r>
        <w:separator/>
      </w:r>
    </w:p>
  </w:footnote>
  <w:footnote w:type="continuationSeparator" w:id="0">
    <w:p w14:paraId="3E1C4178" w14:textId="77777777" w:rsidR="00335030" w:rsidRDefault="003350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12766F5D"/>
    <w:multiLevelType w:val="hybridMultilevel"/>
    <w:tmpl w:val="02FCC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D9F3EA8"/>
    <w:multiLevelType w:val="hybridMultilevel"/>
    <w:tmpl w:val="0D1E79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89305BB"/>
    <w:multiLevelType w:val="hybridMultilevel"/>
    <w:tmpl w:val="E7B6F79E"/>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F227517"/>
    <w:multiLevelType w:val="hybridMultilevel"/>
    <w:tmpl w:val="91748F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4"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2"/>
  </w:num>
  <w:num w:numId="3">
    <w:abstractNumId w:val="14"/>
  </w:num>
  <w:num w:numId="4">
    <w:abstractNumId w:val="5"/>
  </w:num>
  <w:num w:numId="5">
    <w:abstractNumId w:val="11"/>
  </w:num>
  <w:num w:numId="6">
    <w:abstractNumId w:val="4"/>
  </w:num>
  <w:num w:numId="7">
    <w:abstractNumId w:val="0"/>
  </w:num>
  <w:num w:numId="8">
    <w:abstractNumId w:val="13"/>
  </w:num>
  <w:num w:numId="9">
    <w:abstractNumId w:val="16"/>
  </w:num>
  <w:num w:numId="10">
    <w:abstractNumId w:val="6"/>
  </w:num>
  <w:num w:numId="11">
    <w:abstractNumId w:val="1"/>
  </w:num>
  <w:num w:numId="12">
    <w:abstractNumId w:val="7"/>
  </w:num>
  <w:num w:numId="13">
    <w:abstractNumId w:val="10"/>
  </w:num>
  <w:num w:numId="14">
    <w:abstractNumId w:val="9"/>
  </w:num>
  <w:num w:numId="15">
    <w:abstractNumId w:val="3"/>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A3"/>
    <w:rsid w:val="000246AF"/>
    <w:rsid w:val="00024FE3"/>
    <w:rsid w:val="000779A5"/>
    <w:rsid w:val="000D03CC"/>
    <w:rsid w:val="000E5D1B"/>
    <w:rsid w:val="00144B9F"/>
    <w:rsid w:val="00157BBD"/>
    <w:rsid w:val="001902DF"/>
    <w:rsid w:val="00196B48"/>
    <w:rsid w:val="001B0B23"/>
    <w:rsid w:val="001B7270"/>
    <w:rsid w:val="00214C8D"/>
    <w:rsid w:val="00216A49"/>
    <w:rsid w:val="00264F32"/>
    <w:rsid w:val="00276752"/>
    <w:rsid w:val="002B207D"/>
    <w:rsid w:val="002C2E35"/>
    <w:rsid w:val="002E25BF"/>
    <w:rsid w:val="0030544D"/>
    <w:rsid w:val="00335030"/>
    <w:rsid w:val="00360F45"/>
    <w:rsid w:val="00377FA3"/>
    <w:rsid w:val="0039679F"/>
    <w:rsid w:val="00396EFA"/>
    <w:rsid w:val="003D3F4F"/>
    <w:rsid w:val="004160B1"/>
    <w:rsid w:val="0045090F"/>
    <w:rsid w:val="004646AA"/>
    <w:rsid w:val="004A41C6"/>
    <w:rsid w:val="004A7D33"/>
    <w:rsid w:val="004D569B"/>
    <w:rsid w:val="0054298C"/>
    <w:rsid w:val="005668E9"/>
    <w:rsid w:val="00567FC7"/>
    <w:rsid w:val="00573943"/>
    <w:rsid w:val="00586C3E"/>
    <w:rsid w:val="005D2E7B"/>
    <w:rsid w:val="005E3DA5"/>
    <w:rsid w:val="0068127A"/>
    <w:rsid w:val="00694F18"/>
    <w:rsid w:val="006E5165"/>
    <w:rsid w:val="007038EB"/>
    <w:rsid w:val="00746C81"/>
    <w:rsid w:val="007642FC"/>
    <w:rsid w:val="00774B45"/>
    <w:rsid w:val="007D3CE0"/>
    <w:rsid w:val="00897E92"/>
    <w:rsid w:val="008A587E"/>
    <w:rsid w:val="008C4761"/>
    <w:rsid w:val="008E2A1B"/>
    <w:rsid w:val="009A06A3"/>
    <w:rsid w:val="009B0257"/>
    <w:rsid w:val="009B6D76"/>
    <w:rsid w:val="00A72D66"/>
    <w:rsid w:val="00AA0BEB"/>
    <w:rsid w:val="00AB3619"/>
    <w:rsid w:val="00AE696D"/>
    <w:rsid w:val="00AF7293"/>
    <w:rsid w:val="00B241D2"/>
    <w:rsid w:val="00B64E7A"/>
    <w:rsid w:val="00B83057"/>
    <w:rsid w:val="00BA7289"/>
    <w:rsid w:val="00BB2FBD"/>
    <w:rsid w:val="00BE4D73"/>
    <w:rsid w:val="00C22EDF"/>
    <w:rsid w:val="00C46BB1"/>
    <w:rsid w:val="00C50058"/>
    <w:rsid w:val="00CF33D7"/>
    <w:rsid w:val="00D1390C"/>
    <w:rsid w:val="00D150AE"/>
    <w:rsid w:val="00D2135A"/>
    <w:rsid w:val="00D36B20"/>
    <w:rsid w:val="00D552B5"/>
    <w:rsid w:val="00D8597B"/>
    <w:rsid w:val="00E30322"/>
    <w:rsid w:val="00E372D7"/>
    <w:rsid w:val="00E64681"/>
    <w:rsid w:val="00EA3ED5"/>
    <w:rsid w:val="00EB0734"/>
    <w:rsid w:val="00EB7D3D"/>
    <w:rsid w:val="00F317C5"/>
    <w:rsid w:val="00F552BB"/>
    <w:rsid w:val="00F8101D"/>
    <w:rsid w:val="00FA7B76"/>
    <w:rsid w:val="00FC241A"/>
    <w:rsid w:val="00FC670E"/>
    <w:rsid w:val="00FD3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C3F27"/>
  <w15:docId w15:val="{9667E3D1-2A06-472B-9F61-DE1FC9F54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FA3"/>
    <w:pPr>
      <w:spacing w:after="0" w:line="240" w:lineRule="auto"/>
      <w:ind w:left="720" w:right="18"/>
      <w:outlineLvl w:val="0"/>
    </w:pPr>
    <w:rPr>
      <w:rFonts w:eastAsia="Times New Roman"/>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character" w:styleId="Hyperlink">
    <w:name w:val="Hyperlink"/>
    <w:basedOn w:val="DefaultParagraphFont"/>
    <w:uiPriority w:val="99"/>
    <w:unhideWhenUsed/>
    <w:rsid w:val="00EB0734"/>
    <w:rPr>
      <w:color w:val="0563C1" w:themeColor="hyperlink"/>
      <w:u w:val="single"/>
    </w:rPr>
  </w:style>
  <w:style w:type="paragraph" w:styleId="Title">
    <w:name w:val="Title"/>
    <w:basedOn w:val="Normal"/>
    <w:next w:val="Normal"/>
    <w:link w:val="TitleChar"/>
    <w:uiPriority w:val="10"/>
    <w:qFormat/>
    <w:rsid w:val="00EB0734"/>
    <w:pPr>
      <w:ind w:left="162"/>
    </w:pPr>
    <w:rPr>
      <w:b/>
      <w:color w:val="FFFFFF" w:themeColor="background1"/>
      <w:sz w:val="28"/>
      <w:szCs w:val="28"/>
    </w:rPr>
  </w:style>
  <w:style w:type="character" w:customStyle="1" w:styleId="TitleChar">
    <w:name w:val="Title Char"/>
    <w:basedOn w:val="DefaultParagraphFont"/>
    <w:link w:val="Title"/>
    <w:uiPriority w:val="10"/>
    <w:rsid w:val="00EB0734"/>
    <w:rPr>
      <w:rFonts w:eastAsia="Times New Roman"/>
      <w:b/>
      <w:color w:val="FFFFFF" w:themeColor="background1"/>
      <w:sz w:val="28"/>
      <w:szCs w:val="28"/>
    </w:rPr>
  </w:style>
  <w:style w:type="table" w:customStyle="1" w:styleId="Rulemaking">
    <w:name w:val="Rulemaking"/>
    <w:basedOn w:val="TableNormal"/>
    <w:uiPriority w:val="99"/>
    <w:qFormat/>
    <w:rsid w:val="002E25BF"/>
    <w:pPr>
      <w:spacing w:after="0" w:line="240" w:lineRule="auto"/>
    </w:pPr>
    <w:rPr>
      <w:rFonts w:asciiTheme="minorHAnsi" w:hAnsiTheme="minorHAnsi" w:cstheme="minorBidi"/>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IntenseEmphasis">
    <w:name w:val="Intense Emphasis"/>
    <w:aliases w:val="Example"/>
    <w:basedOn w:val="DefaultParagraphFont"/>
    <w:uiPriority w:val="21"/>
    <w:qFormat/>
    <w:rsid w:val="002E25BF"/>
    <w:rPr>
      <w:rFonts w:ascii="Times New Roman" w:hAnsi="Times New Roman"/>
      <w:bCs/>
      <w:i/>
      <w:iCs/>
      <w:vanish/>
      <w:color w:val="993D27"/>
      <w:sz w:val="28"/>
    </w:rPr>
  </w:style>
  <w:style w:type="paragraph" w:customStyle="1" w:styleId="DEQTEXTforFACTSHEET">
    <w:name w:val="(DEQ)TEXT for FACT SHEET"/>
    <w:basedOn w:val="Normal"/>
    <w:link w:val="DEQTEXTforFACTSHEETChar"/>
    <w:rsid w:val="002E25BF"/>
    <w:pPr>
      <w:ind w:left="0" w:right="0"/>
      <w:outlineLvl w:val="9"/>
    </w:pPr>
    <w:rPr>
      <w:rFonts w:eastAsia="Times"/>
      <w:sz w:val="20"/>
      <w:szCs w:val="20"/>
    </w:rPr>
  </w:style>
  <w:style w:type="character" w:customStyle="1" w:styleId="DEQTEXTforFACTSHEETChar">
    <w:name w:val="(DEQ)TEXT for FACT SHEET Char"/>
    <w:basedOn w:val="DefaultParagraphFont"/>
    <w:link w:val="DEQTEXTforFACTSHEET"/>
    <w:rsid w:val="002E25BF"/>
    <w:rPr>
      <w:rFonts w:eastAsia="Times"/>
      <w:sz w:val="20"/>
      <w:szCs w:val="20"/>
    </w:rPr>
  </w:style>
  <w:style w:type="table" w:customStyle="1" w:styleId="ListTable2-Accent61">
    <w:name w:val="List Table 2 - Accent 61"/>
    <w:basedOn w:val="TableNormal"/>
    <w:uiPriority w:val="47"/>
    <w:rsid w:val="002E25BF"/>
    <w:pPr>
      <w:spacing w:after="0" w:line="240" w:lineRule="auto"/>
      <w:ind w:left="2880"/>
    </w:pPr>
    <w:rPr>
      <w:sz w:val="22"/>
      <w:szCs w:val="22"/>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BalloonText">
    <w:name w:val="Balloon Text"/>
    <w:basedOn w:val="Normal"/>
    <w:link w:val="BalloonTextChar"/>
    <w:uiPriority w:val="99"/>
    <w:semiHidden/>
    <w:unhideWhenUsed/>
    <w:rsid w:val="00AB36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61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pw.senate.gov/envlaws/cleanair.pdf" TargetMode="External"/><Relationship Id="rId18" Type="http://schemas.openxmlformats.org/officeDocument/2006/relationships/hyperlink" Target="http://www.deq.state.or.us/msd/budget/1517ARB/02.LA.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deq.state.or.us/pubs/permithandbook/lucs.htm" TargetMode="External"/><Relationship Id="rId7" Type="http://schemas.openxmlformats.org/officeDocument/2006/relationships/webSettings" Target="webSettings.xml"/><Relationship Id="rId12" Type="http://schemas.openxmlformats.org/officeDocument/2006/relationships/hyperlink" Target="http://www.deq.state.or.us/msd/budget/1517ARB/02.LA.pdf" TargetMode="External"/><Relationship Id="rId17" Type="http://schemas.openxmlformats.org/officeDocument/2006/relationships/hyperlink" Target="http://www.bls.gov/data/"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epw.senate.gov/envlaws/cleanair.pdf" TargetMode="External"/><Relationship Id="rId20" Type="http://schemas.openxmlformats.org/officeDocument/2006/relationships/hyperlink" Target="http://www.bls.gov/dat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oregon.gov/deq/Pages/Events.aspx" TargetMode="External"/><Relationship Id="rId5" Type="http://schemas.openxmlformats.org/officeDocument/2006/relationships/styles" Target="styles.xml"/><Relationship Id="rId15" Type="http://schemas.openxmlformats.org/officeDocument/2006/relationships/hyperlink" Target="http://www.deq.state.or.us/msd/budget/1517ARB/02.LA.pdf" TargetMode="External"/><Relationship Id="rId23" Type="http://schemas.openxmlformats.org/officeDocument/2006/relationships/hyperlink" Target="http://www.leg.state.or.us/ors/183.html" TargetMode="External"/><Relationship Id="rId10" Type="http://schemas.openxmlformats.org/officeDocument/2006/relationships/image" Target="media/image1.png"/><Relationship Id="rId19" Type="http://schemas.openxmlformats.org/officeDocument/2006/relationships/hyperlink" Target="http://www.epw.senate.gov/envlaws/cleanair.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ls.gov/data/" TargetMode="External"/><Relationship Id="rId22" Type="http://schemas.openxmlformats.org/officeDocument/2006/relationships/hyperlink" Target="http://www.oregon.gov/deq/RulesandRegulations/2016/titleVCPI2016.asp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73791F-4763-42B2-A423-BD663AE8BBD4}">
  <ds:schemaRefs>
    <ds:schemaRef ds:uri="http://purl.org/dc/elements/1.1/"/>
    <ds:schemaRef ds:uri="http://purl.org/dc/dcmitype/"/>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ListId:doc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5A04239-7081-4702-9C6C-CC2F3589E60D}">
  <ds:schemaRefs>
    <ds:schemaRef ds:uri="http://schemas.microsoft.com/sharepoint/v3/contenttype/forms"/>
  </ds:schemaRefs>
</ds:datastoreItem>
</file>

<file path=customXml/itemProps3.xml><?xml version="1.0" encoding="utf-8"?>
<ds:datastoreItem xmlns:ds="http://schemas.openxmlformats.org/officeDocument/2006/customXml" ds:itemID="{41721CB4-2B95-4C0F-AED2-4CEBEBC18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4608</Words>
  <Characters>26267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30814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GOLDSTEIN Meyer</cp:lastModifiedBy>
  <cp:revision>2</cp:revision>
  <cp:lastPrinted>2016-12-05T16:00:00Z</cp:lastPrinted>
  <dcterms:created xsi:type="dcterms:W3CDTF">2017-03-29T21:40:00Z</dcterms:created>
  <dcterms:modified xsi:type="dcterms:W3CDTF">2017-03-29T21:40:00Z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0x010100CDAC5428E8586441A54B67ADEE17B404</vt:lpwstr>
  </property>
</Properties>
</file>