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BE32CE"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BE32CE"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BE32CE" w:rsidP="00733522">
            <w:pPr>
              <w:ind w:left="0"/>
            </w:pPr>
            <w:hyperlink r:id="rId14"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BE32CE"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BE32CE"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BE32CE" w:rsidP="0042642A">
            <w:pPr>
              <w:ind w:left="0"/>
            </w:pPr>
            <w:hyperlink r:id="rId17" w:history="1">
              <w:r w:rsidR="0042642A" w:rsidRPr="00733522">
                <w:rPr>
                  <w:rStyle w:val="Hyperlink"/>
                  <w:rFonts w:asciiTheme="minorHAnsi" w:hAnsiTheme="minorHAnsi" w:cstheme="minorHAnsi"/>
                </w:rPr>
                <w:t>Bureau of Labor Statistics Website</w:t>
              </w:r>
            </w:hyperlink>
          </w:p>
        </w:tc>
        <w:bookmarkStart w:id="2" w:name="_GoBack"/>
        <w:bookmarkEnd w:id="2"/>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G182"/>
            <w:r w:rsidRPr="00B275A4">
              <w:rPr>
                <w:color w:val="000000"/>
              </w:rPr>
              <w:t>approx. $</w:t>
            </w:r>
            <w:bookmarkEnd w:id="3"/>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J182"/>
            <w:r w:rsidRPr="00B275A4">
              <w:rPr>
                <w:color w:val="000000"/>
              </w:rPr>
              <w:t>100%</w:t>
            </w:r>
            <w:bookmarkEnd w:id="4"/>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G183"/>
            <w:r w:rsidRPr="00B275A4">
              <w:rPr>
                <w:color w:val="000000"/>
              </w:rPr>
              <w:t>$0</w:t>
            </w:r>
            <w:bookmarkEnd w:id="5"/>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6" w:name="RANGE!J183"/>
            <w:r w:rsidRPr="00B275A4">
              <w:rPr>
                <w:color w:val="000000"/>
              </w:rPr>
              <w:t>0%</w:t>
            </w:r>
            <w:bookmarkEnd w:id="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7" w:name="RANGE!G189"/>
            <w:r w:rsidRPr="00965298">
              <w:rPr>
                <w:color w:val="000000"/>
              </w:rPr>
              <w:t>+ $</w:t>
            </w:r>
            <w:bookmarkEnd w:id="7"/>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8" w:name="RANGE!J189"/>
            <w:r>
              <w:rPr>
                <w:color w:val="000000"/>
              </w:rPr>
              <w:t>+0.45</w:t>
            </w:r>
            <w:r w:rsidR="001B2464" w:rsidRPr="00965298">
              <w:rPr>
                <w:color w:val="000000"/>
              </w:rPr>
              <w:t>%</w:t>
            </w:r>
            <w:bookmarkEnd w:id="8"/>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w:t>
      </w:r>
      <w:r w:rsidR="0015775B" w:rsidRPr="006F0E6F">
        <w:rPr>
          <w:rFonts w:eastAsiaTheme="minorHAnsi"/>
          <w:color w:val="000000"/>
        </w:rPr>
        <w:lastRenderedPageBreak/>
        <w:t>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lastRenderedPageBreak/>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Ind w:w="348" w:type="dxa"/>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lastRenderedPageBreak/>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BE32CE" w:rsidP="00980958">
            <w:pPr>
              <w:ind w:left="0"/>
              <w:rPr>
                <w:rFonts w:asciiTheme="minorHAnsi" w:hAnsiTheme="minorHAnsi" w:cstheme="minorHAnsi"/>
                <w:color w:val="000000" w:themeColor="text1"/>
              </w:rPr>
            </w:pPr>
            <w:hyperlink r:id="rId18" w:history="1">
              <w:r w:rsidR="00714CDC">
                <w:rPr>
                  <w:rStyle w:val="Hyperlink"/>
                  <w:rFonts w:asciiTheme="minorHAnsi" w:hAnsiTheme="minorHAnsi" w:cstheme="minorHAnsi"/>
                </w:rPr>
                <w:t>DEQ Website</w:t>
              </w:r>
            </w:hyperlink>
          </w:p>
        </w:tc>
      </w:tr>
      <w:tr w:rsidR="00714CDC" w:rsidRPr="00F05E86" w:rsidTr="002E17EB">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BE32CE" w:rsidP="00980958">
            <w:pPr>
              <w:ind w:left="0"/>
              <w:rPr>
                <w:rFonts w:asciiTheme="minorHAnsi" w:hAnsiTheme="minorHAnsi" w:cstheme="minorHAnsi"/>
                <w:color w:val="000000" w:themeColor="text1"/>
              </w:rPr>
            </w:pPr>
            <w:hyperlink r:id="rId19" w:history="1">
              <w:r w:rsidR="00714CDC" w:rsidRPr="00733522">
                <w:rPr>
                  <w:rStyle w:val="Hyperlink"/>
                  <w:rFonts w:asciiTheme="minorHAnsi" w:hAnsiTheme="minorHAnsi" w:cstheme="minorHAnsi"/>
                </w:rPr>
                <w:t>EPA Website</w:t>
              </w:r>
            </w:hyperlink>
          </w:p>
        </w:tc>
      </w:tr>
      <w:tr w:rsidR="00714CDC" w:rsidRPr="00F05E86" w:rsidTr="002E17EB">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BE32CE" w:rsidP="00980958">
            <w:pPr>
              <w:ind w:left="0"/>
            </w:pPr>
            <w:hyperlink r:id="rId20" w:history="1">
              <w:r w:rsidR="00714CDC"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lastRenderedPageBreak/>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9" w:name="AlternativesConsidered"/>
      <w:bookmarkStart w:id="10"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9"/>
      <w:r w:rsidRPr="00140DDF">
        <w:rPr>
          <w:rFonts w:cstheme="majorHAnsi"/>
          <w:color w:val="504938"/>
          <w:szCs w:val="22"/>
        </w:rPr>
        <w:t xml:space="preserve"> if any?</w:t>
      </w:r>
      <w:bookmarkEnd w:id="10"/>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2"/>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4"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5"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6"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14,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14,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439AE" w15:done="0"/>
  <w15:commentEx w15:paraId="332A23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7E" w:rsidRDefault="00F4007E" w:rsidP="002D6C99">
      <w:r>
        <w:separator/>
      </w:r>
    </w:p>
  </w:endnote>
  <w:endnote w:type="continuationSeparator" w:id="0">
    <w:p w:rsidR="00F4007E" w:rsidRDefault="00F4007E"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7E" w:rsidRDefault="00F4007E" w:rsidP="002D6C99">
    <w:pPr>
      <w:pStyle w:val="Footer"/>
    </w:pPr>
  </w:p>
  <w:p w:rsidR="00F4007E" w:rsidRPr="002B4E71" w:rsidRDefault="00F4007E" w:rsidP="002D6C99">
    <w:pPr>
      <w:pStyle w:val="Footer"/>
    </w:pPr>
    <w:r w:rsidRPr="002B4E71">
      <w:t xml:space="preserve">Notice page | </w:t>
    </w:r>
    <w:fldSimple w:instr=" PAGE   \* MERGEFORMAT ">
      <w:r w:rsidR="000574F2">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7E" w:rsidRDefault="00F4007E" w:rsidP="002D6C99">
      <w:r>
        <w:separator/>
      </w:r>
    </w:p>
  </w:footnote>
  <w:footnote w:type="continuationSeparator" w:id="0">
    <w:p w:rsidR="00F4007E" w:rsidRDefault="00F4007E"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default.aspx"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deq.state.or.us/pubs/permithandbook/luc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footer" Target="footer1.xml"/><Relationship Id="rId27" Type="http://schemas.openxmlformats.org/officeDocument/2006/relationships/fontTable" Target="fontTable.xml"/><Relationship Id="rId30"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23127-3791-4EB5-98D1-30B5494E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2015-10-21T16:24:00Z</cp:lastPrinted>
  <dcterms:created xsi:type="dcterms:W3CDTF">2015-11-02T22:54:00Z</dcterms:created>
  <dcterms:modified xsi:type="dcterms:W3CDTF">2015-11-02T22:54:00Z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