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983629">
      <w:pPr>
        <w:tabs>
          <w:tab w:val="center" w:pos="5040"/>
        </w:tabs>
        <w:jc w:val="center"/>
      </w:pP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E554ED" w:rsidP="000A3C5B">
      <w:pPr>
        <w:jc w:val="center"/>
        <w:rPr>
          <w:rStyle w:val="Strong"/>
          <w:color w:val="C45911" w:themeColor="accent2" w:themeShade="BF"/>
        </w:rPr>
      </w:pPr>
      <w:r>
        <w:rPr>
          <w:rStyle w:val="Strong"/>
          <w:color w:val="C45911" w:themeColor="accent2" w:themeShade="BF"/>
        </w:rPr>
        <w:t>Increase Title V Permit Fees by the Consumer Price Index</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E15DF1">
        <w:rPr>
          <w:rFonts w:eastAsiaTheme="minorHAnsi"/>
        </w:rPr>
        <w:t xml:space="preserve">2015 </w:t>
      </w:r>
      <w:r w:rsidR="002D69ED">
        <w:rPr>
          <w:rFonts w:eastAsiaTheme="minorHAnsi"/>
        </w:rPr>
        <w:t>emission fees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DEQ will propose the phase two rules at a commission meeting between December 2016 and May 2017. The proposed fee increase effective for the 2017 invoice year is 0.5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2016 emission fees and the operating period Nov. 15, 2017 to Nov. 14, 2018.</w:t>
      </w:r>
    </w:p>
    <w:p w:rsidR="001307E8" w:rsidRPr="00A7538A" w:rsidRDefault="00B54125" w:rsidP="00F0078E">
      <w:pPr>
        <w:pStyle w:val="Heading2"/>
        <w:rPr>
          <w:color w:val="C45911" w:themeColor="accent2" w:themeShade="BF"/>
        </w:rPr>
      </w:pPr>
      <w:r w:rsidRPr="00B31975">
        <w:t>Brief history</w:t>
      </w:r>
      <w:r w:rsidR="00D03AC4" w:rsidRPr="00B31975">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lastRenderedPageBreak/>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rsidR="00B54125" w:rsidRDefault="00B54125" w:rsidP="002D6C99"/>
    <w:p w:rsidR="00B54125" w:rsidRPr="00F06EEF" w:rsidRDefault="00B54125" w:rsidP="00F0078E">
      <w:pPr>
        <w:pStyle w:val="Heading2"/>
        <w:rPr>
          <w:color w:val="C45911" w:themeColor="accent2" w:themeShade="BF"/>
        </w:rPr>
      </w:pPr>
      <w:r w:rsidRPr="00E56647">
        <w:t>Regulated parties</w:t>
      </w:r>
      <w:r w:rsidR="00F06EEF">
        <w:t xml:space="preserve"> </w:t>
      </w:r>
    </w:p>
    <w:p w:rsidR="00064299" w:rsidRPr="00774B68" w:rsidRDefault="00BB3DA4" w:rsidP="00774B68">
      <w:r>
        <w:t>The proposed rules would affect facilities that currently have a Title V permit and any facility that applies for this type of permit in the future.</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p>
    <w:p w:rsidR="00E37BC6"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rsidR="00E37BC6" w:rsidRDefault="00E37BC6" w:rsidP="00E37BC6">
      <w:pPr>
        <w:pStyle w:val="Heading1"/>
        <w:ind w:left="0"/>
        <w:sectPr w:rsidR="00E37BC6"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E37BC6" w:rsidRPr="00B15DF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E37BC6" w:rsidRPr="00016C59" w:rsidRDefault="00E37BC6" w:rsidP="00E37BC6">
            <w:pPr>
              <w:pStyle w:val="Heading1"/>
            </w:pPr>
            <w:r w:rsidRPr="00016C59">
              <w:lastRenderedPageBreak/>
              <w:t>Statement of need</w:t>
            </w:r>
          </w:p>
        </w:tc>
      </w:tr>
    </w:tbl>
    <w:p w:rsidR="00E37BC6" w:rsidRPr="00B15DF7" w:rsidRDefault="00E37BC6" w:rsidP="00E37BC6"/>
    <w:p w:rsidR="00E37BC6" w:rsidRPr="00B31975" w:rsidRDefault="00E37BC6" w:rsidP="00E37BC6">
      <w:pPr>
        <w:pStyle w:val="Heading2"/>
      </w:pPr>
      <w:r>
        <w:t>What need would the proposed rule address?</w:t>
      </w:r>
    </w:p>
    <w:p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E37BC6" w:rsidRDefault="00E37BC6" w:rsidP="00E37BC6">
      <w:pPr>
        <w:rPr>
          <w:color w:val="000000" w:themeColor="text1"/>
        </w:rPr>
      </w:pPr>
    </w:p>
    <w:p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rsidR="00E37BC6" w:rsidRDefault="00E37BC6" w:rsidP="00E37BC6">
      <w:pPr>
        <w:rPr>
          <w:color w:val="000000" w:themeColor="text1"/>
        </w:rPr>
      </w:pPr>
    </w:p>
    <w:p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p>
    <w:p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p>
    <w:p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p>
    <w:p w:rsidR="00E37BC6" w:rsidRDefault="00E37BC6" w:rsidP="00E37BC6">
      <w:pPr>
        <w:rPr>
          <w:rFonts w:eastAsiaTheme="minorHAnsi"/>
        </w:rPr>
      </w:pPr>
    </w:p>
    <w:p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E37BC6" w:rsidRDefault="00E37BC6" w:rsidP="00E37BC6">
      <w:pPr>
        <w:rPr>
          <w:rFonts w:eastAsiaTheme="minorHAnsi"/>
        </w:rPr>
      </w:pPr>
    </w:p>
    <w:p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rsidR="00E37BC6" w:rsidRPr="00960C46" w:rsidRDefault="00E37BC6" w:rsidP="00E37BC6">
      <w:pPr>
        <w:ind w:left="0"/>
      </w:pPr>
    </w:p>
    <w:p w:rsidR="00E37BC6" w:rsidRPr="00B31975" w:rsidRDefault="00E37BC6" w:rsidP="00E37BC6">
      <w:pPr>
        <w:pStyle w:val="Heading2"/>
      </w:pPr>
      <w:r w:rsidRPr="00B31975">
        <w:t xml:space="preserve">How would the proposed rule </w:t>
      </w:r>
      <w:r>
        <w:t>address</w:t>
      </w:r>
      <w:r w:rsidRPr="00B31975">
        <w:t xml:space="preserve"> the </w:t>
      </w:r>
      <w:r>
        <w:t>need</w:t>
      </w:r>
      <w:r w:rsidRPr="00B31975">
        <w:t xml:space="preserve">? </w:t>
      </w:r>
    </w:p>
    <w:p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rsidR="00E37BC6" w:rsidRPr="00B15DF7" w:rsidRDefault="00E37BC6" w:rsidP="00E37BC6"/>
    <w:p w:rsidR="00E37BC6" w:rsidRPr="00B31975" w:rsidRDefault="00E37BC6" w:rsidP="00E37BC6">
      <w:pPr>
        <w:pStyle w:val="Heading2"/>
      </w:pPr>
      <w:r>
        <w:t>How will DEQ know the rule addressed the need?</w:t>
      </w:r>
      <w:r w:rsidRPr="00B31975">
        <w:t xml:space="preserve"> </w:t>
      </w:r>
    </w:p>
    <w:p w:rsidR="00E37BC6" w:rsidRPr="00E37BC6" w:rsidRDefault="00E37BC6" w:rsidP="00E37BC6">
      <w:pPr>
        <w:rPr>
          <w:color w:val="000000" w:themeColor="text1"/>
        </w:rPr>
        <w:sectPr w:rsidR="00E37BC6" w:rsidRPr="00E37BC6" w:rsidSect="002D7877">
          <w:footerReference w:type="default" r:id="rId12"/>
          <w:pgSz w:w="12240" w:h="15840"/>
          <w:pgMar w:top="1080" w:right="1260" w:bottom="1080" w:left="360" w:header="720" w:footer="720" w:gutter="360"/>
          <w:cols w:space="720"/>
          <w:docGrid w:linePitch="360"/>
        </w:sectPr>
      </w:pPr>
      <w:r>
        <w:rPr>
          <w:color w:val="000000" w:themeColor="text1"/>
        </w:rPr>
        <w:t>The rules will have addressed the need if the increased fees help the Title V program balance its budget and avoid a disruption in requisite services.</w:t>
      </w:r>
    </w:p>
    <w:p w:rsidR="001307E8" w:rsidRDefault="001307E8" w:rsidP="00774B68">
      <w:pPr>
        <w:ind w:left="0"/>
        <w:sectPr w:rsidR="001307E8" w:rsidSect="00B34CF8">
          <w:pgSz w:w="12240" w:h="15840"/>
          <w:pgMar w:top="1080" w:right="990" w:bottom="1080" w:left="360" w:header="720" w:footer="720" w:gutter="360"/>
          <w:cols w:space="720"/>
          <w:docGrid w:linePitch="360"/>
        </w:sectPr>
      </w:pPr>
    </w:p>
    <w:p w:rsidR="00B24EF8" w:rsidRDefault="00B24EF8" w:rsidP="00E37BC6">
      <w:pPr>
        <w:ind w:left="0"/>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F268E2" w:rsidRDefault="00393E3C" w:rsidP="00393E3C">
      <w:pPr>
        <w:pStyle w:val="Heading2"/>
      </w:pPr>
      <w:r w:rsidRPr="00F268E2">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p w:rsidR="0027111E" w:rsidRPr="006D34D0" w:rsidRDefault="0027111E" w:rsidP="006D57C6">
      <w:pPr>
        <w:ind w:left="0"/>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733522">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commentRangeStart w:id="1"/>
        <w:tc>
          <w:tcPr>
            <w:tcW w:w="4950" w:type="dxa"/>
            <w:tcBorders>
              <w:right w:val="double" w:sz="4" w:space="0" w:color="auto"/>
            </w:tcBorders>
            <w:vAlign w:val="center"/>
          </w:tcPr>
          <w:p w:rsidR="00891607" w:rsidRPr="00891607" w:rsidRDefault="00BA2A18" w:rsidP="00733522">
            <w:pPr>
              <w:ind w:left="0"/>
              <w:rPr>
                <w:rFonts w:asciiTheme="minorHAnsi" w:hAnsiTheme="minorHAnsi" w:cstheme="minorHAnsi"/>
                <w:color w:val="000000" w:themeColor="text1"/>
              </w:rPr>
            </w:pPr>
            <w:r>
              <w:rPr>
                <w:rFonts w:asciiTheme="minorHAnsi" w:hAnsiTheme="minorHAnsi" w:cstheme="minorHAnsi"/>
              </w:rPr>
              <w:fldChar w:fldCharType="begin"/>
            </w:r>
            <w:r w:rsidR="00733522">
              <w:rPr>
                <w:rFonts w:asciiTheme="minorHAnsi" w:hAnsiTheme="minorHAnsi" w:cstheme="minorHAnsi"/>
              </w:rPr>
              <w:instrText xml:space="preserve"> HYPERLINK "http://sos.oregon.gov/Documents/sos-budget-2015-2017.pdf" </w:instrText>
            </w:r>
            <w:r>
              <w:rPr>
                <w:rFonts w:asciiTheme="minorHAnsi" w:hAnsiTheme="minorHAnsi" w:cstheme="minorHAnsi"/>
              </w:rPr>
              <w:fldChar w:fldCharType="separate"/>
            </w:r>
            <w:r w:rsidR="00733522" w:rsidRPr="00733522">
              <w:rPr>
                <w:rStyle w:val="Hyperlink"/>
                <w:rFonts w:asciiTheme="minorHAnsi" w:hAnsiTheme="minorHAnsi" w:cstheme="minorHAnsi"/>
              </w:rPr>
              <w:t>Secretary of State Website</w:t>
            </w:r>
            <w:r>
              <w:rPr>
                <w:rFonts w:asciiTheme="minorHAnsi" w:hAnsiTheme="minorHAnsi" w:cstheme="minorHAnsi"/>
              </w:rPr>
              <w:fldChar w:fldCharType="end"/>
            </w:r>
            <w:commentRangeEnd w:id="1"/>
            <w:r w:rsidR="00733522">
              <w:rPr>
                <w:rStyle w:val="CommentReference"/>
              </w:rPr>
              <w:commentReference w:id="1"/>
            </w:r>
          </w:p>
        </w:tc>
      </w:tr>
      <w:tr w:rsidR="00231FB8" w:rsidTr="00733522">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231FB8" w:rsidRPr="006D57C6" w:rsidRDefault="00BA2A18" w:rsidP="00733522">
            <w:pPr>
              <w:ind w:left="0"/>
              <w:rPr>
                <w:rFonts w:asciiTheme="minorHAnsi" w:hAnsiTheme="minorHAnsi" w:cstheme="minorHAnsi"/>
                <w:color w:val="000000" w:themeColor="text1"/>
              </w:rPr>
            </w:pPr>
            <w:hyperlink r:id="rId14" w:history="1">
              <w:r w:rsidR="00733522" w:rsidRPr="00733522">
                <w:rPr>
                  <w:rStyle w:val="Hyperlink"/>
                  <w:rFonts w:asciiTheme="minorHAnsi" w:hAnsiTheme="minorHAnsi" w:cstheme="minorHAnsi"/>
                </w:rPr>
                <w:t>EPA Website</w:t>
              </w:r>
            </w:hyperlink>
          </w:p>
        </w:tc>
      </w:tr>
      <w:tr w:rsidR="00231FB8" w:rsidTr="00733522">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231FB8" w:rsidRPr="006D57C6" w:rsidRDefault="00BA2A18" w:rsidP="00733522">
            <w:pPr>
              <w:ind w:left="0"/>
              <w:rPr>
                <w:rFonts w:asciiTheme="minorHAnsi" w:hAnsiTheme="minorHAnsi" w:cstheme="minorHAnsi"/>
                <w:color w:val="000000" w:themeColor="text1"/>
              </w:rPr>
            </w:pPr>
            <w:hyperlink r:id="rId15" w:history="1">
              <w:r w:rsidR="00733522" w:rsidRPr="00733522">
                <w:rPr>
                  <w:rStyle w:val="Hyperlink"/>
                  <w:rFonts w:asciiTheme="minorHAnsi" w:hAnsiTheme="minorHAnsi" w:cstheme="minorHAnsi"/>
                </w:rPr>
                <w:t>Bureau of Labor Statistics Website</w:t>
              </w:r>
            </w:hyperlink>
          </w:p>
        </w:tc>
      </w:tr>
    </w:tbl>
    <w:p w:rsidR="0027111E" w:rsidRPr="000D07CA" w:rsidRDefault="0027111E" w:rsidP="002D6C99"/>
    <w:p w:rsidR="00B34CF8" w:rsidRDefault="00B34CF8" w:rsidP="002D6C99">
      <w:pPr>
        <w:sectPr w:rsidR="00B34CF8" w:rsidSect="00E37BC6">
          <w:type w:val="continuous"/>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3E3C" w:rsidRDefault="00393E3C" w:rsidP="006D57C6">
      <w:pPr>
        <w:ind w:left="0"/>
      </w:pPr>
      <w:bookmarkStart w:id="2" w:name="RANGE!A226:B243"/>
      <w:bookmarkEnd w:id="2"/>
    </w:p>
    <w:p w:rsidR="003940F8" w:rsidRDefault="003940F8" w:rsidP="00252D61">
      <w:pPr>
        <w:autoSpaceDE w:val="0"/>
        <w:autoSpaceDN w:val="0"/>
        <w:adjustRightInd w:val="0"/>
        <w:ind w:left="540" w:right="0"/>
        <w:outlineLvl w:val="9"/>
        <w:rPr>
          <w:rFonts w:ascii="Arial" w:eastAsiaTheme="minorHAnsi" w:hAnsi="Arial" w:cs="Arial"/>
          <w:color w:val="32525C"/>
          <w:sz w:val="28"/>
          <w:szCs w:val="28"/>
        </w:rPr>
      </w:pPr>
      <w:r>
        <w:rPr>
          <w:rFonts w:ascii="Arial" w:eastAsiaTheme="minorHAnsi" w:hAnsi="Arial" w:cs="Arial"/>
          <w:color w:val="32525C"/>
          <w:sz w:val="28"/>
          <w:szCs w:val="28"/>
        </w:rPr>
        <w:t>Fee Analysis</w:t>
      </w:r>
    </w:p>
    <w:p w:rsidR="0097446C" w:rsidRDefault="0097446C" w:rsidP="003940F8">
      <w:pPr>
        <w:autoSpaceDE w:val="0"/>
        <w:autoSpaceDN w:val="0"/>
        <w:adjustRightInd w:val="0"/>
        <w:ind w:left="0" w:right="0"/>
        <w:outlineLvl w:val="9"/>
        <w:rPr>
          <w:rFonts w:ascii="Arial" w:eastAsiaTheme="minorHAnsi" w:hAnsi="Arial" w:cs="Arial"/>
          <w:color w:val="32525C"/>
          <w:sz w:val="28"/>
          <w:szCs w:val="28"/>
        </w:rPr>
      </w:pPr>
    </w:p>
    <w:p w:rsidR="003940F8" w:rsidRDefault="003940F8" w:rsidP="00252D61">
      <w:pPr>
        <w:autoSpaceDE w:val="0"/>
        <w:autoSpaceDN w:val="0"/>
        <w:adjustRightInd w:val="0"/>
        <w:ind w:left="540"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252D61">
      <w:pPr>
        <w:autoSpaceDE w:val="0"/>
        <w:autoSpaceDN w:val="0"/>
        <w:adjustRightInd w:val="0"/>
        <w:ind w:left="540" w:right="0"/>
        <w:outlineLvl w:val="9"/>
        <w:rPr>
          <w:rFonts w:eastAsiaTheme="minorHAnsi"/>
          <w:color w:val="000000"/>
        </w:rPr>
      </w:pPr>
    </w:p>
    <w:p w:rsidR="0097446C" w:rsidRDefault="003940F8" w:rsidP="00252D61">
      <w:pPr>
        <w:autoSpaceDE w:val="0"/>
        <w:autoSpaceDN w:val="0"/>
        <w:adjustRightInd w:val="0"/>
        <w:ind w:left="540"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252D61" w:rsidRDefault="003940F8" w:rsidP="00252D61">
      <w:pPr>
        <w:pStyle w:val="Heading2"/>
      </w:pPr>
      <w:r w:rsidRPr="00252D61">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r>
        <w:rPr>
          <w:rFonts w:eastAsiaTheme="minorHAnsi"/>
          <w:color w:val="000000"/>
        </w:rPr>
        <w:t>Title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produce items for local and regional consumption. Title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Change w:id="3">
          <w:tblGrid>
            <w:gridCol w:w="821"/>
            <w:gridCol w:w="4039"/>
            <w:gridCol w:w="821"/>
            <w:gridCol w:w="4129"/>
            <w:gridCol w:w="821"/>
          </w:tblGrid>
        </w:tblGridChange>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DE1CCC" w:rsidTr="00733522">
        <w:tblPrEx>
          <w:tblW w:w="0" w:type="auto"/>
          <w:tblInd w:w="828" w:type="dxa"/>
          <w:tblLayout w:type="fixed"/>
          <w:tblCellMar>
            <w:top w:w="43" w:type="dxa"/>
            <w:left w:w="115" w:type="dxa"/>
            <w:bottom w:w="43" w:type="dxa"/>
            <w:right w:w="115" w:type="dxa"/>
          </w:tblCellMar>
          <w:tblPrExChange w:id="4" w:author="HNIDEY Emil" w:date="2015-10-23T15:50:00Z">
            <w:tblPrEx>
              <w:tblW w:w="0" w:type="auto"/>
              <w:tblInd w:w="828" w:type="dxa"/>
              <w:tblLayout w:type="fixed"/>
              <w:tblCellMar>
                <w:top w:w="43" w:type="dxa"/>
                <w:left w:w="115" w:type="dxa"/>
                <w:bottom w:w="43" w:type="dxa"/>
                <w:right w:w="115" w:type="dxa"/>
              </w:tblCellMar>
            </w:tblPrEx>
          </w:tblPrExChange>
        </w:tblPrEx>
        <w:trPr>
          <w:trPrChange w:id="5" w:author="HNIDEY Emil" w:date="2015-10-23T15:50:00Z">
            <w:trPr>
              <w:gridAfter w:val="0"/>
            </w:trPr>
          </w:trPrChange>
        </w:trPr>
        <w:tc>
          <w:tcPr>
            <w:tcW w:w="4860" w:type="dxa"/>
            <w:tcBorders>
              <w:left w:val="double" w:sz="4" w:space="0" w:color="auto"/>
            </w:tcBorders>
            <w:tcPrChange w:id="6" w:author="HNIDEY Emil" w:date="2015-10-23T15:50:00Z">
              <w:tcPr>
                <w:tcW w:w="4860" w:type="dxa"/>
                <w:gridSpan w:val="2"/>
                <w:tcBorders>
                  <w:left w:val="double" w:sz="4" w:space="0" w:color="auto"/>
                </w:tcBorders>
              </w:tcPr>
            </w:tcPrChange>
          </w:tcPr>
          <w:p w:rsidR="00DE1CCC" w:rsidRPr="00891607" w:rsidRDefault="00DE1CCC"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Change w:id="7" w:author="HNIDEY Emil" w:date="2015-10-23T15:50:00Z">
              <w:tcPr>
                <w:tcW w:w="4950" w:type="dxa"/>
                <w:gridSpan w:val="2"/>
                <w:tcBorders>
                  <w:right w:val="double" w:sz="4" w:space="0" w:color="auto"/>
                </w:tcBorders>
              </w:tcPr>
            </w:tcPrChange>
          </w:tcPr>
          <w:p w:rsidR="00DE1CCC" w:rsidRPr="00891607" w:rsidRDefault="00BA2A18" w:rsidP="00733522">
            <w:pPr>
              <w:ind w:left="0"/>
              <w:rPr>
                <w:rFonts w:asciiTheme="minorHAnsi" w:hAnsiTheme="minorHAnsi" w:cstheme="minorHAnsi"/>
                <w:color w:val="000000" w:themeColor="text1"/>
              </w:rPr>
            </w:pPr>
            <w:del w:id="8" w:author="HNIDEY Emil" w:date="2015-10-23T15:49:00Z">
              <w:r w:rsidDel="00733522">
                <w:rPr>
                  <w:rFonts w:asciiTheme="minorHAnsi" w:hAnsiTheme="minorHAnsi" w:cstheme="minorHAnsi"/>
                </w:rPr>
                <w:fldChar w:fldCharType="begin"/>
              </w:r>
              <w:r w:rsidR="00733522" w:rsidDel="00733522">
                <w:rPr>
                  <w:rFonts w:asciiTheme="minorHAnsi" w:hAnsiTheme="minorHAnsi" w:cstheme="minorHAnsi"/>
                </w:rPr>
                <w:delInstrText xml:space="preserve"> HYPERLINK "</w:delInstrText>
              </w:r>
              <w:r w:rsidR="00733522" w:rsidRPr="00733522" w:rsidDel="00733522">
                <w:rPr>
                  <w:rFonts w:asciiTheme="minorHAnsi" w:hAnsiTheme="minorHAnsi" w:cstheme="minorHAnsi"/>
                </w:rPr>
                <w:delInstrText>http://sos.oregon.gov/Documents/sos-budget-2015-2017.pdf</w:delInstrText>
              </w:r>
              <w:r w:rsidR="00733522" w:rsidDel="00733522">
                <w:rPr>
                  <w:rFonts w:asciiTheme="minorHAnsi" w:hAnsiTheme="minorHAnsi" w:cstheme="minorHAnsi"/>
                </w:rPr>
                <w:delInstrText xml:space="preserve">" </w:delInstrText>
              </w:r>
              <w:r w:rsidDel="00733522">
                <w:rPr>
                  <w:rFonts w:asciiTheme="minorHAnsi" w:hAnsiTheme="minorHAnsi" w:cstheme="minorHAnsi"/>
                </w:rPr>
                <w:fldChar w:fldCharType="separate"/>
              </w:r>
              <w:r w:rsidR="00733522" w:rsidRPr="00EF7F3A" w:rsidDel="00733522">
                <w:rPr>
                  <w:rStyle w:val="Hyperlink"/>
                  <w:rFonts w:asciiTheme="minorHAnsi" w:hAnsiTheme="minorHAnsi" w:cstheme="minorHAnsi"/>
                </w:rPr>
                <w:delText>http://sos.oregon.gov/Documents/sos-budget-2015-2017.pdf</w:delText>
              </w:r>
              <w:r w:rsidDel="00733522">
                <w:rPr>
                  <w:rFonts w:asciiTheme="minorHAnsi" w:hAnsiTheme="minorHAnsi" w:cstheme="minorHAnsi"/>
                </w:rPr>
                <w:fldChar w:fldCharType="end"/>
              </w:r>
            </w:del>
            <w:commentRangeStart w:id="9"/>
            <w:ins w:id="10" w:author="HNIDEY Emil" w:date="2015-10-23T15:49:00Z">
              <w:r>
                <w:rPr>
                  <w:rFonts w:asciiTheme="minorHAnsi" w:hAnsiTheme="minorHAnsi" w:cstheme="minorHAnsi"/>
                </w:rPr>
                <w:fldChar w:fldCharType="begin"/>
              </w:r>
              <w:r w:rsidR="00733522">
                <w:rPr>
                  <w:rFonts w:asciiTheme="minorHAnsi" w:hAnsiTheme="minorHAnsi" w:cstheme="minorHAnsi"/>
                </w:rPr>
                <w:instrText xml:space="preserve"> HYPERLINK "http://sos.oregon.gov/Documents/sos-budget-2015-2017.pdf" </w:instrText>
              </w:r>
              <w:r>
                <w:rPr>
                  <w:rFonts w:asciiTheme="minorHAnsi" w:hAnsiTheme="minorHAnsi" w:cstheme="minorHAnsi"/>
                </w:rPr>
                <w:fldChar w:fldCharType="separate"/>
              </w:r>
              <w:r w:rsidR="00733522" w:rsidRPr="00733522">
                <w:rPr>
                  <w:rStyle w:val="Hyperlink"/>
                  <w:rFonts w:asciiTheme="minorHAnsi" w:hAnsiTheme="minorHAnsi" w:cstheme="minorHAnsi"/>
                </w:rPr>
                <w:t>Secretary of State Website</w:t>
              </w:r>
              <w:r>
                <w:rPr>
                  <w:rFonts w:asciiTheme="minorHAnsi" w:hAnsiTheme="minorHAnsi" w:cstheme="minorHAnsi"/>
                </w:rPr>
                <w:fldChar w:fldCharType="end"/>
              </w:r>
            </w:ins>
            <w:commentRangeEnd w:id="9"/>
            <w:ins w:id="11" w:author="HNIDEY Emil" w:date="2015-10-23T15:50:00Z">
              <w:r w:rsidR="00733522">
                <w:rPr>
                  <w:rStyle w:val="CommentReference"/>
                </w:rPr>
                <w:commentReference w:id="9"/>
              </w:r>
            </w:ins>
          </w:p>
        </w:tc>
      </w:tr>
      <w:tr w:rsidR="00DE1CCC" w:rsidTr="00733522">
        <w:tblPrEx>
          <w:tblW w:w="0" w:type="auto"/>
          <w:tblInd w:w="828" w:type="dxa"/>
          <w:tblLayout w:type="fixed"/>
          <w:tblCellMar>
            <w:top w:w="43" w:type="dxa"/>
            <w:left w:w="115" w:type="dxa"/>
            <w:bottom w:w="43" w:type="dxa"/>
            <w:right w:w="115" w:type="dxa"/>
          </w:tblCellMar>
          <w:tblPrExChange w:id="12" w:author="HNIDEY Emil" w:date="2015-10-23T15:50:00Z">
            <w:tblPrEx>
              <w:tblW w:w="0" w:type="auto"/>
              <w:tblInd w:w="828" w:type="dxa"/>
              <w:tblLayout w:type="fixed"/>
              <w:tblCellMar>
                <w:top w:w="43" w:type="dxa"/>
                <w:left w:w="115" w:type="dxa"/>
                <w:bottom w:w="43" w:type="dxa"/>
                <w:right w:w="115" w:type="dxa"/>
              </w:tblCellMar>
            </w:tblPrEx>
          </w:tblPrExChange>
        </w:tblPrEx>
        <w:trPr>
          <w:trPrChange w:id="13" w:author="HNIDEY Emil" w:date="2015-10-23T15:50:00Z">
            <w:trPr>
              <w:gridAfter w:val="0"/>
            </w:trPr>
          </w:trPrChange>
        </w:trPr>
        <w:tc>
          <w:tcPr>
            <w:tcW w:w="4860" w:type="dxa"/>
            <w:tcBorders>
              <w:left w:val="double" w:sz="4" w:space="0" w:color="auto"/>
              <w:bottom w:val="single" w:sz="4" w:space="0" w:color="auto"/>
            </w:tcBorders>
            <w:tcPrChange w:id="14" w:author="HNIDEY Emil" w:date="2015-10-23T15:50:00Z">
              <w:tcPr>
                <w:tcW w:w="4860" w:type="dxa"/>
                <w:gridSpan w:val="2"/>
                <w:tcBorders>
                  <w:left w:val="double" w:sz="4" w:space="0" w:color="auto"/>
                  <w:bottom w:val="single" w:sz="4" w:space="0" w:color="auto"/>
                </w:tcBorders>
              </w:tcPr>
            </w:tcPrChange>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Change w:id="15" w:author="HNIDEY Emil" w:date="2015-10-23T15:50:00Z">
              <w:tcPr>
                <w:tcW w:w="4950" w:type="dxa"/>
                <w:gridSpan w:val="2"/>
                <w:tcBorders>
                  <w:bottom w:val="single" w:sz="4" w:space="0" w:color="auto"/>
                  <w:right w:val="double" w:sz="4" w:space="0" w:color="auto"/>
                </w:tcBorders>
              </w:tcPr>
            </w:tcPrChange>
          </w:tcPr>
          <w:p w:rsidR="00DE1CCC" w:rsidRPr="006D57C6" w:rsidRDefault="00BA2A18" w:rsidP="00733522">
            <w:pPr>
              <w:ind w:left="0"/>
              <w:rPr>
                <w:rFonts w:asciiTheme="minorHAnsi" w:hAnsiTheme="minorHAnsi" w:cstheme="minorHAnsi"/>
                <w:color w:val="000000" w:themeColor="text1"/>
              </w:rPr>
            </w:pPr>
            <w:del w:id="16" w:author="HNIDEY Emil" w:date="2015-10-23T15:49:00Z">
              <w:r w:rsidRPr="00BA2A18" w:rsidDel="00733522">
                <w:fldChar w:fldCharType="begin"/>
              </w:r>
              <w:r w:rsidR="00733522" w:rsidDel="00733522">
                <w:delInstrText xml:space="preserve"> HYPERLINK "http://www.epw.senate.gov/envlaws/cleanair.pdf" </w:delInstrText>
              </w:r>
              <w:r w:rsidRPr="00BA2A18" w:rsidDel="00733522">
                <w:fldChar w:fldCharType="separate"/>
              </w:r>
              <w:r w:rsidR="00DE1CCC" w:rsidRPr="006D57C6" w:rsidDel="00733522">
                <w:rPr>
                  <w:rStyle w:val="Hyperlink"/>
                  <w:rFonts w:asciiTheme="minorHAnsi" w:hAnsiTheme="minorHAnsi" w:cstheme="minorHAnsi"/>
                </w:rPr>
                <w:delText>http://www.epw.senate.gov/envlaws/cleanair.pdf</w:delText>
              </w:r>
              <w:r w:rsidDel="00733522">
                <w:rPr>
                  <w:rStyle w:val="Hyperlink"/>
                  <w:rFonts w:asciiTheme="minorHAnsi" w:hAnsiTheme="minorHAnsi" w:cstheme="minorHAnsi"/>
                </w:rPr>
                <w:fldChar w:fldCharType="end"/>
              </w:r>
            </w:del>
            <w:ins w:id="17" w:author="HNIDEY Emil" w:date="2015-10-23T15:49:00Z">
              <w:r>
                <w:rPr>
                  <w:rFonts w:asciiTheme="minorHAnsi" w:hAnsiTheme="minorHAnsi" w:cstheme="minorHAnsi"/>
                </w:rPr>
                <w:fldChar w:fldCharType="begin"/>
              </w:r>
              <w:r w:rsidR="00733522">
                <w:rPr>
                  <w:rFonts w:asciiTheme="minorHAnsi" w:hAnsiTheme="minorHAnsi" w:cstheme="minorHAnsi"/>
                </w:rPr>
                <w:instrText xml:space="preserve"> HYPERLINK "http://www.epw.senate.gov/envlaws/cleanair.pdf" </w:instrText>
              </w:r>
              <w:r>
                <w:rPr>
                  <w:rFonts w:asciiTheme="minorHAnsi" w:hAnsiTheme="minorHAnsi" w:cstheme="minorHAnsi"/>
                </w:rPr>
                <w:fldChar w:fldCharType="separate"/>
              </w:r>
              <w:r w:rsidR="00733522" w:rsidRPr="00733522">
                <w:rPr>
                  <w:rStyle w:val="Hyperlink"/>
                  <w:rFonts w:asciiTheme="minorHAnsi" w:hAnsiTheme="minorHAnsi" w:cstheme="minorHAnsi"/>
                </w:rPr>
                <w:t>EPA Website</w:t>
              </w:r>
              <w:r>
                <w:rPr>
                  <w:rFonts w:asciiTheme="minorHAnsi" w:hAnsiTheme="minorHAnsi" w:cstheme="minorHAnsi"/>
                </w:rPr>
                <w:fldChar w:fldCharType="end"/>
              </w:r>
            </w:ins>
          </w:p>
        </w:tc>
      </w:tr>
      <w:tr w:rsidR="00DE1CCC" w:rsidTr="00733522">
        <w:tblPrEx>
          <w:tblW w:w="0" w:type="auto"/>
          <w:tblInd w:w="828" w:type="dxa"/>
          <w:tblLayout w:type="fixed"/>
          <w:tblCellMar>
            <w:top w:w="43" w:type="dxa"/>
            <w:left w:w="115" w:type="dxa"/>
            <w:bottom w:w="43" w:type="dxa"/>
            <w:right w:w="115" w:type="dxa"/>
          </w:tblCellMar>
          <w:tblPrExChange w:id="18" w:author="HNIDEY Emil" w:date="2015-10-23T15:50:00Z">
            <w:tblPrEx>
              <w:tblW w:w="0" w:type="auto"/>
              <w:tblInd w:w="828" w:type="dxa"/>
              <w:tblLayout w:type="fixed"/>
              <w:tblCellMar>
                <w:top w:w="43" w:type="dxa"/>
                <w:left w:w="115" w:type="dxa"/>
                <w:bottom w:w="43" w:type="dxa"/>
                <w:right w:w="115" w:type="dxa"/>
              </w:tblCellMar>
            </w:tblPrEx>
          </w:tblPrExChange>
        </w:tblPrEx>
        <w:trPr>
          <w:trPrChange w:id="19" w:author="HNIDEY Emil" w:date="2015-10-23T15:50:00Z">
            <w:trPr>
              <w:gridAfter w:val="0"/>
            </w:trPr>
          </w:trPrChange>
        </w:trPr>
        <w:tc>
          <w:tcPr>
            <w:tcW w:w="4860" w:type="dxa"/>
            <w:tcBorders>
              <w:left w:val="double" w:sz="4" w:space="0" w:color="auto"/>
              <w:bottom w:val="double" w:sz="4" w:space="0" w:color="auto"/>
            </w:tcBorders>
            <w:tcPrChange w:id="20" w:author="HNIDEY Emil" w:date="2015-10-23T15:50:00Z">
              <w:tcPr>
                <w:tcW w:w="4860" w:type="dxa"/>
                <w:gridSpan w:val="2"/>
                <w:tcBorders>
                  <w:left w:val="double" w:sz="4" w:space="0" w:color="auto"/>
                  <w:bottom w:val="double" w:sz="4" w:space="0" w:color="auto"/>
                </w:tcBorders>
              </w:tcPr>
            </w:tcPrChange>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Change w:id="21" w:author="HNIDEY Emil" w:date="2015-10-23T15:50:00Z">
              <w:tcPr>
                <w:tcW w:w="4950" w:type="dxa"/>
                <w:gridSpan w:val="2"/>
                <w:tcBorders>
                  <w:bottom w:val="double" w:sz="4" w:space="0" w:color="auto"/>
                  <w:right w:val="double" w:sz="4" w:space="0" w:color="auto"/>
                </w:tcBorders>
              </w:tcPr>
            </w:tcPrChange>
          </w:tcPr>
          <w:p w:rsidR="00DE1CCC" w:rsidRPr="006D57C6" w:rsidRDefault="00BA2A18" w:rsidP="00733522">
            <w:pPr>
              <w:ind w:left="0"/>
              <w:rPr>
                <w:rFonts w:asciiTheme="minorHAnsi" w:hAnsiTheme="minorHAnsi" w:cstheme="minorHAnsi"/>
                <w:color w:val="000000" w:themeColor="text1"/>
              </w:rPr>
            </w:pPr>
            <w:del w:id="22" w:author="HNIDEY Emil" w:date="2015-10-23T15:49:00Z">
              <w:r w:rsidRPr="00BA2A18" w:rsidDel="00733522">
                <w:fldChar w:fldCharType="begin"/>
              </w:r>
              <w:r w:rsidR="00733522" w:rsidDel="00733522">
                <w:delInstrText xml:space="preserve"> HYPERLINK "http://www.bls.gov/data/" </w:delInstrText>
              </w:r>
              <w:r w:rsidRPr="00BA2A18" w:rsidDel="00733522">
                <w:fldChar w:fldCharType="separate"/>
              </w:r>
              <w:r w:rsidR="00DE1CCC" w:rsidRPr="006D57C6" w:rsidDel="00733522">
                <w:rPr>
                  <w:rStyle w:val="Hyperlink"/>
                  <w:rFonts w:asciiTheme="minorHAnsi" w:hAnsiTheme="minorHAnsi" w:cstheme="minorHAnsi"/>
                </w:rPr>
                <w:delText>http://www.bls.gov/data/</w:delText>
              </w:r>
              <w:r w:rsidDel="00733522">
                <w:rPr>
                  <w:rStyle w:val="Hyperlink"/>
                  <w:rFonts w:asciiTheme="minorHAnsi" w:hAnsiTheme="minorHAnsi" w:cstheme="minorHAnsi"/>
                </w:rPr>
                <w:fldChar w:fldCharType="end"/>
              </w:r>
            </w:del>
            <w:ins w:id="23" w:author="HNIDEY Emil" w:date="2015-10-23T15:50:00Z">
              <w:r>
                <w:rPr>
                  <w:rFonts w:asciiTheme="minorHAnsi" w:hAnsiTheme="minorHAnsi" w:cstheme="minorHAnsi"/>
                </w:rPr>
                <w:fldChar w:fldCharType="begin"/>
              </w:r>
              <w:r w:rsidR="00733522">
                <w:rPr>
                  <w:rFonts w:asciiTheme="minorHAnsi" w:hAnsiTheme="minorHAnsi" w:cstheme="minorHAnsi"/>
                </w:rPr>
                <w:instrText xml:space="preserve"> HYPERLINK "http://www.bls.gov/data/" </w:instrText>
              </w:r>
              <w:r>
                <w:rPr>
                  <w:rFonts w:asciiTheme="minorHAnsi" w:hAnsiTheme="minorHAnsi" w:cstheme="minorHAnsi"/>
                </w:rPr>
                <w:fldChar w:fldCharType="separate"/>
              </w:r>
              <w:r w:rsidR="00733522" w:rsidRPr="00733522">
                <w:rPr>
                  <w:rStyle w:val="Hyperlink"/>
                  <w:rFonts w:asciiTheme="minorHAnsi" w:hAnsiTheme="minorHAnsi" w:cstheme="minorHAnsi"/>
                </w:rPr>
                <w:t>Bureau of Labor Statistics Website</w:t>
              </w:r>
              <w:r>
                <w:rPr>
                  <w:rFonts w:asciiTheme="minorHAnsi" w:hAnsiTheme="minorHAnsi" w:cstheme="minorHAnsi"/>
                </w:rPr>
                <w:fldChar w:fldCharType="end"/>
              </w:r>
            </w:ins>
          </w:p>
        </w:tc>
        <w:bookmarkStart w:id="24" w:name="_GoBack"/>
        <w:bookmarkEnd w:id="24"/>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5" w:name="RANGE!G182"/>
            <w:r w:rsidRPr="00B275A4">
              <w:rPr>
                <w:color w:val="000000"/>
              </w:rPr>
              <w:t>approx. $</w:t>
            </w:r>
            <w:bookmarkEnd w:id="25"/>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6" w:name="RANGE!J182"/>
            <w:r w:rsidRPr="00B275A4">
              <w:rPr>
                <w:color w:val="000000"/>
              </w:rPr>
              <w:t>100%</w:t>
            </w:r>
            <w:bookmarkEnd w:id="26"/>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7" w:name="RANGE!G183"/>
            <w:r w:rsidRPr="00B275A4">
              <w:rPr>
                <w:color w:val="000000"/>
              </w:rPr>
              <w:t>$0</w:t>
            </w:r>
            <w:bookmarkEnd w:id="27"/>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8" w:name="RANGE!J183"/>
            <w:r w:rsidRPr="00B275A4">
              <w:rPr>
                <w:color w:val="000000"/>
              </w:rPr>
              <w:t>0%</w:t>
            </w:r>
            <w:bookmarkEnd w:id="28"/>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r>
        <w:rPr>
          <w:color w:val="000000" w:themeColor="text1"/>
        </w:rPr>
        <w:t>Phase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29" w:name="RANGE!G189"/>
            <w:r w:rsidRPr="00965298">
              <w:rPr>
                <w:color w:val="000000"/>
              </w:rPr>
              <w:t>+ $</w:t>
            </w:r>
            <w:bookmarkEnd w:id="29"/>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30" w:name="RANGE!J189"/>
            <w:r>
              <w:rPr>
                <w:color w:val="000000"/>
              </w:rPr>
              <w:t>+0.45</w:t>
            </w:r>
            <w:r w:rsidR="001B2464" w:rsidRPr="00965298">
              <w:rPr>
                <w:color w:val="000000"/>
              </w:rPr>
              <w:t>%</w:t>
            </w:r>
            <w:bookmarkEnd w:id="30"/>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 xml:space="preserve">expenditures are </w:t>
      </w:r>
      <w:r>
        <w:rPr>
          <w:rFonts w:eastAsiaTheme="minorHAnsi"/>
          <w:color w:val="000000"/>
        </w:rPr>
        <w:lastRenderedPageBreak/>
        <w:t>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P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ind w:left="0"/>
        <w:rPr>
          <w:rFonts w:asciiTheme="majorHAnsi" w:hAnsiTheme="majorHAnsi" w:cstheme="majorHAnsi"/>
          <w:bCs/>
          <w:color w:val="504938"/>
          <w:sz w:val="22"/>
          <w:szCs w:val="22"/>
        </w:rPr>
      </w:pPr>
    </w:p>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 xml:space="preserve">Fee schedule </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p w:rsidR="00F76226" w:rsidRPr="00F76226" w:rsidRDefault="00F76226" w:rsidP="00F76226">
      <w:pPr>
        <w:rPr>
          <w:rFonts w:eastAsiaTheme="minorHAnsi"/>
          <w:color w:val="000000"/>
        </w:rPr>
      </w:pP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3940F8" w:rsidRDefault="003940F8" w:rsidP="002D6C99">
      <w:pPr>
        <w:rPr>
          <w:color w:val="C45911" w:themeColor="accent2" w:themeShade="BF"/>
        </w:rPr>
      </w:pPr>
    </w:p>
    <w:p w:rsidR="003940F8" w:rsidRDefault="003940F8"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rsidR="00F77139" w:rsidRPr="006F0E6F" w:rsidRDefault="00F77139" w:rsidP="006F0E6F">
      <w:pPr>
        <w:rPr>
          <w:rFonts w:eastAsiaTheme="minorHAnsi"/>
          <w:color w:val="000000"/>
        </w:rPr>
      </w:pPr>
    </w:p>
    <w:p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rsidR="00F77139" w:rsidRPr="006F0E6F" w:rsidRDefault="00F77139" w:rsidP="006F0E6F">
      <w:pPr>
        <w:rPr>
          <w:rFonts w:eastAsiaTheme="minorHAnsi"/>
          <w:color w:val="000000"/>
        </w:rPr>
      </w:pPr>
    </w:p>
    <w:p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rsidR="007E7B06" w:rsidRDefault="00AD7DB9" w:rsidP="006F0E6F">
      <w:pPr>
        <w:pStyle w:val="Heading2"/>
      </w:pPr>
      <w:r w:rsidRPr="006F0E6F">
        <w:rPr>
          <w:rFonts w:cstheme="majorHAnsi"/>
          <w:color w:val="504938"/>
          <w:szCs w:val="22"/>
        </w:rPr>
        <w:t>Statement of Cost of Compliance</w:t>
      </w:r>
      <w:r w:rsidRPr="006807BF">
        <w:tab/>
      </w:r>
    </w:p>
    <w:p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rsidR="00FB74D9" w:rsidRDefault="00FB74D9">
      <w:pPr>
        <w:ind w:left="0" w:firstLine="360"/>
        <w:rPr>
          <w:color w:val="1F4E79" w:themeColor="accent1" w:themeShade="80"/>
        </w:rPr>
      </w:pPr>
    </w:p>
    <w:p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rsidR="00392035" w:rsidRDefault="00392035" w:rsidP="00392035">
      <w:pPr>
        <w:ind w:left="0" w:firstLine="360"/>
        <w:rPr>
          <w:rFonts w:asciiTheme="minorHAnsi" w:hAnsiTheme="minorHAnsi" w:cstheme="minorHAnsi"/>
          <w:bCs/>
          <w:color w:val="000000" w:themeColor="text1"/>
        </w:rPr>
      </w:pPr>
    </w:p>
    <w:p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rsidR="007E7B06" w:rsidRDefault="007E7B06" w:rsidP="00817FE6">
      <w:pPr>
        <w:ind w:left="1080"/>
      </w:pPr>
    </w:p>
    <w:p w:rsidR="00392035" w:rsidRDefault="00392035" w:rsidP="00817FE6">
      <w:pPr>
        <w:ind w:left="1080"/>
      </w:pPr>
    </w:p>
    <w:p w:rsidR="00392035" w:rsidRPr="008F491E" w:rsidRDefault="00392035" w:rsidP="00817FE6">
      <w:pPr>
        <w:ind w:left="1080"/>
      </w:pPr>
    </w:p>
    <w:p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rsidR="00392035" w:rsidRDefault="00AD7DB9" w:rsidP="00392035">
      <w:pPr>
        <w:ind w:left="1080"/>
        <w:rPr>
          <w:rFonts w:eastAsiaTheme="minorHAnsi"/>
        </w:rPr>
      </w:pPr>
      <w:r w:rsidRPr="00526825">
        <w:rPr>
          <w:u w:val="single"/>
        </w:rPr>
        <w:lastRenderedPageBreak/>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rsidR="00392035" w:rsidRDefault="00392035" w:rsidP="00392035">
      <w:pPr>
        <w:ind w:left="1080"/>
        <w:rPr>
          <w:rFonts w:eastAsiaTheme="minorHAnsi"/>
        </w:rPr>
      </w:pPr>
    </w:p>
    <w:p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rsidR="004E63F8" w:rsidRPr="004E63F8" w:rsidRDefault="004E63F8" w:rsidP="004E63F8">
      <w:pPr>
        <w:rPr>
          <w:color w:val="1F4E79" w:themeColor="accent1" w:themeShade="80"/>
          <w:u w:val="single"/>
        </w:rPr>
      </w:pPr>
    </w:p>
    <w:p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rsidR="00252C1C" w:rsidRPr="00252C1C" w:rsidRDefault="00252C1C" w:rsidP="00252C1C">
      <w:pPr>
        <w:autoSpaceDE w:val="0"/>
        <w:autoSpaceDN w:val="0"/>
        <w:adjustRightInd w:val="0"/>
        <w:ind w:left="0" w:right="0"/>
        <w:outlineLvl w:val="9"/>
        <w:rPr>
          <w:rFonts w:eastAsiaTheme="minorHAnsi"/>
        </w:rPr>
      </w:pPr>
    </w:p>
    <w:p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rsidR="00AD7DB9" w:rsidRDefault="00AD7DB9" w:rsidP="00817FE6">
      <w:pPr>
        <w:ind w:left="1080"/>
      </w:pPr>
    </w:p>
    <w:p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Public</w:t>
      </w:r>
    </w:p>
    <w:p w:rsidR="0072056E" w:rsidRDefault="00AD7DB9" w:rsidP="0072056E">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140BA3" w:rsidRPr="0072056E">
        <w:rPr>
          <w:rFonts w:asciiTheme="minorHAnsi" w:hAnsiTheme="minorHAnsi" w:cstheme="minorHAnsi"/>
          <w:iCs/>
        </w:rPr>
        <w:t xml:space="preserve">The proposed rules would not affect the public directly. Air pollution creates public health problems that can have negative economic impacts. The proposed fee increases could create positive economic benefits and improvements in public health and welfare resulting from an adequately funded Title V program. Fee increases that provide sufficient resources for compliance and technical assistance may help avoid public health costs associated with lower compliance and increased air pollution. </w:t>
      </w:r>
      <w:r w:rsidR="00140BA3" w:rsidRPr="0072056E">
        <w:rPr>
          <w:rFonts w:asciiTheme="minorHAnsi" w:hAnsiTheme="minorHAnsi" w:cstheme="minorHAnsi"/>
          <w:iCs/>
        </w:rPr>
        <w:tab/>
      </w:r>
    </w:p>
    <w:p w:rsidR="0072056E" w:rsidRDefault="0072056E" w:rsidP="00D57B1A">
      <w:pPr>
        <w:ind w:left="1440"/>
        <w:rPr>
          <w:u w:val="single"/>
        </w:rPr>
      </w:pPr>
    </w:p>
    <w:p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rsidR="00140BA3" w:rsidRDefault="00140BA3" w:rsidP="00D57B1A">
      <w:pPr>
        <w:ind w:left="1440"/>
      </w:pPr>
    </w:p>
    <w:p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hold Title V permits and a fee increase would affect these permit holders directly. The type of permit required for a facility determines t</w:t>
      </w:r>
      <w:r w:rsidR="00840594" w:rsidRPr="00575624">
        <w:rPr>
          <w:rFonts w:asciiTheme="minorHAnsi" w:hAnsiTheme="minorHAnsi" w:cstheme="minorHAnsi"/>
          <w:bCs/>
          <w:color w:val="000000" w:themeColor="text1"/>
        </w:rPr>
        <w:t xml:space="preserve">he permit fees regardless of the number of employees.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840594">
        <w:rPr>
          <w:rFonts w:asciiTheme="minorHAnsi" w:hAnsiTheme="minorHAnsi" w:cstheme="minorHAnsi"/>
          <w:spacing w:val="-3"/>
        </w:rPr>
        <w:t>increase slowly.</w:t>
      </w:r>
    </w:p>
    <w:p w:rsidR="00840594" w:rsidRDefault="00840594" w:rsidP="00840594">
      <w:pPr>
        <w:spacing w:after="120"/>
        <w:ind w:left="1080" w:right="14"/>
        <w:rPr>
          <w:rFonts w:asciiTheme="minorHAnsi" w:hAnsiTheme="minorHAnsi" w:cstheme="minorHAnsi"/>
          <w:bCs/>
          <w:color w:val="000000" w:themeColor="text1"/>
        </w:rPr>
      </w:pPr>
    </w:p>
    <w:p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p w:rsidR="006F0E6F" w:rsidRDefault="006F0E6F" w:rsidP="0072056E">
      <w:pPr>
        <w:spacing w:after="200" w:line="235" w:lineRule="auto"/>
        <w:ind w:left="1080"/>
        <w:rPr>
          <w:rFonts w:asciiTheme="minorHAnsi" w:hAnsiTheme="minorHAnsi" w:cstheme="minorHAnsi"/>
        </w:rPr>
      </w:pPr>
    </w:p>
    <w:tbl>
      <w:tblPr>
        <w:tblStyle w:val="Rulemaking"/>
        <w:tblW w:w="8750" w:type="dxa"/>
        <w:jc w:val="center"/>
        <w:tblLayout w:type="fixed"/>
        <w:tblLook w:val="04A0"/>
      </w:tblPr>
      <w:tblGrid>
        <w:gridCol w:w="1063"/>
        <w:gridCol w:w="810"/>
        <w:gridCol w:w="1980"/>
        <w:gridCol w:w="1440"/>
        <w:gridCol w:w="1980"/>
        <w:gridCol w:w="1477"/>
      </w:tblGrid>
      <w:tr w:rsidR="00840594" w:rsidTr="004E7B71">
        <w:trPr>
          <w:cnfStyle w:val="100000000000"/>
          <w:trHeight w:val="406"/>
          <w:jc w:val="center"/>
        </w:trPr>
        <w:tc>
          <w:tcPr>
            <w:tcW w:w="8750" w:type="dxa"/>
            <w:gridSpan w:val="6"/>
            <w:tcMar>
              <w:top w:w="43" w:type="dxa"/>
              <w:left w:w="43" w:type="dxa"/>
              <w:bottom w:w="43" w:type="dxa"/>
              <w:right w:w="43" w:type="dxa"/>
            </w:tcMar>
          </w:tcPr>
          <w:p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lastRenderedPageBreak/>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096693" w:rsidTr="004E7B71">
        <w:trPr>
          <w:cnfStyle w:val="000000100000"/>
          <w:trHeight w:val="495"/>
          <w:jc w:val="center"/>
        </w:trPr>
        <w:tc>
          <w:tcPr>
            <w:tcW w:w="1063" w:type="dxa"/>
            <w:tcBorders>
              <w:right w:val="single" w:sz="4" w:space="0" w:color="auto"/>
            </w:tcBorders>
            <w:tcMar>
              <w:top w:w="43" w:type="dxa"/>
              <w:left w:w="43" w:type="dxa"/>
              <w:bottom w:w="43" w:type="dxa"/>
              <w:right w:w="43" w:type="dxa"/>
            </w:tcMar>
          </w:tcPr>
          <w:p w:rsidR="00840594" w:rsidRDefault="00840594" w:rsidP="0009574C">
            <w:pPr>
              <w:ind w:left="0" w:right="14"/>
              <w:jc w:val="center"/>
              <w:rPr>
                <w:rFonts w:asciiTheme="minorHAnsi" w:hAnsiTheme="minorHAnsi" w:cstheme="minorHAnsi"/>
                <w:color w:val="auto"/>
              </w:rPr>
            </w:pPr>
            <w:r w:rsidRPr="00D6476E">
              <w:rPr>
                <w:rFonts w:asciiTheme="minorHAnsi" w:hAnsiTheme="minorHAnsi" w:cstheme="minorHAnsi"/>
              </w:rPr>
              <w:t>Fee Category</w:t>
            </w:r>
          </w:p>
        </w:tc>
        <w:tc>
          <w:tcPr>
            <w:tcW w:w="810" w:type="dxa"/>
            <w:tcBorders>
              <w:right w:val="single" w:sz="4" w:space="0" w:color="auto"/>
            </w:tcBorders>
            <w:tcMar>
              <w:top w:w="43" w:type="dxa"/>
              <w:left w:w="43" w:type="dxa"/>
              <w:bottom w:w="43" w:type="dxa"/>
              <w:right w:w="43" w:type="dxa"/>
            </w:tcMar>
          </w:tcPr>
          <w:p w:rsidR="00840594" w:rsidRDefault="00840594" w:rsidP="00096693">
            <w:pPr>
              <w:ind w:left="0" w:right="14"/>
              <w:jc w:val="center"/>
              <w:rPr>
                <w:rFonts w:asciiTheme="minorHAnsi" w:hAnsiTheme="minorHAnsi" w:cstheme="minorHAnsi"/>
                <w:color w:val="auto"/>
              </w:rPr>
            </w:pPr>
            <w:r>
              <w:rPr>
                <w:rFonts w:asciiTheme="minorHAnsi" w:hAnsiTheme="minorHAnsi" w:cstheme="minorHAnsi"/>
              </w:rPr>
              <w:t>201</w:t>
            </w:r>
            <w:r w:rsidR="002F6155">
              <w:rPr>
                <w:rFonts w:asciiTheme="minorHAnsi" w:hAnsiTheme="minorHAnsi" w:cstheme="minorHAnsi"/>
              </w:rPr>
              <w:t>5</w:t>
            </w:r>
            <w:r w:rsidR="0009574C">
              <w:rPr>
                <w:rFonts w:asciiTheme="minorHAnsi" w:hAnsiTheme="minorHAnsi" w:cstheme="minorHAnsi"/>
              </w:rPr>
              <w:t xml:space="preserve"> Fees</w:t>
            </w:r>
          </w:p>
        </w:tc>
        <w:tc>
          <w:tcPr>
            <w:tcW w:w="198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w:t>
            </w:r>
            <w:r w:rsidR="00840594" w:rsidRPr="00D6476E">
              <w:rPr>
                <w:rFonts w:asciiTheme="minorHAnsi" w:hAnsiTheme="minorHAnsi" w:cstheme="minorHAnsi"/>
              </w:rPr>
              <w:t xml:space="preserve">roposed </w:t>
            </w:r>
            <w:r>
              <w:rPr>
                <w:rFonts w:asciiTheme="minorHAnsi" w:hAnsiTheme="minorHAnsi" w:cstheme="minorHAnsi"/>
              </w:rPr>
              <w:t>2016 F</w:t>
            </w:r>
            <w:r w:rsidR="00840594" w:rsidRPr="00D6476E">
              <w:rPr>
                <w:rFonts w:asciiTheme="minorHAnsi" w:hAnsiTheme="minorHAnsi" w:cstheme="minorHAnsi"/>
              </w:rPr>
              <w:t>ees</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440" w:type="dxa"/>
            <w:tcBorders>
              <w:right w:val="single" w:sz="4" w:space="0" w:color="auto"/>
            </w:tcBorders>
            <w:tcMar>
              <w:top w:w="43" w:type="dxa"/>
              <w:left w:w="43" w:type="dxa"/>
              <w:bottom w:w="43" w:type="dxa"/>
              <w:right w:w="43" w:type="dxa"/>
            </w:tcMar>
          </w:tcPr>
          <w:p w:rsidR="00840594" w:rsidRDefault="007C742E" w:rsidP="00096693">
            <w:pPr>
              <w:ind w:left="0" w:right="14"/>
              <w:jc w:val="center"/>
              <w:rPr>
                <w:rFonts w:asciiTheme="minorHAnsi" w:hAnsiTheme="minorHAnsi" w:cstheme="minorHAnsi"/>
                <w:color w:val="auto"/>
              </w:rPr>
            </w:pPr>
            <w:r>
              <w:rPr>
                <w:rFonts w:asciiTheme="minorHAnsi" w:hAnsiTheme="minorHAnsi" w:cstheme="minorHAnsi"/>
              </w:rPr>
              <w:t>Increase over 2015</w:t>
            </w:r>
            <w:r w:rsidR="00840594" w:rsidRPr="00D6476E">
              <w:rPr>
                <w:rFonts w:asciiTheme="minorHAnsi" w:hAnsiTheme="minorHAnsi" w:cstheme="minorHAnsi"/>
              </w:rPr>
              <w:t xml:space="preserve"> Fees</w:t>
            </w:r>
          </w:p>
        </w:tc>
        <w:tc>
          <w:tcPr>
            <w:tcW w:w="198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Proposed 2017 F</w:t>
            </w:r>
            <w:r w:rsidR="00840594" w:rsidRPr="00D6476E">
              <w:rPr>
                <w:rFonts w:asciiTheme="minorHAnsi" w:hAnsiTheme="minorHAnsi" w:cstheme="minorHAnsi"/>
              </w:rPr>
              <w:t>ees</w:t>
            </w:r>
            <w:r>
              <w:rPr>
                <w:rFonts w:asciiTheme="minorHAnsi" w:hAnsiTheme="minorHAnsi" w:cstheme="minorHAnsi"/>
              </w:rPr>
              <w:t xml:space="preserve"> </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477" w:type="dxa"/>
            <w:tcBorders>
              <w:left w:val="single" w:sz="4" w:space="0" w:color="auto"/>
            </w:tcBorders>
            <w:tcMar>
              <w:top w:w="43" w:type="dxa"/>
              <w:left w:w="43" w:type="dxa"/>
              <w:bottom w:w="43" w:type="dxa"/>
              <w:right w:w="43" w:type="dxa"/>
            </w:tcMar>
          </w:tcPr>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Increase over 2014 Fees</w:t>
            </w:r>
          </w:p>
        </w:tc>
      </w:tr>
      <w:tr w:rsidR="00096693" w:rsidTr="004E7B71">
        <w:trPr>
          <w:cnfStyle w:val="000000010000"/>
          <w:trHeight w:val="272"/>
          <w:jc w:val="center"/>
        </w:trPr>
        <w:tc>
          <w:tcPr>
            <w:tcW w:w="1063"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rPr>
            </w:pPr>
            <w:r w:rsidRPr="00D6476E">
              <w:rPr>
                <w:rFonts w:asciiTheme="minorHAnsi" w:hAnsiTheme="minorHAnsi" w:cstheme="minorHAnsi"/>
              </w:rPr>
              <w:t>Annual Base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910</w:t>
            </w:r>
          </w:p>
        </w:tc>
        <w:tc>
          <w:tcPr>
            <w:tcW w:w="198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946</w:t>
            </w:r>
          </w:p>
        </w:tc>
        <w:tc>
          <w:tcPr>
            <w:tcW w:w="1440" w:type="dxa"/>
            <w:tcBorders>
              <w:right w:val="single" w:sz="4" w:space="0" w:color="auto"/>
            </w:tcBorders>
            <w:tcMar>
              <w:top w:w="43" w:type="dxa"/>
              <w:left w:w="43" w:type="dxa"/>
              <w:bottom w:w="43" w:type="dxa"/>
              <w:right w:w="43" w:type="dxa"/>
            </w:tcMar>
          </w:tcPr>
          <w:p w:rsidR="00840594" w:rsidRDefault="00840594" w:rsidP="0009574C">
            <w:pPr>
              <w:ind w:left="47"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36</w:t>
            </w:r>
          </w:p>
        </w:tc>
        <w:tc>
          <w:tcPr>
            <w:tcW w:w="198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$7,9</w:t>
            </w:r>
            <w:r w:rsidR="00096693">
              <w:rPr>
                <w:rFonts w:asciiTheme="minorHAnsi" w:hAnsiTheme="minorHAnsi" w:cstheme="minorHAnsi"/>
              </w:rPr>
              <w:t>86</w:t>
            </w:r>
          </w:p>
        </w:tc>
        <w:tc>
          <w:tcPr>
            <w:tcW w:w="1477" w:type="dxa"/>
            <w:tcBorders>
              <w:left w:val="single" w:sz="4"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40</w:t>
            </w:r>
          </w:p>
        </w:tc>
      </w:tr>
      <w:tr w:rsidR="00096693" w:rsidTr="004E7B71">
        <w:trPr>
          <w:cnfStyle w:val="000000100000"/>
          <w:trHeight w:val="272"/>
          <w:jc w:val="center"/>
        </w:trPr>
        <w:tc>
          <w:tcPr>
            <w:tcW w:w="1063"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color w:val="auto"/>
              </w:rPr>
            </w:pPr>
            <w:r w:rsidRPr="00D6476E">
              <w:rPr>
                <w:rFonts w:asciiTheme="minorHAnsi" w:hAnsiTheme="minorHAnsi" w:cstheme="minorHAnsi"/>
              </w:rPr>
              <w:t>Emission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$5</w:t>
            </w:r>
            <w:r w:rsidR="00096693">
              <w:rPr>
                <w:rFonts w:asciiTheme="minorHAnsi" w:hAnsiTheme="minorHAnsi" w:cstheme="minorHAnsi"/>
              </w:rPr>
              <w:t>9.81</w:t>
            </w:r>
          </w:p>
        </w:tc>
        <w:tc>
          <w:tcPr>
            <w:tcW w:w="198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60.08</w:t>
            </w:r>
          </w:p>
        </w:tc>
        <w:tc>
          <w:tcPr>
            <w:tcW w:w="144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$0.</w:t>
            </w:r>
            <w:r w:rsidR="00096693">
              <w:rPr>
                <w:rFonts w:asciiTheme="minorHAnsi" w:hAnsiTheme="minorHAnsi" w:cstheme="minorHAnsi"/>
              </w:rPr>
              <w:t>27</w:t>
            </w:r>
          </w:p>
        </w:tc>
        <w:tc>
          <w:tcPr>
            <w:tcW w:w="198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60.38</w:t>
            </w:r>
          </w:p>
        </w:tc>
        <w:tc>
          <w:tcPr>
            <w:tcW w:w="1477" w:type="dxa"/>
            <w:tcBorders>
              <w:left w:val="single" w:sz="4" w:space="0" w:color="auto"/>
              <w:bottom w:val="double" w:sz="6"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0.30</w:t>
            </w:r>
          </w:p>
        </w:tc>
      </w:tr>
    </w:tbl>
    <w:p w:rsidR="009307B4" w:rsidRDefault="009307B4" w:rsidP="004E7B71">
      <w:pPr>
        <w:ind w:left="81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9307B4" w:rsidRDefault="009307B4" w:rsidP="00F56E84">
      <w:pPr>
        <w:pStyle w:val="DEQTEXTforFACTSHEET"/>
        <w:ind w:left="1080"/>
        <w:jc w:val="both"/>
        <w:rPr>
          <w:sz w:val="24"/>
          <w:szCs w:val="24"/>
        </w:rPr>
      </w:pPr>
    </w:p>
    <w:p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tblPr>
      <w:tblGrid>
        <w:gridCol w:w="1518"/>
        <w:gridCol w:w="1052"/>
        <w:gridCol w:w="2070"/>
        <w:gridCol w:w="990"/>
        <w:gridCol w:w="1660"/>
        <w:gridCol w:w="1704"/>
      </w:tblGrid>
      <w:tr w:rsidR="00840594" w:rsidTr="004E7B71">
        <w:trPr>
          <w:cnfStyle w:val="100000000000"/>
          <w:trHeight w:val="406"/>
          <w:jc w:val="center"/>
        </w:trPr>
        <w:tc>
          <w:tcPr>
            <w:tcW w:w="8994" w:type="dxa"/>
            <w:gridSpan w:val="6"/>
          </w:tcPr>
          <w:p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rsidTr="004E7B71">
        <w:trPr>
          <w:cnfStyle w:val="000000100000"/>
          <w:trHeight w:val="540"/>
          <w:jc w:val="center"/>
        </w:trPr>
        <w:tc>
          <w:tcPr>
            <w:tcW w:w="1518" w:type="dxa"/>
            <w:tcBorders>
              <w:bottom w:val="single" w:sz="4" w:space="0" w:color="auto"/>
              <w:right w:val="single" w:sz="4" w:space="0" w:color="auto"/>
            </w:tcBorders>
          </w:tcPr>
          <w:p w:rsidR="00840594" w:rsidRDefault="00840594" w:rsidP="00E67492">
            <w:pPr>
              <w:ind w:left="0" w:right="0"/>
              <w:jc w:val="center"/>
              <w:rPr>
                <w:rFonts w:asciiTheme="minorHAnsi" w:hAnsiTheme="minorHAnsi" w:cstheme="minorHAnsi"/>
              </w:rPr>
            </w:pPr>
            <w:r>
              <w:rPr>
                <w:rFonts w:asciiTheme="minorHAnsi" w:hAnsiTheme="minorHAnsi" w:cstheme="minorHAnsi"/>
              </w:rPr>
              <w:t>Emissions per calendar year</w:t>
            </w:r>
          </w:p>
        </w:tc>
        <w:tc>
          <w:tcPr>
            <w:tcW w:w="1052" w:type="dxa"/>
            <w:tcBorders>
              <w:bottom w:val="single" w:sz="4" w:space="0" w:color="auto"/>
              <w:right w:val="single" w:sz="4" w:space="0" w:color="auto"/>
            </w:tcBorders>
          </w:tcPr>
          <w:p w:rsidR="00840594" w:rsidRDefault="0009574C" w:rsidP="004E7B71">
            <w:pPr>
              <w:ind w:left="0" w:right="0"/>
              <w:jc w:val="center"/>
              <w:rPr>
                <w:rFonts w:asciiTheme="minorHAnsi" w:hAnsiTheme="minorHAnsi" w:cstheme="minorHAnsi"/>
              </w:rPr>
            </w:pPr>
            <w:r>
              <w:rPr>
                <w:rFonts w:asciiTheme="minorHAnsi" w:hAnsiTheme="minorHAnsi" w:cstheme="minorHAnsi"/>
              </w:rPr>
              <w:t>2015</w:t>
            </w:r>
            <w:r w:rsidR="00840594">
              <w:rPr>
                <w:rFonts w:asciiTheme="minorHAnsi" w:hAnsiTheme="minorHAnsi" w:cstheme="minorHAnsi"/>
              </w:rPr>
              <w:t xml:space="preserve"> Fees</w:t>
            </w:r>
          </w:p>
        </w:tc>
        <w:tc>
          <w:tcPr>
            <w:tcW w:w="2070" w:type="dxa"/>
            <w:tcBorders>
              <w:bottom w:val="single" w:sz="4" w:space="0" w:color="auto"/>
              <w:right w:val="single" w:sz="4" w:space="0" w:color="auto"/>
            </w:tcBorders>
          </w:tcPr>
          <w:p w:rsidR="0009574C" w:rsidRDefault="0009574C" w:rsidP="0009574C">
            <w:pPr>
              <w:ind w:left="0" w:right="0"/>
              <w:jc w:val="center"/>
              <w:rPr>
                <w:rFonts w:asciiTheme="minorHAnsi" w:hAnsiTheme="minorHAnsi" w:cstheme="minorHAnsi"/>
              </w:rPr>
            </w:pPr>
            <w:r>
              <w:rPr>
                <w:rFonts w:asciiTheme="minorHAnsi" w:hAnsiTheme="minorHAnsi" w:cstheme="minorHAnsi"/>
              </w:rPr>
              <w:t>Proposed 2016</w:t>
            </w:r>
            <w:r w:rsidR="008522AC">
              <w:rPr>
                <w:rFonts w:asciiTheme="minorHAnsi" w:hAnsiTheme="minorHAnsi" w:cstheme="minorHAnsi"/>
              </w:rPr>
              <w:t xml:space="preserve"> Fees</w:t>
            </w:r>
          </w:p>
          <w:p w:rsidR="00840594" w:rsidRDefault="008522AC" w:rsidP="0009574C">
            <w:pPr>
              <w:ind w:left="0" w:right="0"/>
              <w:jc w:val="center"/>
              <w:rPr>
                <w:rFonts w:asciiTheme="minorHAnsi" w:hAnsiTheme="minorHAnsi" w:cstheme="minorHAnsi"/>
              </w:rPr>
            </w:pPr>
            <w:r>
              <w:rPr>
                <w:rFonts w:asciiTheme="minorHAnsi" w:hAnsiTheme="minorHAnsi" w:cstheme="minorHAnsi"/>
              </w:rPr>
              <w:t>(to be invoice</w:t>
            </w:r>
            <w:r w:rsidR="00840594">
              <w:rPr>
                <w:rFonts w:asciiTheme="minorHAnsi" w:hAnsiTheme="minorHAnsi" w:cstheme="minorHAnsi"/>
              </w:rPr>
              <w:t>d)</w:t>
            </w:r>
          </w:p>
        </w:tc>
        <w:tc>
          <w:tcPr>
            <w:tcW w:w="990" w:type="dxa"/>
            <w:tcBorders>
              <w:bottom w:val="single" w:sz="4" w:space="0" w:color="auto"/>
              <w:right w:val="single" w:sz="4" w:space="0" w:color="auto"/>
            </w:tcBorders>
          </w:tcPr>
          <w:p w:rsidR="00840594" w:rsidRDefault="008522AC" w:rsidP="0009574C">
            <w:pPr>
              <w:ind w:left="0" w:right="0"/>
              <w:jc w:val="center"/>
              <w:rPr>
                <w:rFonts w:asciiTheme="minorHAnsi" w:hAnsiTheme="minorHAnsi" w:cstheme="minorHAnsi"/>
              </w:rPr>
            </w:pPr>
            <w:r>
              <w:rPr>
                <w:rFonts w:asciiTheme="minorHAnsi" w:hAnsiTheme="minorHAnsi" w:cstheme="minorHAnsi"/>
              </w:rPr>
              <w:t>Increa</w:t>
            </w:r>
            <w:r w:rsidR="00840594">
              <w:rPr>
                <w:rFonts w:asciiTheme="minorHAnsi" w:hAnsiTheme="minorHAnsi" w:cstheme="minorHAnsi"/>
              </w:rPr>
              <w:t>se in fe</w:t>
            </w:r>
            <w:r w:rsidR="0009574C">
              <w:rPr>
                <w:rFonts w:asciiTheme="minorHAnsi" w:hAnsiTheme="minorHAnsi" w:cstheme="minorHAnsi"/>
              </w:rPr>
              <w:t>es</w:t>
            </w:r>
          </w:p>
        </w:tc>
        <w:tc>
          <w:tcPr>
            <w:tcW w:w="1660" w:type="dxa"/>
            <w:tcBorders>
              <w:bottom w:val="single" w:sz="4" w:space="0" w:color="auto"/>
              <w:right w:val="single" w:sz="4" w:space="0" w:color="auto"/>
            </w:tcBorders>
          </w:tcPr>
          <w:p w:rsidR="00840594" w:rsidRDefault="0009574C" w:rsidP="0009574C">
            <w:pPr>
              <w:ind w:left="0" w:right="0"/>
              <w:jc w:val="center"/>
              <w:rPr>
                <w:rFonts w:asciiTheme="minorHAnsi" w:hAnsiTheme="minorHAnsi" w:cstheme="minorHAnsi"/>
              </w:rPr>
            </w:pPr>
            <w:r>
              <w:rPr>
                <w:rFonts w:asciiTheme="minorHAnsi" w:hAnsiTheme="minorHAnsi" w:cstheme="minorHAnsi"/>
              </w:rPr>
              <w:t>Estimated 2017</w:t>
            </w:r>
            <w:r w:rsidR="00840594">
              <w:rPr>
                <w:rFonts w:asciiTheme="minorHAnsi" w:hAnsiTheme="minorHAnsi" w:cstheme="minorHAnsi"/>
              </w:rPr>
              <w:t xml:space="preserve"> Fees (est.)</w:t>
            </w:r>
          </w:p>
        </w:tc>
        <w:tc>
          <w:tcPr>
            <w:tcW w:w="1704" w:type="dxa"/>
            <w:tcBorders>
              <w:left w:val="single" w:sz="4" w:space="0" w:color="auto"/>
              <w:bottom w:val="single" w:sz="4" w:space="0" w:color="auto"/>
            </w:tcBorders>
          </w:tcPr>
          <w:p w:rsidR="00840594" w:rsidRDefault="00840594" w:rsidP="0009574C">
            <w:pPr>
              <w:ind w:left="0" w:right="0"/>
              <w:jc w:val="center"/>
              <w:rPr>
                <w:rFonts w:asciiTheme="minorHAnsi" w:hAnsiTheme="minorHAnsi" w:cstheme="minorHAnsi"/>
              </w:rPr>
            </w:pPr>
            <w:r>
              <w:rPr>
                <w:rFonts w:asciiTheme="minorHAnsi" w:hAnsiTheme="minorHAnsi" w:cstheme="minorHAnsi"/>
              </w:rPr>
              <w:t>Increase in fees</w:t>
            </w:r>
            <w:r w:rsidR="0009574C">
              <w:rPr>
                <w:rFonts w:asciiTheme="minorHAnsi" w:hAnsiTheme="minorHAnsi" w:cstheme="minorHAnsi"/>
              </w:rPr>
              <w:t xml:space="preserve"> </w:t>
            </w:r>
            <w:r>
              <w:rPr>
                <w:rFonts w:asciiTheme="minorHAnsi" w:hAnsiTheme="minorHAnsi" w:cstheme="minorHAnsi"/>
              </w:rPr>
              <w:t>(est.)</w:t>
            </w:r>
          </w:p>
        </w:tc>
      </w:tr>
      <w:tr w:rsidR="00840594" w:rsidTr="004E7B71">
        <w:trPr>
          <w:cnfStyle w:val="000000010000"/>
          <w:trHeight w:val="260"/>
          <w:jc w:val="center"/>
        </w:trPr>
        <w:tc>
          <w:tcPr>
            <w:tcW w:w="1518" w:type="dxa"/>
            <w:tcBorders>
              <w:top w:val="single" w:sz="4" w:space="0" w:color="auto"/>
              <w:right w:val="single" w:sz="4" w:space="0" w:color="auto"/>
            </w:tcBorders>
          </w:tcPr>
          <w:p w:rsidR="00840594" w:rsidRDefault="00E66492" w:rsidP="0009574C">
            <w:pPr>
              <w:tabs>
                <w:tab w:val="left" w:pos="1854"/>
              </w:tabs>
              <w:ind w:left="9" w:right="0"/>
              <w:jc w:val="center"/>
              <w:rPr>
                <w:rFonts w:asciiTheme="minorHAnsi" w:hAnsiTheme="minorHAnsi" w:cstheme="minorHAnsi"/>
              </w:rPr>
            </w:pPr>
            <w:r>
              <w:rPr>
                <w:rFonts w:asciiTheme="minorHAnsi" w:hAnsiTheme="minorHAnsi" w:cstheme="minorHAnsi"/>
              </w:rPr>
              <w:t xml:space="preserve">50 </w:t>
            </w:r>
            <w:r w:rsidR="00840594">
              <w:rPr>
                <w:rFonts w:asciiTheme="minorHAnsi" w:hAnsiTheme="minorHAnsi" w:cstheme="minorHAnsi"/>
              </w:rPr>
              <w:t>tons/yr</w:t>
            </w:r>
          </w:p>
        </w:tc>
        <w:tc>
          <w:tcPr>
            <w:tcW w:w="1052" w:type="dxa"/>
            <w:tcBorders>
              <w:top w:val="single" w:sz="4" w:space="0" w:color="auto"/>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$10,901</w:t>
            </w:r>
          </w:p>
        </w:tc>
        <w:tc>
          <w:tcPr>
            <w:tcW w:w="207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$10,950</w:t>
            </w:r>
          </w:p>
        </w:tc>
        <w:tc>
          <w:tcPr>
            <w:tcW w:w="990" w:type="dxa"/>
            <w:tcBorders>
              <w:top w:val="single" w:sz="4" w:space="0" w:color="auto"/>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49</w:t>
            </w:r>
          </w:p>
        </w:tc>
        <w:tc>
          <w:tcPr>
            <w:tcW w:w="166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$11</w:t>
            </w:r>
            <w:r w:rsidR="0009574C">
              <w:rPr>
                <w:rFonts w:asciiTheme="minorHAnsi" w:hAnsiTheme="minorHAnsi" w:cstheme="minorHAnsi"/>
              </w:rPr>
              <w:t>,</w:t>
            </w:r>
            <w:r>
              <w:rPr>
                <w:rFonts w:asciiTheme="minorHAnsi" w:hAnsiTheme="minorHAnsi" w:cstheme="minorHAnsi"/>
              </w:rPr>
              <w:t>005</w:t>
            </w:r>
          </w:p>
        </w:tc>
        <w:tc>
          <w:tcPr>
            <w:tcW w:w="1704" w:type="dxa"/>
            <w:tcBorders>
              <w:top w:val="single" w:sz="4" w:space="0" w:color="auto"/>
              <w:left w:val="single" w:sz="4" w:space="0" w:color="auto"/>
            </w:tcBorders>
          </w:tcPr>
          <w:p w:rsidR="00840594" w:rsidRDefault="0009574C" w:rsidP="0009574C">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55</w:t>
            </w:r>
          </w:p>
        </w:tc>
      </w:tr>
      <w:tr w:rsidR="00840594" w:rsidTr="004E7B71">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250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$22,863</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$22,966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103</w:t>
            </w:r>
          </w:p>
        </w:tc>
        <w:tc>
          <w:tcPr>
            <w:tcW w:w="1660" w:type="dxa"/>
            <w:tcBorders>
              <w:righ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$23,081</w:t>
            </w:r>
          </w:p>
        </w:tc>
        <w:tc>
          <w:tcPr>
            <w:tcW w:w="1704" w:type="dxa"/>
            <w:tcBorders>
              <w:lef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$115</w:t>
            </w:r>
          </w:p>
        </w:tc>
      </w:tr>
      <w:tr w:rsidR="00840594" w:rsidTr="004E7B71">
        <w:trPr>
          <w:cnfStyle w:val="00000001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$37,815</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$37,986</w:t>
            </w:r>
          </w:p>
        </w:tc>
        <w:tc>
          <w:tcPr>
            <w:tcW w:w="990" w:type="dxa"/>
            <w:tcBorders>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171</w:t>
            </w:r>
          </w:p>
        </w:tc>
        <w:tc>
          <w:tcPr>
            <w:tcW w:w="166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$38,176</w:t>
            </w:r>
          </w:p>
        </w:tc>
        <w:tc>
          <w:tcPr>
            <w:tcW w:w="1704" w:type="dxa"/>
            <w:tcBorders>
              <w:lef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$190</w:t>
            </w:r>
          </w:p>
        </w:tc>
      </w:tr>
      <w:tr w:rsidR="00840594" w:rsidTr="004E7B71">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5,000 tons/yr</w:t>
            </w:r>
          </w:p>
        </w:tc>
        <w:tc>
          <w:tcPr>
            <w:tcW w:w="1052"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$306,960</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$308,346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1,386</w:t>
            </w:r>
          </w:p>
        </w:tc>
        <w:tc>
          <w:tcPr>
            <w:tcW w:w="1660" w:type="dxa"/>
            <w:tcBorders>
              <w:right w:val="single" w:sz="4" w:space="0" w:color="auto"/>
            </w:tcBorders>
          </w:tcPr>
          <w:p w:rsidR="00840594" w:rsidRPr="0009574C" w:rsidRDefault="0009574C" w:rsidP="0009574C">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309,886</w:t>
            </w:r>
          </w:p>
        </w:tc>
        <w:tc>
          <w:tcPr>
            <w:tcW w:w="1704" w:type="dxa"/>
            <w:tcBorders>
              <w:left w:val="single" w:sz="4" w:space="0" w:color="auto"/>
              <w:bottom w:val="double" w:sz="6"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$1,540</w:t>
            </w:r>
          </w:p>
        </w:tc>
      </w:tr>
    </w:tbl>
    <w:p w:rsidR="009307B4" w:rsidRDefault="009307B4" w:rsidP="0009574C">
      <w:pPr>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rsidR="00E37BC6" w:rsidRDefault="00E37BC6">
      <w:pPr>
        <w:ind w:left="0"/>
        <w:rPr>
          <w:rFonts w:asciiTheme="minorHAnsi" w:hAnsiTheme="minorHAnsi" w:cstheme="minorHAnsi"/>
          <w:iCs/>
          <w:color w:val="1F4E79" w:themeColor="accent1" w:themeShade="80"/>
        </w:rPr>
      </w:pPr>
    </w:p>
    <w:p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rsidR="00AC6F26" w:rsidRPr="008F491E" w:rsidRDefault="00AC6F26" w:rsidP="00AC6F26">
      <w:pPr>
        <w:ind w:left="1440"/>
        <w:rPr>
          <w:bCs/>
          <w:color w:val="000000" w:themeColor="text1"/>
        </w:rPr>
      </w:pPr>
    </w:p>
    <w:p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rsidTr="00240DC5">
        <w:tc>
          <w:tcPr>
            <w:tcW w:w="4140" w:type="dxa"/>
          </w:tcPr>
          <w:p w:rsidR="00AD7DB9" w:rsidRPr="00240DC5" w:rsidRDefault="00AD7DB9" w:rsidP="00240DC5">
            <w:pPr>
              <w:ind w:left="0"/>
            </w:pPr>
            <w:r w:rsidRPr="00240DC5">
              <w:rPr>
                <w:bCs/>
              </w:rPr>
              <w:lastRenderedPageBreak/>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rsidTr="00240DC5">
        <w:tc>
          <w:tcPr>
            <w:tcW w:w="4140" w:type="dxa"/>
          </w:tcPr>
          <w:p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rsidR="00DA0955" w:rsidRPr="006F0E6F" w:rsidRDefault="00DA0955" w:rsidP="006F0E6F">
      <w:pPr>
        <w:pStyle w:val="Heading2"/>
        <w:rPr>
          <w:rFonts w:cstheme="majorHAnsi"/>
          <w:color w:val="504938"/>
          <w:szCs w:val="22"/>
        </w:rPr>
      </w:pPr>
      <w:r w:rsidRPr="006F0E6F">
        <w:rPr>
          <w:rFonts w:cstheme="majorHAnsi"/>
          <w:color w:val="504938"/>
          <w:szCs w:val="22"/>
        </w:rPr>
        <w:t>How DEQ involved small businesses in developing this rule</w:t>
      </w:r>
    </w:p>
    <w:p w:rsidR="006F0E6F" w:rsidRDefault="006F0E6F" w:rsidP="006F0E6F">
      <w:r>
        <w:t>DEQ provided notice of the proposed rules to all Title V permit holders, including those that are small businesses.</w:t>
      </w:r>
    </w:p>
    <w:p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tblPr>
      <w:tblGrid>
        <w:gridCol w:w="4320"/>
        <w:gridCol w:w="4950"/>
      </w:tblGrid>
      <w:tr w:rsidR="00AD7DB9" w:rsidTr="007F2D08">
        <w:tc>
          <w:tcPr>
            <w:tcW w:w="4320" w:type="dxa"/>
            <w:tcBorders>
              <w:top w:val="double" w:sz="4" w:space="0" w:color="auto"/>
              <w:left w:val="double" w:sz="4" w:space="0" w:color="auto"/>
            </w:tcBorders>
            <w:shd w:val="clear" w:color="auto" w:fill="008272"/>
          </w:tcPr>
          <w:p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tcPr>
          <w:p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AD7DB9" w:rsidTr="007F2D08">
        <w:trPr>
          <w:trHeight w:val="575"/>
        </w:trPr>
        <w:tc>
          <w:tcPr>
            <w:tcW w:w="4320" w:type="dxa"/>
            <w:tcBorders>
              <w:left w:val="double" w:sz="4" w:space="0" w:color="auto"/>
            </w:tcBorders>
          </w:tcPr>
          <w:p w:rsidR="008B7341" w:rsidRPr="008B7341" w:rsidRDefault="007F536F" w:rsidP="002608BC">
            <w:pPr>
              <w:ind w:left="-18"/>
              <w:rPr>
                <w:rStyle w:val="Emphasis"/>
                <w:rFonts w:asciiTheme="minorHAnsi" w:hAnsiTheme="minorHAnsi" w:cstheme="minorHAnsi"/>
                <w:color w:val="000000" w:themeColor="text1"/>
                <w:sz w:val="24"/>
              </w:rPr>
            </w:pPr>
            <w:r>
              <w:rPr>
                <w:rFonts w:eastAsiaTheme="minorHAnsi"/>
              </w:rPr>
              <w:t>2015-2017</w:t>
            </w:r>
            <w:r w:rsidR="004F69EC">
              <w:rPr>
                <w:rFonts w:eastAsiaTheme="minorHAnsi"/>
              </w:rPr>
              <w:t xml:space="preserve"> Legislatively approved budget</w:t>
            </w:r>
          </w:p>
        </w:tc>
        <w:tc>
          <w:tcPr>
            <w:tcW w:w="4950" w:type="dxa"/>
            <w:tcBorders>
              <w:right w:val="double" w:sz="4" w:space="0" w:color="auto"/>
            </w:tcBorders>
          </w:tcPr>
          <w:p w:rsidR="007F536F" w:rsidRPr="00B40B6F" w:rsidRDefault="00BA2A18" w:rsidP="007F536F">
            <w:pPr>
              <w:ind w:left="0"/>
              <w:rPr>
                <w:rStyle w:val="Emphasis"/>
                <w:rFonts w:asciiTheme="minorHAnsi" w:hAnsiTheme="minorHAnsi" w:cstheme="minorHAnsi"/>
                <w:vanish w:val="0"/>
                <w:color w:val="000000" w:themeColor="text1"/>
                <w:sz w:val="24"/>
              </w:rPr>
            </w:pPr>
            <w:hyperlink r:id="rId16" w:history="1">
              <w:r w:rsidR="007F536F" w:rsidRPr="003548DF">
                <w:rPr>
                  <w:rStyle w:val="Hyperlink"/>
                  <w:rFonts w:asciiTheme="minorHAnsi" w:hAnsiTheme="minorHAnsi" w:cstheme="minorHAnsi"/>
                </w:rPr>
                <w:t>http://sos.oregon.gov/Documents/sos-budget-2015-2017.pdf</w:t>
              </w:r>
            </w:hyperlink>
          </w:p>
        </w:tc>
      </w:tr>
      <w:tr w:rsidR="007F2D08" w:rsidRPr="00F05E86" w:rsidTr="007F2D08">
        <w:trPr>
          <w:trHeight w:val="530"/>
        </w:trPr>
        <w:tc>
          <w:tcPr>
            <w:tcW w:w="4320" w:type="dxa"/>
            <w:tcBorders>
              <w:left w:val="double" w:sz="4" w:space="0" w:color="auto"/>
            </w:tcBorders>
          </w:tcPr>
          <w:p w:rsidR="007F2D08" w:rsidRDefault="007F2D08" w:rsidP="004F69EC">
            <w:pPr>
              <w:autoSpaceDE w:val="0"/>
              <w:autoSpaceDN w:val="0"/>
              <w:adjustRightInd w:val="0"/>
              <w:ind w:left="0" w:right="0"/>
              <w:outlineLvl w:val="9"/>
              <w:rPr>
                <w:rFonts w:eastAsiaTheme="minorHAnsi"/>
              </w:rPr>
            </w:pPr>
            <w:r>
              <w:rPr>
                <w:rFonts w:eastAsiaTheme="minorHAnsi"/>
              </w:rPr>
              <w:t>Clean Air Act, including Clean Air Act</w:t>
            </w:r>
          </w:p>
          <w:p w:rsidR="007F2D08" w:rsidRPr="007F2D08" w:rsidRDefault="007F2D08" w:rsidP="007F2D08">
            <w:pPr>
              <w:ind w:left="0"/>
              <w:rPr>
                <w:rFonts w:eastAsiaTheme="minorHAnsi"/>
              </w:rPr>
            </w:pPr>
            <w:r>
              <w:rPr>
                <w:rFonts w:eastAsiaTheme="minorHAnsi"/>
              </w:rPr>
              <w:t>Amendments of 1990</w:t>
            </w:r>
          </w:p>
        </w:tc>
        <w:tc>
          <w:tcPr>
            <w:tcW w:w="4950" w:type="dxa"/>
            <w:tcBorders>
              <w:right w:val="double" w:sz="4" w:space="0" w:color="auto"/>
            </w:tcBorders>
          </w:tcPr>
          <w:p w:rsidR="007F2D08" w:rsidRPr="00B40B6F" w:rsidRDefault="00BA2A18" w:rsidP="007F2D08">
            <w:pPr>
              <w:ind w:left="0"/>
              <w:rPr>
                <w:bCs/>
                <w:color w:val="000000" w:themeColor="text1"/>
              </w:rPr>
            </w:pPr>
            <w:del w:id="31" w:author="PCAdmin" w:date="2015-10-26T11:31:00Z">
              <w:r w:rsidDel="00512BB2">
                <w:fldChar w:fldCharType="begin"/>
              </w:r>
              <w:r w:rsidDel="00512BB2">
                <w:delInstrText>HYPERLINK "http://www.eqw.senate.gov/envlaws/cleanair.pdf"</w:delInstrText>
              </w:r>
              <w:r w:rsidDel="00512BB2">
                <w:fldChar w:fldCharType="separate"/>
              </w:r>
              <w:r w:rsidR="007F2D08" w:rsidRPr="003548DF" w:rsidDel="00512BB2">
                <w:rPr>
                  <w:rStyle w:val="Hyperlink"/>
                  <w:bCs/>
                </w:rPr>
                <w:delText>h</w:delText>
              </w:r>
            </w:del>
            <w:ins w:id="32" w:author="PCAdmin" w:date="2015-10-26T11:32:00Z">
              <w:r w:rsidR="00512BB2">
                <w:fldChar w:fldCharType="begin"/>
              </w:r>
              <w:r w:rsidR="00512BB2">
                <w:instrText>HYPERLINK "http://www.epw.senate.gov/envlaws/cleanair.pdf"</w:instrText>
              </w:r>
              <w:r w:rsidR="00512BB2">
                <w:fldChar w:fldCharType="separate"/>
              </w:r>
              <w:r w:rsidR="00512BB2" w:rsidRPr="00733522">
                <w:rPr>
                  <w:rStyle w:val="Hyperlink"/>
                  <w:rFonts w:asciiTheme="minorHAnsi" w:hAnsiTheme="minorHAnsi" w:cstheme="minorHAnsi"/>
                </w:rPr>
                <w:t>EPA W</w:t>
              </w:r>
              <w:r w:rsidR="00512BB2" w:rsidRPr="00733522">
                <w:rPr>
                  <w:rStyle w:val="Hyperlink"/>
                  <w:rFonts w:asciiTheme="minorHAnsi" w:hAnsiTheme="minorHAnsi" w:cstheme="minorHAnsi"/>
                </w:rPr>
                <w:t>e</w:t>
              </w:r>
              <w:r w:rsidR="00512BB2" w:rsidRPr="00733522">
                <w:rPr>
                  <w:rStyle w:val="Hyperlink"/>
                  <w:rFonts w:asciiTheme="minorHAnsi" w:hAnsiTheme="minorHAnsi" w:cstheme="minorHAnsi"/>
                </w:rPr>
                <w:t>bsite</w:t>
              </w:r>
              <w:r w:rsidR="00512BB2">
                <w:fldChar w:fldCharType="end"/>
              </w:r>
            </w:ins>
            <w:del w:id="33" w:author="PCAdmin" w:date="2015-10-26T11:31:00Z">
              <w:r w:rsidR="007F2D08" w:rsidRPr="003548DF" w:rsidDel="00512BB2">
                <w:rPr>
                  <w:rStyle w:val="Hyperlink"/>
                  <w:bCs/>
                </w:rPr>
                <w:delText>ttp://www.eqw.senate.gov/envlaws/cleanair.pdf</w:delText>
              </w:r>
              <w:r w:rsidDel="00512BB2">
                <w:fldChar w:fldCharType="end"/>
              </w:r>
            </w:del>
          </w:p>
        </w:tc>
      </w:tr>
      <w:tr w:rsidR="007F2D08" w:rsidRPr="00F05E86" w:rsidTr="007F2D08">
        <w:trPr>
          <w:trHeight w:val="530"/>
        </w:trPr>
        <w:tc>
          <w:tcPr>
            <w:tcW w:w="4320" w:type="dxa"/>
            <w:tcBorders>
              <w:left w:val="double" w:sz="4" w:space="0" w:color="auto"/>
              <w:bottom w:val="double" w:sz="4" w:space="0" w:color="auto"/>
            </w:tcBorders>
          </w:tcPr>
          <w:p w:rsidR="007F2D08" w:rsidRDefault="007F2D08" w:rsidP="004F69EC">
            <w:pPr>
              <w:autoSpaceDE w:val="0"/>
              <w:autoSpaceDN w:val="0"/>
              <w:adjustRightInd w:val="0"/>
              <w:ind w:left="0" w:right="0"/>
              <w:outlineLvl w:val="9"/>
              <w:rPr>
                <w:rFonts w:eastAsiaTheme="minorHAnsi"/>
              </w:rPr>
            </w:pPr>
            <w:r w:rsidRPr="007F2D08">
              <w:rPr>
                <w:rFonts w:eastAsiaTheme="minorHAnsi"/>
              </w:rPr>
              <w:t>U.S. Department of Labor, Bureau of Labor Statistics, Consumer Price Index</w:t>
            </w:r>
          </w:p>
        </w:tc>
        <w:tc>
          <w:tcPr>
            <w:tcW w:w="4950" w:type="dxa"/>
            <w:tcBorders>
              <w:bottom w:val="double" w:sz="4" w:space="0" w:color="auto"/>
              <w:right w:val="double" w:sz="4" w:space="0" w:color="auto"/>
            </w:tcBorders>
          </w:tcPr>
          <w:p w:rsidR="007F2D08" w:rsidRDefault="00BA2A18" w:rsidP="002608BC">
            <w:pPr>
              <w:ind w:left="0"/>
              <w:rPr>
                <w:bCs/>
                <w:color w:val="000000" w:themeColor="text1"/>
              </w:rPr>
            </w:pPr>
            <w:hyperlink r:id="rId17" w:history="1">
              <w:r w:rsidR="007F2D08" w:rsidRPr="003548DF">
                <w:rPr>
                  <w:rStyle w:val="Hyperlink"/>
                  <w:bCs/>
                </w:rPr>
                <w:t>http://www.bls.gov/data/</w:t>
              </w:r>
            </w:hyperlink>
          </w:p>
        </w:tc>
      </w:tr>
    </w:tbl>
    <w:p w:rsidR="00AD7DB9" w:rsidRPr="007F2D08" w:rsidRDefault="00AD7DB9" w:rsidP="007F2D08">
      <w:pPr>
        <w:pStyle w:val="Heading2"/>
        <w:rPr>
          <w:rFonts w:cstheme="majorHAnsi"/>
          <w:color w:val="504938"/>
          <w:szCs w:val="22"/>
        </w:rPr>
      </w:pPr>
      <w:r w:rsidRPr="006F02EB">
        <w:t xml:space="preserve"> </w:t>
      </w:r>
      <w:r w:rsidRPr="007F2D08">
        <w:rPr>
          <w:rFonts w:cstheme="majorHAnsi"/>
          <w:color w:val="504938"/>
          <w:szCs w:val="22"/>
        </w:rPr>
        <w:t>Advisory committee</w:t>
      </w:r>
    </w:p>
    <w:p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rsidR="007F2D08" w:rsidRPr="00140DDF" w:rsidRDefault="007F2D08" w:rsidP="00140DDF">
      <w:pPr>
        <w:pStyle w:val="Heading2"/>
        <w:rPr>
          <w:rFonts w:cstheme="majorHAnsi"/>
          <w:color w:val="504938"/>
          <w:szCs w:val="22"/>
        </w:rPr>
      </w:pPr>
      <w:r w:rsidRPr="00140DDF">
        <w:rPr>
          <w:rFonts w:cstheme="majorHAnsi"/>
          <w:color w:val="504938"/>
          <w:szCs w:val="22"/>
        </w:rPr>
        <w:t>Request for other options</w:t>
      </w:r>
    </w:p>
    <w:p w:rsidR="007F2D08" w:rsidRPr="007F2D08" w:rsidRDefault="00140DDF" w:rsidP="007F2D08">
      <w:pPr>
        <w:sectPr w:rsidR="007F2D08" w:rsidRPr="007F2D08" w:rsidSect="00B34CF8">
          <w:pgSz w:w="12240" w:h="15840"/>
          <w:pgMar w:top="1080" w:right="990" w:bottom="1080" w:left="360" w:header="720" w:footer="720" w:gutter="432"/>
          <w:cols w:space="720"/>
          <w:docGrid w:linePitch="360"/>
        </w:sectPr>
      </w:pPr>
      <w:r>
        <w:t>During the public comment period, DEQ requests public comment on whether to consider other options for achieving the rule’s substantive goals while reducing negative economic impact of the rule on business.</w:t>
      </w: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8" w:history="1"/>
          </w:p>
        </w:tc>
      </w:tr>
    </w:tbl>
    <w:p w:rsidR="00255B02" w:rsidRPr="00362542" w:rsidRDefault="00255B02" w:rsidP="002D6C99"/>
    <w:p w:rsidR="00F06FE0" w:rsidRPr="002C0C04" w:rsidRDefault="00F06FE0" w:rsidP="00140DDF">
      <w:pPr>
        <w:spacing w:after="120"/>
        <w:ind w:left="180"/>
        <w:rPr>
          <w:rFonts w:asciiTheme="minorHAnsi" w:hAnsiTheme="minorHAnsi" w:cstheme="minorHAnsi"/>
          <w:bCs/>
          <w:color w:val="BF8F00" w:themeColor="accent4" w:themeShade="BF"/>
        </w:rPr>
      </w:pPr>
      <w:r w:rsidRPr="00140DDF">
        <w:rPr>
          <w:rFonts w:asciiTheme="majorHAnsi" w:hAnsiTheme="majorHAnsi" w:cstheme="majorHAnsi"/>
          <w:bCs/>
          <w:i/>
          <w:color w:val="504938"/>
          <w:sz w:val="20"/>
          <w:szCs w:val="20"/>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5628C6">
        <w:rPr>
          <w:i/>
          <w:iCs/>
          <w:color w:val="BF8F00" w:themeColor="accent4" w:themeShade="BF"/>
          <w:sz w:val="22"/>
          <w:szCs w:val="22"/>
        </w:rPr>
        <w:t xml:space="preserve"> </w:t>
      </w:r>
      <w:r w:rsidRPr="00965298">
        <w:rPr>
          <w:rFonts w:asciiTheme="minorHAnsi" w:hAnsiTheme="minorHAnsi" w:cstheme="minorHAnsi"/>
          <w:sz w:val="20"/>
          <w:szCs w:val="20"/>
        </w:rPr>
        <w:t>ORS 183.332</w:t>
      </w:r>
    </w:p>
    <w:p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F06FE0" w:rsidRPr="00255B02" w:rsidRDefault="00F06FE0" w:rsidP="00F06FE0">
      <w:pPr>
        <w:ind w:left="0"/>
        <w:rPr>
          <w:bCs/>
          <w:color w:val="385623" w:themeColor="accent6" w:themeShade="80"/>
        </w:rPr>
      </w:pPr>
    </w:p>
    <w:p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34" w:name="AlternativesConsidered"/>
      <w:bookmarkStart w:id="35" w:name="RANGE!C35"/>
    </w:p>
    <w:p w:rsidR="00255B02" w:rsidRPr="00140DDF" w:rsidRDefault="00255B02" w:rsidP="00140DDF">
      <w:pPr>
        <w:pStyle w:val="Heading2"/>
        <w:rPr>
          <w:rFonts w:cstheme="majorHAnsi"/>
          <w:color w:val="504938"/>
          <w:szCs w:val="22"/>
        </w:rPr>
      </w:pPr>
      <w:r w:rsidRPr="00140DDF">
        <w:rPr>
          <w:rFonts w:cstheme="majorHAnsi"/>
          <w:color w:val="504938"/>
          <w:szCs w:val="22"/>
        </w:rPr>
        <w:t>What alternatives did DEQ consider</w:t>
      </w:r>
      <w:bookmarkEnd w:id="34"/>
      <w:r w:rsidRPr="00140DDF">
        <w:rPr>
          <w:rFonts w:cstheme="majorHAnsi"/>
          <w:color w:val="504938"/>
          <w:szCs w:val="22"/>
        </w:rPr>
        <w:t xml:space="preserve"> if any?</w:t>
      </w:r>
      <w:bookmarkEnd w:id="35"/>
      <w:r w:rsidRPr="00140DDF">
        <w:rPr>
          <w:rFonts w:cstheme="majorHAnsi"/>
          <w:color w:val="504938"/>
          <w:szCs w:val="22"/>
        </w:rPr>
        <w:t xml:space="preserve"> </w:t>
      </w:r>
    </w:p>
    <w:p w:rsidR="00F06FE0" w:rsidRPr="0051290C" w:rsidRDefault="00F06FE0" w:rsidP="00F06FE0">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rsidR="00F06FE0" w:rsidRPr="0051290C" w:rsidRDefault="00F06FE0" w:rsidP="00F06FE0">
      <w:pPr>
        <w:rPr>
          <w:color w:val="000000" w:themeColor="text1"/>
        </w:rPr>
      </w:pPr>
    </w:p>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140DDF" w:rsidRDefault="00140DDF" w:rsidP="004B3C8B">
      <w:pPr>
        <w:ind w:left="360"/>
        <w:rPr>
          <w:i/>
          <w:iCs/>
          <w:color w:val="1D1D1D"/>
        </w:rPr>
      </w:pPr>
    </w:p>
    <w:p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B3C8B" w:rsidRPr="00B82764" w:rsidRDefault="004B3C8B" w:rsidP="004B3C8B">
      <w:pPr>
        <w:ind w:left="450"/>
        <w:rPr>
          <w:rFonts w:ascii="Cambria" w:hAnsi="Cambria"/>
          <w:color w:val="000000" w:themeColor="text1"/>
        </w:rPr>
      </w:pPr>
    </w:p>
    <w:p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ins w:id="36" w:author="PCAdmin" w:date="2015-10-26T11:40:00Z">
        <w:r w:rsidR="00512BB2">
          <w:rPr>
            <w:rFonts w:asciiTheme="minorHAnsi" w:hAnsiTheme="minorHAnsi" w:cstheme="minorHAnsi"/>
            <w:b/>
            <w:color w:val="000000" w:themeColor="text1"/>
          </w:rPr>
          <w:tab/>
        </w:r>
      </w:ins>
      <w:r w:rsidRPr="00680EF2">
        <w:rPr>
          <w:rFonts w:asciiTheme="minorHAnsi" w:hAnsiTheme="minorHAnsi" w:cstheme="minorHAnsi"/>
          <w:b/>
          <w:color w:val="000000" w:themeColor="text1"/>
        </w:rPr>
        <w:t>Title</w:t>
      </w:r>
    </w:p>
    <w:p w:rsidR="004B3C8B" w:rsidRPr="00512BB2" w:rsidRDefault="004B3C8B" w:rsidP="00512BB2">
      <w:pPr>
        <w:pStyle w:val="ListParagraph"/>
        <w:numPr>
          <w:ilvl w:val="0"/>
          <w:numId w:val="19"/>
        </w:numPr>
        <w:rPr>
          <w:rFonts w:asciiTheme="minorHAnsi" w:hAnsiTheme="minorHAnsi" w:cstheme="minorHAnsi"/>
          <w:color w:val="000000" w:themeColor="text1"/>
          <w:rPrChange w:id="37" w:author="PCAdmin" w:date="2015-10-26T11:40:00Z">
            <w:rPr/>
          </w:rPrChange>
        </w:rPr>
        <w:pPrChange w:id="38" w:author="PCAdmin" w:date="2015-10-26T11:40:00Z">
          <w:pPr>
            <w:ind w:left="1440"/>
          </w:pPr>
        </w:pPrChange>
      </w:pPr>
      <w:del w:id="39" w:author="PCAdmin" w:date="2015-10-26T11:40:00Z">
        <w:r w:rsidRPr="00512BB2" w:rsidDel="00512BB2">
          <w:rPr>
            <w:rFonts w:asciiTheme="minorHAnsi" w:hAnsiTheme="minorHAnsi" w:cstheme="minorHAnsi"/>
            <w:color w:val="000000" w:themeColor="text1"/>
            <w:rPrChange w:id="40" w:author="PCAdmin" w:date="2015-10-26T11:40:00Z">
              <w:rPr/>
            </w:rPrChange>
          </w:rPr>
          <w:tab/>
        </w:r>
      </w:del>
      <w:r w:rsidRPr="00512BB2">
        <w:rPr>
          <w:rFonts w:asciiTheme="minorHAnsi" w:hAnsiTheme="minorHAnsi" w:cstheme="minorHAnsi"/>
          <w:color w:val="000000" w:themeColor="text1"/>
          <w:rPrChange w:id="41" w:author="PCAdmin" w:date="2015-10-26T11:40:00Z">
            <w:rPr/>
          </w:rPrChange>
        </w:rPr>
        <w:t xml:space="preserve">5 </w:t>
      </w:r>
      <w:r w:rsidRPr="00512BB2">
        <w:rPr>
          <w:rFonts w:asciiTheme="minorHAnsi" w:hAnsiTheme="minorHAnsi" w:cstheme="minorHAnsi"/>
          <w:color w:val="000000" w:themeColor="text1"/>
          <w:rPrChange w:id="42" w:author="PCAdmin" w:date="2015-10-26T11:40:00Z">
            <w:rPr/>
          </w:rPrChange>
        </w:rPr>
        <w:tab/>
      </w:r>
      <w:r w:rsidRPr="00512BB2">
        <w:rPr>
          <w:rFonts w:asciiTheme="minorHAnsi" w:hAnsiTheme="minorHAnsi" w:cstheme="minorHAnsi"/>
          <w:color w:val="000000" w:themeColor="text1"/>
          <w:rPrChange w:id="43" w:author="PCAdmin" w:date="2015-10-26T11:40:00Z">
            <w:rPr/>
          </w:rPrChange>
        </w:rPr>
        <w:tab/>
        <w:t>Open Spaces, Scenic and Historic Areas, and Natural Resources</w:t>
      </w:r>
    </w:p>
    <w:p w:rsidR="004B3C8B" w:rsidRPr="00512BB2" w:rsidRDefault="004B3C8B" w:rsidP="00512BB2">
      <w:pPr>
        <w:pStyle w:val="ListParagraph"/>
        <w:numPr>
          <w:ilvl w:val="0"/>
          <w:numId w:val="19"/>
        </w:numPr>
        <w:rPr>
          <w:rFonts w:asciiTheme="minorHAnsi" w:hAnsiTheme="minorHAnsi" w:cstheme="minorHAnsi"/>
          <w:color w:val="000000" w:themeColor="text1"/>
          <w:rPrChange w:id="44" w:author="PCAdmin" w:date="2015-10-26T11:40:00Z">
            <w:rPr/>
          </w:rPrChange>
        </w:rPr>
        <w:pPrChange w:id="45" w:author="PCAdmin" w:date="2015-10-26T11:40:00Z">
          <w:pPr>
            <w:ind w:left="1440"/>
          </w:pPr>
        </w:pPrChange>
      </w:pPr>
      <w:del w:id="46" w:author="PCAdmin" w:date="2015-10-26T11:40:00Z">
        <w:r w:rsidRPr="00512BB2" w:rsidDel="00512BB2">
          <w:rPr>
            <w:rFonts w:asciiTheme="minorHAnsi" w:hAnsiTheme="minorHAnsi" w:cstheme="minorHAnsi"/>
            <w:color w:val="000000" w:themeColor="text1"/>
            <w:rPrChange w:id="47" w:author="PCAdmin" w:date="2015-10-26T11:40:00Z">
              <w:rPr/>
            </w:rPrChange>
          </w:rPr>
          <w:tab/>
        </w:r>
      </w:del>
      <w:r w:rsidRPr="00512BB2">
        <w:rPr>
          <w:rFonts w:asciiTheme="minorHAnsi" w:hAnsiTheme="minorHAnsi" w:cstheme="minorHAnsi"/>
          <w:color w:val="000000" w:themeColor="text1"/>
          <w:rPrChange w:id="48" w:author="PCAdmin" w:date="2015-10-26T11:40:00Z">
            <w:rPr/>
          </w:rPrChange>
        </w:rPr>
        <w:t xml:space="preserve">6 </w:t>
      </w:r>
      <w:r w:rsidRPr="00512BB2">
        <w:rPr>
          <w:rFonts w:asciiTheme="minorHAnsi" w:hAnsiTheme="minorHAnsi" w:cstheme="minorHAnsi"/>
          <w:color w:val="000000" w:themeColor="text1"/>
          <w:rPrChange w:id="49" w:author="PCAdmin" w:date="2015-10-26T11:40:00Z">
            <w:rPr/>
          </w:rPrChange>
        </w:rPr>
        <w:tab/>
      </w:r>
      <w:r w:rsidRPr="00512BB2">
        <w:rPr>
          <w:rFonts w:asciiTheme="minorHAnsi" w:hAnsiTheme="minorHAnsi" w:cstheme="minorHAnsi"/>
          <w:color w:val="000000" w:themeColor="text1"/>
          <w:rPrChange w:id="50" w:author="PCAdmin" w:date="2015-10-26T11:40:00Z">
            <w:rPr/>
          </w:rPrChange>
        </w:rPr>
        <w:tab/>
        <w:t>Air, Water and Land Resources Quality</w:t>
      </w:r>
    </w:p>
    <w:p w:rsidR="004B3C8B" w:rsidRPr="00512BB2" w:rsidRDefault="004B3C8B" w:rsidP="00512BB2">
      <w:pPr>
        <w:pStyle w:val="ListParagraph"/>
        <w:numPr>
          <w:ilvl w:val="0"/>
          <w:numId w:val="19"/>
        </w:numPr>
        <w:rPr>
          <w:rFonts w:asciiTheme="minorHAnsi" w:hAnsiTheme="minorHAnsi" w:cstheme="minorHAnsi"/>
          <w:color w:val="000000" w:themeColor="text1"/>
          <w:rPrChange w:id="51" w:author="PCAdmin" w:date="2015-10-26T11:40:00Z">
            <w:rPr/>
          </w:rPrChange>
        </w:rPr>
        <w:pPrChange w:id="52" w:author="PCAdmin" w:date="2015-10-26T11:40:00Z">
          <w:pPr>
            <w:ind w:left="1440"/>
          </w:pPr>
        </w:pPrChange>
      </w:pPr>
      <w:del w:id="53" w:author="PCAdmin" w:date="2015-10-26T11:40:00Z">
        <w:r w:rsidRPr="00512BB2" w:rsidDel="00512BB2">
          <w:rPr>
            <w:rFonts w:asciiTheme="minorHAnsi" w:hAnsiTheme="minorHAnsi" w:cstheme="minorHAnsi"/>
            <w:color w:val="000000" w:themeColor="text1"/>
            <w:rPrChange w:id="54" w:author="PCAdmin" w:date="2015-10-26T11:40:00Z">
              <w:rPr/>
            </w:rPrChange>
          </w:rPr>
          <w:tab/>
        </w:r>
      </w:del>
      <w:r w:rsidRPr="00512BB2">
        <w:rPr>
          <w:rFonts w:asciiTheme="minorHAnsi" w:hAnsiTheme="minorHAnsi" w:cstheme="minorHAnsi"/>
          <w:color w:val="000000" w:themeColor="text1"/>
          <w:rPrChange w:id="55" w:author="PCAdmin" w:date="2015-10-26T11:40:00Z">
            <w:rPr/>
          </w:rPrChange>
        </w:rPr>
        <w:t xml:space="preserve">11 </w:t>
      </w:r>
      <w:r w:rsidRPr="00512BB2">
        <w:rPr>
          <w:rFonts w:asciiTheme="minorHAnsi" w:hAnsiTheme="minorHAnsi" w:cstheme="minorHAnsi"/>
          <w:color w:val="000000" w:themeColor="text1"/>
          <w:rPrChange w:id="56" w:author="PCAdmin" w:date="2015-10-26T11:40:00Z">
            <w:rPr/>
          </w:rPrChange>
        </w:rPr>
        <w:tab/>
      </w:r>
      <w:r w:rsidRPr="00512BB2">
        <w:rPr>
          <w:rFonts w:asciiTheme="minorHAnsi" w:hAnsiTheme="minorHAnsi" w:cstheme="minorHAnsi"/>
          <w:color w:val="000000" w:themeColor="text1"/>
          <w:rPrChange w:id="57" w:author="PCAdmin" w:date="2015-10-26T11:40:00Z">
            <w:rPr/>
          </w:rPrChange>
        </w:rPr>
        <w:tab/>
        <w:t>Public Facilities and Services</w:t>
      </w:r>
    </w:p>
    <w:p w:rsidR="004B3C8B" w:rsidRPr="00512BB2" w:rsidRDefault="004B3C8B" w:rsidP="00512BB2">
      <w:pPr>
        <w:pStyle w:val="ListParagraph"/>
        <w:numPr>
          <w:ilvl w:val="0"/>
          <w:numId w:val="19"/>
        </w:numPr>
        <w:rPr>
          <w:rFonts w:asciiTheme="minorHAnsi" w:hAnsiTheme="minorHAnsi" w:cstheme="minorHAnsi"/>
          <w:color w:val="000000" w:themeColor="text1"/>
          <w:rPrChange w:id="58" w:author="PCAdmin" w:date="2015-10-26T11:40:00Z">
            <w:rPr/>
          </w:rPrChange>
        </w:rPr>
        <w:pPrChange w:id="59" w:author="PCAdmin" w:date="2015-10-26T11:40:00Z">
          <w:pPr>
            <w:ind w:left="1440"/>
          </w:pPr>
        </w:pPrChange>
      </w:pPr>
      <w:del w:id="60" w:author="PCAdmin" w:date="2015-10-26T11:40:00Z">
        <w:r w:rsidRPr="00512BB2" w:rsidDel="00512BB2">
          <w:rPr>
            <w:rFonts w:asciiTheme="minorHAnsi" w:hAnsiTheme="minorHAnsi" w:cstheme="minorHAnsi"/>
            <w:color w:val="000000" w:themeColor="text1"/>
            <w:rPrChange w:id="61" w:author="PCAdmin" w:date="2015-10-26T11:40:00Z">
              <w:rPr/>
            </w:rPrChange>
          </w:rPr>
          <w:tab/>
        </w:r>
      </w:del>
      <w:r w:rsidRPr="00512BB2">
        <w:rPr>
          <w:rFonts w:asciiTheme="minorHAnsi" w:hAnsiTheme="minorHAnsi" w:cstheme="minorHAnsi"/>
          <w:color w:val="000000" w:themeColor="text1"/>
          <w:rPrChange w:id="62" w:author="PCAdmin" w:date="2015-10-26T11:40:00Z">
            <w:rPr/>
          </w:rPrChange>
        </w:rPr>
        <w:t>16</w:t>
      </w:r>
      <w:r w:rsidRPr="00512BB2">
        <w:rPr>
          <w:rFonts w:asciiTheme="minorHAnsi" w:hAnsiTheme="minorHAnsi" w:cstheme="minorHAnsi"/>
          <w:color w:val="000000" w:themeColor="text1"/>
          <w:rPrChange w:id="63" w:author="PCAdmin" w:date="2015-10-26T11:40:00Z">
            <w:rPr/>
          </w:rPrChange>
        </w:rPr>
        <w:tab/>
      </w:r>
      <w:r w:rsidRPr="00512BB2">
        <w:rPr>
          <w:rFonts w:asciiTheme="minorHAnsi" w:hAnsiTheme="minorHAnsi" w:cstheme="minorHAnsi"/>
          <w:color w:val="000000" w:themeColor="text1"/>
          <w:rPrChange w:id="64" w:author="PCAdmin" w:date="2015-10-26T11:40:00Z">
            <w:rPr/>
          </w:rPrChange>
        </w:rPr>
        <w:tab/>
        <w:t>Estuarial resources</w:t>
      </w:r>
    </w:p>
    <w:p w:rsidR="004B3C8B" w:rsidRPr="00512BB2" w:rsidRDefault="004B3C8B" w:rsidP="00512BB2">
      <w:pPr>
        <w:pStyle w:val="ListParagraph"/>
        <w:numPr>
          <w:ilvl w:val="0"/>
          <w:numId w:val="19"/>
        </w:numPr>
        <w:rPr>
          <w:rFonts w:asciiTheme="minorHAnsi" w:hAnsiTheme="minorHAnsi" w:cstheme="minorHAnsi"/>
          <w:color w:val="000000" w:themeColor="text1"/>
          <w:rPrChange w:id="65" w:author="PCAdmin" w:date="2015-10-26T11:40:00Z">
            <w:rPr/>
          </w:rPrChange>
        </w:rPr>
        <w:pPrChange w:id="66" w:author="PCAdmin" w:date="2015-10-26T11:40:00Z">
          <w:pPr>
            <w:ind w:left="1440"/>
          </w:pPr>
        </w:pPrChange>
      </w:pPr>
      <w:del w:id="67" w:author="PCAdmin" w:date="2015-10-26T11:40:00Z">
        <w:r w:rsidRPr="00512BB2" w:rsidDel="00512BB2">
          <w:rPr>
            <w:rFonts w:asciiTheme="minorHAnsi" w:hAnsiTheme="minorHAnsi" w:cstheme="minorHAnsi"/>
            <w:color w:val="000000" w:themeColor="text1"/>
            <w:rPrChange w:id="68" w:author="PCAdmin" w:date="2015-10-26T11:40:00Z">
              <w:rPr/>
            </w:rPrChange>
          </w:rPr>
          <w:tab/>
        </w:r>
      </w:del>
      <w:r w:rsidRPr="00512BB2">
        <w:rPr>
          <w:rFonts w:asciiTheme="minorHAnsi" w:hAnsiTheme="minorHAnsi" w:cstheme="minorHAnsi"/>
          <w:color w:val="000000" w:themeColor="text1"/>
          <w:rPrChange w:id="69" w:author="PCAdmin" w:date="2015-10-26T11:40:00Z">
            <w:rPr/>
          </w:rPrChange>
        </w:rPr>
        <w:t>19</w:t>
      </w:r>
      <w:r w:rsidRPr="00512BB2">
        <w:rPr>
          <w:rFonts w:asciiTheme="minorHAnsi" w:hAnsiTheme="minorHAnsi" w:cstheme="minorHAnsi"/>
          <w:color w:val="000000" w:themeColor="text1"/>
          <w:rPrChange w:id="70" w:author="PCAdmin" w:date="2015-10-26T11:40:00Z">
            <w:rPr/>
          </w:rPrChange>
        </w:rPr>
        <w:tab/>
      </w:r>
      <w:r w:rsidRPr="00512BB2">
        <w:rPr>
          <w:rFonts w:asciiTheme="minorHAnsi" w:hAnsiTheme="minorHAnsi" w:cstheme="minorHAnsi"/>
          <w:color w:val="000000" w:themeColor="text1"/>
          <w:rPrChange w:id="71" w:author="PCAdmin" w:date="2015-10-26T11:40:00Z">
            <w:rPr/>
          </w:rPrChange>
        </w:rPr>
        <w:tab/>
        <w:t>Ocean Resources</w:t>
      </w:r>
    </w:p>
    <w:p w:rsidR="004B3C8B" w:rsidRPr="00B82764" w:rsidRDefault="004B3C8B" w:rsidP="004B3C8B">
      <w:pPr>
        <w:ind w:left="1062"/>
        <w:rPr>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19" w:history="1">
        <w:r w:rsidRPr="004B692D">
          <w:rPr>
            <w:rStyle w:val="Hyperlink"/>
            <w:rFonts w:asciiTheme="minorHAnsi" w:hAnsiTheme="minorHAnsi" w:cstheme="minorHAnsi"/>
          </w:rPr>
          <w:t>Land Use Compa</w:t>
        </w:r>
        <w:r w:rsidRPr="004B692D">
          <w:rPr>
            <w:rStyle w:val="Hyperlink"/>
            <w:rFonts w:asciiTheme="minorHAnsi" w:hAnsiTheme="minorHAnsi" w:cstheme="minorHAnsi"/>
          </w:rPr>
          <w:t>t</w:t>
        </w:r>
        <w:r w:rsidRPr="004B692D">
          <w:rPr>
            <w:rStyle w:val="Hyperlink"/>
            <w:rFonts w:asciiTheme="minorHAnsi" w:hAnsiTheme="minorHAnsi" w:cstheme="minorHAnsi"/>
          </w:rPr>
          <w:t>ibility Statement</w:t>
        </w:r>
      </w:hyperlink>
      <w:r w:rsidRPr="008173BD">
        <w:rPr>
          <w:rFonts w:asciiTheme="minorHAnsi" w:hAnsiTheme="minorHAnsi" w:cstheme="minorHAnsi"/>
        </w:rPr>
        <w:t>.</w:t>
      </w: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rsidR="002E4AA0" w:rsidRPr="00140DDF" w:rsidRDefault="006416C7" w:rsidP="00F0078E">
      <w:pPr>
        <w:pStyle w:val="Heading2"/>
        <w:rPr>
          <w:rFonts w:cstheme="majorHAnsi"/>
          <w:color w:val="504938"/>
          <w:szCs w:val="22"/>
        </w:rPr>
      </w:pPr>
      <w:r w:rsidRPr="00140DDF">
        <w:rPr>
          <w:rFonts w:cstheme="majorHAnsi"/>
          <w:color w:val="504938"/>
          <w:szCs w:val="22"/>
        </w:rPr>
        <w:t>Determination</w:t>
      </w:r>
    </w:p>
    <w:p w:rsidR="004B3C8B" w:rsidRDefault="004B3C8B" w:rsidP="004B3C8B">
      <w:pPr>
        <w:spacing w:after="120"/>
        <w:rPr>
          <w:rFonts w:asciiTheme="minorHAnsi" w:hAnsiTheme="minorHAnsi" w:cstheme="minorHAnsi"/>
          <w:color w:val="000000"/>
        </w:rPr>
        <w:sectPr w:rsidR="004B3C8B" w:rsidSect="004B3C8B">
          <w:pgSz w:w="12240" w:h="15840"/>
          <w:pgMar w:top="1080" w:right="990" w:bottom="1080" w:left="360" w:header="720" w:footer="720" w:gutter="432"/>
          <w:cols w:space="720"/>
          <w:docGrid w:linePitch="360"/>
        </w:sect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p>
    <w:p w:rsidR="00670AA1" w:rsidRDefault="00670AA1" w:rsidP="00670AA1">
      <w:pPr>
        <w:ind w:left="0"/>
        <w:sectPr w:rsidR="00670AA1" w:rsidSect="00B34CF8">
          <w:pgSz w:w="12240" w:h="15840"/>
          <w:pgMar w:top="1080" w:right="990" w:bottom="1080" w:left="360" w:header="720" w:footer="720" w:gutter="432"/>
          <w:cols w:space="720"/>
          <w:docGrid w:linePitch="360"/>
        </w:sectPr>
      </w:pPr>
    </w:p>
    <w:p w:rsidR="00021CEF" w:rsidRDefault="00021CEF" w:rsidP="00670AA1">
      <w:pPr>
        <w:ind w:left="0"/>
        <w:sectPr w:rsidR="00021CEF" w:rsidSect="00670AA1">
          <w:type w:val="continuous"/>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670AA1" w:rsidRPr="00823C9D" w:rsidRDefault="00670AA1" w:rsidP="00670AA1">
            <w:pPr>
              <w:ind w:left="0"/>
              <w:rPr>
                <w:color w:val="32525C"/>
                <w:sz w:val="28"/>
                <w:szCs w:val="28"/>
              </w:rPr>
            </w:pP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C9239E" w:rsidP="00F0078E">
      <w:pPr>
        <w:pStyle w:val="Heading2"/>
        <w:rPr>
          <w:rFonts w:asciiTheme="minorHAnsi" w:hAnsiTheme="minorHAnsi" w:cstheme="minorHAnsi"/>
        </w:rPr>
      </w:pPr>
      <w:bookmarkStart w:id="72" w:name="AdvisoryCommittee"/>
      <w:r w:rsidRPr="006807BF">
        <w:t>Advisory committee</w:t>
      </w:r>
      <w:bookmarkEnd w:id="72"/>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670AA1">
      <w:pPr>
        <w:ind w:left="0"/>
      </w:pPr>
    </w:p>
    <w:p w:rsidR="002048F4" w:rsidRDefault="002048F4" w:rsidP="00670AA1">
      <w:pPr>
        <w:pStyle w:val="Heading2"/>
      </w:pPr>
      <w:r>
        <w:t>Meeting notifications</w:t>
      </w:r>
    </w:p>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0"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0C1364" w:rsidRPr="00F77139" w:rsidRDefault="00A76D00" w:rsidP="00F77139">
      <w:pPr>
        <w:ind w:right="378"/>
        <w:sectPr w:rsidR="000C1364" w:rsidRPr="00F77139" w:rsidSect="00B34CF8">
          <w:pgSz w:w="12240" w:h="15840"/>
          <w:pgMar w:top="1080" w:right="990" w:bottom="1080" w:left="360" w:header="720" w:footer="720" w:gutter="432"/>
          <w:cols w:space="720"/>
          <w:docGrid w:linePitch="360"/>
        </w:sectPr>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14, 2016</w:t>
      </w:r>
      <w:r w:rsidR="000D707E" w:rsidRPr="00E37BC6">
        <w:t xml:space="preserve"> </w:t>
      </w:r>
      <w:r w:rsidR="000D707E">
        <w:t>by</w:t>
      </w:r>
      <w:r>
        <w:t>:</w:t>
      </w:r>
      <w:r w:rsidR="006F1FBD">
        <w:t xml:space="preserve"> </w:t>
      </w:r>
    </w:p>
    <w:p w:rsidR="0005132C" w:rsidRDefault="0005132C" w:rsidP="00E37BC6"/>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14,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1" w:history="1">
        <w:r w:rsidRPr="002910BC">
          <w:rPr>
            <w:rStyle w:val="Hyperlink"/>
          </w:rPr>
          <w:t>RULEMAKING</w:t>
        </w:r>
      </w:hyperlink>
      <w:r>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E37BC6" w:rsidRDefault="00DF05F5" w:rsidP="00A53488">
      <w:pPr>
        <w:pStyle w:val="ListParagraph"/>
        <w:numPr>
          <w:ilvl w:val="1"/>
          <w:numId w:val="5"/>
        </w:numPr>
      </w:pPr>
      <w:r w:rsidRPr="00E37BC6">
        <w:t>Agency Rulemaking</w:t>
      </w:r>
    </w:p>
    <w:p w:rsidR="002C4F3A" w:rsidRPr="00E37BC6" w:rsidRDefault="00DF05F5" w:rsidP="00A53488">
      <w:pPr>
        <w:pStyle w:val="ListParagraph"/>
        <w:numPr>
          <w:ilvl w:val="1"/>
          <w:numId w:val="5"/>
        </w:numPr>
      </w:pPr>
      <w:r w:rsidRPr="00E37BC6">
        <w:t>Air Quality Permits</w:t>
      </w:r>
    </w:p>
    <w:p w:rsidR="002C4F3A" w:rsidRPr="00E37BC6" w:rsidRDefault="00DF05F5" w:rsidP="00A53488">
      <w:pPr>
        <w:pStyle w:val="ListParagraph"/>
        <w:numPr>
          <w:ilvl w:val="1"/>
          <w:numId w:val="5"/>
        </w:numPr>
      </w:pPr>
      <w:r w:rsidRPr="00E37BC6">
        <w:t>Title V Permit Program Public</w:t>
      </w:r>
    </w:p>
    <w:p w:rsidR="0005132C" w:rsidRDefault="0005132C" w:rsidP="002D6C99">
      <w:pPr>
        <w:pStyle w:val="ListParagraph"/>
        <w:rPr>
          <w:bCs/>
          <w:color w:val="385623" w:themeColor="accent6" w:themeShade="80"/>
        </w:rPr>
      </w:pPr>
    </w:p>
    <w:p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Pr="00F77139">
        <w:rPr>
          <w:color w:val="C45911" w:themeColor="accent2" w:themeShade="BF"/>
        </w:rPr>
        <w:t>NUMBER OF PARTIES</w:t>
      </w:r>
      <w:r w:rsidRPr="00F77139">
        <w:rPr>
          <w:rFonts w:asciiTheme="minorHAnsi" w:hAnsiTheme="minorHAnsi" w:cstheme="minorHAnsi"/>
          <w:bCs/>
          <w:color w:val="000000" w:themeColor="text1"/>
        </w:rPr>
        <w:t xml:space="preserve"> </w:t>
      </w:r>
      <w:r w:rsidR="00C22E0C" w:rsidRPr="00F77139">
        <w:rPr>
          <w:rFonts w:asciiTheme="minorHAnsi" w:hAnsiTheme="minorHAnsi" w:cstheme="minorHAnsi"/>
          <w:color w:val="000000" w:themeColor="text1"/>
        </w:rPr>
        <w:t>stakeholder</w:t>
      </w:r>
      <w:r w:rsidR="009C1B9E" w:rsidRPr="00F77139">
        <w:rPr>
          <w:rFonts w:asciiTheme="minorHAnsi" w:hAnsiTheme="minorHAnsi" w:cstheme="minorHAnsi"/>
          <w:color w:val="000000" w:themeColor="text1"/>
        </w:rPr>
        <w:t>s</w:t>
      </w:r>
      <w:r w:rsidR="00C22E0C" w:rsidRPr="00F77139">
        <w:rPr>
          <w:rFonts w:asciiTheme="minorHAnsi" w:hAnsiTheme="minorHAnsi" w:cstheme="minorHAnsi"/>
          <w:color w:val="000000" w:themeColor="text1"/>
        </w:rPr>
        <w:t xml:space="preserve"> on the </w:t>
      </w:r>
      <w:r w:rsidR="00016F5E" w:rsidRPr="00F77139">
        <w:rPr>
          <w:color w:val="C45911" w:themeColor="accent2" w:themeShade="BF"/>
        </w:rPr>
        <w:t>Enter other mailing lists here</w:t>
      </w:r>
      <w:r w:rsidR="00EB34DD" w:rsidRPr="00F77139">
        <w:rPr>
          <w:rFonts w:asciiTheme="minorHAnsi" w:hAnsiTheme="minorHAnsi" w:cstheme="minorHAnsi"/>
          <w:bCs/>
          <w:color w:val="000000" w:themeColor="text1"/>
        </w:rPr>
        <w:t xml:space="preserve"> </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2" w:history="1">
        <w:r w:rsidR="00C22E0C" w:rsidRPr="006F1FBD">
          <w:rPr>
            <w:u w:val="single"/>
          </w:rPr>
          <w:t>ORS 183.335</w:t>
        </w:r>
      </w:hyperlink>
      <w:r w:rsidR="00016F5E">
        <w:t>:</w:t>
      </w:r>
    </w:p>
    <w:p w:rsidR="00F0078E" w:rsidRPr="006F1FBD" w:rsidRDefault="00F0078E" w:rsidP="002D6C99">
      <w:pPr>
        <w:pStyle w:val="ListParagraph"/>
      </w:pPr>
    </w:p>
    <w:p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rsidR="00F77139" w:rsidRPr="00F77139" w:rsidRDefault="00F77139" w:rsidP="00F77139">
      <w:pPr>
        <w:ind w:left="1800"/>
        <w:rPr>
          <w:rFonts w:asciiTheme="minorHAnsi" w:hAnsiTheme="minorHAnsi" w:cstheme="minorHAnsi"/>
          <w:bCs/>
          <w:sz w:val="28"/>
        </w:rPr>
      </w:pPr>
    </w:p>
    <w:p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3" w:history="1">
        <w:r w:rsidRPr="0052167E">
          <w:rPr>
            <w:rStyle w:val="Hyperlink"/>
            <w:rFonts w:asciiTheme="minorHAnsi" w:hAnsiTheme="minorHAnsi" w:cstheme="minorHAnsi"/>
          </w:rPr>
          <w:t>DEQ Calendar</w:t>
        </w:r>
      </w:hyperlink>
    </w:p>
    <w:p w:rsidR="004C40F0" w:rsidRDefault="00CE1C16" w:rsidP="00A53488">
      <w:pPr>
        <w:pStyle w:val="ListParagraph"/>
        <w:numPr>
          <w:ilvl w:val="0"/>
          <w:numId w:val="6"/>
        </w:numPr>
        <w:rPr>
          <w:color w:val="000000" w:themeColor="text1"/>
        </w:rPr>
      </w:pPr>
      <w:r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E37BC6" w:rsidRPr="00670AA1" w:rsidRDefault="0094060F" w:rsidP="00670AA1">
      <w:pPr>
        <w:pStyle w:val="ListParagraph"/>
        <w:numPr>
          <w:ilvl w:val="0"/>
          <w:numId w:val="9"/>
        </w:numPr>
        <w:rPr>
          <w:i/>
        </w:rPr>
      </w:pPr>
      <w:r w:rsidRPr="0052167E">
        <w:rPr>
          <w:i/>
        </w:rPr>
        <w:t>Daily Journal of Commerce</w:t>
      </w:r>
      <w:r w:rsidRPr="0052167E">
        <w:rPr>
          <w:i/>
        </w:rPr>
        <w:tab/>
      </w:r>
      <w:r w:rsidR="00984CB7">
        <w:rPr>
          <w:color w:val="C45911" w:themeColor="accent2" w:themeShade="BF"/>
        </w:rPr>
        <w:t>PUBLICATION DATE</w:t>
      </w:r>
    </w:p>
    <w:p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rsidR="00983736" w:rsidRPr="00E37BC6" w:rsidRDefault="00983736" w:rsidP="00983736">
      <w:pPr>
        <w:rPr>
          <w:rFonts w:asciiTheme="minorHAnsi" w:hAnsiTheme="minorHAnsi" w:cstheme="minorHAnsi"/>
        </w:rPr>
      </w:pPr>
    </w:p>
    <w:p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rsidR="00D74378" w:rsidRDefault="00D74378" w:rsidP="00E37BC6">
      <w:pPr>
        <w:ind w:left="0"/>
      </w:pPr>
    </w:p>
    <w:p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 xml:space="preserve">DEQ will </w:t>
      </w:r>
      <w:r w:rsidR="004D195E">
        <w:lastRenderedPageBreak/>
        <w:t>summarize a</w:t>
      </w:r>
      <w:r w:rsidR="00D74378">
        <w:t>ll co</w:t>
      </w:r>
      <w:r w:rsidR="00DE3DF4">
        <w:t>mments and respond to comments i</w:t>
      </w:r>
      <w:r w:rsidR="00D74378">
        <w:t>n the Environmental Quality Commission staff report.</w:t>
      </w:r>
    </w:p>
    <w:p w:rsidR="006D5B6E" w:rsidRDefault="006D5B6E" w:rsidP="002D6C99"/>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E37BC6" w:rsidRDefault="00D87563" w:rsidP="002D6C99">
            <w:pPr>
              <w:ind w:left="0"/>
              <w:rPr>
                <w:rFonts w:asciiTheme="majorHAnsi" w:hAnsiTheme="majorHAnsi" w:cstheme="majorHAnsi"/>
                <w:b w:val="0"/>
                <w:sz w:val="26"/>
                <w:szCs w:val="26"/>
              </w:rPr>
            </w:pPr>
            <w:r w:rsidRPr="00E37BC6">
              <w:rPr>
                <w:rFonts w:asciiTheme="majorHAnsi" w:hAnsiTheme="majorHAnsi" w:cstheme="majorHAnsi"/>
                <w:b w:val="0"/>
                <w:sz w:val="26"/>
                <w:szCs w:val="26"/>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22759" w:rsidP="002D6C99">
            <w:pPr>
              <w:ind w:left="0"/>
              <w:cnfStyle w:val="00000000000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Pr="00E37BC6" w:rsidRDefault="00905DD7" w:rsidP="002D6C99">
            <w:pPr>
              <w:ind w:left="0"/>
              <w:cnfStyle w:val="000000000000"/>
            </w:pPr>
            <w:r w:rsidRPr="00E37BC6">
              <w:t>Tenth Floor, Conference Room EQC A</w:t>
            </w:r>
          </w:p>
          <w:p w:rsidR="00905DD7" w:rsidRPr="00E37BC6" w:rsidRDefault="00905DD7" w:rsidP="002D6C99">
            <w:pPr>
              <w:ind w:left="0"/>
              <w:cnfStyle w:val="000000000000"/>
            </w:pPr>
            <w:r w:rsidRPr="00E37BC6">
              <w:t>811 SW Sixth Avenue</w:t>
            </w:r>
          </w:p>
          <w:p w:rsidR="006D5B6E" w:rsidRPr="00523309" w:rsidRDefault="00C973BB" w:rsidP="002D6C99">
            <w:pPr>
              <w:ind w:left="0"/>
              <w:cnfStyle w:val="000000000000"/>
              <w:rPr>
                <w:color w:val="C45911" w:themeColor="accent2" w:themeShade="BF"/>
              </w:rPr>
            </w:pPr>
            <w:r w:rsidRPr="00E37BC6">
              <w:t>Portland, OR 97204-1390</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73BB" w:rsidP="002D6C99">
            <w:pPr>
              <w:ind w:left="0"/>
              <w:cnfStyle w:val="000000100000"/>
            </w:pPr>
            <w:r>
              <w:t>Susan Carlson</w:t>
            </w: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73BB" w:rsidP="002D6C99">
            <w:pPr>
              <w:ind w:left="0"/>
              <w:cnfStyle w:val="000000000000"/>
            </w:pPr>
            <w:r>
              <w:t>Toll Free: (888)-204-5984</w:t>
            </w: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973BB" w:rsidP="002D6C99">
            <w:pPr>
              <w:ind w:left="0"/>
              <w:cnfStyle w:val="000000100000"/>
            </w:pPr>
            <w:r>
              <w:t>257801</w:t>
            </w:r>
          </w:p>
        </w:tc>
      </w:tr>
    </w:tbl>
    <w:p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E50654">
        <w:t xml:space="preserve"> at 5:00 p.m.</w:t>
      </w:r>
    </w:p>
    <w:p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BA2A18" w:rsidP="00DB0862">
      <w:pPr>
        <w:pStyle w:val="ListParagraph"/>
        <w:spacing w:before="120"/>
        <w:ind w:right="634"/>
        <w:rPr>
          <w:color w:val="000000"/>
        </w:rPr>
      </w:pPr>
      <w:r w:rsidRPr="00BA2A18">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733522" w:rsidRPr="007C0ACD" w:rsidRDefault="00733522"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733522" w:rsidRPr="007C0ACD" w:rsidRDefault="00733522" w:rsidP="00DB0862">
                  <w:pPr>
                    <w:ind w:left="0"/>
                    <w:rPr>
                      <w:sz w:val="22"/>
                      <w:szCs w:val="22"/>
                    </w:rPr>
                  </w:pPr>
                  <w:r w:rsidRPr="007C0ACD">
                    <w:rPr>
                      <w:sz w:val="22"/>
                      <w:szCs w:val="22"/>
                    </w:rPr>
                    <w:t>The extra column on the right corrects a Word error that prevents vertical alignment in last column of a Word table.</w:t>
                  </w:r>
                </w:p>
                <w:p w:rsidR="00733522" w:rsidRPr="007C0ACD" w:rsidRDefault="00733522"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NIDEY Emil" w:date="2015-10-23T15:40:00Z" w:initials="HE">
    <w:p w:rsidR="00733522" w:rsidRDefault="00733522">
      <w:pPr>
        <w:pStyle w:val="CommentText"/>
      </w:pPr>
      <w:r>
        <w:rPr>
          <w:rStyle w:val="CommentReference"/>
        </w:rPr>
        <w:annotationRef/>
      </w:r>
      <w:r>
        <w:t>This link doesn’t go anywhere. Will it eventually?</w:t>
      </w:r>
    </w:p>
  </w:comment>
  <w:comment w:id="9" w:author="HNIDEY Emil" w:date="2015-10-23T15:50:00Z" w:initials="HE">
    <w:p w:rsidR="00733522" w:rsidRDefault="00733522">
      <w:pPr>
        <w:pStyle w:val="CommentText"/>
      </w:pPr>
      <w:r>
        <w:rPr>
          <w:rStyle w:val="CommentReference"/>
        </w:rPr>
        <w:annotationRef/>
      </w:r>
      <w:r>
        <w:t>This link doesn’t go anywhere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439AE" w15:done="0"/>
  <w15:commentEx w15:paraId="332A23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522" w:rsidRDefault="00733522" w:rsidP="002D6C99">
      <w:r>
        <w:separator/>
      </w:r>
    </w:p>
  </w:endnote>
  <w:endnote w:type="continuationSeparator" w:id="0">
    <w:p w:rsidR="00733522" w:rsidRDefault="00733522"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522" w:rsidRDefault="00733522" w:rsidP="002D6C99">
    <w:pPr>
      <w:pStyle w:val="Footer"/>
    </w:pPr>
  </w:p>
  <w:p w:rsidR="00733522" w:rsidRPr="002B4E71" w:rsidRDefault="00733522" w:rsidP="002D6C99">
    <w:pPr>
      <w:pStyle w:val="Footer"/>
    </w:pPr>
    <w:r w:rsidRPr="002B4E71">
      <w:t xml:space="preserve">Notice page | </w:t>
    </w:r>
    <w:r w:rsidR="00BA2A18">
      <w:fldChar w:fldCharType="begin"/>
    </w:r>
    <w:r>
      <w:instrText xml:space="preserve"> PAGE   \* MERGEFORMAT </w:instrText>
    </w:r>
    <w:r w:rsidR="00BA2A18">
      <w:fldChar w:fldCharType="separate"/>
    </w:r>
    <w:r w:rsidR="00672650">
      <w:rPr>
        <w:noProof/>
      </w:rPr>
      <w:t>19</w:t>
    </w:r>
    <w:r w:rsidR="00BA2A18">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522" w:rsidRDefault="00733522" w:rsidP="002D6C99">
      <w:r>
        <w:separator/>
      </w:r>
    </w:p>
  </w:footnote>
  <w:footnote w:type="continuationSeparator" w:id="0">
    <w:p w:rsidR="00733522" w:rsidRDefault="00733522"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3184"/>
    <w:rsid w:val="00064299"/>
    <w:rsid w:val="0006798B"/>
    <w:rsid w:val="00071523"/>
    <w:rsid w:val="00071D04"/>
    <w:rsid w:val="00081F93"/>
    <w:rsid w:val="00083BC6"/>
    <w:rsid w:val="00083F6F"/>
    <w:rsid w:val="000904FA"/>
    <w:rsid w:val="0009279B"/>
    <w:rsid w:val="00092CB8"/>
    <w:rsid w:val="00092F0F"/>
    <w:rsid w:val="00093659"/>
    <w:rsid w:val="0009416B"/>
    <w:rsid w:val="0009574C"/>
    <w:rsid w:val="00096693"/>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2F6155"/>
    <w:rsid w:val="0030348C"/>
    <w:rsid w:val="00304756"/>
    <w:rsid w:val="00304A23"/>
    <w:rsid w:val="00305328"/>
    <w:rsid w:val="0031008D"/>
    <w:rsid w:val="00314FCB"/>
    <w:rsid w:val="00322A9E"/>
    <w:rsid w:val="00324289"/>
    <w:rsid w:val="003248CA"/>
    <w:rsid w:val="0033242B"/>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69DF"/>
    <w:rsid w:val="00467A4F"/>
    <w:rsid w:val="004706D5"/>
    <w:rsid w:val="00470AD8"/>
    <w:rsid w:val="00471D68"/>
    <w:rsid w:val="0047545F"/>
    <w:rsid w:val="0048174F"/>
    <w:rsid w:val="004905F1"/>
    <w:rsid w:val="004927A2"/>
    <w:rsid w:val="00496A70"/>
    <w:rsid w:val="00497709"/>
    <w:rsid w:val="004977E4"/>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2724"/>
    <w:rsid w:val="00F44E4D"/>
    <w:rsid w:val="00F516F6"/>
    <w:rsid w:val="00F52576"/>
    <w:rsid w:val="00F546AA"/>
    <w:rsid w:val="00F56E84"/>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leg.state.or.us/ors/468a.html"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www.oregon.gov/deq/RulesandRegulations/Pages/default.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ls.gov/dat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s.oregon.gov/Documents/sos-budget-2015-2017.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ls.gov/data/" TargetMode="External"/><Relationship Id="rId23"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hyperlink" Target="http://www.deq.state.or.us/pubs/permithandbook/luc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w.senate.gov/envlaws/cleanair.pdf" TargetMode="External"/><Relationship Id="rId22" Type="http://schemas.openxmlformats.org/officeDocument/2006/relationships/hyperlink" Target="http://www.leg.state.or.us/ors/183.html" TargetMode="External"/><Relationship Id="rId27" Type="http://schemas.microsoft.com/office/2011/relationships/people" Target="peop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58B3F12-7EA0-4877-B849-D2BF3051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4798</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PCAdmin</cp:lastModifiedBy>
  <cp:revision>2</cp:revision>
  <cp:lastPrinted>2015-10-21T16:24:00Z</cp:lastPrinted>
  <dcterms:created xsi:type="dcterms:W3CDTF">2015-10-26T19:05:00Z</dcterms:created>
  <dcterms:modified xsi:type="dcterms:W3CDTF">2015-10-26T19:05:00Z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