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0EA36" w14:textId="77777777" w:rsidR="00E34247" w:rsidRDefault="00E67CC1" w:rsidP="00E50FBD">
      <w:pPr>
        <w:pStyle w:val="Normal1"/>
      </w:pPr>
      <w:bookmarkStart w:id="0" w:name="_GoBack"/>
      <w:bookmarkEnd w:id="0"/>
      <w:r w:rsidRPr="00E50FBD">
        <w:rPr>
          <w:noProof/>
          <w:lang w:eastAsia="zh-CN"/>
        </w:rPr>
        <w:drawing>
          <wp:anchor distT="0" distB="0" distL="114300" distR="114300" simplePos="0" relativeHeight="251654656" behindDoc="0" locked="0" layoutInCell="1" allowOverlap="1" wp14:anchorId="2B40EAB7" wp14:editId="2B40EAB8">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2B40EA37" w14:textId="77777777" w:rsidR="00E67CC1" w:rsidRPr="00E47EFB" w:rsidRDefault="00E67CC1" w:rsidP="00E90A5A">
      <w:pPr>
        <w:pStyle w:val="Normal1"/>
        <w:jc w:val="center"/>
        <w:rPr>
          <w:sz w:val="28"/>
          <w:szCs w:val="28"/>
        </w:rPr>
      </w:pPr>
      <w:r w:rsidRPr="00E47EFB">
        <w:rPr>
          <w:sz w:val="28"/>
          <w:szCs w:val="28"/>
        </w:rPr>
        <w:t>Oregon Department of Environmental Quality</w:t>
      </w:r>
    </w:p>
    <w:p w14:paraId="2B40EA38" w14:textId="77777777" w:rsidR="00E67CC1" w:rsidRPr="00E47EFB" w:rsidRDefault="00E67CC1" w:rsidP="00E90A5A">
      <w:pPr>
        <w:pStyle w:val="Normal1"/>
        <w:jc w:val="center"/>
        <w:rPr>
          <w:sz w:val="28"/>
          <w:szCs w:val="28"/>
        </w:rPr>
      </w:pPr>
    </w:p>
    <w:p w14:paraId="2B40EA39" w14:textId="77777777" w:rsidR="00E67CC1" w:rsidRPr="00E47EFB" w:rsidRDefault="00CD5EB5" w:rsidP="00E90A5A">
      <w:pPr>
        <w:pStyle w:val="Normal1"/>
        <w:jc w:val="center"/>
        <w:rPr>
          <w:sz w:val="28"/>
          <w:szCs w:val="28"/>
        </w:rPr>
      </w:pPr>
      <w:r>
        <w:rPr>
          <w:sz w:val="28"/>
          <w:szCs w:val="28"/>
        </w:rPr>
        <w:t>April 2</w:t>
      </w:r>
      <w:r w:rsidR="00BE70BF">
        <w:rPr>
          <w:sz w:val="28"/>
          <w:szCs w:val="28"/>
        </w:rPr>
        <w:t>1</w:t>
      </w:r>
      <w:r w:rsidR="00E47EFB" w:rsidRPr="00E47EFB">
        <w:rPr>
          <w:sz w:val="28"/>
          <w:szCs w:val="28"/>
        </w:rPr>
        <w:t>, 2016</w:t>
      </w:r>
    </w:p>
    <w:p w14:paraId="2B40EA3A" w14:textId="77777777" w:rsidR="00E67CC1" w:rsidRPr="00E47EFB" w:rsidRDefault="00E67CC1" w:rsidP="00E90A5A">
      <w:pPr>
        <w:pStyle w:val="Normal1"/>
        <w:jc w:val="center"/>
        <w:rPr>
          <w:sz w:val="28"/>
          <w:szCs w:val="28"/>
        </w:rPr>
      </w:pPr>
      <w:r w:rsidRPr="00E47EFB">
        <w:rPr>
          <w:sz w:val="28"/>
          <w:szCs w:val="28"/>
        </w:rPr>
        <w:t>Oregon Environmental Quality Commission Meeting</w:t>
      </w:r>
    </w:p>
    <w:p w14:paraId="2B40EA3B" w14:textId="77777777" w:rsidR="00E67CC1" w:rsidRPr="00E47EFB" w:rsidRDefault="00E67CC1" w:rsidP="00E90A5A">
      <w:pPr>
        <w:pStyle w:val="Normal1"/>
        <w:jc w:val="center"/>
        <w:rPr>
          <w:sz w:val="28"/>
          <w:szCs w:val="28"/>
        </w:rPr>
      </w:pPr>
      <w:r w:rsidRPr="00E47EFB">
        <w:rPr>
          <w:sz w:val="28"/>
          <w:szCs w:val="28"/>
        </w:rPr>
        <w:t xml:space="preserve">Temporary Rulemaking Action Item: </w:t>
      </w:r>
      <w:r w:rsidR="00D40562" w:rsidRPr="00D40562">
        <w:rPr>
          <w:sz w:val="28"/>
          <w:szCs w:val="28"/>
        </w:rPr>
        <w:t>I</w:t>
      </w:r>
    </w:p>
    <w:p w14:paraId="2B40EA3C" w14:textId="77777777" w:rsidR="00E67CC1" w:rsidRDefault="00081159" w:rsidP="00E90A5A">
      <w:pPr>
        <w:pStyle w:val="Normal1"/>
        <w:jc w:val="center"/>
        <w:rPr>
          <w:sz w:val="28"/>
          <w:szCs w:val="28"/>
        </w:rPr>
      </w:pPr>
      <w:r w:rsidRPr="00E47EFB">
        <w:rPr>
          <w:sz w:val="28"/>
          <w:szCs w:val="28"/>
        </w:rPr>
        <w:t>Air Quality 2016 Temporary Rules</w:t>
      </w:r>
    </w:p>
    <w:p w14:paraId="2B40EA3D" w14:textId="77777777" w:rsidR="00514A16" w:rsidRPr="00514A16" w:rsidRDefault="00514A16" w:rsidP="00514A16">
      <w:pPr>
        <w:pStyle w:val="Normal1"/>
        <w:jc w:val="center"/>
        <w:rPr>
          <w:sz w:val="28"/>
          <w:szCs w:val="28"/>
        </w:rPr>
      </w:pPr>
      <w:r w:rsidRPr="00514A16">
        <w:rPr>
          <w:sz w:val="28"/>
          <w:szCs w:val="28"/>
        </w:rPr>
        <w:t>Colored Art Glass Manufacturing</w:t>
      </w:r>
    </w:p>
    <w:p w14:paraId="2B40EA3E" w14:textId="77777777" w:rsidR="00514A16" w:rsidRPr="00E47EFB" w:rsidRDefault="00514A16" w:rsidP="00E90A5A">
      <w:pPr>
        <w:pStyle w:val="Normal1"/>
        <w:jc w:val="center"/>
        <w:rPr>
          <w:sz w:val="28"/>
          <w:szCs w:val="28"/>
        </w:rPr>
      </w:pPr>
    </w:p>
    <w:p w14:paraId="2B40EA3F" w14:textId="77777777" w:rsidR="00E67CC1" w:rsidRDefault="00E67CC1" w:rsidP="00514A16">
      <w:pPr>
        <w:pStyle w:val="Normal1"/>
      </w:pPr>
    </w:p>
    <w:tbl>
      <w:tblPr>
        <w:tblW w:w="12330" w:type="dxa"/>
        <w:tblInd w:w="-702" w:type="dxa"/>
        <w:tblLook w:val="04A0" w:firstRow="1" w:lastRow="0" w:firstColumn="1" w:lastColumn="0" w:noHBand="0" w:noVBand="1"/>
      </w:tblPr>
      <w:tblGrid>
        <w:gridCol w:w="12330"/>
      </w:tblGrid>
      <w:tr w:rsidR="00E34247" w:rsidRPr="00C74D58" w14:paraId="2B40EA41"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2B40EA40" w14:textId="77777777" w:rsidR="00E34247" w:rsidRPr="00E50FBD" w:rsidRDefault="00E34247" w:rsidP="00E50FBD">
            <w:pPr>
              <w:pStyle w:val="Normal1"/>
            </w:pPr>
            <w:r w:rsidRPr="00E50FBD">
              <w:t xml:space="preserve">DEQ recommendation to the EQC                      </w:t>
            </w:r>
          </w:p>
        </w:tc>
      </w:tr>
    </w:tbl>
    <w:p w14:paraId="2B40EA42" w14:textId="77777777" w:rsidR="00E34247" w:rsidRDefault="00E34247" w:rsidP="00E50FBD">
      <w:pPr>
        <w:pStyle w:val="Normal1"/>
      </w:pPr>
    </w:p>
    <w:p w14:paraId="2B40EA43" w14:textId="77777777" w:rsidR="00790FEF" w:rsidRDefault="00E34247" w:rsidP="00E50FBD">
      <w:pPr>
        <w:pStyle w:val="Normal1"/>
      </w:pPr>
      <w:r w:rsidRPr="00304A23">
        <w:t>DEQ recommends that the Environmental Quality Commission:</w:t>
      </w:r>
    </w:p>
    <w:p w14:paraId="2B40EA44" w14:textId="77777777" w:rsidR="009D7305" w:rsidRDefault="005543CE" w:rsidP="009D7305">
      <w:pPr>
        <w:pStyle w:val="Normal1"/>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14:paraId="2B40EA45" w14:textId="77777777" w:rsidR="009D7305" w:rsidRDefault="00482D67" w:rsidP="009D7305">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14:paraId="2B40EA46" w14:textId="77777777"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734CD5" w:rsidRPr="00C74D58" w14:paraId="2B40EA48" w14:textId="77777777" w:rsidTr="00734CD5">
        <w:trPr>
          <w:trHeight w:val="603"/>
        </w:trPr>
        <w:tc>
          <w:tcPr>
            <w:tcW w:w="12335" w:type="dxa"/>
            <w:shd w:val="clear" w:color="auto" w:fill="E2DDDB" w:themeFill="text2" w:themeFillTint="33"/>
            <w:noWrap/>
            <w:vAlign w:val="bottom"/>
            <w:hideMark/>
          </w:tcPr>
          <w:p w14:paraId="2B40EA47" w14:textId="77777777" w:rsidR="00734CD5" w:rsidRPr="00E50FBD" w:rsidRDefault="00734CD5" w:rsidP="00E50FBD">
            <w:pPr>
              <w:pStyle w:val="Normal1"/>
            </w:pPr>
            <w:r w:rsidRPr="00E50FBD">
              <w:t>Overview</w:t>
            </w:r>
          </w:p>
        </w:tc>
      </w:tr>
    </w:tbl>
    <w:p w14:paraId="2B40EA49" w14:textId="77777777" w:rsidR="00734CD5" w:rsidRPr="00E50FBD" w:rsidRDefault="00734CD5" w:rsidP="00E50FBD">
      <w:pPr>
        <w:pStyle w:val="Normal1"/>
      </w:pPr>
    </w:p>
    <w:p w14:paraId="2B40EA4A" w14:textId="77777777"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w:t>
      </w:r>
      <w:r w:rsidR="00033C07">
        <w:t xml:space="preserve">the initial results of a study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w:t>
      </w:r>
      <w:r w:rsidR="00033C07">
        <w:t xml:space="preserve"> The study’s </w:t>
      </w:r>
      <w:r w:rsidR="00E86298" w:rsidRPr="00E86298">
        <w:t>results</w:t>
      </w:r>
      <w:r w:rsidR="001E6896">
        <w:t xml:space="preserve"> </w:t>
      </w:r>
      <w:r w:rsidR="00E86298" w:rsidRPr="00E86298">
        <w:t xml:space="preserve">showed </w:t>
      </w:r>
      <w:r w:rsidR="001E6896">
        <w:t xml:space="preserve">that the moss samples in the </w:t>
      </w:r>
      <w:r w:rsidR="00E86298" w:rsidRPr="00E86298">
        <w:t>areas</w:t>
      </w:r>
      <w:r w:rsidR="00033C07" w:rsidRPr="00E86298">
        <w:t xml:space="preserve"> </w:t>
      </w:r>
      <w:r w:rsidR="00E86298" w:rsidRPr="00E86298">
        <w:t xml:space="preserve">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w:t>
      </w:r>
      <w:r w:rsidR="004E6E66">
        <w:t>Portland and cadmium in</w:t>
      </w:r>
      <w:r w:rsidR="00436CB4">
        <w:t xml:space="preserve"> North </w:t>
      </w:r>
      <w:r w:rsidR="00E86298" w:rsidRPr="00E86298">
        <w:t>Portland.</w:t>
      </w:r>
      <w:r w:rsidR="00E86298">
        <w:t xml:space="preserve"> </w:t>
      </w:r>
    </w:p>
    <w:p w14:paraId="2B40EA4B" w14:textId="77777777"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14:paraId="2B40EA4C" w14:textId="77777777"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14:paraId="2B40EA4D" w14:textId="77777777" w:rsidR="009C2551" w:rsidRPr="009C2551" w:rsidRDefault="009C2551" w:rsidP="009C2551">
      <w:pPr>
        <w:pStyle w:val="Normal1"/>
      </w:pPr>
      <w:r w:rsidRPr="009C2551">
        <w:lastRenderedPageBreak/>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p>
    <w:p w14:paraId="2B40EA4E" w14:textId="77777777" w:rsidR="00AC54CC" w:rsidRDefault="00033C07" w:rsidP="009C2551">
      <w:pPr>
        <w:pStyle w:val="Normal1"/>
      </w:pPr>
      <w:r w:rsidRPr="009C2551">
        <w:t>Benchmarks are Oregon’s protective “clean air” goals that DEQ developed to address toxic air pollutants. There are no direct regulatory requirements associated with benchmarks.</w:t>
      </w:r>
      <w:r>
        <w:t xml:space="preserve"> </w:t>
      </w:r>
      <w:r w:rsidR="009C2551" w:rsidRPr="009C2551">
        <w:t xml:space="preserve">In 2005, with EPA funding, DEQ measured concentrations of air toxics, including metals, at six locations in the Portland area, finding levels of many pollutants above clean air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14:paraId="2B40EA4F" w14:textId="77777777"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14:paraId="2B40EA50" w14:textId="77777777" w:rsidR="009C2551" w:rsidRDefault="009C2551" w:rsidP="009C2551">
      <w:pPr>
        <w:pStyle w:val="Normal1"/>
      </w:pPr>
      <w:r w:rsidRPr="009C2551">
        <w:t xml:space="preserve">Air toxics emissions from certain types of industrial businesses like </w:t>
      </w:r>
      <w:r w:rsidR="00122501">
        <w:t xml:space="preserve">colored </w:t>
      </w:r>
      <w:r w:rsidRPr="009C2551">
        <w:t xml:space="preserve">art glass manufacturers are not </w:t>
      </w:r>
      <w:r w:rsidR="00122501">
        <w:t xml:space="preserve">fully </w:t>
      </w:r>
      <w:r w:rsidRPr="009C2551">
        <w:t>regulated under federal requirements.</w:t>
      </w:r>
      <w:r w:rsidR="00875B36">
        <w:t xml:space="preserve"> Based on sampling </w:t>
      </w:r>
      <w:r w:rsidR="00AC54CC">
        <w:t xml:space="preserve">DEQ undertook </w:t>
      </w:r>
      <w:r w:rsidR="00875B36">
        <w:t xml:space="preserve">last October, and in recent weeks, DEQ has concluded that uncontrolled furnaces used in such </w:t>
      </w:r>
      <w:r w:rsidR="00122501">
        <w:t xml:space="preserve">colored </w:t>
      </w:r>
      <w:r w:rsidR="00875B36">
        <w:t>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122501">
        <w:t xml:space="preserve">colored </w:t>
      </w:r>
      <w:r w:rsidR="009C289A">
        <w:t xml:space="preserve">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14:paraId="2B40EA51" w14:textId="77777777" w:rsidR="00197050" w:rsidRPr="009C2551" w:rsidRDefault="00197050" w:rsidP="009C2551">
      <w:pPr>
        <w:pStyle w:val="Normal1"/>
      </w:pPr>
    </w:p>
    <w:p w14:paraId="2B40EA52" w14:textId="77777777" w:rsidR="004C2E54" w:rsidRPr="00E86298" w:rsidRDefault="004C2E54" w:rsidP="00E86298">
      <w:pPr>
        <w:pStyle w:val="Normal1"/>
      </w:pPr>
    </w:p>
    <w:tbl>
      <w:tblPr>
        <w:tblW w:w="12240" w:type="dxa"/>
        <w:tblInd w:w="-612" w:type="dxa"/>
        <w:tblLook w:val="04A0" w:firstRow="1" w:lastRow="0" w:firstColumn="1" w:lastColumn="0" w:noHBand="0" w:noVBand="1"/>
      </w:tblPr>
      <w:tblGrid>
        <w:gridCol w:w="12240"/>
      </w:tblGrid>
      <w:tr w:rsidR="00662A78" w:rsidRPr="00B15DF7" w14:paraId="2B40EA54" w14:textId="7777777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53" w14:textId="77777777" w:rsidR="00662A78" w:rsidRPr="00E50FBD" w:rsidRDefault="00662A78" w:rsidP="00E50FBD">
            <w:pPr>
              <w:pStyle w:val="Normal1"/>
            </w:pPr>
            <w:r w:rsidRPr="00E50FBD">
              <w:t xml:space="preserve">Statement of need </w:t>
            </w:r>
          </w:p>
        </w:tc>
      </w:tr>
    </w:tbl>
    <w:p w14:paraId="2B40EA55" w14:textId="77777777" w:rsidR="003E149B" w:rsidRDefault="003E149B" w:rsidP="00E50FBD">
      <w:pPr>
        <w:pStyle w:val="Normal1"/>
      </w:pPr>
    </w:p>
    <w:p w14:paraId="2B40EA56" w14:textId="77777777" w:rsidR="00295A20" w:rsidRPr="00295A20" w:rsidRDefault="00295A20" w:rsidP="00E50FBD">
      <w:pPr>
        <w:pStyle w:val="Normal1"/>
        <w:rPr>
          <w:rFonts w:asciiTheme="majorHAnsi" w:hAnsiTheme="majorHAnsi" w:cstheme="majorHAnsi"/>
          <w:b/>
        </w:rPr>
      </w:pPr>
      <w:r w:rsidRPr="00295A20">
        <w:rPr>
          <w:rFonts w:asciiTheme="majorHAnsi" w:hAnsiTheme="majorHAnsi" w:cstheme="majorHAnsi"/>
          <w:b/>
        </w:rPr>
        <w:t>What need is DEQ trying to address?</w:t>
      </w:r>
    </w:p>
    <w:p w14:paraId="2B40EA57" w14:textId="77777777" w:rsidR="00295A20" w:rsidRDefault="00295A20" w:rsidP="00295A20">
      <w:pPr>
        <w:pStyle w:val="Normal1"/>
        <w:ind w:left="1440"/>
      </w:pPr>
      <w:r>
        <w:t xml:space="preserve">DEQ is addressing the urgent need to control metals emissions from colored 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14:paraId="2B40EA58" w14:textId="77777777" w:rsidR="00295A20" w:rsidRDefault="00295A20" w:rsidP="00295A20">
      <w:pPr>
        <w:pStyle w:val="Normal1"/>
        <w:ind w:left="1440"/>
      </w:pPr>
      <w:r>
        <w:t xml:space="preserve">These rules are necessary to address a regulatory gap. No other state or federal standards currently apply to limit potentially unsafe levels of metal emissions from </w:t>
      </w:r>
      <w:r w:rsidR="00122501">
        <w:t xml:space="preserve">these types of </w:t>
      </w:r>
      <w:r>
        <w:t>colored art glass facilities. Waiting for longer-term state or federal solutions could result in unacceptably long periods of additional health risk for people living nearby.</w:t>
      </w:r>
    </w:p>
    <w:p w14:paraId="2B40EA59" w14:textId="77777777" w:rsidR="00295A20" w:rsidRDefault="00295A20" w:rsidP="00295A20">
      <w:pPr>
        <w:pStyle w:val="Normal1"/>
        <w:ind w:left="144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14:paraId="2B40EA5A" w14:textId="77777777" w:rsidR="00295A20" w:rsidRDefault="00295A20" w:rsidP="00295A20">
      <w:pPr>
        <w:pStyle w:val="Normal1"/>
        <w:ind w:left="1440"/>
      </w:pPr>
      <w:r>
        <w:lastRenderedPageBreak/>
        <w:t xml:space="preserve">Many times the NESHAPs apply to only major sources </w:t>
      </w:r>
      <w:r w:rsidR="00033C07">
        <w:t xml:space="preserve">which are </w:t>
      </w:r>
      <w:r>
        <w:t>sources with 25 tons per year of total HAPs or 10 tons per year of an individual HAP.  In some cases the NESHAPs regulate some smaller or area sources of HAPs. But in cases where there is no NESHAP for smaller sources, or where a source is too small to be regulated by an area source NESHAP, DEQ does not have air toxics regulations that apply.</w:t>
      </w:r>
      <w:r w:rsidR="00122501">
        <w:t xml:space="preserve"> </w:t>
      </w:r>
      <w:r w:rsidR="00122501" w:rsidRPr="00122501">
        <w:t xml:space="preserve">Even if </w:t>
      </w:r>
      <w:r w:rsidR="00122501">
        <w:t>the potentially relevant NESHAPs applied</w:t>
      </w:r>
      <w:r w:rsidR="00346882">
        <w:t>,</w:t>
      </w:r>
      <w:r w:rsidR="00122501">
        <w:t xml:space="preserve"> individual </w:t>
      </w:r>
      <w:r w:rsidR="00122501" w:rsidRPr="00122501">
        <w:t xml:space="preserve">furnaces </w:t>
      </w:r>
      <w:r w:rsidR="00122501">
        <w:t xml:space="preserve">at the facilities </w:t>
      </w:r>
      <w:r w:rsidR="00122501" w:rsidRPr="00122501">
        <w:t xml:space="preserve">may not be subject </w:t>
      </w:r>
      <w:r w:rsidR="00122501">
        <w:t xml:space="preserve">to </w:t>
      </w:r>
      <w:r w:rsidR="00346882">
        <w:t xml:space="preserve">the </w:t>
      </w:r>
      <w:r w:rsidR="00122501">
        <w:t>emissions reduction requirements</w:t>
      </w:r>
      <w:r w:rsidR="00346882">
        <w:t>,</w:t>
      </w:r>
      <w:r w:rsidR="00122501">
        <w:t xml:space="preserve"> and emissions may still have an unacceptable impact o</w:t>
      </w:r>
      <w:r w:rsidR="00346882">
        <w:t>n the public</w:t>
      </w:r>
      <w:r w:rsidR="00122501">
        <w:t>.</w:t>
      </w:r>
      <w:r w:rsidR="00122501" w:rsidRPr="00122501">
        <w:t xml:space="preserve"> </w:t>
      </w:r>
    </w:p>
    <w:p w14:paraId="2B40EA5B" w14:textId="77777777" w:rsidR="00C348DF" w:rsidRDefault="00C348DF" w:rsidP="00295A20">
      <w:pPr>
        <w:pStyle w:val="Normal1"/>
        <w:ind w:left="1440"/>
      </w:pPr>
    </w:p>
    <w:p w14:paraId="2B40EA5C" w14:textId="77777777" w:rsidR="00295A20" w:rsidRDefault="00295A20" w:rsidP="00E50FBD">
      <w:pPr>
        <w:pStyle w:val="Normal1"/>
        <w:rPr>
          <w:rFonts w:asciiTheme="majorHAnsi" w:hAnsiTheme="majorHAnsi" w:cstheme="majorHAnsi"/>
          <w:b/>
        </w:rPr>
      </w:pPr>
      <w:r w:rsidRPr="00295A20">
        <w:rPr>
          <w:rFonts w:asciiTheme="majorHAnsi" w:hAnsiTheme="majorHAnsi" w:cstheme="majorHAnsi"/>
          <w:b/>
        </w:rPr>
        <w:t>How would the proposed rule address the need?</w:t>
      </w:r>
    </w:p>
    <w:p w14:paraId="2B40EA5D" w14:textId="77777777" w:rsidR="00295A20" w:rsidRDefault="00295A20" w:rsidP="00295A20">
      <w:pPr>
        <w:pStyle w:val="Normal1"/>
        <w:ind w:left="1440"/>
      </w:pPr>
      <w:r>
        <w:t>The proposed rules would fill the regulatory gap by setting operation standards for art glass businesses that emit air toxics and potentially cause serious health effects.</w:t>
      </w:r>
    </w:p>
    <w:p w14:paraId="2B40EA5E" w14:textId="77777777" w:rsidR="00BE0BF8" w:rsidRDefault="00CD0DE1" w:rsidP="00295A20">
      <w:pPr>
        <w:pStyle w:val="Normal1"/>
        <w:ind w:left="1440"/>
      </w:pPr>
      <w:r>
        <w:t xml:space="preserve">The proposed rules create two Tiers of colored art glass manufacturers based on production and furnace type. </w:t>
      </w:r>
      <w:r w:rsidR="00295A20">
        <w:t xml:space="preserve">By prohibiting use of chromium VI, cadmium and arsenic prior to installation of emission control devices at </w:t>
      </w:r>
      <w:r>
        <w:t xml:space="preserve">larger </w:t>
      </w:r>
      <w:r w:rsidR="00295A20">
        <w:t>colored art glass facilities, the temporary rules would immediately decrease risk from airborne metal exposure to people nearby, including children and other sensitive or vulnerable individuals. By prohibiting use of chromium III until DEQ establishes a maximum allowable usage rate, the temporary rules will ensure that facilities are not emitting potentially dangerous amounts of chromium VI.</w:t>
      </w:r>
    </w:p>
    <w:p w14:paraId="2B40EA5F" w14:textId="77777777" w:rsidR="00BE0BF8" w:rsidRDefault="00BE0BF8" w:rsidP="00E50FBD">
      <w:pPr>
        <w:pStyle w:val="Normal1"/>
      </w:pPr>
    </w:p>
    <w:tbl>
      <w:tblPr>
        <w:tblW w:w="12240" w:type="dxa"/>
        <w:tblInd w:w="-612" w:type="dxa"/>
        <w:tblLook w:val="04A0" w:firstRow="1" w:lastRow="0" w:firstColumn="1" w:lastColumn="0" w:noHBand="0" w:noVBand="1"/>
      </w:tblPr>
      <w:tblGrid>
        <w:gridCol w:w="12240"/>
      </w:tblGrid>
      <w:tr w:rsidR="00443859" w:rsidRPr="00B15DF7" w14:paraId="2B40EA61" w14:textId="7777777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60" w14:textId="77777777" w:rsidR="00443859" w:rsidRPr="00E50FBD" w:rsidRDefault="00662A78" w:rsidP="00E50FBD">
            <w:pPr>
              <w:pStyle w:val="Normal1"/>
            </w:pPr>
            <w:r w:rsidRPr="00E50FBD">
              <w:t>J</w:t>
            </w:r>
            <w:r w:rsidR="008778B7" w:rsidRPr="00E50FBD">
              <w:t>ustification</w:t>
            </w:r>
            <w:r w:rsidR="0039186E" w:rsidRPr="00E50FBD">
              <w:t xml:space="preserve"> ORS 183.335(5)</w:t>
            </w:r>
          </w:p>
        </w:tc>
      </w:tr>
    </w:tbl>
    <w:p w14:paraId="2B40EA62" w14:textId="77777777" w:rsidR="009D7305" w:rsidRDefault="009D7305" w:rsidP="009D7305">
      <w:pPr>
        <w:pStyle w:val="Normal1"/>
        <w:ind w:left="0"/>
      </w:pPr>
    </w:p>
    <w:p w14:paraId="2B40EA63" w14:textId="77777777" w:rsidR="00B60123" w:rsidRDefault="00B60123" w:rsidP="00F95D0F">
      <w:pPr>
        <w:pStyle w:val="Normal1"/>
        <w:rPr>
          <w:rFonts w:asciiTheme="majorHAnsi" w:hAnsiTheme="majorHAnsi" w:cstheme="majorHAnsi"/>
          <w:b/>
        </w:rPr>
      </w:pPr>
      <w:r>
        <w:rPr>
          <w:rFonts w:asciiTheme="majorHAnsi" w:hAnsiTheme="majorHAnsi" w:cstheme="majorHAnsi"/>
          <w:b/>
        </w:rPr>
        <w:t>What would the consequences be of not taking immediate action:</w:t>
      </w:r>
    </w:p>
    <w:p w14:paraId="2B40EA64" w14:textId="77777777" w:rsidR="00B60123" w:rsidRDefault="00B60123" w:rsidP="00F95D0F">
      <w:pPr>
        <w:pStyle w:val="Normal1"/>
        <w:ind w:left="1440"/>
      </w:pPr>
      <w:r>
        <w:t>The consequences of the EQC not taking immediate action to adopt the proposed rules would be that emissions from c</w:t>
      </w:r>
      <w:r w:rsidRPr="006A46B0">
        <w:t xml:space="preserve">olored </w:t>
      </w:r>
      <w:r>
        <w:t>a</w:t>
      </w:r>
      <w:r w:rsidRPr="006A46B0">
        <w:t xml:space="preserve">rt </w:t>
      </w:r>
      <w:r>
        <w:t>glass manufacturers could continue to cause elevated and p</w:t>
      </w:r>
      <w:r w:rsidRPr="00E50FBD">
        <w:t xml:space="preserve">ossibly unsafe levels of </w:t>
      </w:r>
      <w:r>
        <w:t>metals in the Portland area.</w:t>
      </w:r>
    </w:p>
    <w:p w14:paraId="2B40EA65" w14:textId="77777777" w:rsidR="0066197F" w:rsidRDefault="00346882" w:rsidP="00F95D0F">
      <w:pPr>
        <w:pStyle w:val="Normal1"/>
        <w:ind w:left="1440"/>
      </w:pPr>
      <w:r>
        <w:t xml:space="preserve">The two larger colored art glass manufacturers have been operating for 36 and 42 years, respectively. </w:t>
      </w:r>
      <w:r w:rsidR="00295A20">
        <w:t>Now that DEQ has verified monitoring and inspection data to show that the facilities have uncontrolled furnace emissions that can significantly increase risk of cancer and other diseases, the emissions must be controlled immediately to prevent any additional health burden to those already exposed and any unacceptable health risk to all people nearby.</w:t>
      </w:r>
    </w:p>
    <w:p w14:paraId="2B40EA66" w14:textId="77777777" w:rsidR="00295A20" w:rsidRDefault="00295A20" w:rsidP="00F95D0F">
      <w:pPr>
        <w:pStyle w:val="Normal1"/>
        <w:ind w:left="1440"/>
        <w:rPr>
          <w:rFonts w:asciiTheme="majorHAnsi" w:hAnsiTheme="majorHAnsi" w:cstheme="majorHAnsi"/>
        </w:rPr>
      </w:pPr>
      <w:r>
        <w:t>DEQ is concerned about all potentially unsafe levels of metals, but in particular</w:t>
      </w:r>
      <w:r w:rsidR="00CD0DE1">
        <w:t xml:space="preserve"> arsenic,</w:t>
      </w:r>
      <w:r>
        <w:t xml:space="preserve"> cadmium and chromium VI. </w:t>
      </w:r>
      <w:r w:rsidR="00CD0DE1">
        <w:t>Arsenic e</w:t>
      </w:r>
      <w:r w:rsidR="00CD0DE1" w:rsidRPr="00CD0DE1">
        <w:t xml:space="preserve">xposure </w:t>
      </w:r>
      <w:r w:rsidR="00CD0DE1">
        <w:t>at</w:t>
      </w:r>
      <w:r w:rsidR="00CD0DE1" w:rsidRPr="00CD0DE1">
        <w:t xml:space="preserve"> high levels over a long period of time may cause developmental del</w:t>
      </w:r>
      <w:r w:rsidR="00CD0DE1">
        <w:t xml:space="preserve">ay </w:t>
      </w:r>
      <w:r w:rsidR="00CD0DE1" w:rsidRPr="00CD0DE1">
        <w:t>in children, but it’s not known for sure</w:t>
      </w:r>
      <w:r w:rsidR="00CD0DE1">
        <w:t xml:space="preserve">. </w:t>
      </w:r>
      <w:r w:rsidR="00CD0DE1" w:rsidRPr="00CD0DE1">
        <w:t xml:space="preserve">Long-term arsenic exposure is </w:t>
      </w:r>
      <w:r w:rsidR="00CD0DE1">
        <w:t xml:space="preserve">also </w:t>
      </w:r>
      <w:r w:rsidR="00CD0DE1" w:rsidRPr="00CD0DE1">
        <w:t xml:space="preserve">linked to skin color changes, nerve damage, skin cancer, and cancers of the lung, bladder, and liver. </w:t>
      </w:r>
      <w:r>
        <w:t xml:space="preserve">Cadmium remains in the body for about 28 years and any additional accumulation can contribute to cancer risk or kidney damage. It is imperative to avoid </w:t>
      </w:r>
      <w:r w:rsidR="00356795">
        <w:t>unacceptable</w:t>
      </w:r>
      <w:r>
        <w:t xml:space="preserve"> exposure to </w:t>
      </w:r>
      <w:r w:rsidR="00356795">
        <w:t xml:space="preserve">arsenic and </w:t>
      </w:r>
      <w:r>
        <w:t>cadmium for children at nearby childcare facilities and schools. Since chromium III heated in furnaces can produce some percentage of chromium VI, and this compound is acutely toxic and carcinogenic, the proposed rules to test for and set up an allowable usage rate of chromium III are immediately necessary to avoid any further public exposure to chromium VI.</w:t>
      </w:r>
    </w:p>
    <w:p w14:paraId="2B40EA67" w14:textId="77777777" w:rsidR="00B60123" w:rsidRDefault="00B60123" w:rsidP="00F95D0F">
      <w:pPr>
        <w:pStyle w:val="Normal1"/>
        <w:ind w:left="1440"/>
      </w:pPr>
      <w:r>
        <w:lastRenderedPageBreak/>
        <w:t>The proposed action is to adopt rules to require c</w:t>
      </w:r>
      <w:r w:rsidRPr="006A46B0">
        <w:t xml:space="preserve">olored </w:t>
      </w:r>
      <w:r>
        <w:t>a</w:t>
      </w:r>
      <w:r w:rsidRPr="006A46B0">
        <w:t xml:space="preserve">rt </w:t>
      </w:r>
      <w:r>
        <w:t>g</w:t>
      </w:r>
      <w:r w:rsidRPr="006A46B0">
        <w:t xml:space="preserve">lass </w:t>
      </w:r>
      <w:r>
        <w:t>manufacturers to install emission control devices on glass-making furnaces. The proposed rules also prohibit using arsenic, cadmium and chromium VI and establish procedures to set levels of allowable chromium III usage that would protect public health. Under the conditions in glass production furnaces, some percentage of chromium III transforms to chromium V</w:t>
      </w:r>
      <w:r w:rsidR="00CD5EB5">
        <w:t>I</w:t>
      </w:r>
      <w:r>
        <w:t>.</w:t>
      </w:r>
    </w:p>
    <w:p w14:paraId="2B40EA68" w14:textId="77777777" w:rsidR="00C348DF" w:rsidRDefault="00C348DF" w:rsidP="00F95D0F">
      <w:pPr>
        <w:pStyle w:val="Normal1"/>
        <w:ind w:left="1440"/>
        <w:rPr>
          <w:rFonts w:asciiTheme="majorHAnsi" w:hAnsiTheme="majorHAnsi" w:cstheme="majorHAnsi"/>
        </w:rPr>
      </w:pPr>
    </w:p>
    <w:p w14:paraId="2B40EA69" w14:textId="77777777" w:rsidR="00B60123" w:rsidRDefault="00B60123" w:rsidP="00F95D0F">
      <w:pPr>
        <w:pStyle w:val="Normal1"/>
        <w:rPr>
          <w:rFonts w:asciiTheme="majorHAnsi" w:hAnsiTheme="majorHAnsi" w:cstheme="majorHAnsi"/>
          <w:b/>
        </w:rPr>
      </w:pPr>
      <w:r>
        <w:rPr>
          <w:rFonts w:asciiTheme="majorHAnsi" w:hAnsiTheme="majorHAnsi" w:cstheme="majorHAnsi"/>
          <w:b/>
        </w:rPr>
        <w:t>Who are the affected parties:</w:t>
      </w:r>
    </w:p>
    <w:p w14:paraId="2B40EA6A" w14:textId="77777777" w:rsidR="00B60123" w:rsidRDefault="00B60123" w:rsidP="00F95D0F">
      <w:pPr>
        <w:pStyle w:val="Normal1"/>
        <w:ind w:left="1440"/>
      </w:pPr>
      <w:r>
        <w:t>The affected parties are the public</w:t>
      </w:r>
      <w:r w:rsidR="00A6328A">
        <w:t xml:space="preserve">, </w:t>
      </w:r>
      <w:r>
        <w:t>c</w:t>
      </w:r>
      <w:r w:rsidRPr="006A46B0">
        <w:t xml:space="preserve">olored </w:t>
      </w:r>
      <w:r>
        <w:t>a</w:t>
      </w:r>
      <w:r w:rsidRPr="006A46B0">
        <w:t xml:space="preserve">rt </w:t>
      </w:r>
      <w:r>
        <w:t>glass manufacturers</w:t>
      </w:r>
      <w:r w:rsidR="00A6328A">
        <w:t xml:space="preserve"> and users of colored glass</w:t>
      </w:r>
      <w:r>
        <w:t>.</w:t>
      </w:r>
      <w:r w:rsidRPr="00E50FBD">
        <w:t xml:space="preserve"> </w:t>
      </w:r>
    </w:p>
    <w:p w14:paraId="2B40EA6B" w14:textId="77777777" w:rsidR="00B60123" w:rsidRDefault="00B60123" w:rsidP="00F95D0F">
      <w:pPr>
        <w:pStyle w:val="Normal1"/>
        <w:ind w:left="1440"/>
      </w:pPr>
      <w:r>
        <w:t xml:space="preserve">The public would suffer the consequences if immediate action was not taken since elevated levels of metals are </w:t>
      </w:r>
      <w:r w:rsidRPr="009C2551">
        <w:t>connected with serious health effects like cancer, respiratory problems and organ damage.</w:t>
      </w:r>
    </w:p>
    <w:p w14:paraId="2B40EA6C" w14:textId="77777777" w:rsidR="00B60123" w:rsidRDefault="00B60123" w:rsidP="00F95D0F">
      <w:pPr>
        <w:pStyle w:val="Normal1"/>
        <w:ind w:left="1440"/>
      </w:pPr>
      <w:r>
        <w:t>C</w:t>
      </w:r>
      <w:r w:rsidRPr="006A46B0">
        <w:t xml:space="preserve">olored </w:t>
      </w:r>
      <w:r>
        <w:t>a</w:t>
      </w:r>
      <w:r w:rsidRPr="006A46B0">
        <w:t>rt</w:t>
      </w:r>
      <w:r>
        <w:t xml:space="preserve"> glass manufacturers will incur expenses to obtain air permits</w:t>
      </w:r>
      <w:r w:rsidR="00B34183">
        <w:t>;</w:t>
      </w:r>
      <w:r>
        <w:t xml:space="preserve"> </w:t>
      </w:r>
      <w:r w:rsidR="00B34183">
        <w:t>report regularly</w:t>
      </w:r>
      <w:r w:rsidR="00356795">
        <w:t>;</w:t>
      </w:r>
      <w:r>
        <w:t xml:space="preserve"> install emission control devices</w:t>
      </w:r>
      <w:r w:rsidR="00356795">
        <w:t>; and to</w:t>
      </w:r>
      <w:r>
        <w:t xml:space="preserve"> test those devices to ensure optimum operation and compliance with standards</w:t>
      </w:r>
      <w:r w:rsidR="00B34183">
        <w:t xml:space="preserve"> or exempt furnaces from control device installation </w:t>
      </w:r>
      <w:r w:rsidR="00346882">
        <w:t>requirements</w:t>
      </w:r>
      <w:r>
        <w:t>.</w:t>
      </w:r>
    </w:p>
    <w:p w14:paraId="2B40EA6D" w14:textId="77777777" w:rsidR="00CD5EB5" w:rsidRDefault="00CD5EB5" w:rsidP="00F95D0F">
      <w:pPr>
        <w:pStyle w:val="Normal1"/>
        <w:ind w:left="1440"/>
      </w:pPr>
    </w:p>
    <w:p w14:paraId="2B40EA6E" w14:textId="77777777" w:rsidR="00B60123" w:rsidRDefault="00295A20" w:rsidP="00F95D0F">
      <w:pPr>
        <w:pStyle w:val="Normal1"/>
        <w:rPr>
          <w:rFonts w:asciiTheme="majorHAnsi" w:hAnsiTheme="majorHAnsi" w:cstheme="majorHAnsi"/>
          <w:b/>
        </w:rPr>
      </w:pPr>
      <w:r>
        <w:rPr>
          <w:rFonts w:asciiTheme="majorHAnsi" w:hAnsiTheme="majorHAnsi" w:cstheme="majorHAnsi"/>
          <w:b/>
        </w:rPr>
        <w:t>How will the temporary rule avoid or mitigate the consequences of not taking immediate action</w:t>
      </w:r>
      <w:r w:rsidR="00B60123">
        <w:rPr>
          <w:rFonts w:asciiTheme="majorHAnsi" w:hAnsiTheme="majorHAnsi" w:cstheme="majorHAnsi"/>
          <w:b/>
        </w:rPr>
        <w:t>:</w:t>
      </w:r>
    </w:p>
    <w:p w14:paraId="2B40EA6F" w14:textId="77777777" w:rsidR="00B60123" w:rsidRDefault="00295A20" w:rsidP="00F95D0F">
      <w:pPr>
        <w:pStyle w:val="Normal1"/>
        <w:ind w:left="1440"/>
      </w:pPr>
      <w:r>
        <w:t>A t</w:t>
      </w:r>
      <w:r w:rsidRPr="00E50FBD">
        <w:t>emporary rule would avoid or mitigate consequences</w:t>
      </w:r>
      <w:r>
        <w:t xml:space="preserve"> by requiring emission control devices on glass-making furnaces to reduce the metal emissions.</w:t>
      </w:r>
    </w:p>
    <w:p w14:paraId="2B40EA70" w14:textId="77777777" w:rsidR="00295A20" w:rsidRPr="00B60123" w:rsidRDefault="00295A20" w:rsidP="00F95D0F">
      <w:pPr>
        <w:pStyle w:val="Normal1"/>
        <w:ind w:left="1440"/>
        <w:rPr>
          <w:rFonts w:asciiTheme="minorHAnsi" w:hAnsiTheme="minorHAnsi" w:cstheme="minorHAnsi"/>
        </w:rPr>
      </w:pPr>
      <w:r>
        <w:t xml:space="preserve">The control devices that the colored art glass manufacturers will install are </w:t>
      </w:r>
      <w:r w:rsidR="00B34183">
        <w:t xml:space="preserve">required </w:t>
      </w:r>
      <w:r>
        <w:t>to have removal efficiencies of 99% or higher. The requirement to install emission control devices would reduce metal emissions to levels that DEQ and the Oregon Health Association believe would be safe for the public.</w:t>
      </w:r>
      <w:r w:rsidR="00B34183">
        <w:t xml:space="preserve"> If smaller manufacturers elect not to install emissions control devices they must demonstrate that the </w:t>
      </w:r>
      <w:r w:rsidR="00346882">
        <w:t>impacts from their furnaces are</w:t>
      </w:r>
      <w:r w:rsidR="00B34183">
        <w:t xml:space="preserve"> below acceptable health based impact levels.</w:t>
      </w:r>
      <w:r>
        <w:t xml:space="preserve"> </w:t>
      </w:r>
      <w:r w:rsidR="00122501">
        <w:t>L</w:t>
      </w:r>
      <w:r w:rsidR="00B34183">
        <w:t xml:space="preserve">arger </w:t>
      </w:r>
      <w:r>
        <w:t>colored art glass manufacturers</w:t>
      </w:r>
      <w:r w:rsidR="00122501">
        <w:t xml:space="preserve"> must</w:t>
      </w:r>
      <w:r>
        <w:t xml:space="preserve"> install emission control devices on glass-making furnaces</w:t>
      </w:r>
      <w:r w:rsidR="00122501">
        <w:t xml:space="preserve"> that use all of the metals regulated by the rule.</w:t>
      </w:r>
      <w:r w:rsidR="00B34183">
        <w:t xml:space="preserve"> </w:t>
      </w:r>
    </w:p>
    <w:p w14:paraId="2B40EA71" w14:textId="77777777" w:rsidR="00343239" w:rsidRPr="00E50FBD" w:rsidRDefault="00343239" w:rsidP="00E50FBD">
      <w:pPr>
        <w:pStyle w:val="Normal1"/>
      </w:pPr>
    </w:p>
    <w:tbl>
      <w:tblPr>
        <w:tblW w:w="12240" w:type="dxa"/>
        <w:tblInd w:w="-702" w:type="dxa"/>
        <w:tblLook w:val="04A0" w:firstRow="1" w:lastRow="0" w:firstColumn="1" w:lastColumn="0" w:noHBand="0" w:noVBand="1"/>
      </w:tblPr>
      <w:tblGrid>
        <w:gridCol w:w="12240"/>
      </w:tblGrid>
      <w:tr w:rsidR="00443859" w:rsidRPr="00B15DF7" w14:paraId="2B40EA74" w14:textId="7777777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72" w14:textId="77777777" w:rsidR="00443859" w:rsidRPr="00E50FBD" w:rsidRDefault="00443859" w:rsidP="00E50FBD">
            <w:pPr>
              <w:pStyle w:val="Normal1"/>
            </w:pPr>
          </w:p>
          <w:p w14:paraId="2B40EA73" w14:textId="77777777" w:rsidR="00443859" w:rsidRPr="00E50FBD" w:rsidRDefault="00443859" w:rsidP="00E50FBD">
            <w:pPr>
              <w:pStyle w:val="Normal1"/>
            </w:pPr>
            <w:r w:rsidRPr="00E50FBD">
              <w:t>Rules affected, authorities, supporting documents</w:t>
            </w:r>
          </w:p>
        </w:tc>
      </w:tr>
    </w:tbl>
    <w:p w14:paraId="2B40EA75" w14:textId="77777777" w:rsidR="00443859" w:rsidRPr="00B15DF7" w:rsidRDefault="00443859" w:rsidP="00E50FBD">
      <w:pPr>
        <w:pStyle w:val="Normal1"/>
      </w:pPr>
    </w:p>
    <w:p w14:paraId="2B40EA76" w14:textId="77777777" w:rsidR="00443859" w:rsidRPr="00E50FBD" w:rsidRDefault="00443859" w:rsidP="00E50FBD">
      <w:pPr>
        <w:pStyle w:val="Normal1"/>
      </w:pPr>
      <w:r w:rsidRPr="00E50FBD">
        <w:t>Lead division</w:t>
      </w:r>
      <w:r w:rsidR="00732869">
        <w:t xml:space="preserve"> - Operations</w:t>
      </w:r>
    </w:p>
    <w:p w14:paraId="2B40EA77" w14:textId="77777777" w:rsidR="002D3FA5" w:rsidRPr="00E50FBD" w:rsidRDefault="002D3FA5" w:rsidP="00E50FBD">
      <w:pPr>
        <w:pStyle w:val="Normal1"/>
      </w:pPr>
    </w:p>
    <w:p w14:paraId="2B40EA78" w14:textId="77777777" w:rsidR="002D3FA5" w:rsidRPr="00E50FBD" w:rsidRDefault="002D3FA5" w:rsidP="00E50FBD">
      <w:pPr>
        <w:pStyle w:val="Normal1"/>
      </w:pPr>
      <w:r w:rsidRPr="00E50FBD">
        <w:t>Program or activity</w:t>
      </w:r>
      <w:r w:rsidR="00732869">
        <w:t xml:space="preserve"> – Program Operations</w:t>
      </w:r>
    </w:p>
    <w:p w14:paraId="2B40EA79" w14:textId="77777777" w:rsidR="00443859" w:rsidRPr="00E50FBD" w:rsidRDefault="00443859" w:rsidP="00E50FBD">
      <w:pPr>
        <w:pStyle w:val="Normal1"/>
      </w:pPr>
    </w:p>
    <w:p w14:paraId="2B40EA7A" w14:textId="77777777" w:rsidR="00816DC0" w:rsidRPr="00E50FBD" w:rsidRDefault="00816DC0" w:rsidP="00E50FBD">
      <w:pPr>
        <w:pStyle w:val="Normal1"/>
      </w:pPr>
      <w:r w:rsidRPr="00E50FBD">
        <w:t>Chapter 340 action</w:t>
      </w:r>
    </w:p>
    <w:p w14:paraId="2B40EA7B" w14:textId="77777777"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816DC0" w14:paraId="2B40EA7E" w14:textId="77777777" w:rsidTr="00CB5349">
        <w:tc>
          <w:tcPr>
            <w:tcW w:w="2610" w:type="dxa"/>
          </w:tcPr>
          <w:p w14:paraId="2B40EA7C" w14:textId="77777777" w:rsidR="00816DC0" w:rsidRPr="00955BCA" w:rsidRDefault="00816DC0" w:rsidP="00E50FBD">
            <w:pPr>
              <w:pStyle w:val="Normal1"/>
              <w:rPr>
                <w:sz w:val="24"/>
                <w:szCs w:val="24"/>
              </w:rPr>
            </w:pPr>
            <w:r w:rsidRPr="00955BCA">
              <w:rPr>
                <w:sz w:val="24"/>
                <w:szCs w:val="24"/>
              </w:rPr>
              <w:t>Adopt</w:t>
            </w:r>
          </w:p>
        </w:tc>
        <w:tc>
          <w:tcPr>
            <w:tcW w:w="6608" w:type="dxa"/>
          </w:tcPr>
          <w:p w14:paraId="2B40EA7D" w14:textId="77777777" w:rsidR="00816DC0" w:rsidRPr="00955BCA" w:rsidRDefault="00732869" w:rsidP="00295A20">
            <w:pPr>
              <w:pStyle w:val="Normal1"/>
              <w:ind w:left="0"/>
              <w:rPr>
                <w:sz w:val="24"/>
                <w:szCs w:val="24"/>
              </w:rPr>
            </w:pPr>
            <w:r w:rsidRPr="00955BCA">
              <w:rPr>
                <w:sz w:val="24"/>
                <w:szCs w:val="24"/>
              </w:rPr>
              <w:t>OAR</w:t>
            </w:r>
            <w:r w:rsidR="00816DC0" w:rsidRPr="00955BCA">
              <w:rPr>
                <w:sz w:val="24"/>
                <w:szCs w:val="24"/>
              </w:rPr>
              <w:t xml:space="preserve"> </w:t>
            </w:r>
            <w:r w:rsidR="009269E1" w:rsidRPr="00955BCA">
              <w:rPr>
                <w:sz w:val="24"/>
                <w:szCs w:val="24"/>
              </w:rPr>
              <w:t>340-244</w:t>
            </w:r>
            <w:r w:rsidRPr="00955BCA">
              <w:rPr>
                <w:sz w:val="24"/>
                <w:szCs w:val="24"/>
              </w:rPr>
              <w:t>-9000,</w:t>
            </w:r>
            <w:r w:rsidRPr="00955BCA">
              <w:rPr>
                <w:rFonts w:asciiTheme="minorHAnsi" w:eastAsiaTheme="minorHAnsi" w:hAnsiTheme="minorHAnsi"/>
                <w:color w:val="auto"/>
                <w:sz w:val="24"/>
                <w:szCs w:val="24"/>
              </w:rPr>
              <w:t xml:space="preserve"> </w:t>
            </w:r>
            <w:r w:rsidRPr="00955BCA">
              <w:rPr>
                <w:sz w:val="24"/>
                <w:szCs w:val="24"/>
              </w:rPr>
              <w:t>340-24</w:t>
            </w:r>
            <w:r w:rsidR="009269E1" w:rsidRPr="00955BCA">
              <w:rPr>
                <w:sz w:val="24"/>
                <w:szCs w:val="24"/>
              </w:rPr>
              <w:t>4</w:t>
            </w:r>
            <w:r w:rsidRPr="00955BCA">
              <w:rPr>
                <w:sz w:val="24"/>
                <w:szCs w:val="24"/>
              </w:rPr>
              <w:t>-9010,</w:t>
            </w:r>
            <w:r w:rsidRPr="00955BCA">
              <w:rPr>
                <w:rFonts w:asciiTheme="minorHAnsi" w:eastAsiaTheme="minorHAnsi" w:hAnsiTheme="minorHAnsi"/>
                <w:color w:val="auto"/>
                <w:sz w:val="24"/>
                <w:szCs w:val="24"/>
              </w:rPr>
              <w:t xml:space="preserve"> </w:t>
            </w:r>
            <w:r w:rsidRPr="00955BCA">
              <w:rPr>
                <w:sz w:val="24"/>
                <w:szCs w:val="24"/>
              </w:rPr>
              <w:t>340-24</w:t>
            </w:r>
            <w:r w:rsidR="009269E1" w:rsidRPr="00955BCA">
              <w:rPr>
                <w:sz w:val="24"/>
                <w:szCs w:val="24"/>
              </w:rPr>
              <w:t>4</w:t>
            </w:r>
            <w:r w:rsidRPr="00955BCA">
              <w:rPr>
                <w:sz w:val="24"/>
                <w:szCs w:val="24"/>
              </w:rPr>
              <w:t>-9020,</w:t>
            </w:r>
            <w:r w:rsidRPr="00955BCA">
              <w:rPr>
                <w:rFonts w:asciiTheme="minorHAnsi" w:eastAsiaTheme="minorHAnsi" w:hAnsiTheme="minorHAnsi"/>
                <w:color w:val="auto"/>
                <w:sz w:val="24"/>
                <w:szCs w:val="24"/>
              </w:rPr>
              <w:t xml:space="preserve"> </w:t>
            </w:r>
            <w:r w:rsidRPr="00955BCA">
              <w:rPr>
                <w:sz w:val="24"/>
                <w:szCs w:val="24"/>
              </w:rPr>
              <w:t>340-24</w:t>
            </w:r>
            <w:r w:rsidR="009269E1" w:rsidRPr="00955BCA">
              <w:rPr>
                <w:sz w:val="24"/>
                <w:szCs w:val="24"/>
              </w:rPr>
              <w:t>4</w:t>
            </w:r>
            <w:r w:rsidRPr="00955BCA">
              <w:rPr>
                <w:sz w:val="24"/>
                <w:szCs w:val="24"/>
              </w:rPr>
              <w:t>-9030,</w:t>
            </w:r>
            <w:r w:rsidRPr="00955BCA">
              <w:rPr>
                <w:rFonts w:asciiTheme="minorHAnsi" w:eastAsiaTheme="minorHAnsi" w:hAnsiTheme="minorHAnsi"/>
                <w:color w:val="auto"/>
                <w:sz w:val="24"/>
                <w:szCs w:val="24"/>
              </w:rPr>
              <w:t xml:space="preserve"> </w:t>
            </w:r>
            <w:r w:rsidRPr="00955BCA">
              <w:rPr>
                <w:sz w:val="24"/>
                <w:szCs w:val="24"/>
              </w:rPr>
              <w:t>340-24</w:t>
            </w:r>
            <w:r w:rsidR="009269E1" w:rsidRPr="00955BCA">
              <w:rPr>
                <w:sz w:val="24"/>
                <w:szCs w:val="24"/>
              </w:rPr>
              <w:t>4</w:t>
            </w:r>
            <w:r w:rsidRPr="00955BCA">
              <w:rPr>
                <w:sz w:val="24"/>
                <w:szCs w:val="24"/>
              </w:rPr>
              <w:t>-9040</w:t>
            </w:r>
            <w:r w:rsidR="009269E1" w:rsidRPr="00955BCA">
              <w:rPr>
                <w:sz w:val="24"/>
                <w:szCs w:val="24"/>
              </w:rPr>
              <w:t>, 340-244-9050</w:t>
            </w:r>
            <w:r w:rsidR="00A6328A" w:rsidRPr="00955BCA">
              <w:rPr>
                <w:sz w:val="24"/>
                <w:szCs w:val="24"/>
              </w:rPr>
              <w:t>, 340-244-9060,</w:t>
            </w:r>
            <w:r w:rsidR="00A6328A" w:rsidRPr="00955BCA">
              <w:rPr>
                <w:rFonts w:asciiTheme="minorHAnsi" w:eastAsiaTheme="minorHAnsi" w:hAnsiTheme="minorHAnsi"/>
                <w:color w:val="auto"/>
                <w:sz w:val="24"/>
                <w:szCs w:val="24"/>
              </w:rPr>
              <w:t xml:space="preserve"> </w:t>
            </w:r>
            <w:r w:rsidR="00A6328A" w:rsidRPr="00955BCA">
              <w:rPr>
                <w:sz w:val="24"/>
                <w:szCs w:val="24"/>
              </w:rPr>
              <w:t>340-244-9070,</w:t>
            </w:r>
            <w:r w:rsidR="00A6328A" w:rsidRPr="00955BCA">
              <w:rPr>
                <w:rFonts w:asciiTheme="minorHAnsi" w:eastAsiaTheme="minorHAnsi" w:hAnsiTheme="minorHAnsi"/>
                <w:color w:val="auto"/>
                <w:sz w:val="24"/>
                <w:szCs w:val="24"/>
              </w:rPr>
              <w:t xml:space="preserve"> </w:t>
            </w:r>
            <w:r w:rsidR="00A6328A" w:rsidRPr="00955BCA">
              <w:rPr>
                <w:sz w:val="24"/>
                <w:szCs w:val="24"/>
              </w:rPr>
              <w:t>340-244-9080,</w:t>
            </w:r>
            <w:r w:rsidR="00A6328A" w:rsidRPr="00955BCA">
              <w:rPr>
                <w:rFonts w:asciiTheme="minorHAnsi" w:eastAsiaTheme="minorHAnsi" w:hAnsiTheme="minorHAnsi"/>
                <w:color w:val="auto"/>
                <w:sz w:val="24"/>
                <w:szCs w:val="24"/>
              </w:rPr>
              <w:t xml:space="preserve"> </w:t>
            </w:r>
            <w:r w:rsidR="00A6328A" w:rsidRPr="00955BCA">
              <w:rPr>
                <w:sz w:val="24"/>
                <w:szCs w:val="24"/>
              </w:rPr>
              <w:t>340-244-9090</w:t>
            </w:r>
          </w:p>
        </w:tc>
      </w:tr>
      <w:tr w:rsidR="00816DC0" w14:paraId="2B40EA81" w14:textId="77777777" w:rsidTr="00CB5349">
        <w:tc>
          <w:tcPr>
            <w:tcW w:w="2610" w:type="dxa"/>
          </w:tcPr>
          <w:p w14:paraId="2B40EA7F" w14:textId="77777777" w:rsidR="00816DC0" w:rsidRPr="00955BCA" w:rsidRDefault="00816DC0" w:rsidP="00E50FBD">
            <w:pPr>
              <w:pStyle w:val="Normal1"/>
              <w:rPr>
                <w:sz w:val="24"/>
                <w:szCs w:val="24"/>
              </w:rPr>
            </w:pPr>
            <w:r w:rsidRPr="00955BCA">
              <w:rPr>
                <w:sz w:val="24"/>
                <w:szCs w:val="24"/>
              </w:rPr>
              <w:lastRenderedPageBreak/>
              <w:t>Amend</w:t>
            </w:r>
          </w:p>
        </w:tc>
        <w:tc>
          <w:tcPr>
            <w:tcW w:w="6608" w:type="dxa"/>
          </w:tcPr>
          <w:p w14:paraId="2B40EA80" w14:textId="77777777" w:rsidR="00816DC0" w:rsidRPr="00955BCA" w:rsidRDefault="00C63639" w:rsidP="00295A20">
            <w:pPr>
              <w:pStyle w:val="Normal1"/>
              <w:ind w:left="0"/>
              <w:rPr>
                <w:sz w:val="24"/>
                <w:szCs w:val="24"/>
              </w:rPr>
            </w:pPr>
            <w:r w:rsidRPr="00955BCA">
              <w:rPr>
                <w:sz w:val="24"/>
                <w:szCs w:val="24"/>
              </w:rPr>
              <w:t>OAR</w:t>
            </w:r>
            <w:r w:rsidR="003F16D1" w:rsidRPr="00955BCA">
              <w:rPr>
                <w:sz w:val="24"/>
                <w:szCs w:val="24"/>
              </w:rPr>
              <w:t xml:space="preserve"> 340-244-001</w:t>
            </w:r>
            <w:r w:rsidR="00816DC0" w:rsidRPr="00955BCA">
              <w:rPr>
                <w:sz w:val="24"/>
                <w:szCs w:val="24"/>
              </w:rPr>
              <w:t>0</w:t>
            </w:r>
          </w:p>
        </w:tc>
      </w:tr>
    </w:tbl>
    <w:p w14:paraId="2B40EA82" w14:textId="77777777" w:rsidR="00443859" w:rsidRPr="00E50FBD" w:rsidRDefault="00443859" w:rsidP="00E50FBD">
      <w:pPr>
        <w:pStyle w:val="Normal1"/>
      </w:pPr>
    </w:p>
    <w:p w14:paraId="2B40EA83" w14:textId="77777777"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14:paraId="2B40EA84" w14:textId="77777777"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14:paraId="2B40EA85" w14:textId="77777777" w:rsidR="00882643" w:rsidRDefault="00443859" w:rsidP="00E50FBD">
      <w:pPr>
        <w:pStyle w:val="Normal1"/>
      </w:pPr>
      <w:bookmarkStart w:id="1" w:name="SupportingDocuments"/>
      <w:r w:rsidRPr="00E50FBD">
        <w:t xml:space="preserve">Documents relied on for </w:t>
      </w:r>
      <w:bookmarkEnd w:id="1"/>
      <w:r w:rsidR="00346882" w:rsidRPr="00E50FBD">
        <w:t xml:space="preserve">rulemaking </w:t>
      </w:r>
      <w:r w:rsidR="00346882">
        <w:t>-</w:t>
      </w:r>
      <w:r w:rsidR="00CD52D2">
        <w:t xml:space="preserve"> None </w:t>
      </w:r>
    </w:p>
    <w:p w14:paraId="2B40EA86" w14:textId="77777777" w:rsidR="00053D00" w:rsidRPr="00E50FBD" w:rsidRDefault="00053D00" w:rsidP="00E50FBD">
      <w:pPr>
        <w:pStyle w:val="Normal1"/>
      </w:pPr>
    </w:p>
    <w:tbl>
      <w:tblPr>
        <w:tblW w:w="12240" w:type="dxa"/>
        <w:tblInd w:w="-702" w:type="dxa"/>
        <w:tblLook w:val="04A0" w:firstRow="1" w:lastRow="0" w:firstColumn="1" w:lastColumn="0" w:noHBand="0" w:noVBand="1"/>
      </w:tblPr>
      <w:tblGrid>
        <w:gridCol w:w="12240"/>
      </w:tblGrid>
      <w:tr w:rsidR="00CB5110" w:rsidRPr="0085122C" w14:paraId="2B40EA89" w14:textId="77777777"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87" w14:textId="77777777" w:rsidR="00CB5110" w:rsidRPr="00E50FBD" w:rsidRDefault="00CB5110" w:rsidP="00E50FBD">
            <w:pPr>
              <w:pStyle w:val="Normal1"/>
            </w:pPr>
            <w:bookmarkStart w:id="2" w:name="RequestForOtherOptions"/>
          </w:p>
          <w:p w14:paraId="2B40EA88" w14:textId="77777777" w:rsidR="00CB5110" w:rsidRPr="00E50FBD" w:rsidRDefault="00CB5110" w:rsidP="00E50FBD">
            <w:pPr>
              <w:pStyle w:val="Normal1"/>
            </w:pPr>
            <w:r w:rsidRPr="00E50FBD">
              <w:t xml:space="preserve">Housing costs - </w:t>
            </w:r>
            <w:hyperlink r:id="rId12" w:history="1">
              <w:r w:rsidRPr="00E50FBD">
                <w:t>ORS 183.534</w:t>
              </w:r>
            </w:hyperlink>
          </w:p>
        </w:tc>
      </w:tr>
    </w:tbl>
    <w:p w14:paraId="2B40EA8A" w14:textId="77777777" w:rsidR="00594411" w:rsidRDefault="00594411" w:rsidP="00E50FBD">
      <w:pPr>
        <w:pStyle w:val="Normal1"/>
      </w:pPr>
    </w:p>
    <w:p w14:paraId="2B40EA8B" w14:textId="77777777" w:rsidR="00594411" w:rsidRPr="00594411" w:rsidRDefault="00594411" w:rsidP="00594411">
      <w:pPr>
        <w:pStyle w:val="Normal1"/>
        <w:rPr>
          <w:bCs/>
          <w:vanish/>
        </w:rPr>
      </w:pPr>
      <w:r w:rsidRPr="00594411">
        <w:rPr>
          <w:bCs/>
          <w:vanish/>
        </w:rPr>
        <w:t>OPTION 1 – impact</w:t>
      </w:r>
    </w:p>
    <w:p w14:paraId="2B40EA8C" w14:textId="77777777" w:rsid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14:paraId="2B40EA8D" w14:textId="77777777" w:rsidR="00CB5110" w:rsidRPr="00E50FBD" w:rsidRDefault="00CB5110" w:rsidP="00E50FBD">
      <w:pPr>
        <w:pStyle w:val="Normal1"/>
      </w:pPr>
    </w:p>
    <w:bookmarkEnd w:id="2"/>
    <w:tbl>
      <w:tblPr>
        <w:tblW w:w="12240" w:type="dxa"/>
        <w:tblInd w:w="-702" w:type="dxa"/>
        <w:tblLook w:val="04A0" w:firstRow="1" w:lastRow="0" w:firstColumn="1" w:lastColumn="0" w:noHBand="0" w:noVBand="1"/>
      </w:tblPr>
      <w:tblGrid>
        <w:gridCol w:w="12240"/>
      </w:tblGrid>
      <w:tr w:rsidR="00677251" w:rsidRPr="00B15DF7" w14:paraId="2B40EA90"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2B40EA8E" w14:textId="77777777" w:rsidR="00677251" w:rsidRPr="00E50FBD" w:rsidRDefault="00882643" w:rsidP="00E50FBD">
            <w:pPr>
              <w:pStyle w:val="Normal1"/>
            </w:pPr>
            <w:r w:rsidRPr="00E50FBD">
              <w:br w:type="page"/>
            </w:r>
          </w:p>
          <w:p w14:paraId="2B40EA8F" w14:textId="77777777" w:rsidR="00677251" w:rsidRPr="00E50FBD" w:rsidRDefault="00677251" w:rsidP="00E50FBD">
            <w:pPr>
              <w:pStyle w:val="Normal1"/>
            </w:pPr>
            <w:r w:rsidRPr="00E50FBD">
              <w:t xml:space="preserve">EQC Prior Involvement  </w:t>
            </w:r>
          </w:p>
        </w:tc>
      </w:tr>
    </w:tbl>
    <w:p w14:paraId="2B40EA91" w14:textId="77777777" w:rsidR="00295A20" w:rsidRDefault="00295A20" w:rsidP="00E036C1">
      <w:pPr>
        <w:pStyle w:val="Normal1"/>
      </w:pPr>
    </w:p>
    <w:p w14:paraId="2B40EA92" w14:textId="77777777" w:rsidR="00A74227" w:rsidRDefault="00732869" w:rsidP="00E036C1">
      <w:pPr>
        <w:pStyle w:val="Normal1"/>
      </w:pPr>
      <w:r>
        <w:t xml:space="preserve">There has been no prior EQC involvement because this is a temporary rule.  </w:t>
      </w:r>
    </w:p>
    <w:p w14:paraId="2B40EA93" w14:textId="77777777" w:rsidR="0086143C" w:rsidRPr="0086143C" w:rsidRDefault="0086143C" w:rsidP="0086143C">
      <w:pPr>
        <w:pStyle w:val="Normal1"/>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6143C" w:rsidRPr="0086143C" w14:paraId="2B40EA96" w14:textId="77777777" w:rsidTr="00955BCA">
        <w:trPr>
          <w:trHeight w:val="571"/>
        </w:trPr>
        <w:tc>
          <w:tcPr>
            <w:tcW w:w="12240" w:type="dxa"/>
            <w:shd w:val="clear" w:color="auto" w:fill="E2DDDB" w:themeFill="text2" w:themeFillTint="33"/>
            <w:noWrap/>
            <w:vAlign w:val="bottom"/>
            <w:hideMark/>
          </w:tcPr>
          <w:p w14:paraId="2B40EA94" w14:textId="77777777" w:rsidR="0086143C" w:rsidRDefault="0086143C" w:rsidP="0086143C">
            <w:pPr>
              <w:pStyle w:val="Normal1"/>
              <w:ind w:left="1440"/>
              <w:rPr>
                <w:b/>
                <w:bCs/>
                <w:lang w:bidi="en-US"/>
              </w:rPr>
            </w:pPr>
          </w:p>
          <w:p w14:paraId="2B40EA95" w14:textId="77777777" w:rsidR="009D7305" w:rsidRPr="009D7305" w:rsidRDefault="009D7305" w:rsidP="009D7305">
            <w:pPr>
              <w:pStyle w:val="Normal1"/>
            </w:pPr>
            <w:r w:rsidRPr="009D7305">
              <w:t>Stakeholder and public involvement</w:t>
            </w:r>
          </w:p>
        </w:tc>
      </w:tr>
    </w:tbl>
    <w:p w14:paraId="2B40EA97" w14:textId="77777777" w:rsidR="0086143C" w:rsidRDefault="0086143C" w:rsidP="0086143C">
      <w:pPr>
        <w:pStyle w:val="Normal1"/>
      </w:pPr>
    </w:p>
    <w:p w14:paraId="2B40EA98" w14:textId="77777777" w:rsidR="0086143C" w:rsidRDefault="0086143C" w:rsidP="0086143C">
      <w:pPr>
        <w:pStyle w:val="Normal1"/>
      </w:pPr>
      <w:r>
        <w:t xml:space="preserve">At the March 15, 2016 meeting, the EQC granted the public request for two weeks to review the proposed temporary rule. </w:t>
      </w:r>
      <w:r w:rsidRPr="0086143C">
        <w:rPr>
          <w:bCs/>
          <w:vanish/>
        </w:rPr>
        <w:t>Enter committee name here</w:t>
      </w:r>
      <w:r>
        <w:t xml:space="preserve">The comment period ended on March 30, 2016 at 5 p.m.  DEQ received approximately 1200 comments, about 520 from Oregonians and about 670 from people around the United States and the world.  </w:t>
      </w:r>
    </w:p>
    <w:p w14:paraId="2B40EA99" w14:textId="77777777" w:rsidR="0086143C" w:rsidRPr="0086143C" w:rsidRDefault="0086143C" w:rsidP="0086143C">
      <w:pPr>
        <w:pStyle w:val="Normal1"/>
      </w:pPr>
    </w:p>
    <w:tbl>
      <w:tblPr>
        <w:tblW w:w="12240" w:type="dxa"/>
        <w:tblInd w:w="-702" w:type="dxa"/>
        <w:tblLook w:val="04A0" w:firstRow="1" w:lastRow="0" w:firstColumn="1" w:lastColumn="0" w:noHBand="0" w:noVBand="1"/>
      </w:tblPr>
      <w:tblGrid>
        <w:gridCol w:w="12240"/>
      </w:tblGrid>
      <w:tr w:rsidR="0086143C" w:rsidRPr="0086143C" w14:paraId="2B40EA9C" w14:textId="77777777" w:rsidTr="00955BCA">
        <w:trPr>
          <w:trHeight w:val="600"/>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9A" w14:textId="77777777" w:rsidR="0086143C" w:rsidRDefault="0086143C" w:rsidP="0086143C">
            <w:pPr>
              <w:pStyle w:val="Normal1"/>
              <w:ind w:left="1440"/>
              <w:rPr>
                <w:b/>
                <w:bCs/>
                <w:lang w:bidi="en-US"/>
              </w:rPr>
            </w:pPr>
          </w:p>
          <w:p w14:paraId="2B40EA9B" w14:textId="77777777" w:rsidR="009D7305" w:rsidRPr="009D7305" w:rsidRDefault="009D7305" w:rsidP="009D7305">
            <w:pPr>
              <w:pStyle w:val="Normal1"/>
            </w:pPr>
            <w:r w:rsidRPr="009D7305">
              <w:t>Summary of comments and DEQ responses</w:t>
            </w:r>
          </w:p>
        </w:tc>
      </w:tr>
    </w:tbl>
    <w:p w14:paraId="2B40EAA2" w14:textId="77777777" w:rsidR="0086143C" w:rsidRDefault="0086143C" w:rsidP="0086143C">
      <w:pPr>
        <w:pStyle w:val="Normal1"/>
      </w:pPr>
    </w:p>
    <w:p w14:paraId="2B40EAA3" w14:textId="5F5BEC20" w:rsidR="0086143C" w:rsidRPr="0086143C" w:rsidRDefault="00955BCA" w:rsidP="0086143C">
      <w:pPr>
        <w:pStyle w:val="Normal1"/>
      </w:pPr>
      <w:r>
        <w:t xml:space="preserve">DEQ accepted public comments on the proposed rules. DEQ summarized the comments and created a general summary response to the comments. Those summaries and responses are included in a separate document titled “Summary of Comments and DEQ Summary Responses.” </w:t>
      </w:r>
    </w:p>
    <w:p w14:paraId="2B40EAA4" w14:textId="77777777" w:rsidR="00295A20" w:rsidRDefault="00295A20" w:rsidP="00E036C1">
      <w:pPr>
        <w:pStyle w:val="Normal1"/>
      </w:pPr>
    </w:p>
    <w:tbl>
      <w:tblPr>
        <w:tblW w:w="12240" w:type="dxa"/>
        <w:tblInd w:w="-702" w:type="dxa"/>
        <w:tblLook w:val="04A0" w:firstRow="1" w:lastRow="0" w:firstColumn="1" w:lastColumn="0" w:noHBand="0" w:noVBand="1"/>
      </w:tblPr>
      <w:tblGrid>
        <w:gridCol w:w="12240"/>
      </w:tblGrid>
      <w:tr w:rsidR="00D454A6" w:rsidRPr="00B15DF7" w14:paraId="2B40EAA7"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2B40EAA5" w14:textId="77777777" w:rsidR="00D454A6" w:rsidRPr="00E50FBD" w:rsidRDefault="00D454A6" w:rsidP="00E50FBD">
            <w:pPr>
              <w:pStyle w:val="Normal1"/>
            </w:pPr>
          </w:p>
          <w:p w14:paraId="2B40EAA6" w14:textId="77777777" w:rsidR="00D454A6" w:rsidRPr="00E50FBD" w:rsidRDefault="00D454A6" w:rsidP="00E50FBD">
            <w:pPr>
              <w:pStyle w:val="Normal1"/>
            </w:pPr>
            <w:r w:rsidRPr="00E50FBD">
              <w:tab/>
              <w:t xml:space="preserve">Implementation </w:t>
            </w:r>
          </w:p>
        </w:tc>
      </w:tr>
    </w:tbl>
    <w:p w14:paraId="2B40EAA8" w14:textId="77777777" w:rsidR="00D454A6" w:rsidRPr="00E50FBD" w:rsidRDefault="00D454A6" w:rsidP="00E50FBD">
      <w:pPr>
        <w:pStyle w:val="Normal1"/>
      </w:pPr>
      <w:r w:rsidRPr="00E50FBD">
        <w:t>  </w:t>
      </w:r>
    </w:p>
    <w:p w14:paraId="2B40EAA9" w14:textId="77777777" w:rsidR="00D454A6" w:rsidRPr="00295A20" w:rsidRDefault="00D454A6" w:rsidP="00E50FBD">
      <w:pPr>
        <w:pStyle w:val="Normal1"/>
        <w:rPr>
          <w:b/>
        </w:rPr>
      </w:pPr>
      <w:r w:rsidRPr="00295A20">
        <w:rPr>
          <w:b/>
        </w:rPr>
        <w:t>Notification</w:t>
      </w:r>
    </w:p>
    <w:p w14:paraId="2B40EAAA" w14:textId="77777777" w:rsidR="00AE6AC6" w:rsidRPr="00E50FBD" w:rsidRDefault="00450200" w:rsidP="00E50FBD">
      <w:pPr>
        <w:pStyle w:val="Normal1"/>
      </w:pPr>
      <w:r w:rsidRPr="00450200">
        <w:t xml:space="preserve">If approved, the proposed rules would become effective upon filing with Secretary of State, approximately </w:t>
      </w:r>
      <w:r w:rsidR="00CF4361">
        <w:t>April 22</w:t>
      </w:r>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14:paraId="2B40EAAB" w14:textId="77777777" w:rsidR="00D454A6" w:rsidRPr="00295A20" w:rsidRDefault="00D454A6" w:rsidP="00E50FBD">
      <w:pPr>
        <w:pStyle w:val="Normal1"/>
        <w:rPr>
          <w:b/>
        </w:rPr>
      </w:pPr>
      <w:r w:rsidRPr="00295A20">
        <w:rPr>
          <w:b/>
        </w:rPr>
        <w:t>Compliance and enforcement</w:t>
      </w:r>
    </w:p>
    <w:p w14:paraId="2B40EAAC" w14:textId="77777777"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14:paraId="2B40EAAD" w14:textId="77777777" w:rsidR="00D454A6" w:rsidRPr="00E50FBD" w:rsidRDefault="00D454A6" w:rsidP="00E50FBD">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14:paraId="2B40EAAE" w14:textId="77777777" w:rsidR="00D454A6" w:rsidRPr="00E50FBD" w:rsidRDefault="00D454A6" w:rsidP="00E50FBD">
      <w:pPr>
        <w:pStyle w:val="Normal1"/>
      </w:pPr>
      <w:r w:rsidRPr="00E50FBD">
        <w:t>Measuring, sampling, monitoring and reporting</w:t>
      </w:r>
    </w:p>
    <w:p w14:paraId="2B40EAAF" w14:textId="77777777"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w:t>
      </w:r>
      <w:r w:rsidR="0066197F">
        <w:t>Affected parties must report each week t</w:t>
      </w:r>
      <w:r w:rsidR="002A469B">
        <w:t xml:space="preserve">he </w:t>
      </w:r>
      <w:r w:rsidR="002A469B" w:rsidRPr="002A469B">
        <w:t>records</w:t>
      </w:r>
      <w:r w:rsidR="002A469B">
        <w:t xml:space="preserve"> of</w:t>
      </w:r>
      <w:r w:rsidR="002A469B" w:rsidRPr="002A469B">
        <w:t xml:space="preserve"> the daily amount of arsenic, beryllium, cadmium, chromium III, chromium VI, cobalt, lead, manganese, nickel, and selenium used </w:t>
      </w:r>
      <w:r w:rsidR="002A469B">
        <w:t>in</w:t>
      </w:r>
      <w:r w:rsidR="002A469B" w:rsidRPr="002A469B">
        <w:t xml:space="preserve"> all batches produced.</w:t>
      </w:r>
    </w:p>
    <w:p w14:paraId="2B40EAB0" w14:textId="77777777"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14:paraId="2B40EAB1" w14:textId="77777777" w:rsidR="00D454A6" w:rsidRPr="00295A20" w:rsidRDefault="00D454A6" w:rsidP="00E50FBD">
      <w:pPr>
        <w:pStyle w:val="Normal1"/>
        <w:rPr>
          <w:b/>
        </w:rPr>
      </w:pPr>
      <w:r w:rsidRPr="00295A20">
        <w:rPr>
          <w:b/>
        </w:rPr>
        <w:t>Systems</w:t>
      </w:r>
    </w:p>
    <w:p w14:paraId="2B40EAB2" w14:textId="77777777" w:rsidR="006E122B" w:rsidRPr="006E122B" w:rsidRDefault="00D454A6" w:rsidP="006E122B">
      <w:pPr>
        <w:pStyle w:val="Normal1"/>
      </w:pPr>
      <w:r w:rsidRPr="00E50FBD">
        <w:t xml:space="preserve">Website - </w:t>
      </w:r>
      <w:r w:rsidR="006E122B" w:rsidRPr="006E122B">
        <w:rPr>
          <w:bCs/>
          <w:iCs/>
        </w:rPr>
        <w:t xml:space="preserve">If </w:t>
      </w:r>
      <w:r w:rsidR="0066197F">
        <w:rPr>
          <w:bCs/>
          <w:iCs/>
        </w:rPr>
        <w:t>EQC approves the proposed rules</w:t>
      </w:r>
      <w:r w:rsidR="006E122B" w:rsidRPr="006E122B">
        <w:rPr>
          <w:bCs/>
          <w:iCs/>
        </w:rPr>
        <w:t xml:space="preserve">, </w:t>
      </w:r>
      <w:r w:rsidR="006E122B" w:rsidRPr="006E122B">
        <w:t xml:space="preserve">DEQ’s headquarters office would update its website with </w:t>
      </w:r>
      <w:r w:rsidR="006E122B">
        <w:t>information about the proposed rules</w:t>
      </w:r>
      <w:r w:rsidR="006E122B" w:rsidRPr="006E122B">
        <w:t>.</w:t>
      </w:r>
    </w:p>
    <w:p w14:paraId="2B40EAB3" w14:textId="77777777"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14:paraId="2B40EAB4" w14:textId="77777777" w:rsidR="00D454A6" w:rsidRPr="00295A20" w:rsidRDefault="00D454A6" w:rsidP="00E50FBD">
      <w:pPr>
        <w:pStyle w:val="Normal1"/>
        <w:rPr>
          <w:b/>
        </w:rPr>
      </w:pPr>
      <w:r w:rsidRPr="00295A20">
        <w:rPr>
          <w:b/>
        </w:rPr>
        <w:t>Training</w:t>
      </w:r>
    </w:p>
    <w:p w14:paraId="2B40EAB5" w14:textId="77777777" w:rsidR="006E122B" w:rsidRDefault="00D454A6" w:rsidP="006E122B">
      <w:pPr>
        <w:pStyle w:val="Normal1"/>
        <w:rPr>
          <w:bCs/>
          <w:iCs/>
        </w:rPr>
      </w:pPr>
      <w:r w:rsidRPr="00E50FBD">
        <w:t xml:space="preserve">Affected parties - </w:t>
      </w:r>
      <w:r w:rsidR="006E122B" w:rsidRPr="006E122B">
        <w:rPr>
          <w:bCs/>
          <w:iCs/>
        </w:rPr>
        <w:t xml:space="preserve">If </w:t>
      </w:r>
      <w:r w:rsidR="0066197F">
        <w:rPr>
          <w:bCs/>
          <w:iCs/>
        </w:rPr>
        <w:t xml:space="preserve">EQC approves </w:t>
      </w:r>
      <w:r w:rsidR="006E122B" w:rsidRPr="006E122B">
        <w:rPr>
          <w:bCs/>
          <w:iCs/>
        </w:rPr>
        <w:t xml:space="preserve">the proposed rules, DEQ plans to </w:t>
      </w:r>
      <w:r w:rsidR="006E122B">
        <w:rPr>
          <w:bCs/>
          <w:iCs/>
        </w:rPr>
        <w:t xml:space="preserve">contact </w:t>
      </w:r>
      <w:r w:rsidR="006E122B" w:rsidRPr="006E122B">
        <w:rPr>
          <w:bCs/>
          <w:iCs/>
        </w:rPr>
        <w:t xml:space="preserve">affected facilities to explain the rule changes. </w:t>
      </w:r>
    </w:p>
    <w:p w14:paraId="2B40EAB6" w14:textId="77777777" w:rsidR="00D454A6" w:rsidRPr="00E50FBD"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sectPr w:rsidR="00D454A6" w:rsidRPr="00E50FBD" w:rsidSect="00790FEF">
      <w:footerReference w:type="default" r:id="rId13"/>
      <w:pgSz w:w="12240" w:h="15840"/>
      <w:pgMar w:top="1080" w:right="90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0EABD" w14:textId="77777777" w:rsidR="00122501" w:rsidRDefault="00122501" w:rsidP="00324CB5">
      <w:r>
        <w:separator/>
      </w:r>
    </w:p>
  </w:endnote>
  <w:endnote w:type="continuationSeparator" w:id="0">
    <w:p w14:paraId="2B40EABE" w14:textId="77777777" w:rsidR="00122501" w:rsidRDefault="00122501" w:rsidP="00324CB5">
      <w:r>
        <w:continuationSeparator/>
      </w:r>
    </w:p>
  </w:endnote>
  <w:endnote w:type="continuationNotice" w:id="1">
    <w:p w14:paraId="2B40EABF" w14:textId="77777777" w:rsidR="00122501" w:rsidRDefault="00122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28688"/>
      <w:docPartObj>
        <w:docPartGallery w:val="Page Numbers (Bottom of Page)"/>
        <w:docPartUnique/>
      </w:docPartObj>
    </w:sdtPr>
    <w:sdtEndPr/>
    <w:sdtContent>
      <w:p w14:paraId="2B40EAC0" w14:textId="77777777" w:rsidR="00122501" w:rsidRDefault="00122501">
        <w:pPr>
          <w:pStyle w:val="Footer"/>
          <w:jc w:val="right"/>
        </w:pPr>
        <w:r>
          <w:fldChar w:fldCharType="begin"/>
        </w:r>
        <w:r>
          <w:instrText xml:space="preserve"> PAGE   \* MERGEFORMAT </w:instrText>
        </w:r>
        <w:r>
          <w:fldChar w:fldCharType="separate"/>
        </w:r>
        <w:r w:rsidR="00073D9F">
          <w:rPr>
            <w:noProof/>
          </w:rPr>
          <w:t>1</w:t>
        </w:r>
        <w:r>
          <w:rPr>
            <w:noProof/>
          </w:rPr>
          <w:fldChar w:fldCharType="end"/>
        </w:r>
      </w:p>
    </w:sdtContent>
  </w:sdt>
  <w:p w14:paraId="2B40EAC1" w14:textId="77777777" w:rsidR="00122501" w:rsidRDefault="00122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0EABA" w14:textId="77777777" w:rsidR="00122501" w:rsidRDefault="00122501" w:rsidP="00324CB5">
      <w:r>
        <w:separator/>
      </w:r>
    </w:p>
  </w:footnote>
  <w:footnote w:type="continuationSeparator" w:id="0">
    <w:p w14:paraId="2B40EABB" w14:textId="77777777" w:rsidR="00122501" w:rsidRDefault="00122501" w:rsidP="00324CB5">
      <w:r>
        <w:continuationSeparator/>
      </w:r>
    </w:p>
  </w:footnote>
  <w:footnote w:type="continuationNotice" w:id="1">
    <w:p w14:paraId="2B40EABC" w14:textId="77777777" w:rsidR="00122501" w:rsidRDefault="001225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15:restartNumberingAfterBreak="0">
    <w:nsid w:val="136F414D"/>
    <w:multiLevelType w:val="hybridMultilevel"/>
    <w:tmpl w:val="12326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9" w15:restartNumberingAfterBreak="0">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2" w15:restartNumberingAfterBreak="0">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34"/>
  </w:num>
  <w:num w:numId="4">
    <w:abstractNumId w:val="15"/>
  </w:num>
  <w:num w:numId="5">
    <w:abstractNumId w:val="9"/>
  </w:num>
  <w:num w:numId="6">
    <w:abstractNumId w:val="39"/>
  </w:num>
  <w:num w:numId="7">
    <w:abstractNumId w:val="4"/>
  </w:num>
  <w:num w:numId="8">
    <w:abstractNumId w:val="44"/>
  </w:num>
  <w:num w:numId="9">
    <w:abstractNumId w:val="23"/>
  </w:num>
  <w:num w:numId="10">
    <w:abstractNumId w:val="5"/>
  </w:num>
  <w:num w:numId="11">
    <w:abstractNumId w:val="42"/>
  </w:num>
  <w:num w:numId="12">
    <w:abstractNumId w:val="1"/>
  </w:num>
  <w:num w:numId="13">
    <w:abstractNumId w:val="26"/>
  </w:num>
  <w:num w:numId="14">
    <w:abstractNumId w:val="19"/>
  </w:num>
  <w:num w:numId="15">
    <w:abstractNumId w:val="16"/>
  </w:num>
  <w:num w:numId="16">
    <w:abstractNumId w:val="25"/>
  </w:num>
  <w:num w:numId="17">
    <w:abstractNumId w:val="11"/>
  </w:num>
  <w:num w:numId="18">
    <w:abstractNumId w:val="33"/>
  </w:num>
  <w:num w:numId="19">
    <w:abstractNumId w:val="31"/>
  </w:num>
  <w:num w:numId="20">
    <w:abstractNumId w:val="45"/>
  </w:num>
  <w:num w:numId="21">
    <w:abstractNumId w:val="24"/>
  </w:num>
  <w:num w:numId="22">
    <w:abstractNumId w:val="38"/>
  </w:num>
  <w:num w:numId="23">
    <w:abstractNumId w:val="43"/>
  </w:num>
  <w:num w:numId="24">
    <w:abstractNumId w:val="40"/>
  </w:num>
  <w:num w:numId="25">
    <w:abstractNumId w:val="20"/>
  </w:num>
  <w:num w:numId="26">
    <w:abstractNumId w:val="13"/>
  </w:num>
  <w:num w:numId="27">
    <w:abstractNumId w:val="6"/>
  </w:num>
  <w:num w:numId="28">
    <w:abstractNumId w:val="18"/>
  </w:num>
  <w:num w:numId="29">
    <w:abstractNumId w:val="22"/>
  </w:num>
  <w:num w:numId="30">
    <w:abstractNumId w:val="10"/>
  </w:num>
  <w:num w:numId="31">
    <w:abstractNumId w:val="27"/>
  </w:num>
  <w:num w:numId="32">
    <w:abstractNumId w:val="32"/>
  </w:num>
  <w:num w:numId="33">
    <w:abstractNumId w:val="7"/>
  </w:num>
  <w:num w:numId="34">
    <w:abstractNumId w:val="14"/>
  </w:num>
  <w:num w:numId="35">
    <w:abstractNumId w:val="21"/>
  </w:num>
  <w:num w:numId="36">
    <w:abstractNumId w:val="37"/>
  </w:num>
  <w:num w:numId="37">
    <w:abstractNumId w:val="30"/>
  </w:num>
  <w:num w:numId="38">
    <w:abstractNumId w:val="17"/>
  </w:num>
  <w:num w:numId="39">
    <w:abstractNumId w:val="35"/>
  </w:num>
  <w:num w:numId="40">
    <w:abstractNumId w:val="36"/>
  </w:num>
  <w:num w:numId="41">
    <w:abstractNumId w:val="29"/>
  </w:num>
  <w:num w:numId="42">
    <w:abstractNumId w:val="12"/>
  </w:num>
  <w:num w:numId="43">
    <w:abstractNumId w:val="41"/>
  </w:num>
  <w:num w:numId="44">
    <w:abstractNumId w:val="3"/>
  </w:num>
  <w:num w:numId="45">
    <w:abstractNumId w:val="28"/>
  </w:num>
  <w:num w:numId="46">
    <w:abstractNumId w:val="46"/>
  </w:num>
  <w:num w:numId="4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3C07"/>
    <w:rsid w:val="00035352"/>
    <w:rsid w:val="000418FA"/>
    <w:rsid w:val="000453E0"/>
    <w:rsid w:val="00051DA8"/>
    <w:rsid w:val="00053D00"/>
    <w:rsid w:val="0005564A"/>
    <w:rsid w:val="0005580F"/>
    <w:rsid w:val="00055C22"/>
    <w:rsid w:val="00061C88"/>
    <w:rsid w:val="00062456"/>
    <w:rsid w:val="000640E6"/>
    <w:rsid w:val="0006605E"/>
    <w:rsid w:val="00066FEA"/>
    <w:rsid w:val="0006798B"/>
    <w:rsid w:val="00067D8A"/>
    <w:rsid w:val="0007372D"/>
    <w:rsid w:val="00073D7E"/>
    <w:rsid w:val="00073D9F"/>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2743"/>
    <w:rsid w:val="000C3C54"/>
    <w:rsid w:val="000D07CA"/>
    <w:rsid w:val="000D1565"/>
    <w:rsid w:val="000D69EC"/>
    <w:rsid w:val="000E0B9B"/>
    <w:rsid w:val="000E5208"/>
    <w:rsid w:val="000E5ECC"/>
    <w:rsid w:val="000E60A5"/>
    <w:rsid w:val="000F2916"/>
    <w:rsid w:val="001040D7"/>
    <w:rsid w:val="00107189"/>
    <w:rsid w:val="0011396A"/>
    <w:rsid w:val="001140A1"/>
    <w:rsid w:val="00116A4C"/>
    <w:rsid w:val="00122501"/>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15F1"/>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66EB1"/>
    <w:rsid w:val="002854B0"/>
    <w:rsid w:val="00286D1F"/>
    <w:rsid w:val="0029453E"/>
    <w:rsid w:val="00295A20"/>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25E7"/>
    <w:rsid w:val="002F5550"/>
    <w:rsid w:val="002F7660"/>
    <w:rsid w:val="00304756"/>
    <w:rsid w:val="00304A23"/>
    <w:rsid w:val="00305328"/>
    <w:rsid w:val="0031008D"/>
    <w:rsid w:val="00324289"/>
    <w:rsid w:val="003248CA"/>
    <w:rsid w:val="00324CB5"/>
    <w:rsid w:val="00326A81"/>
    <w:rsid w:val="003359FB"/>
    <w:rsid w:val="00342EC9"/>
    <w:rsid w:val="00343239"/>
    <w:rsid w:val="00346882"/>
    <w:rsid w:val="00347349"/>
    <w:rsid w:val="003538E0"/>
    <w:rsid w:val="00356795"/>
    <w:rsid w:val="00361065"/>
    <w:rsid w:val="00361872"/>
    <w:rsid w:val="0036342C"/>
    <w:rsid w:val="00363901"/>
    <w:rsid w:val="00365C19"/>
    <w:rsid w:val="00370109"/>
    <w:rsid w:val="00370B6C"/>
    <w:rsid w:val="00373B13"/>
    <w:rsid w:val="00376A1C"/>
    <w:rsid w:val="00376B3E"/>
    <w:rsid w:val="003772FC"/>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1D42"/>
    <w:rsid w:val="0045366E"/>
    <w:rsid w:val="004536FD"/>
    <w:rsid w:val="004577C0"/>
    <w:rsid w:val="00463EF1"/>
    <w:rsid w:val="0046534A"/>
    <w:rsid w:val="00470AD8"/>
    <w:rsid w:val="00475AE4"/>
    <w:rsid w:val="00482D67"/>
    <w:rsid w:val="0048508F"/>
    <w:rsid w:val="004905F1"/>
    <w:rsid w:val="004925FB"/>
    <w:rsid w:val="00496A70"/>
    <w:rsid w:val="00497709"/>
    <w:rsid w:val="00497B5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E6E66"/>
    <w:rsid w:val="004F0485"/>
    <w:rsid w:val="004F4B6D"/>
    <w:rsid w:val="004F673A"/>
    <w:rsid w:val="0050337F"/>
    <w:rsid w:val="005102CA"/>
    <w:rsid w:val="005115F8"/>
    <w:rsid w:val="0051405A"/>
    <w:rsid w:val="00514A16"/>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03D23"/>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197F"/>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1724"/>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4B0F"/>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4C2C"/>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143C"/>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0A9A"/>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55BCA"/>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5"/>
    <w:rsid w:val="009D2976"/>
    <w:rsid w:val="009D3EBB"/>
    <w:rsid w:val="009D6A91"/>
    <w:rsid w:val="009D7305"/>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28A"/>
    <w:rsid w:val="00A63E91"/>
    <w:rsid w:val="00A6504A"/>
    <w:rsid w:val="00A67416"/>
    <w:rsid w:val="00A70D48"/>
    <w:rsid w:val="00A725A7"/>
    <w:rsid w:val="00A72727"/>
    <w:rsid w:val="00A74227"/>
    <w:rsid w:val="00A75BE2"/>
    <w:rsid w:val="00A77477"/>
    <w:rsid w:val="00A77657"/>
    <w:rsid w:val="00A812D7"/>
    <w:rsid w:val="00A82470"/>
    <w:rsid w:val="00A85C01"/>
    <w:rsid w:val="00A85C93"/>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8C9"/>
    <w:rsid w:val="00B32C3A"/>
    <w:rsid w:val="00B33CBF"/>
    <w:rsid w:val="00B34183"/>
    <w:rsid w:val="00B356CF"/>
    <w:rsid w:val="00B35715"/>
    <w:rsid w:val="00B378D1"/>
    <w:rsid w:val="00B416EB"/>
    <w:rsid w:val="00B43045"/>
    <w:rsid w:val="00B454BB"/>
    <w:rsid w:val="00B4779D"/>
    <w:rsid w:val="00B51723"/>
    <w:rsid w:val="00B52430"/>
    <w:rsid w:val="00B54125"/>
    <w:rsid w:val="00B576D2"/>
    <w:rsid w:val="00B60123"/>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0BF"/>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48DF"/>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0DE1"/>
    <w:rsid w:val="00CD2E4D"/>
    <w:rsid w:val="00CD52D2"/>
    <w:rsid w:val="00CD5EB5"/>
    <w:rsid w:val="00CD7BA4"/>
    <w:rsid w:val="00CE2298"/>
    <w:rsid w:val="00CE2F50"/>
    <w:rsid w:val="00CE3D82"/>
    <w:rsid w:val="00CE5FA2"/>
    <w:rsid w:val="00CF09F7"/>
    <w:rsid w:val="00CF3191"/>
    <w:rsid w:val="00CF436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0562"/>
    <w:rsid w:val="00D454A6"/>
    <w:rsid w:val="00D4783A"/>
    <w:rsid w:val="00D47FDF"/>
    <w:rsid w:val="00D537F4"/>
    <w:rsid w:val="00D574D7"/>
    <w:rsid w:val="00D57C32"/>
    <w:rsid w:val="00D61DA4"/>
    <w:rsid w:val="00D63F11"/>
    <w:rsid w:val="00D66696"/>
    <w:rsid w:val="00D718ED"/>
    <w:rsid w:val="00D82C0F"/>
    <w:rsid w:val="00D876AB"/>
    <w:rsid w:val="00D879D1"/>
    <w:rsid w:val="00D90062"/>
    <w:rsid w:val="00D9108B"/>
    <w:rsid w:val="00D95090"/>
    <w:rsid w:val="00D952C0"/>
    <w:rsid w:val="00DA4224"/>
    <w:rsid w:val="00DB6D3B"/>
    <w:rsid w:val="00DC04D1"/>
    <w:rsid w:val="00DC148E"/>
    <w:rsid w:val="00DC22F2"/>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177E"/>
    <w:rsid w:val="00E12A90"/>
    <w:rsid w:val="00E13C70"/>
    <w:rsid w:val="00E17DC5"/>
    <w:rsid w:val="00E221D5"/>
    <w:rsid w:val="00E27250"/>
    <w:rsid w:val="00E278B9"/>
    <w:rsid w:val="00E308EB"/>
    <w:rsid w:val="00E313B0"/>
    <w:rsid w:val="00E33649"/>
    <w:rsid w:val="00E33BD7"/>
    <w:rsid w:val="00E34247"/>
    <w:rsid w:val="00E364BC"/>
    <w:rsid w:val="00E36575"/>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C7CDE"/>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77ECD"/>
    <w:rsid w:val="00F810EA"/>
    <w:rsid w:val="00F81989"/>
    <w:rsid w:val="00F824B8"/>
    <w:rsid w:val="00F85E26"/>
    <w:rsid w:val="00F867C6"/>
    <w:rsid w:val="00F91414"/>
    <w:rsid w:val="00F918D4"/>
    <w:rsid w:val="00F91F4E"/>
    <w:rsid w:val="00F951B2"/>
    <w:rsid w:val="00F95D0F"/>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990"/>
    <w:rsid w:val="00FD0B8B"/>
    <w:rsid w:val="00FD1048"/>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2B40EA36"/>
  <w15:docId w15:val="{DE66D05A-EC5F-47AD-9277-7ECF7133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or.us/ors/18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purl.org/dc/terms/"/>
    <ds:schemaRef ds:uri="$ListId:doc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7D01ACD-5871-4B56-B7EF-46D17767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WESTERSUND Joe</cp:lastModifiedBy>
  <cp:revision>2</cp:revision>
  <cp:lastPrinted>2016-03-14T19:43:00Z</cp:lastPrinted>
  <dcterms:created xsi:type="dcterms:W3CDTF">2016-05-18T00:39:00Z</dcterms:created>
  <dcterms:modified xsi:type="dcterms:W3CDTF">2016-05-18T00:39:00Z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