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93A5D" w14:textId="77777777"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bookmarkStart w:id="0" w:name="_GoBack"/>
      <w:bookmarkEnd w:id="0"/>
      <w:r>
        <w:rPr>
          <w:noProof/>
          <w:lang w:eastAsia="zh-CN"/>
        </w:rPr>
        <w:drawing>
          <wp:anchor distT="0" distB="0" distL="114300" distR="114300" simplePos="0" relativeHeight="251654656" behindDoc="0" locked="0" layoutInCell="1" allowOverlap="1" wp14:anchorId="76E93DAD" wp14:editId="76E93DA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76E93A5E" w14:textId="3AC6B3B5" w:rsidR="000A3C5B" w:rsidRPr="000A3C5B" w:rsidRDefault="000A3C5B" w:rsidP="000A3C5B">
      <w:pPr>
        <w:tabs>
          <w:tab w:val="center" w:pos="5580"/>
        </w:tabs>
        <w:rPr>
          <w:rStyle w:val="Emphasis"/>
          <w:vanish w:val="0"/>
          <w:color w:val="525252" w:themeColor="accent3" w:themeShade="80"/>
        </w:rPr>
      </w:pPr>
      <w:r>
        <w:tab/>
      </w:r>
      <w:r w:rsidR="00442934">
        <w:rPr>
          <w:rStyle w:val="Emphasis"/>
          <w:rFonts w:asciiTheme="majorHAnsi" w:hAnsiTheme="majorHAnsi" w:cstheme="majorHAnsi"/>
          <w:vanish w:val="0"/>
          <w:color w:val="525252" w:themeColor="accent3" w:themeShade="80"/>
        </w:rPr>
        <w:t>June 15, 2016</w:t>
      </w:r>
    </w:p>
    <w:p w14:paraId="76E93A5F"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76E93A60" w14:textId="77777777" w:rsidR="000A3C5B" w:rsidRPr="00A019B4" w:rsidRDefault="000A3C5B" w:rsidP="000A3C5B"/>
    <w:p w14:paraId="76E93A61" w14:textId="77777777" w:rsidR="000A3C5B" w:rsidRPr="00C74D58" w:rsidRDefault="000A3C5B" w:rsidP="000A3C5B">
      <w:pPr>
        <w:rPr>
          <w:b/>
          <w:color w:val="000000"/>
        </w:rPr>
      </w:pPr>
    </w:p>
    <w:p w14:paraId="76E93A63" w14:textId="7D2AC656" w:rsidR="00867C8C" w:rsidRPr="00CD4F71" w:rsidRDefault="00442934" w:rsidP="000A3C5B">
      <w:pPr>
        <w:jc w:val="center"/>
        <w:rPr>
          <w:rFonts w:asciiTheme="majorHAnsi" w:hAnsiTheme="majorHAnsi" w:cstheme="majorHAnsi"/>
          <w:sz w:val="26"/>
          <w:szCs w:val="26"/>
        </w:rPr>
      </w:pPr>
      <w:r w:rsidRPr="00CD4F71">
        <w:rPr>
          <w:rStyle w:val="Strong"/>
        </w:rPr>
        <w:t>Art Glass Permanent Rulemaking 2016</w:t>
      </w:r>
    </w:p>
    <w:p w14:paraId="76E93A67"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76E93A69" w14:textId="77777777" w:rsidTr="009778BC">
        <w:trPr>
          <w:trHeight w:val="603"/>
        </w:trPr>
        <w:tc>
          <w:tcPr>
            <w:tcW w:w="12335" w:type="dxa"/>
            <w:shd w:val="clear" w:color="auto" w:fill="D5DCE4" w:themeFill="text2" w:themeFillTint="33"/>
            <w:noWrap/>
            <w:vAlign w:val="bottom"/>
            <w:hideMark/>
          </w:tcPr>
          <w:p w14:paraId="76E93A68" w14:textId="77777777" w:rsidR="00C74D58" w:rsidRPr="00950D49" w:rsidRDefault="00C74D58" w:rsidP="00950D49">
            <w:pPr>
              <w:pStyle w:val="Heading1"/>
            </w:pPr>
            <w:r w:rsidRPr="00950D49">
              <w:t>Overview</w:t>
            </w:r>
          </w:p>
        </w:tc>
      </w:tr>
    </w:tbl>
    <w:p w14:paraId="76E93A6A" w14:textId="77777777" w:rsidR="0010650B" w:rsidRDefault="0010650B" w:rsidP="002D6C99"/>
    <w:p w14:paraId="76E93A6B" w14:textId="77777777" w:rsidR="00EA4AE2" w:rsidRPr="00D1364A" w:rsidRDefault="00EA4AE2" w:rsidP="00F0078E">
      <w:pPr>
        <w:pStyle w:val="Heading2"/>
        <w:rPr>
          <w:rFonts w:cs="Times New Roman"/>
          <w:color w:val="C45911" w:themeColor="accent2" w:themeShade="BF"/>
          <w:vertAlign w:val="subscript"/>
        </w:rPr>
      </w:pPr>
      <w:r w:rsidRPr="00B31975">
        <w:t>Short summary</w:t>
      </w:r>
      <w:r w:rsidR="00D1364A">
        <w:t xml:space="preserve"> </w:t>
      </w:r>
      <w:r w:rsidR="00D1364A">
        <w:rPr>
          <w:color w:val="C45911" w:themeColor="accent2" w:themeShade="BF"/>
        </w:rPr>
        <w:t>ORS 183.335(2)(a)(B)</w:t>
      </w:r>
      <w:r w:rsidR="00D1364A">
        <w:rPr>
          <w:rFonts w:cs="Times New Roman"/>
          <w:vertAlign w:val="subscript"/>
        </w:rPr>
        <w:t xml:space="preserve"> </w:t>
      </w:r>
    </w:p>
    <w:p w14:paraId="76E93A70" w14:textId="21366A62" w:rsidR="004706D5" w:rsidRPr="00356C23" w:rsidRDefault="00CD4F71" w:rsidP="00356C23">
      <w:pPr>
        <w:rPr>
          <w:rFonts w:asciiTheme="minorHAnsi" w:hAnsiTheme="minorHAnsi" w:cstheme="minorHAnsi"/>
          <w:bCs/>
        </w:rPr>
      </w:pPr>
      <w:r w:rsidRPr="00CD4F71">
        <w:rPr>
          <w:rStyle w:val="Emphasis"/>
          <w:rFonts w:asciiTheme="minorHAnsi" w:hAnsiTheme="minorHAnsi" w:cstheme="minorHAnsi"/>
          <w:vanish w:val="0"/>
          <w:color w:val="auto"/>
          <w:sz w:val="24"/>
        </w:rPr>
        <w:t xml:space="preserve">DEQ </w:t>
      </w:r>
      <w:r>
        <w:rPr>
          <w:rStyle w:val="Emphasis"/>
          <w:rFonts w:asciiTheme="minorHAnsi" w:hAnsiTheme="minorHAnsi" w:cstheme="minorHAnsi"/>
          <w:vanish w:val="0"/>
          <w:color w:val="auto"/>
          <w:sz w:val="24"/>
        </w:rPr>
        <w:t>proposes</w:t>
      </w:r>
      <w:r w:rsidRPr="00CD4F71">
        <w:rPr>
          <w:rStyle w:val="Emphasis"/>
          <w:rFonts w:asciiTheme="minorHAnsi" w:hAnsiTheme="minorHAnsi" w:cstheme="minorHAnsi"/>
          <w:vanish w:val="0"/>
          <w:color w:val="auto"/>
          <w:sz w:val="24"/>
        </w:rPr>
        <w:t xml:space="preserve"> </w:t>
      </w:r>
      <w:r>
        <w:rPr>
          <w:rStyle w:val="Emphasis"/>
          <w:rFonts w:asciiTheme="minorHAnsi" w:hAnsiTheme="minorHAnsi" w:cstheme="minorHAnsi"/>
          <w:vanish w:val="0"/>
          <w:color w:val="auto"/>
          <w:sz w:val="24"/>
        </w:rPr>
        <w:t xml:space="preserve">that </w:t>
      </w:r>
      <w:r w:rsidRPr="00CD4F71">
        <w:rPr>
          <w:rStyle w:val="Emphasis"/>
          <w:rFonts w:asciiTheme="minorHAnsi" w:hAnsiTheme="minorHAnsi" w:cstheme="minorHAnsi"/>
          <w:vanish w:val="0"/>
          <w:color w:val="auto"/>
          <w:sz w:val="24"/>
        </w:rPr>
        <w:t xml:space="preserve">the </w:t>
      </w:r>
      <w:r>
        <w:rPr>
          <w:rStyle w:val="Emphasis"/>
          <w:rFonts w:asciiTheme="minorHAnsi" w:hAnsiTheme="minorHAnsi" w:cstheme="minorHAnsi"/>
          <w:vanish w:val="0"/>
          <w:color w:val="auto"/>
          <w:sz w:val="24"/>
        </w:rPr>
        <w:t xml:space="preserve">Oregon </w:t>
      </w:r>
      <w:r w:rsidRPr="00CD4F71">
        <w:rPr>
          <w:rStyle w:val="Emphasis"/>
          <w:rFonts w:asciiTheme="minorHAnsi" w:hAnsiTheme="minorHAnsi" w:cstheme="minorHAnsi"/>
          <w:vanish w:val="0"/>
          <w:color w:val="auto"/>
          <w:sz w:val="24"/>
        </w:rPr>
        <w:t>E</w:t>
      </w:r>
      <w:r>
        <w:rPr>
          <w:rStyle w:val="Emphasis"/>
          <w:rFonts w:asciiTheme="minorHAnsi" w:hAnsiTheme="minorHAnsi" w:cstheme="minorHAnsi"/>
          <w:vanish w:val="0"/>
          <w:color w:val="auto"/>
          <w:sz w:val="24"/>
        </w:rPr>
        <w:t xml:space="preserve">nvironmental Quality Commission (EQC) approve the proposed rules, making the temporary art glass rules </w:t>
      </w:r>
      <w:r w:rsidR="00356C23">
        <w:rPr>
          <w:rStyle w:val="Emphasis"/>
          <w:rFonts w:asciiTheme="minorHAnsi" w:hAnsiTheme="minorHAnsi" w:cstheme="minorHAnsi"/>
          <w:vanish w:val="0"/>
          <w:color w:val="auto"/>
          <w:sz w:val="24"/>
        </w:rPr>
        <w:t xml:space="preserve">adopted by the EQC </w:t>
      </w:r>
      <w:r>
        <w:rPr>
          <w:rStyle w:val="Emphasis"/>
          <w:rFonts w:asciiTheme="minorHAnsi" w:hAnsiTheme="minorHAnsi" w:cstheme="minorHAnsi"/>
          <w:vanish w:val="0"/>
          <w:color w:val="auto"/>
          <w:sz w:val="24"/>
        </w:rPr>
        <w:t>in April 2016 permanent.</w:t>
      </w:r>
    </w:p>
    <w:p w14:paraId="76E93A71" w14:textId="77777777" w:rsidR="001307E8" w:rsidRPr="00A7538A" w:rsidRDefault="00B54125" w:rsidP="00F0078E">
      <w:pPr>
        <w:pStyle w:val="Heading2"/>
        <w:rPr>
          <w:color w:val="C45911" w:themeColor="accent2" w:themeShade="BF"/>
        </w:rPr>
      </w:pPr>
      <w:r w:rsidRPr="00B31975">
        <w:t>Brief history</w:t>
      </w:r>
      <w:r w:rsidR="00D03AC4" w:rsidRPr="00B31975">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14:paraId="7DC0502E" w14:textId="77777777" w:rsidR="008A295E" w:rsidRDefault="008A295E" w:rsidP="008A295E">
      <w:r w:rsidRPr="008A295E">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52F3F8E0" w14:textId="77777777" w:rsidR="008A295E" w:rsidRPr="008A295E" w:rsidRDefault="008A295E" w:rsidP="008A295E"/>
    <w:p w14:paraId="55D0DF55" w14:textId="77777777" w:rsidR="008A295E" w:rsidRDefault="008A295E" w:rsidP="008A295E">
      <w:r w:rsidRPr="008A295E">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749F7FD7" w14:textId="77777777" w:rsidR="008A295E" w:rsidRPr="008A295E" w:rsidRDefault="008A295E" w:rsidP="008A295E"/>
    <w:p w14:paraId="4914AC00" w14:textId="77777777" w:rsidR="008A295E" w:rsidRDefault="008A295E" w:rsidP="008A295E">
      <w:r w:rsidRPr="008A295E">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450D0946" w14:textId="77777777" w:rsidR="008A295E" w:rsidRPr="008A295E" w:rsidRDefault="008A295E" w:rsidP="008A295E"/>
    <w:p w14:paraId="2029A6FC" w14:textId="77777777" w:rsidR="008A295E" w:rsidRDefault="008A295E" w:rsidP="008A295E">
      <w:r w:rsidRPr="008A295E">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391759F6" w14:textId="78F7E23E" w:rsidR="008A295E" w:rsidRPr="008A295E" w:rsidRDefault="008A295E" w:rsidP="008A295E">
      <w:r w:rsidRPr="008A295E">
        <w:t xml:space="preserve"> </w:t>
      </w:r>
    </w:p>
    <w:p w14:paraId="4FE303AA" w14:textId="77777777" w:rsidR="008A295E" w:rsidRDefault="008A295E" w:rsidP="008A295E">
      <w:r w:rsidRPr="008A295E">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8A295E">
        <w:rPr>
          <w:bCs/>
        </w:rPr>
        <w:t>air toxics benchmarks</w:t>
      </w:r>
      <w:r w:rsidRPr="008A295E">
        <w:rPr>
          <w:b/>
          <w:bCs/>
        </w:rPr>
        <w:t xml:space="preserve"> </w:t>
      </w:r>
      <w:r w:rsidRPr="008A295E">
        <w:t>in 2006 that set guidelines for 52 pollutants.</w:t>
      </w:r>
    </w:p>
    <w:p w14:paraId="58AF566A" w14:textId="77777777" w:rsidR="008A295E" w:rsidRPr="008A295E" w:rsidRDefault="008A295E" w:rsidP="008A295E"/>
    <w:p w14:paraId="53106DAB" w14:textId="5992FDF1" w:rsidR="008A295E" w:rsidRDefault="008A295E" w:rsidP="008A295E">
      <w:r w:rsidRPr="008A295E">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w:t>
      </w:r>
      <w:r w:rsidRPr="008A295E">
        <w:lastRenderedPageBreak/>
        <w:t>DEQ's air toxics benchmarks are very protective air concentrations that people could breathe for a lifetime without increasing their cancer risk beyond a chance of one in a million.</w:t>
      </w:r>
    </w:p>
    <w:p w14:paraId="7724F3CB" w14:textId="77777777" w:rsidR="008A295E" w:rsidRPr="008A295E" w:rsidRDefault="008A295E" w:rsidP="008A295E"/>
    <w:p w14:paraId="384C1BF4" w14:textId="29FB8240" w:rsidR="008A295E" w:rsidRPr="008A295E" w:rsidRDefault="008A295E" w:rsidP="008A295E">
      <w:r w:rsidRPr="008A295E">
        <w:t xml:space="preserve">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w:t>
      </w:r>
      <w:r>
        <w:t>permanent</w:t>
      </w:r>
      <w:r w:rsidRPr="008A295E">
        <w:t xml:space="preserve"> rules that DEQ propose</w:t>
      </w:r>
      <w:r>
        <w:t>s</w:t>
      </w:r>
      <w:r w:rsidRPr="008A295E">
        <w:t xml:space="preserve"> for EQC adoption are intended to protect the public health and the environment by ensuring the air emissions from colored art glass facilities do not cause unsafe levels of metals in the air nearby.</w:t>
      </w:r>
    </w:p>
    <w:p w14:paraId="7AAED7F8" w14:textId="77777777" w:rsidR="008A295E" w:rsidRDefault="008A295E" w:rsidP="002D6C99"/>
    <w:p w14:paraId="76E93A72" w14:textId="6CE694F4" w:rsidR="00B54125" w:rsidRDefault="008A295E" w:rsidP="002D6C99">
      <w:r w:rsidRPr="008A295E">
        <w:t>EQC adopted temporary rules on April 21, 2016 and this proposed rulemaking will make those rule changes permanent.</w:t>
      </w:r>
      <w:r>
        <w:t xml:space="preserve"> </w:t>
      </w:r>
      <w:r w:rsidR="00C2079A">
        <w:t>If no action is taken those rules will expire 180 days after adoption, on October 18, 2016.</w:t>
      </w:r>
    </w:p>
    <w:p w14:paraId="76E93A73" w14:textId="77777777" w:rsidR="00B54125" w:rsidRPr="00F06EEF" w:rsidRDefault="00B54125" w:rsidP="00F0078E">
      <w:pPr>
        <w:pStyle w:val="Heading2"/>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14:paraId="3402DB92" w14:textId="4D9B7232" w:rsidR="000F4621" w:rsidRDefault="000F4621" w:rsidP="000F4621">
      <w:r>
        <w:t xml:space="preserve">The </w:t>
      </w:r>
      <w:r w:rsidR="0065671A">
        <w:t xml:space="preserve">proposed rules apply to </w:t>
      </w:r>
      <w:r>
        <w:t xml:space="preserve">colored art glass manufacturers (CAGM) </w:t>
      </w:r>
      <w:r w:rsidR="00C2079A">
        <w:t>in the Portland Air Quality Main</w:t>
      </w:r>
      <w:r w:rsidR="000337BF">
        <w:t>ten</w:t>
      </w:r>
      <w:r w:rsidR="00C2079A">
        <w:t>ance Area</w:t>
      </w:r>
      <w:r>
        <w:t>.</w:t>
      </w:r>
    </w:p>
    <w:p w14:paraId="5A9C4085" w14:textId="77777777" w:rsidR="000F4621" w:rsidRDefault="000F4621" w:rsidP="000F4621"/>
    <w:p w14:paraId="606C117C" w14:textId="737733EC" w:rsidR="00356C23" w:rsidRDefault="00356C23" w:rsidP="00356C23">
      <w:r>
        <w:t>CAGM</w:t>
      </w:r>
      <w:r w:rsidR="0065671A">
        <w:t xml:space="preserve">s </w:t>
      </w:r>
      <w:r w:rsidR="000F4621">
        <w:t xml:space="preserve">will incur expenses to obtain air permits; </w:t>
      </w:r>
      <w:r>
        <w:t xml:space="preserve">submit reports to DEQ; and depending on the compliance path chosen, </w:t>
      </w:r>
      <w:r w:rsidR="00410917">
        <w:t xml:space="preserve">to </w:t>
      </w:r>
      <w:r>
        <w:t>i</w:t>
      </w:r>
      <w:r w:rsidR="000F4621">
        <w:t>nstall</w:t>
      </w:r>
      <w:r>
        <w:t>, operate</w:t>
      </w:r>
      <w:r w:rsidR="000F4621">
        <w:t xml:space="preserve"> </w:t>
      </w:r>
      <w:r>
        <w:t>and maintain emission control devices, and/or</w:t>
      </w:r>
      <w:r w:rsidR="000F4621">
        <w:t xml:space="preserve"> </w:t>
      </w:r>
      <w:r>
        <w:t>perform stack testing and dispersion modeling.</w:t>
      </w:r>
    </w:p>
    <w:p w14:paraId="76E93A78" w14:textId="5074F0DA" w:rsidR="00B54125" w:rsidRDefault="00B54125" w:rsidP="00C2079A"/>
    <w:p w14:paraId="76E93A79" w14:textId="77777777" w:rsidR="00A7538A" w:rsidRPr="003A2B26" w:rsidRDefault="00FF635C" w:rsidP="00A7538A">
      <w:pPr>
        <w:pStyle w:val="Heading2"/>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w:t>
      </w:r>
      <w:r w:rsidR="003A2B26" w:rsidRPr="00F06EEF">
        <w:rPr>
          <w:rFonts w:ascii="Arial" w:hAnsi="Arial" w:cs="Arial"/>
          <w:b/>
          <w:color w:val="C45911" w:themeColor="accent2" w:themeShade="BF"/>
        </w:rPr>
        <w:t>THIS LANGUAGE REQUIRED BY STATUTE</w:t>
      </w:r>
      <w:r w:rsidR="003A2B26" w:rsidRPr="00F06EEF">
        <w:rPr>
          <w:rFonts w:ascii="Arial" w:hAnsi="Arial" w:cs="Arial"/>
          <w:color w:val="C45911" w:themeColor="accent2" w:themeShade="BF"/>
        </w:rPr>
        <w:t>)</w:t>
      </w:r>
    </w:p>
    <w:p w14:paraId="76E93A7A" w14:textId="77777777"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76E93A7B" w14:textId="77777777"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76E93A96"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6E93A95" w14:textId="77777777" w:rsidR="00A04AFA" w:rsidRPr="00D1364A" w:rsidRDefault="00A04AFA" w:rsidP="00047F7A">
            <w:pPr>
              <w:pStyle w:val="Heading1"/>
              <w:rPr>
                <w:color w:val="C45911" w:themeColor="accent2" w:themeShade="BF"/>
              </w:rPr>
            </w:pPr>
            <w:r w:rsidRPr="00016C59">
              <w:lastRenderedPageBreak/>
              <w:t>Statement of need</w:t>
            </w:r>
            <w:r w:rsidR="00D1364A">
              <w:t xml:space="preserve"> </w:t>
            </w:r>
            <w:r w:rsidR="00D1364A" w:rsidRPr="00D1364A">
              <w:rPr>
                <w:b w:val="0"/>
                <w:color w:val="C45911" w:themeColor="accent2" w:themeShade="BF"/>
              </w:rPr>
              <w:t xml:space="preserve">ORS </w:t>
            </w:r>
            <w:r w:rsidR="00D1364A">
              <w:rPr>
                <w:b w:val="0"/>
                <w:color w:val="C45911" w:themeColor="accent2" w:themeShade="BF"/>
              </w:rPr>
              <w:t>183.335(b)(C)</w:t>
            </w:r>
          </w:p>
        </w:tc>
      </w:tr>
    </w:tbl>
    <w:p w14:paraId="76E93A97" w14:textId="77777777" w:rsidR="00A04AFA" w:rsidRPr="00B15DF7" w:rsidRDefault="00A04AFA" w:rsidP="002D6C99"/>
    <w:p w14:paraId="76E93A98" w14:textId="77777777"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14:paraId="76E93A99" w14:textId="77777777" w:rsidR="00D60BF9" w:rsidRPr="00F05E86" w:rsidRDefault="00D60BF9" w:rsidP="002D6C99">
      <w:pPr>
        <w:rPr>
          <w:rStyle w:val="Emphasis"/>
          <w:rFonts w:asciiTheme="majorHAnsi" w:hAnsiTheme="majorHAnsi" w:cstheme="majorHAnsi"/>
          <w:vanish w:val="0"/>
          <w:color w:val="C45911" w:themeColor="accent2" w:themeShade="BF"/>
          <w:sz w:val="24"/>
        </w:rPr>
      </w:pPr>
    </w:p>
    <w:p w14:paraId="76E93A9D" w14:textId="77777777"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14:paraId="18AD4721" w14:textId="56D6449E" w:rsidR="00410917" w:rsidRPr="00410917" w:rsidRDefault="00410917" w:rsidP="00410917">
      <w:pPr>
        <w:rPr>
          <w:color w:val="000000" w:themeColor="text1"/>
        </w:rPr>
      </w:pPr>
      <w:r w:rsidRPr="00410917">
        <w:rPr>
          <w:color w:val="000000" w:themeColor="text1"/>
        </w:rPr>
        <w:t xml:space="preserve">DEQ is addressing the urgent need to control metals emissions from </w:t>
      </w:r>
      <w:r>
        <w:rPr>
          <w:color w:val="000000" w:themeColor="text1"/>
        </w:rPr>
        <w:t xml:space="preserve">CAGM facilities. </w:t>
      </w:r>
      <w:r w:rsidRPr="00410917">
        <w:rPr>
          <w:color w:val="000000" w:themeColor="text1"/>
        </w:rPr>
        <w:t xml:space="preserve">As DEQ recently determined through air monitoring and facility inspections, uncontrolled glass furnaces processing colored glass to which </w:t>
      </w:r>
      <w:r w:rsidR="00C5304C">
        <w:rPr>
          <w:color w:val="000000" w:themeColor="text1"/>
        </w:rPr>
        <w:t>metal Hazardous Air Pollutants</w:t>
      </w:r>
      <w:r w:rsidR="00C5304C">
        <w:rPr>
          <w:rStyle w:val="FootnoteReference"/>
          <w:color w:val="000000" w:themeColor="text1"/>
        </w:rPr>
        <w:footnoteReference w:id="1"/>
      </w:r>
      <w:r w:rsidR="00C5304C">
        <w:rPr>
          <w:color w:val="000000" w:themeColor="text1"/>
        </w:rPr>
        <w:t xml:space="preserve"> (HAP) </w:t>
      </w:r>
      <w:r w:rsidR="004E702D">
        <w:rPr>
          <w:color w:val="000000" w:themeColor="text1"/>
        </w:rPr>
        <w:t xml:space="preserve">are added </w:t>
      </w:r>
      <w:r w:rsidRPr="00410917">
        <w:rPr>
          <w:color w:val="000000" w:themeColor="text1"/>
        </w:rPr>
        <w:t xml:space="preserve">emit these metals at levels that can pose an immediate threat to the health of people nearby. Recent monitoring close to a colored art glass facility with uncontrolled furnace emissions </w:t>
      </w:r>
      <w:r w:rsidR="00C5304C">
        <w:rPr>
          <w:color w:val="000000" w:themeColor="text1"/>
        </w:rPr>
        <w:t>has shown</w:t>
      </w:r>
      <w:r w:rsidRPr="00410917">
        <w:rPr>
          <w:color w:val="000000" w:themeColor="text1"/>
        </w:rPr>
        <w:t xml:space="preserve"> metals concentrations at levels that can significantly increase risks of cancer and other health problems. </w:t>
      </w:r>
    </w:p>
    <w:p w14:paraId="7AAFDD0E" w14:textId="77777777" w:rsidR="00410917" w:rsidRDefault="00410917" w:rsidP="00410917">
      <w:pPr>
        <w:rPr>
          <w:color w:val="000000" w:themeColor="text1"/>
        </w:rPr>
      </w:pPr>
    </w:p>
    <w:p w14:paraId="57FED26C" w14:textId="75133B76" w:rsidR="00410917" w:rsidRDefault="00410917" w:rsidP="009458E4">
      <w:pPr>
        <w:rPr>
          <w:color w:val="000000" w:themeColor="text1"/>
        </w:rPr>
      </w:pPr>
      <w:r w:rsidRPr="00410917">
        <w:rPr>
          <w:color w:val="000000" w:themeColor="text1"/>
        </w:rPr>
        <w:t xml:space="preserve">These rules are necessary to address a regulatory gap. </w:t>
      </w:r>
      <w:r>
        <w:rPr>
          <w:color w:val="000000" w:themeColor="text1"/>
        </w:rPr>
        <w:t>A federal regulation called NESHAP 6S</w:t>
      </w:r>
      <w:r>
        <w:rPr>
          <w:rStyle w:val="FootnoteReference"/>
          <w:color w:val="000000" w:themeColor="text1"/>
        </w:rPr>
        <w:footnoteReference w:id="2"/>
      </w:r>
      <w:r>
        <w:rPr>
          <w:color w:val="000000" w:themeColor="text1"/>
        </w:rPr>
        <w:t xml:space="preserve"> </w:t>
      </w:r>
      <w:r w:rsidR="00C5304C">
        <w:rPr>
          <w:color w:val="000000" w:themeColor="text1"/>
        </w:rPr>
        <w:t xml:space="preserve">is applicable to some </w:t>
      </w:r>
      <w:r>
        <w:rPr>
          <w:color w:val="000000" w:themeColor="text1"/>
        </w:rPr>
        <w:t>furnaces at the largest CAGM</w:t>
      </w:r>
      <w:r w:rsidR="00C5304C">
        <w:rPr>
          <w:color w:val="000000" w:themeColor="text1"/>
        </w:rPr>
        <w:t>s</w:t>
      </w:r>
      <w:r>
        <w:rPr>
          <w:color w:val="000000" w:themeColor="text1"/>
        </w:rPr>
        <w:t xml:space="preserve">, but </w:t>
      </w:r>
      <w:r w:rsidR="00C5304C">
        <w:rPr>
          <w:color w:val="000000" w:themeColor="text1"/>
        </w:rPr>
        <w:t xml:space="preserve">smaller facilities and furnaces also </w:t>
      </w:r>
      <w:r w:rsidR="009458E4">
        <w:rPr>
          <w:color w:val="000000" w:themeColor="text1"/>
        </w:rPr>
        <w:t xml:space="preserve">use and </w:t>
      </w:r>
      <w:r w:rsidR="00C5304C">
        <w:rPr>
          <w:color w:val="000000" w:themeColor="text1"/>
        </w:rPr>
        <w:t xml:space="preserve">emit metal HAP </w:t>
      </w:r>
      <w:r w:rsidR="000D345A">
        <w:rPr>
          <w:color w:val="000000" w:themeColor="text1"/>
        </w:rPr>
        <w:t xml:space="preserve">in quantities </w:t>
      </w:r>
      <w:r w:rsidR="009458E4">
        <w:rPr>
          <w:color w:val="000000" w:themeColor="text1"/>
        </w:rPr>
        <w:t>likely to pose an unacceptable risk to</w:t>
      </w:r>
      <w:r w:rsidR="00C5304C">
        <w:rPr>
          <w:color w:val="000000" w:themeColor="text1"/>
        </w:rPr>
        <w:t xml:space="preserve"> people nearby. No o</w:t>
      </w:r>
      <w:r>
        <w:rPr>
          <w:color w:val="000000" w:themeColor="text1"/>
        </w:rPr>
        <w:t>ther</w:t>
      </w:r>
      <w:r w:rsidRPr="00410917">
        <w:rPr>
          <w:color w:val="000000" w:themeColor="text1"/>
        </w:rPr>
        <w:t xml:space="preserve"> state </w:t>
      </w:r>
      <w:r>
        <w:rPr>
          <w:color w:val="000000" w:themeColor="text1"/>
        </w:rPr>
        <w:t>and</w:t>
      </w:r>
      <w:r w:rsidRPr="00410917">
        <w:rPr>
          <w:color w:val="000000" w:themeColor="text1"/>
        </w:rPr>
        <w:t xml:space="preserve"> federal standards currently apply </w:t>
      </w:r>
      <w:r w:rsidR="00C5304C">
        <w:rPr>
          <w:color w:val="000000" w:themeColor="text1"/>
        </w:rPr>
        <w:t xml:space="preserve">that would </w:t>
      </w:r>
      <w:r w:rsidRPr="00410917">
        <w:rPr>
          <w:color w:val="000000" w:themeColor="text1"/>
        </w:rPr>
        <w:t>limit potentially unsafe levels of metal emissions from these types o</w:t>
      </w:r>
      <w:r>
        <w:rPr>
          <w:color w:val="000000" w:themeColor="text1"/>
        </w:rPr>
        <w:t>f colored art glass facilities.</w:t>
      </w:r>
    </w:p>
    <w:p w14:paraId="76E93AA1" w14:textId="77777777"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7DD918B1" w14:textId="5668D724" w:rsidR="00410917" w:rsidRDefault="00410917" w:rsidP="00410917">
      <w:pPr>
        <w:rPr>
          <w:color w:val="000000" w:themeColor="text1"/>
        </w:rPr>
      </w:pPr>
      <w:r w:rsidRPr="00410917">
        <w:rPr>
          <w:color w:val="000000" w:themeColor="text1"/>
        </w:rPr>
        <w:t>The proposed rules would fill the regulatory gap by setting operation</w:t>
      </w:r>
      <w:r>
        <w:rPr>
          <w:color w:val="000000" w:themeColor="text1"/>
        </w:rPr>
        <w:t>al</w:t>
      </w:r>
      <w:r w:rsidRPr="00410917">
        <w:rPr>
          <w:color w:val="000000" w:themeColor="text1"/>
        </w:rPr>
        <w:t xml:space="preserve"> standards for art glass businesses that emit air toxics and potentially cause serious health effects.</w:t>
      </w:r>
    </w:p>
    <w:p w14:paraId="0F1266E2" w14:textId="77777777" w:rsidR="00410917" w:rsidRPr="00410917" w:rsidRDefault="00410917" w:rsidP="00410917">
      <w:pPr>
        <w:rPr>
          <w:color w:val="000000" w:themeColor="text1"/>
        </w:rPr>
      </w:pPr>
    </w:p>
    <w:p w14:paraId="76E93AA3" w14:textId="5546BB24" w:rsidR="00470AD8" w:rsidRDefault="00410917" w:rsidP="00410917">
      <w:pPr>
        <w:rPr>
          <w:color w:val="000000" w:themeColor="text1"/>
        </w:rPr>
      </w:pPr>
      <w:r>
        <w:rPr>
          <w:color w:val="000000" w:themeColor="text1"/>
        </w:rPr>
        <w:t>The proposed rules create two t</w:t>
      </w:r>
      <w:r w:rsidRPr="00410917">
        <w:rPr>
          <w:color w:val="000000" w:themeColor="text1"/>
        </w:rPr>
        <w:t xml:space="preserve">iers of </w:t>
      </w:r>
      <w:r>
        <w:rPr>
          <w:color w:val="000000" w:themeColor="text1"/>
        </w:rPr>
        <w:t>CAGM</w:t>
      </w:r>
      <w:r w:rsidRPr="00410917">
        <w:rPr>
          <w:color w:val="000000" w:themeColor="text1"/>
        </w:rPr>
        <w:t xml:space="preserve"> based on production and furnace type. </w:t>
      </w:r>
      <w:r w:rsidR="000D345A">
        <w:rPr>
          <w:color w:val="000000" w:themeColor="text1"/>
        </w:rPr>
        <w:t>The larger Tier 2 CAGM</w:t>
      </w:r>
      <w:r w:rsidR="004E702D">
        <w:rPr>
          <w:color w:val="000000" w:themeColor="text1"/>
        </w:rPr>
        <w:t>s</w:t>
      </w:r>
      <w:r w:rsidR="000D345A">
        <w:rPr>
          <w:color w:val="000000" w:themeColor="text1"/>
        </w:rPr>
        <w:t xml:space="preserve"> would be required to install</w:t>
      </w:r>
      <w:r w:rsidRPr="00410917">
        <w:rPr>
          <w:color w:val="000000" w:themeColor="text1"/>
        </w:rPr>
        <w:t xml:space="preserve"> emission control devices </w:t>
      </w:r>
      <w:r w:rsidR="000D345A">
        <w:rPr>
          <w:color w:val="000000" w:themeColor="text1"/>
        </w:rPr>
        <w:t xml:space="preserve">on all furnaces using metal HAP, </w:t>
      </w:r>
      <w:r w:rsidR="004E702D">
        <w:rPr>
          <w:color w:val="000000" w:themeColor="text1"/>
        </w:rPr>
        <w:t xml:space="preserve">and to perform source testing and dispersion modeling to measure and limit emissions of chromium VI. The smaller Tier 1 CAGMs </w:t>
      </w:r>
      <w:r w:rsidR="003C3143">
        <w:rPr>
          <w:color w:val="000000" w:themeColor="text1"/>
        </w:rPr>
        <w:t>can install emission control devices on all furnaces using metal HAP, use source testing and modeling to demonstrate that emissions are below source</w:t>
      </w:r>
      <w:r w:rsidR="003C3143" w:rsidRPr="003C3143">
        <w:rPr>
          <w:color w:val="000000" w:themeColor="text1"/>
        </w:rPr>
        <w:t xml:space="preserve"> impact levels</w:t>
      </w:r>
      <w:r w:rsidR="003C3143">
        <w:rPr>
          <w:color w:val="000000" w:themeColor="text1"/>
        </w:rPr>
        <w:t xml:space="preserve"> without controls, or stop using metal HAP</w:t>
      </w:r>
      <w:r w:rsidR="006F57E0">
        <w:rPr>
          <w:color w:val="000000" w:themeColor="text1"/>
        </w:rPr>
        <w:t xml:space="preserve"> in one or more furnaces</w:t>
      </w:r>
      <w:r w:rsidR="003C3143">
        <w:rPr>
          <w:color w:val="000000" w:themeColor="text1"/>
        </w:rPr>
        <w:t>.</w:t>
      </w:r>
    </w:p>
    <w:p w14:paraId="0100AA39" w14:textId="77777777" w:rsidR="000D345A" w:rsidRDefault="000D345A" w:rsidP="00410917">
      <w:pPr>
        <w:rPr>
          <w:color w:val="000000" w:themeColor="text1"/>
        </w:rPr>
      </w:pPr>
    </w:p>
    <w:p w14:paraId="118F0668" w14:textId="3A4B65BE" w:rsidR="000D345A" w:rsidRPr="00B15DF7" w:rsidRDefault="006F57E0" w:rsidP="00410917">
      <w:r>
        <w:rPr>
          <w:color w:val="000000" w:themeColor="text1"/>
        </w:rPr>
        <w:t xml:space="preserve">These rules would </w:t>
      </w:r>
      <w:r w:rsidR="000D345A" w:rsidRPr="00410917">
        <w:rPr>
          <w:color w:val="000000" w:themeColor="text1"/>
        </w:rPr>
        <w:t xml:space="preserve">decrease </w:t>
      </w:r>
      <w:r>
        <w:rPr>
          <w:color w:val="000000" w:themeColor="text1"/>
        </w:rPr>
        <w:t xml:space="preserve">the </w:t>
      </w:r>
      <w:r w:rsidR="000D345A" w:rsidRPr="00410917">
        <w:rPr>
          <w:color w:val="000000" w:themeColor="text1"/>
        </w:rPr>
        <w:t>risk from airborne metal exposure to people nearby, including children and other sensitive or vulnerable individuals.</w:t>
      </w:r>
    </w:p>
    <w:p w14:paraId="76E93AA4" w14:textId="77777777"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14:paraId="258C9695" w14:textId="2F55F902" w:rsidR="007E1541" w:rsidRDefault="006F57E0" w:rsidP="00410917">
      <w:pPr>
        <w:rPr>
          <w:color w:val="000000" w:themeColor="text1"/>
        </w:rPr>
      </w:pPr>
      <w:r>
        <w:rPr>
          <w:color w:val="000000" w:themeColor="text1"/>
        </w:rPr>
        <w:t>The rule requires source testing to demonstrate th</w:t>
      </w:r>
      <w:r w:rsidR="007E1541">
        <w:rPr>
          <w:color w:val="000000" w:themeColor="text1"/>
        </w:rPr>
        <w:t>e effectiveness of</w:t>
      </w:r>
      <w:r>
        <w:rPr>
          <w:color w:val="000000" w:themeColor="text1"/>
        </w:rPr>
        <w:t xml:space="preserve"> emissions control device</w:t>
      </w:r>
      <w:r w:rsidR="007E1541">
        <w:rPr>
          <w:color w:val="000000" w:themeColor="text1"/>
        </w:rPr>
        <w:t>s and to measure emission</w:t>
      </w:r>
      <w:r w:rsidR="00E97469">
        <w:rPr>
          <w:color w:val="000000" w:themeColor="text1"/>
        </w:rPr>
        <w:t>s in several other cases</w:t>
      </w:r>
      <w:r w:rsidR="007E1541">
        <w:rPr>
          <w:color w:val="000000" w:themeColor="text1"/>
        </w:rPr>
        <w:t xml:space="preserve"> (</w:t>
      </w:r>
      <w:r w:rsidR="00E97469">
        <w:rPr>
          <w:color w:val="000000" w:themeColor="text1"/>
        </w:rPr>
        <w:t>c</w:t>
      </w:r>
      <w:r w:rsidR="007E1541">
        <w:rPr>
          <w:color w:val="000000" w:themeColor="text1"/>
        </w:rPr>
        <w:t xml:space="preserve">hromium 6 emissions from Tier 2 facilities and metal HAP emissions from Tier 1 facilities opting to operate uncontrolled furnaces). Source testing will quantify </w:t>
      </w:r>
      <w:r w:rsidR="00E97469">
        <w:rPr>
          <w:color w:val="000000" w:themeColor="text1"/>
        </w:rPr>
        <w:t xml:space="preserve">metal HAP </w:t>
      </w:r>
      <w:r w:rsidR="007E1541">
        <w:rPr>
          <w:color w:val="000000" w:themeColor="text1"/>
        </w:rPr>
        <w:t>emissions and emissions reductions.</w:t>
      </w:r>
    </w:p>
    <w:p w14:paraId="5A0A3CDA" w14:textId="77777777" w:rsidR="007E1541" w:rsidRDefault="007E1541" w:rsidP="00410917">
      <w:pPr>
        <w:rPr>
          <w:color w:val="000000" w:themeColor="text1"/>
        </w:rPr>
      </w:pPr>
    </w:p>
    <w:p w14:paraId="76E93AFF" w14:textId="46D08420" w:rsidR="0027111E" w:rsidRPr="00410917" w:rsidRDefault="007E1541" w:rsidP="00410917">
      <w:pPr>
        <w:rPr>
          <w:color w:val="000000" w:themeColor="text1"/>
        </w:rPr>
        <w:sectPr w:rsidR="0027111E" w:rsidRPr="00410917" w:rsidSect="00B34CF8">
          <w:pgSz w:w="12240" w:h="15840"/>
          <w:pgMar w:top="1080" w:right="990" w:bottom="1080" w:left="360" w:header="720" w:footer="720" w:gutter="360"/>
          <w:cols w:space="720"/>
          <w:docGrid w:linePitch="360"/>
        </w:sectPr>
      </w:pPr>
      <w:r>
        <w:rPr>
          <w:color w:val="000000" w:themeColor="text1"/>
        </w:rPr>
        <w:t xml:space="preserve">DEQ is also performing ambient air monitoring near several CAGM, which can verify whether </w:t>
      </w:r>
      <w:r w:rsidR="00E97469">
        <w:rPr>
          <w:color w:val="000000" w:themeColor="text1"/>
        </w:rPr>
        <w:t xml:space="preserve">metal HAP concentrations in </w:t>
      </w:r>
      <w:r>
        <w:rPr>
          <w:color w:val="000000" w:themeColor="text1"/>
        </w:rPr>
        <w:t xml:space="preserve">the air </w:t>
      </w:r>
      <w:r w:rsidR="00E97469">
        <w:rPr>
          <w:color w:val="000000" w:themeColor="text1"/>
        </w:rPr>
        <w:t>people breathe has been reduced to safe levels</w:t>
      </w:r>
      <w:r>
        <w:rPr>
          <w:color w:val="000000" w:themeColor="text1"/>
        </w:rPr>
        <w:t xml:space="preserve">. </w:t>
      </w:r>
    </w:p>
    <w:tbl>
      <w:tblPr>
        <w:tblW w:w="12240" w:type="dxa"/>
        <w:tblInd w:w="-702" w:type="dxa"/>
        <w:tblLook w:val="04A0" w:firstRow="1" w:lastRow="0" w:firstColumn="1" w:lastColumn="0" w:noHBand="0" w:noVBand="1"/>
      </w:tblPr>
      <w:tblGrid>
        <w:gridCol w:w="12240"/>
      </w:tblGrid>
      <w:tr w:rsidR="0027111E" w:rsidRPr="00B15DF7" w14:paraId="76E93B02"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76E93B00" w14:textId="77777777" w:rsidR="0027111E" w:rsidRPr="00B15DF7" w:rsidRDefault="0027111E" w:rsidP="002D6C99"/>
          <w:p w14:paraId="76E93B01" w14:textId="77777777" w:rsidR="0027111E" w:rsidRPr="00D1364A" w:rsidRDefault="0027111E" w:rsidP="00D1364A">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r w:rsidR="00D1364A">
              <w:rPr>
                <w:rStyle w:val="Emphasis"/>
                <w:rFonts w:asciiTheme="majorHAnsi" w:hAnsiTheme="majorHAnsi"/>
                <w:b w:val="0"/>
                <w:bCs/>
                <w:vanish w:val="0"/>
                <w:color w:val="C45911" w:themeColor="accent2" w:themeShade="BF"/>
              </w:rPr>
              <w:t>ORS 183.335(2)(b)</w:t>
            </w:r>
          </w:p>
        </w:tc>
      </w:tr>
    </w:tbl>
    <w:p w14:paraId="76E93B03" w14:textId="77777777" w:rsidR="0027111E" w:rsidRPr="00B15DF7" w:rsidRDefault="0027111E" w:rsidP="002D6C99"/>
    <w:p w14:paraId="76E93B04" w14:textId="77777777" w:rsidR="0027111E" w:rsidRPr="006807BF" w:rsidRDefault="0027111E" w:rsidP="00F0078E">
      <w:pPr>
        <w:pStyle w:val="Heading2"/>
        <w:rPr>
          <w:b/>
        </w:rPr>
      </w:pPr>
      <w:r w:rsidRPr="006807BF">
        <w:t>Lead division</w:t>
      </w:r>
    </w:p>
    <w:p w14:paraId="76E93B05" w14:textId="7AAB9D14" w:rsidR="0082074B" w:rsidRPr="00891607" w:rsidRDefault="00E97469" w:rsidP="00594211">
      <w:pPr>
        <w:tabs>
          <w:tab w:val="left" w:pos="4500"/>
        </w:tabs>
        <w:rPr>
          <w:color w:val="000000" w:themeColor="text1"/>
        </w:rPr>
      </w:pPr>
      <w:r>
        <w:rPr>
          <w:color w:val="000000" w:themeColor="text1"/>
        </w:rPr>
        <w:t>Operations</w:t>
      </w:r>
    </w:p>
    <w:p w14:paraId="76E93B06" w14:textId="77777777" w:rsidR="00D60BF9" w:rsidRPr="006807BF" w:rsidRDefault="00D60BF9" w:rsidP="00D60BF9">
      <w:pPr>
        <w:pStyle w:val="Heading2"/>
        <w:rPr>
          <w:b/>
        </w:rPr>
      </w:pPr>
      <w:r w:rsidRPr="006807BF">
        <w:t>Program or activity</w:t>
      </w:r>
    </w:p>
    <w:p w14:paraId="76E93B07" w14:textId="7E5BA065" w:rsidR="00D60BF9" w:rsidRPr="00891607" w:rsidRDefault="00E97469" w:rsidP="00D60BF9">
      <w:pPr>
        <w:tabs>
          <w:tab w:val="left" w:pos="4500"/>
        </w:tabs>
        <w:rPr>
          <w:color w:val="000000" w:themeColor="text1"/>
        </w:rPr>
      </w:pPr>
      <w:r>
        <w:rPr>
          <w:color w:val="000000" w:themeColor="text1"/>
        </w:rPr>
        <w:t>Program Operations</w:t>
      </w:r>
    </w:p>
    <w:p w14:paraId="76E93B08" w14:textId="77777777" w:rsidR="00B34CF8" w:rsidRPr="006807BF" w:rsidRDefault="0027111E" w:rsidP="00F0078E">
      <w:pPr>
        <w:pStyle w:val="Heading2"/>
      </w:pPr>
      <w:r w:rsidRPr="006807BF">
        <w:t>Chapter 340 action</w:t>
      </w:r>
    </w:p>
    <w:p w14:paraId="76E93B09" w14:textId="77777777"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14:paraId="76E93B0C" w14:textId="77777777" w:rsidTr="00C307ED">
        <w:tc>
          <w:tcPr>
            <w:tcW w:w="2610" w:type="dxa"/>
          </w:tcPr>
          <w:p w14:paraId="76E93B0A" w14:textId="77777777" w:rsidR="00B34CF8" w:rsidRPr="00A1632A" w:rsidRDefault="00B34CF8" w:rsidP="00231FB8">
            <w:pPr>
              <w:ind w:left="0"/>
            </w:pPr>
            <w:r w:rsidRPr="00A1632A">
              <w:t>Adopt</w:t>
            </w:r>
          </w:p>
        </w:tc>
        <w:tc>
          <w:tcPr>
            <w:tcW w:w="6608" w:type="dxa"/>
          </w:tcPr>
          <w:p w14:paraId="76E93B0B" w14:textId="4398E54A" w:rsidR="00B34CF8" w:rsidRPr="00A1632A" w:rsidRDefault="00B34CF8" w:rsidP="00F06EEF">
            <w:pPr>
              <w:ind w:left="0"/>
            </w:pPr>
          </w:p>
        </w:tc>
      </w:tr>
      <w:tr w:rsidR="00B34CF8" w14:paraId="76E93B0F" w14:textId="77777777" w:rsidTr="00C307ED">
        <w:tc>
          <w:tcPr>
            <w:tcW w:w="2610" w:type="dxa"/>
          </w:tcPr>
          <w:p w14:paraId="76E93B0D" w14:textId="77777777" w:rsidR="00B34CF8" w:rsidRPr="00A1632A" w:rsidRDefault="00B34CF8" w:rsidP="00231FB8">
            <w:pPr>
              <w:ind w:left="0"/>
            </w:pPr>
            <w:r w:rsidRPr="00A1632A">
              <w:t>Amend</w:t>
            </w:r>
          </w:p>
        </w:tc>
        <w:tc>
          <w:tcPr>
            <w:tcW w:w="6608" w:type="dxa"/>
          </w:tcPr>
          <w:p w14:paraId="76E93B0E" w14:textId="50494C6A" w:rsidR="004E2D34" w:rsidRPr="00A1632A" w:rsidRDefault="00E97469" w:rsidP="00231FB8">
            <w:pPr>
              <w:ind w:left="0"/>
            </w:pPr>
            <w:r w:rsidRPr="00E97469">
              <w:t>OAR 340-244-0010</w:t>
            </w:r>
            <w:r w:rsidR="004E2D34">
              <w:t xml:space="preserve">, </w:t>
            </w:r>
            <w:commentRangeStart w:id="1"/>
            <w:r w:rsidR="004E2D34" w:rsidRPr="00E97469">
              <w:t>OAR 340-244-9000, 340-244-9010, 340-244-9020, 340-244-9030, 340-244-9040, 340-244-9050, 340-244-9060, 340-244-9070, 340-244-9080, 340-244-9090</w:t>
            </w:r>
            <w:commentRangeEnd w:id="1"/>
            <w:r w:rsidR="004E2D34">
              <w:rPr>
                <w:rStyle w:val="CommentReference"/>
              </w:rPr>
              <w:commentReference w:id="1"/>
            </w:r>
          </w:p>
        </w:tc>
      </w:tr>
      <w:tr w:rsidR="00B34CF8" w14:paraId="76E93B12" w14:textId="77777777" w:rsidTr="00C307ED">
        <w:tc>
          <w:tcPr>
            <w:tcW w:w="2610" w:type="dxa"/>
          </w:tcPr>
          <w:p w14:paraId="76E93B10" w14:textId="77777777" w:rsidR="00B34CF8" w:rsidRPr="00A1632A" w:rsidRDefault="00B34CF8" w:rsidP="00231FB8">
            <w:pPr>
              <w:ind w:left="0"/>
            </w:pPr>
            <w:r w:rsidRPr="00A1632A">
              <w:t>Repeal</w:t>
            </w:r>
          </w:p>
        </w:tc>
        <w:tc>
          <w:tcPr>
            <w:tcW w:w="6608" w:type="dxa"/>
          </w:tcPr>
          <w:p w14:paraId="76E93B11" w14:textId="338B336F" w:rsidR="00B34CF8" w:rsidRPr="00A1632A" w:rsidRDefault="00B34CF8" w:rsidP="00231FB8">
            <w:pPr>
              <w:ind w:left="0"/>
            </w:pPr>
          </w:p>
        </w:tc>
      </w:tr>
      <w:tr w:rsidR="00B34CF8" w14:paraId="76E93B15" w14:textId="77777777" w:rsidTr="00C307ED">
        <w:tc>
          <w:tcPr>
            <w:tcW w:w="2610" w:type="dxa"/>
          </w:tcPr>
          <w:p w14:paraId="76E93B13" w14:textId="77777777" w:rsidR="00B34CF8" w:rsidRPr="00A1632A" w:rsidRDefault="00B34CF8" w:rsidP="00231FB8">
            <w:pPr>
              <w:ind w:left="0"/>
            </w:pPr>
            <w:r w:rsidRPr="00A1632A">
              <w:t>Renumber</w:t>
            </w:r>
          </w:p>
        </w:tc>
        <w:tc>
          <w:tcPr>
            <w:tcW w:w="6608" w:type="dxa"/>
          </w:tcPr>
          <w:p w14:paraId="76E93B14" w14:textId="7E40F35A" w:rsidR="00B34CF8" w:rsidRPr="00A1632A" w:rsidRDefault="00B34CF8" w:rsidP="00231FB8">
            <w:pPr>
              <w:ind w:left="0"/>
            </w:pPr>
          </w:p>
        </w:tc>
      </w:tr>
      <w:tr w:rsidR="00B34CF8" w14:paraId="76E93B1C" w14:textId="77777777" w:rsidTr="00C307ED">
        <w:tc>
          <w:tcPr>
            <w:tcW w:w="2610" w:type="dxa"/>
          </w:tcPr>
          <w:p w14:paraId="76E93B16" w14:textId="77777777" w:rsidR="00B34CF8" w:rsidRPr="00A1632A" w:rsidRDefault="00B34CF8" w:rsidP="00231FB8">
            <w:pPr>
              <w:ind w:left="0"/>
            </w:pPr>
            <w:r w:rsidRPr="00A1632A">
              <w:t>Amend and Renumber</w:t>
            </w:r>
          </w:p>
        </w:tc>
        <w:tc>
          <w:tcPr>
            <w:tcW w:w="6608" w:type="dxa"/>
          </w:tcPr>
          <w:p w14:paraId="76E93B1B" w14:textId="1CC4AF38" w:rsidR="00B34CF8" w:rsidRPr="00A1632A" w:rsidRDefault="00B34CF8" w:rsidP="00231FB8">
            <w:pPr>
              <w:ind w:left="0"/>
            </w:pPr>
            <w:r w:rsidRPr="00F05E86">
              <w:rPr>
                <w:rStyle w:val="Emphasis"/>
                <w:rFonts w:ascii="Arial" w:hAnsi="Arial"/>
                <w:vanish w:val="0"/>
                <w:color w:val="C45911" w:themeColor="accent2" w:themeShade="BF"/>
                <w:sz w:val="24"/>
              </w:rPr>
              <w:t xml:space="preserve"> </w:t>
            </w:r>
          </w:p>
        </w:tc>
      </w:tr>
    </w:tbl>
    <w:p w14:paraId="76E93B1D" w14:textId="77777777" w:rsidR="00772D5F" w:rsidRDefault="00772D5F" w:rsidP="002D6C99"/>
    <w:p w14:paraId="76E93B21" w14:textId="77777777"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14:paraId="76E93B22" w14:textId="77777777" w:rsidR="0027111E" w:rsidRPr="006807BF" w:rsidRDefault="0027111E" w:rsidP="00F0078E">
      <w:pPr>
        <w:pStyle w:val="Heading2"/>
      </w:pPr>
      <w:r w:rsidRPr="006807BF">
        <w:t xml:space="preserve">Statutory authority </w:t>
      </w:r>
    </w:p>
    <w:p w14:paraId="2A1DD05D" w14:textId="77777777" w:rsidR="00E97469" w:rsidRDefault="00E97469" w:rsidP="00393E3C">
      <w:pPr>
        <w:pStyle w:val="Heading2"/>
        <w:rPr>
          <w:rFonts w:ascii="Times New Roman" w:hAnsi="Times New Roman" w:cs="Times New Roman"/>
          <w:bCs w:val="0"/>
          <w:color w:val="000000" w:themeColor="text1"/>
          <w:sz w:val="24"/>
          <w:szCs w:val="24"/>
        </w:rPr>
      </w:pPr>
      <w:r w:rsidRPr="00E97469">
        <w:rPr>
          <w:rFonts w:ascii="Times New Roman" w:hAnsi="Times New Roman" w:cs="Times New Roman"/>
          <w:bCs w:val="0"/>
          <w:color w:val="000000" w:themeColor="text1"/>
          <w:sz w:val="24"/>
          <w:szCs w:val="24"/>
        </w:rPr>
        <w:t>ORS 468.020, 468A.025, 468A.040, 468A.310</w:t>
      </w:r>
    </w:p>
    <w:p w14:paraId="76E93B24" w14:textId="54CF48D7" w:rsidR="00393E3C" w:rsidRPr="00F268E2" w:rsidRDefault="00393E3C" w:rsidP="00393E3C">
      <w:pPr>
        <w:pStyle w:val="Heading2"/>
      </w:pPr>
      <w:r w:rsidRPr="00F268E2">
        <w:t>Statute implemented</w:t>
      </w:r>
    </w:p>
    <w:p w14:paraId="0BA5361C" w14:textId="77777777" w:rsidR="00E97469" w:rsidRDefault="00E97469" w:rsidP="00F0078E">
      <w:pPr>
        <w:pStyle w:val="Heading2"/>
        <w:rPr>
          <w:rFonts w:ascii="Times New Roman" w:hAnsi="Times New Roman" w:cs="Times New Roman"/>
          <w:bCs w:val="0"/>
          <w:color w:val="auto"/>
          <w:sz w:val="24"/>
          <w:szCs w:val="24"/>
        </w:rPr>
      </w:pPr>
      <w:r w:rsidRPr="00E97469">
        <w:rPr>
          <w:rFonts w:ascii="Times New Roman" w:hAnsi="Times New Roman" w:cs="Times New Roman"/>
          <w:bCs w:val="0"/>
          <w:color w:val="auto"/>
          <w:sz w:val="24"/>
          <w:szCs w:val="24"/>
        </w:rPr>
        <w:t xml:space="preserve">ORS 468A.025, &amp; 468A.040 </w:t>
      </w:r>
    </w:p>
    <w:p w14:paraId="76E93B2A" w14:textId="77777777" w:rsidR="00231FB8" w:rsidRPr="00231FB8" w:rsidRDefault="00231FB8" w:rsidP="00454FBA">
      <w:pPr>
        <w:ind w:left="0"/>
      </w:pPr>
    </w:p>
    <w:p w14:paraId="76E93B2B" w14:textId="77777777" w:rsidR="0027111E" w:rsidRDefault="0027111E" w:rsidP="00762E3F">
      <w:pPr>
        <w:ind w:left="540"/>
        <w:rPr>
          <w:u w:val="single"/>
        </w:rPr>
      </w:pPr>
      <w:bookmarkStart w:id="2" w:name="SupportingDocuments"/>
      <w:r w:rsidRPr="00762E3F">
        <w:rPr>
          <w:rStyle w:val="Heading2Char"/>
        </w:rPr>
        <w:t xml:space="preserve">Documents relied on for rulemaking </w:t>
      </w:r>
      <w:bookmarkEnd w:id="2"/>
      <w:r w:rsidRPr="00762E3F">
        <w:rPr>
          <w:rStyle w:val="Heading2Char"/>
        </w:rPr>
        <w:tab/>
      </w:r>
      <w:r w:rsidRPr="00891607">
        <w:rPr>
          <w:color w:val="C45911" w:themeColor="accent2" w:themeShade="BF"/>
          <w:u w:val="single"/>
        </w:rPr>
        <w:t>ORS 183.335(2)(b)(</w:t>
      </w:r>
      <w:r w:rsidR="006D7F78" w:rsidRPr="00891607">
        <w:rPr>
          <w:color w:val="C45911" w:themeColor="accent2" w:themeShade="BF"/>
          <w:u w:val="single"/>
        </w:rPr>
        <w:t>D</w:t>
      </w:r>
      <w:r w:rsidRPr="00891607">
        <w:rPr>
          <w:color w:val="C45911" w:themeColor="accent2" w:themeShade="BF"/>
          <w:u w:val="single"/>
        </w:rPr>
        <w:t>)</w:t>
      </w:r>
    </w:p>
    <w:p w14:paraId="76E93B2C" w14:textId="77777777" w:rsidR="006D7F78" w:rsidRDefault="006D7F78" w:rsidP="00762E3F">
      <w:pPr>
        <w:ind w:left="540"/>
        <w:rPr>
          <w:u w:val="single"/>
        </w:rPr>
      </w:pPr>
    </w:p>
    <w:p w14:paraId="76E93B40" w14:textId="7ED0D800" w:rsidR="0027111E" w:rsidRPr="000D07CA" w:rsidRDefault="00E97469" w:rsidP="00804593">
      <w:pPr>
        <w:ind w:left="540"/>
      </w:pPr>
      <w:r w:rsidRPr="00E97469">
        <w:t>none</w:t>
      </w:r>
    </w:p>
    <w:p w14:paraId="76E93B41"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76E93B43" w14:textId="77777777" w:rsidTr="009778BC">
        <w:trPr>
          <w:trHeight w:val="613"/>
        </w:trPr>
        <w:tc>
          <w:tcPr>
            <w:tcW w:w="12240" w:type="dxa"/>
            <w:shd w:val="clear" w:color="000000" w:fill="D5DCE4" w:themeFill="text2" w:themeFillTint="33"/>
            <w:noWrap/>
            <w:vAlign w:val="bottom"/>
            <w:hideMark/>
          </w:tcPr>
          <w:p w14:paraId="76E93B42" w14:textId="77777777"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291.055(1)(d)</w:t>
            </w:r>
            <w:r w:rsidR="00C51EA4">
              <w:rPr>
                <w:rFonts w:ascii="Arial" w:hAnsi="Arial" w:cs="Arial"/>
                <w:b w:val="0"/>
                <w:color w:val="C45911" w:themeColor="accent2" w:themeShade="BF"/>
                <w:sz w:val="24"/>
                <w:szCs w:val="24"/>
              </w:rPr>
              <w:t xml:space="preserve">;  </w:t>
            </w:r>
            <w:hyperlink r:id="rId15" w:history="1">
              <w:r w:rsidR="00C51EA4" w:rsidRPr="00C51EA4">
                <w:rPr>
                  <w:rStyle w:val="Hyperlink"/>
                  <w:rFonts w:ascii="Arial" w:hAnsi="Arial" w:cs="Arial"/>
                  <w:b w:val="0"/>
                  <w:sz w:val="24"/>
                  <w:szCs w:val="24"/>
                </w:rPr>
                <w:t>Fee Approval</w:t>
              </w:r>
            </w:hyperlink>
          </w:p>
        </w:tc>
      </w:tr>
    </w:tbl>
    <w:p w14:paraId="76E93B44" w14:textId="77777777" w:rsidR="0027111E" w:rsidRPr="00AA26D5" w:rsidRDefault="0027111E" w:rsidP="002D6C99"/>
    <w:p w14:paraId="76E93B4E" w14:textId="5F78C692" w:rsidR="00393E3C" w:rsidRPr="000337BF" w:rsidRDefault="00393E3C" w:rsidP="000337BF">
      <w:bookmarkStart w:id="3" w:name="RANGE!A226:B243"/>
      <w:bookmarkEnd w:id="3"/>
      <w:r>
        <w:t>This rulemaking does not involve fees.</w:t>
      </w:r>
    </w:p>
    <w:p w14:paraId="76E93B4F"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76E93B52"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6E93B50" w14:textId="77777777" w:rsidR="00AD7DB9" w:rsidRPr="00B15DF7" w:rsidRDefault="00AD7DB9" w:rsidP="002D6C99"/>
          <w:p w14:paraId="76E93B51" w14:textId="77777777" w:rsidR="00AD7DB9" w:rsidRPr="00093277" w:rsidRDefault="00AD7DB9" w:rsidP="00C51EA4">
            <w:pPr>
              <w:rPr>
                <w:bCs/>
                <w:color w:val="00494F"/>
                <w:sz w:val="28"/>
                <w:szCs w:val="28"/>
              </w:rPr>
            </w:pPr>
            <w:r w:rsidRPr="007F0170">
              <w:rPr>
                <w:rStyle w:val="Heading1Char"/>
              </w:rPr>
              <w:t>Statement of fiscal and economic impact</w:t>
            </w:r>
            <w:r w:rsidR="00C51EA4">
              <w:rPr>
                <w:rStyle w:val="Heading1Char"/>
              </w:rPr>
              <w:t xml:space="preserve"> </w:t>
            </w:r>
            <w:r w:rsidR="00C51EA4">
              <w:rPr>
                <w:rFonts w:ascii="Arial" w:hAnsi="Arial" w:cs="Arial"/>
                <w:color w:val="C45911" w:themeColor="accent2" w:themeShade="BF"/>
              </w:rPr>
              <w:t>18</w:t>
            </w:r>
            <w:r w:rsidRPr="00262E4D">
              <w:rPr>
                <w:rFonts w:ascii="Arial" w:hAnsi="Arial" w:cs="Arial"/>
                <w:color w:val="C45911" w:themeColor="accent2" w:themeShade="BF"/>
              </w:rPr>
              <w:t>3.335 (2)(b)(E)</w:t>
            </w:r>
            <w:r w:rsidR="00D1364A">
              <w:rPr>
                <w:rFonts w:ascii="Arial" w:hAnsi="Arial" w:cs="Arial"/>
                <w:color w:val="C45911" w:themeColor="accent2" w:themeShade="BF"/>
              </w:rPr>
              <w:t>; 183.540</w:t>
            </w:r>
            <w:r w:rsidR="00C51EA4">
              <w:rPr>
                <w:rFonts w:ascii="Arial" w:hAnsi="Arial" w:cs="Arial"/>
                <w:color w:val="C45911" w:themeColor="accent2" w:themeShade="BF"/>
              </w:rPr>
              <w:t xml:space="preserve"> </w:t>
            </w:r>
            <w:hyperlink r:id="rId16" w:history="1">
              <w:r w:rsidR="00C51EA4" w:rsidRPr="00C51EA4">
                <w:rPr>
                  <w:rStyle w:val="Hyperlink"/>
                  <w:rFonts w:ascii="Arial" w:hAnsi="Arial" w:cs="Arial"/>
                </w:rPr>
                <w:t>Fiscal Impact Analysis</w:t>
              </w:r>
            </w:hyperlink>
          </w:p>
        </w:tc>
      </w:tr>
    </w:tbl>
    <w:p w14:paraId="76E93B53" w14:textId="77777777" w:rsidR="00AD7DB9" w:rsidRDefault="00AD7DB9" w:rsidP="002D6C99"/>
    <w:p w14:paraId="76E93B54" w14:textId="77777777"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14:paraId="76E93B55" w14:textId="77777777" w:rsidR="00DE6FD3" w:rsidRPr="00F05E86" w:rsidRDefault="00DE6FD3" w:rsidP="002D6C99">
      <w:pPr>
        <w:rPr>
          <w:rStyle w:val="Emphasis"/>
          <w:rFonts w:ascii="Arial" w:hAnsi="Arial"/>
          <w:vanish w:val="0"/>
          <w:color w:val="C45911" w:themeColor="accent2" w:themeShade="BF"/>
          <w:sz w:val="24"/>
        </w:rPr>
      </w:pPr>
    </w:p>
    <w:p w14:paraId="76E93B56" w14:textId="77777777" w:rsidR="00AD7DB9" w:rsidRPr="006807BF" w:rsidRDefault="00AD7DB9" w:rsidP="00817FE6">
      <w:pPr>
        <w:pStyle w:val="Subtitle"/>
        <w:ind w:left="360"/>
      </w:pPr>
      <w:r w:rsidRPr="006807BF">
        <w:t>Fiscal and Economic Impact</w:t>
      </w:r>
    </w:p>
    <w:p w14:paraId="1EC48F33" w14:textId="77777777" w:rsidR="00667D64" w:rsidRDefault="00667D64" w:rsidP="002D6C99">
      <w:pPr>
        <w:rPr>
          <w:color w:val="000000" w:themeColor="text1"/>
        </w:rPr>
      </w:pPr>
    </w:p>
    <w:p w14:paraId="76CD4679" w14:textId="77777777" w:rsidR="00667D64" w:rsidRDefault="00667D64" w:rsidP="002D6C99">
      <w:pPr>
        <w:rPr>
          <w:color w:val="000000" w:themeColor="text1"/>
        </w:rPr>
      </w:pPr>
      <w:r w:rsidRPr="00667D64">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76E93B59" w14:textId="77777777" w:rsidR="00AD7DB9" w:rsidRDefault="00AD7DB9" w:rsidP="002D6C99"/>
    <w:p w14:paraId="76E93B5A" w14:textId="77777777" w:rsidR="00AD7DB9" w:rsidRDefault="00AD7DB9" w:rsidP="002D6C99">
      <w:pPr>
        <w:rPr>
          <w:rFonts w:asciiTheme="majorHAnsi" w:hAnsiTheme="majorHAnsi" w:cstheme="majorHAnsi"/>
          <w:sz w:val="22"/>
          <w:szCs w:val="22"/>
        </w:rPr>
      </w:pPr>
      <w:r w:rsidRPr="00B15DF7">
        <w:tab/>
      </w:r>
    </w:p>
    <w:p w14:paraId="76E93B5B"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76E93B5C" w14:textId="77777777" w:rsidR="00240DC5" w:rsidRDefault="00240DC5" w:rsidP="002D6C99">
      <w:pPr>
        <w:rPr>
          <w:rStyle w:val="Emphasis"/>
          <w:rFonts w:ascii="Arial" w:hAnsi="Arial"/>
          <w:vanish w:val="0"/>
          <w:color w:val="C45911" w:themeColor="accent2" w:themeShade="BF"/>
          <w:sz w:val="24"/>
        </w:rPr>
      </w:pPr>
    </w:p>
    <w:p w14:paraId="76E93B5D" w14:textId="77777777"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ather than repeat identical impacts, its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14:paraId="76E93B5E" w14:textId="77777777" w:rsidR="00AD7DB9" w:rsidRDefault="00AD7DB9" w:rsidP="002D6C99"/>
    <w:p w14:paraId="76E93B5F" w14:textId="20B97C4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p>
    <w:p w14:paraId="742E300B" w14:textId="77777777" w:rsidR="00FE4B78" w:rsidRDefault="00FE4B78" w:rsidP="0089586E">
      <w:pPr>
        <w:spacing w:after="120"/>
        <w:ind w:left="1440"/>
        <w:rPr>
          <w:color w:val="1F4E79" w:themeColor="accent1" w:themeShade="80"/>
        </w:rPr>
      </w:pPr>
      <w:r w:rsidRPr="008F491E">
        <w:t>Direct Impacts</w:t>
      </w:r>
      <w:r w:rsidRPr="008F491E">
        <w:rPr>
          <w:color w:val="1F4E79" w:themeColor="accent1" w:themeShade="80"/>
        </w:rPr>
        <w:tab/>
      </w:r>
    </w:p>
    <w:p w14:paraId="412DD5D8" w14:textId="77777777" w:rsidR="00F61055" w:rsidRDefault="00F61055" w:rsidP="0089586E">
      <w:pPr>
        <w:spacing w:after="120"/>
        <w:ind w:left="1440" w:right="14"/>
      </w:pPr>
      <w: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362DDD05" w14:textId="5EB82B62" w:rsidR="00F61055" w:rsidRDefault="00F61055" w:rsidP="0089586E">
      <w:pPr>
        <w:spacing w:after="120"/>
        <w:ind w:left="1440" w:right="14"/>
      </w:pPr>
      <w: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6E93B60" w14:textId="4D9E13F7" w:rsidR="00AD7DB9" w:rsidRPr="00B00F65" w:rsidRDefault="00B00F65" w:rsidP="00B00F65">
      <w:pPr>
        <w:spacing w:after="120"/>
        <w:ind w:left="1440" w:right="14"/>
      </w:pPr>
      <w:r>
        <w:t xml:space="preserve">The US Environmental Protection Agency has been in contact with CAGMs and DEQ but they would not be directly involved in implementing the proposed rules. </w:t>
      </w:r>
      <w:r w:rsidR="00667D64">
        <w:t>DEQ does not anticipate impacts to federal agencies or other state agencies besides DEQ.</w:t>
      </w:r>
    </w:p>
    <w:p w14:paraId="3B4067EA" w14:textId="77777777" w:rsidR="00FE4B78" w:rsidRDefault="00FE4B78" w:rsidP="0089586E">
      <w:pPr>
        <w:spacing w:after="120"/>
        <w:ind w:left="1440"/>
        <w:rPr>
          <w:bCs/>
          <w:color w:val="000000" w:themeColor="text1"/>
        </w:rPr>
      </w:pPr>
    </w:p>
    <w:p w14:paraId="76E93B63" w14:textId="77777777" w:rsidR="002A1E7F" w:rsidRDefault="00AD7DB9" w:rsidP="0089586E">
      <w:pPr>
        <w:spacing w:after="120"/>
        <w:ind w:left="1440"/>
      </w:pPr>
      <w:r w:rsidRPr="008F491E">
        <w:t>Indirect Impacts</w:t>
      </w:r>
    </w:p>
    <w:p w14:paraId="2E8EFABE" w14:textId="0204A59A" w:rsidR="00DA59FA" w:rsidRDefault="00DA59FA" w:rsidP="0089586E">
      <w:pPr>
        <w:spacing w:after="120"/>
        <w:ind w:left="1080"/>
        <w:rPr>
          <w:bCs/>
          <w:color w:val="000000" w:themeColor="text1"/>
        </w:rPr>
      </w:pPr>
      <w:r>
        <w:rPr>
          <w:bCs/>
          <w:color w:val="000000" w:themeColor="text1"/>
        </w:rPr>
        <w:tab/>
      </w:r>
      <w:r w:rsidRPr="00DA59FA">
        <w:rPr>
          <w:bCs/>
          <w:color w:val="000000" w:themeColor="text1"/>
        </w:rPr>
        <w:t xml:space="preserve">DEQ does not anticipate </w:t>
      </w:r>
      <w:r>
        <w:rPr>
          <w:bCs/>
          <w:color w:val="000000" w:themeColor="text1"/>
        </w:rPr>
        <w:t xml:space="preserve">indirect </w:t>
      </w:r>
      <w:r w:rsidRPr="00DA59FA">
        <w:rPr>
          <w:bCs/>
          <w:color w:val="000000" w:themeColor="text1"/>
        </w:rPr>
        <w:t xml:space="preserve">impacts to </w:t>
      </w:r>
      <w:r>
        <w:rPr>
          <w:bCs/>
          <w:color w:val="000000" w:themeColor="text1"/>
        </w:rPr>
        <w:t xml:space="preserve">DEQ or other state and </w:t>
      </w:r>
      <w:r w:rsidRPr="00DA59FA">
        <w:rPr>
          <w:bCs/>
          <w:color w:val="000000" w:themeColor="text1"/>
        </w:rPr>
        <w:t>federal agencies.</w:t>
      </w:r>
    </w:p>
    <w:p w14:paraId="43ABEF57" w14:textId="77777777" w:rsidR="00DA59FA" w:rsidRPr="008F491E" w:rsidRDefault="00DA59FA" w:rsidP="00817FE6">
      <w:pPr>
        <w:ind w:left="1080"/>
      </w:pPr>
    </w:p>
    <w:p w14:paraId="76E93B66"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009FF205" w14:textId="7C42B407" w:rsidR="00FE4B78" w:rsidRPr="008F491E" w:rsidRDefault="00FE4B78" w:rsidP="00FE4B78">
      <w:pPr>
        <w:spacing w:after="120"/>
        <w:ind w:left="1440" w:right="14"/>
        <w:rPr>
          <w:rFonts w:asciiTheme="majorHAnsi" w:hAnsiTheme="majorHAnsi" w:cstheme="majorHAnsi"/>
          <w:sz w:val="22"/>
          <w:szCs w:val="22"/>
        </w:rPr>
      </w:pPr>
      <w:r>
        <w:t xml:space="preserve">DEQ does not anticipate </w:t>
      </w:r>
      <w:r w:rsidR="00B83BE2">
        <w:t xml:space="preserve">direct or indirect </w:t>
      </w:r>
      <w:r>
        <w:t>impacts to local governments.</w:t>
      </w:r>
    </w:p>
    <w:p w14:paraId="76E93B6C" w14:textId="77777777" w:rsidR="00AD7DB9" w:rsidRPr="004C5782" w:rsidRDefault="00AD7DB9" w:rsidP="00817FE6">
      <w:pPr>
        <w:ind w:left="1080"/>
      </w:pPr>
    </w:p>
    <w:p w14:paraId="76E93B6D"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76E93B6F" w14:textId="77777777" w:rsidR="002A1E7F" w:rsidRDefault="00AD7DB9" w:rsidP="0089586E">
      <w:pPr>
        <w:spacing w:after="120"/>
        <w:ind w:left="1440"/>
        <w:rPr>
          <w:color w:val="1F4E79" w:themeColor="accent1" w:themeShade="80"/>
        </w:rPr>
      </w:pPr>
      <w:r w:rsidRPr="008F491E">
        <w:t>Direct Impacts</w:t>
      </w:r>
      <w:r w:rsidRPr="008F491E">
        <w:rPr>
          <w:color w:val="1F4E79" w:themeColor="accent1" w:themeShade="80"/>
        </w:rPr>
        <w:tab/>
      </w:r>
    </w:p>
    <w:p w14:paraId="76E93B70" w14:textId="4895BB7C" w:rsidR="00AD7DB9" w:rsidRPr="001A0455" w:rsidRDefault="001A0455" w:rsidP="0089586E">
      <w:pPr>
        <w:spacing w:after="120"/>
        <w:ind w:left="1440" w:right="14"/>
        <w:rPr>
          <w:rFonts w:asciiTheme="majorHAnsi" w:hAnsiTheme="majorHAnsi" w:cstheme="majorHAnsi"/>
          <w:sz w:val="22"/>
          <w:szCs w:val="22"/>
        </w:rPr>
      </w:pPr>
      <w:r>
        <w:t>DEQ does not anticipate direct impacts to members of the public, because they are not subject to the rule.</w:t>
      </w:r>
      <w:r>
        <w:rPr>
          <w:bCs/>
          <w:color w:val="000000" w:themeColor="text1"/>
        </w:rPr>
        <w:t xml:space="preserve"> </w:t>
      </w:r>
    </w:p>
    <w:p w14:paraId="4B6667D6" w14:textId="77777777" w:rsidR="0089586E" w:rsidRDefault="0089586E" w:rsidP="0089586E">
      <w:pPr>
        <w:spacing w:after="120"/>
        <w:ind w:left="1440"/>
      </w:pPr>
    </w:p>
    <w:p w14:paraId="0CAB478D" w14:textId="32AA4A98" w:rsidR="001A0455" w:rsidRDefault="00AD7DB9" w:rsidP="0089586E">
      <w:pPr>
        <w:spacing w:after="120"/>
        <w:ind w:left="1440"/>
      </w:pPr>
      <w:r w:rsidRPr="008F491E">
        <w:t>Indirect Impacts</w:t>
      </w:r>
    </w:p>
    <w:p w14:paraId="43958003" w14:textId="77777777" w:rsidR="001A0455" w:rsidRDefault="001A0455" w:rsidP="0089586E">
      <w:pPr>
        <w:spacing w:after="120"/>
        <w:ind w:left="1440" w:right="14"/>
      </w:pPr>
      <w:r w:rsidRPr="00E734FC">
        <w:t>The proposed rules are intended to measure and reduce emissions of metal HAPs from the CAGMs subject to the</w:t>
      </w:r>
      <w:r>
        <w:t xml:space="preserve"> rule. Decreased emissions of metal HAPs and other particulate matter may have significant health benefits for the public, particularly those who live, work or otherwise spend significant time near a CAGM.</w:t>
      </w:r>
    </w:p>
    <w:p w14:paraId="595CD41F" w14:textId="77777777" w:rsidR="001A0455" w:rsidRDefault="001A0455" w:rsidP="0089586E">
      <w:pPr>
        <w:spacing w:after="120"/>
        <w:ind w:left="1440" w:right="14"/>
      </w:pPr>
      <w: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59428BB7" w14:textId="77777777" w:rsidR="001A0455" w:rsidRDefault="001A0455" w:rsidP="0089586E">
      <w:pPr>
        <w:spacing w:after="120"/>
        <w:ind w:left="1440" w:right="14"/>
      </w:pPr>
      <w: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68F6DF3E" w14:textId="77777777" w:rsidR="001A0455" w:rsidRDefault="001A0455" w:rsidP="0089586E">
      <w:pPr>
        <w:spacing w:after="120"/>
        <w:ind w:left="1440" w:right="14"/>
      </w:pPr>
      <w:r>
        <w:t>Health problems have negative economic impacts to the people experiencing them.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1DF3FB6" w14:textId="77777777" w:rsidR="001A0455" w:rsidRDefault="001A0455" w:rsidP="0089586E">
      <w:pPr>
        <w:spacing w:after="120"/>
        <w:ind w:left="1440" w:right="14"/>
      </w:pPr>
      <w:r>
        <w:t>The US Environmental Protection Agency (EPA) estimated the costs and benefits of the 1990 Clean Air Act Amendments</w:t>
      </w:r>
      <w:r>
        <w:rPr>
          <w:rStyle w:val="FootnoteReference"/>
        </w:rPr>
        <w:footnoteReference w:id="3"/>
      </w:r>
      <w:r>
        <w:t>, which among other things expanded regulation of air toxics and led to regulations such as NESHAP 6S. EPA’s estimate was that the health benefits of that set of regulations were 30 times the costs of compliance, with a range between 3 and 90. However, it is unknown whether numbers would be similar for these proposed rules.</w:t>
      </w:r>
    </w:p>
    <w:p w14:paraId="4C9C226D" w14:textId="77777777" w:rsidR="001A0455" w:rsidRDefault="001A0455" w:rsidP="0089586E">
      <w:pPr>
        <w:spacing w:after="120"/>
        <w:ind w:left="1440" w:right="14"/>
      </w:pPr>
      <w: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6E93B72" w14:textId="5B426286" w:rsidR="00AD7DB9" w:rsidRPr="001A0455" w:rsidRDefault="001A0455" w:rsidP="0089586E">
      <w:pPr>
        <w:spacing w:after="120"/>
        <w:ind w:left="1440" w:right="14"/>
      </w:pPr>
      <w:r>
        <w:lastRenderedPageBreak/>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76E93B73" w14:textId="77777777" w:rsidR="00AD7DB9" w:rsidRDefault="00AD7DB9" w:rsidP="00817FE6">
      <w:pPr>
        <w:ind w:left="1080"/>
      </w:pPr>
    </w:p>
    <w:p w14:paraId="76E93B74"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76E93B76" w14:textId="77777777" w:rsidR="002A1E7F" w:rsidRDefault="00AD7DB9" w:rsidP="0089586E">
      <w:pPr>
        <w:spacing w:after="120"/>
        <w:ind w:left="1440" w:right="14"/>
      </w:pPr>
      <w:r w:rsidRPr="008F491E">
        <w:t>Direct Impacts</w:t>
      </w:r>
    </w:p>
    <w:p w14:paraId="6393F8D2" w14:textId="77777777" w:rsidR="00F61055" w:rsidRPr="00F61055" w:rsidRDefault="00F61055" w:rsidP="0089586E">
      <w:pPr>
        <w:spacing w:after="120"/>
        <w:ind w:left="1440" w:right="14"/>
        <w:rPr>
          <w:bCs/>
          <w:color w:val="000000" w:themeColor="text1"/>
        </w:rPr>
      </w:pPr>
      <w:r w:rsidRPr="00F61055">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05802FF0" w14:textId="7396E218" w:rsidR="00F61055" w:rsidRPr="00F61055" w:rsidRDefault="00F61055" w:rsidP="0089586E">
      <w:pPr>
        <w:spacing w:after="120"/>
        <w:ind w:left="1440" w:right="14"/>
        <w:rPr>
          <w:bCs/>
          <w:color w:val="000000" w:themeColor="text1"/>
        </w:rPr>
      </w:pPr>
      <w:r w:rsidRPr="00F61055">
        <w:rPr>
          <w:bCs/>
          <w:color w:val="000000" w:themeColor="text1"/>
        </w:rPr>
        <w:t xml:space="preserve">Compliance cost may vary depending on facility-specific circumstances. In particular, Bullseye is making changes to comply with </w:t>
      </w:r>
      <w:r>
        <w:rPr>
          <w:bCs/>
          <w:color w:val="000000" w:themeColor="text1"/>
        </w:rPr>
        <w:t xml:space="preserve">NESHAP 6S </w:t>
      </w:r>
      <w:r w:rsidRPr="00F61055">
        <w:rPr>
          <w:bCs/>
          <w:color w:val="000000" w:themeColor="text1"/>
        </w:rPr>
        <w:t>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A11B84F" w14:textId="77777777" w:rsidR="00F61055" w:rsidRPr="00F61055" w:rsidRDefault="00F61055" w:rsidP="0089586E">
      <w:pPr>
        <w:spacing w:after="120"/>
        <w:ind w:left="1440" w:right="14"/>
        <w:rPr>
          <w:bCs/>
          <w:color w:val="000000" w:themeColor="text1"/>
        </w:rPr>
      </w:pPr>
      <w:r w:rsidRPr="00F61055">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133159D7" w14:textId="77777777" w:rsidR="00F61055" w:rsidRPr="00F61055" w:rsidRDefault="00F61055" w:rsidP="0089586E">
      <w:pPr>
        <w:spacing w:after="120"/>
        <w:ind w:left="1440" w:right="14"/>
        <w:rPr>
          <w:bCs/>
          <w:color w:val="000000" w:themeColor="text1"/>
        </w:rPr>
      </w:pPr>
      <w:r w:rsidRPr="00F61055">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0F038C33" w14:textId="2A300408" w:rsidR="00F61055" w:rsidRPr="00F61055" w:rsidRDefault="00F61055" w:rsidP="0089586E">
      <w:pPr>
        <w:spacing w:after="120"/>
        <w:ind w:left="1440" w:right="14"/>
        <w:rPr>
          <w:bCs/>
          <w:color w:val="000000" w:themeColor="text1"/>
        </w:rPr>
      </w:pPr>
      <w:r w:rsidRPr="00F61055">
        <w:rPr>
          <w:bCs/>
          <w:color w:val="000000" w:themeColor="text1"/>
        </w:rPr>
        <w:t xml:space="preserve">It is possible that Bullseye may be able to offset the cost of compliance through increased prices. However, this potential may be limited if prices are set in a market that includes competitors located outside the jurisdiction of the proposed rules. </w:t>
      </w:r>
    </w:p>
    <w:p w14:paraId="2B72EA6C" w14:textId="77777777" w:rsidR="00F61055" w:rsidRDefault="00F61055" w:rsidP="0089586E">
      <w:pPr>
        <w:spacing w:after="120"/>
        <w:ind w:left="1440" w:right="14"/>
        <w:rPr>
          <w:bCs/>
          <w:color w:val="000000" w:themeColor="text1"/>
        </w:rPr>
      </w:pPr>
      <w:r w:rsidRPr="00F61055">
        <w:rPr>
          <w:bCs/>
          <w:color w:val="000000" w:themeColor="text1"/>
        </w:rPr>
        <w:t xml:space="preserve">Further details on these cost estimates can be found in the </w:t>
      </w:r>
      <w:r w:rsidRPr="00F61055">
        <w:rPr>
          <w:bCs/>
          <w:color w:val="000000" w:themeColor="text1"/>
          <w:highlight w:val="yellow"/>
        </w:rPr>
        <w:t>attached tables</w:t>
      </w:r>
      <w:r w:rsidRPr="00F61055">
        <w:rPr>
          <w:bCs/>
          <w:color w:val="000000" w:themeColor="text1"/>
        </w:rPr>
        <w:t>.</w:t>
      </w:r>
    </w:p>
    <w:p w14:paraId="4D133367" w14:textId="77777777" w:rsidR="00F61055" w:rsidRDefault="00F61055" w:rsidP="0089586E">
      <w:pPr>
        <w:spacing w:after="120"/>
        <w:ind w:left="1440" w:right="14"/>
        <w:rPr>
          <w:bCs/>
          <w:color w:val="000000" w:themeColor="text1"/>
        </w:rPr>
      </w:pPr>
    </w:p>
    <w:p w14:paraId="76E93B78" w14:textId="77777777" w:rsidR="002A1E7F" w:rsidRDefault="00AD7DB9" w:rsidP="0089586E">
      <w:pPr>
        <w:spacing w:after="120"/>
        <w:ind w:left="1440" w:right="14"/>
      </w:pPr>
      <w:r w:rsidRPr="008F491E">
        <w:t>Indirect Impacts</w:t>
      </w:r>
    </w:p>
    <w:p w14:paraId="14036D71" w14:textId="6BFDBD01" w:rsidR="00F61055" w:rsidRPr="00F61055" w:rsidRDefault="00F61055" w:rsidP="0089586E">
      <w:pPr>
        <w:spacing w:after="120"/>
        <w:ind w:left="1440" w:right="14"/>
        <w:rPr>
          <w:bCs/>
          <w:color w:val="000000" w:themeColor="text1"/>
        </w:rPr>
      </w:pPr>
      <w:r>
        <w:rPr>
          <w:bCs/>
          <w:color w:val="000000" w:themeColor="text1"/>
        </w:rPr>
        <w:t xml:space="preserve">To the extent CAGMs </w:t>
      </w:r>
      <w:r w:rsidRPr="00F61055">
        <w:rPr>
          <w:bCs/>
          <w:color w:val="000000" w:themeColor="text1"/>
        </w:rPr>
        <w:t xml:space="preserve">raise their prices in response to the proposed rules, the increased prices represent an indirect fiscal impact on their customers, some of whom may be large businesses. DEQ does not have sufficient information to estimate this effect. </w:t>
      </w:r>
    </w:p>
    <w:p w14:paraId="0F1782D9" w14:textId="77777777" w:rsidR="00F61055" w:rsidRDefault="00F61055" w:rsidP="002D6C99"/>
    <w:p w14:paraId="76E93B7B" w14:textId="77777777"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14:paraId="76E93B7F" w14:textId="77777777" w:rsidR="002A1E7F" w:rsidRDefault="00AD7DB9" w:rsidP="00137FCB">
      <w:pPr>
        <w:spacing w:after="120"/>
        <w:ind w:left="1440" w:right="14"/>
        <w:rPr>
          <w:color w:val="1F4E79" w:themeColor="accent1" w:themeShade="80"/>
        </w:rPr>
      </w:pPr>
      <w:r w:rsidRPr="008F491E">
        <w:t>Direct Impacts</w:t>
      </w:r>
      <w:r w:rsidRPr="008F491E">
        <w:rPr>
          <w:color w:val="1F4E79" w:themeColor="accent1" w:themeShade="80"/>
        </w:rPr>
        <w:tab/>
      </w:r>
    </w:p>
    <w:p w14:paraId="511B7454" w14:textId="77777777" w:rsidR="00137FCB" w:rsidRPr="00137FCB" w:rsidRDefault="00137FCB" w:rsidP="00137FCB">
      <w:pPr>
        <w:spacing w:after="120"/>
        <w:ind w:left="1440" w:right="14"/>
        <w:rPr>
          <w:bCs/>
          <w:color w:val="000000" w:themeColor="text1"/>
        </w:rPr>
      </w:pPr>
      <w:r w:rsidRPr="00137FCB">
        <w:rPr>
          <w:bCs/>
          <w:color w:val="000000" w:themeColor="text1"/>
        </w:rPr>
        <w:t>Four of the five businesses subject to the proposed rules have 50 or fewer employees and are therefore considered small businesses for the purposes of rulemaking fiscal analysis.</w:t>
      </w:r>
    </w:p>
    <w:p w14:paraId="254A9601" w14:textId="77777777" w:rsidR="00137FCB" w:rsidRPr="00137FCB" w:rsidRDefault="00137FCB" w:rsidP="00137FCB">
      <w:pPr>
        <w:spacing w:after="120"/>
        <w:ind w:left="1440" w:right="14"/>
        <w:rPr>
          <w:bCs/>
          <w:color w:val="000000" w:themeColor="text1"/>
        </w:rPr>
      </w:pPr>
    </w:p>
    <w:p w14:paraId="396975E3" w14:textId="77777777" w:rsidR="00137FCB" w:rsidRPr="00137FCB" w:rsidRDefault="00137FCB" w:rsidP="00137FCB">
      <w:pPr>
        <w:spacing w:after="120"/>
        <w:ind w:left="1440" w:right="14"/>
        <w:rPr>
          <w:bCs/>
          <w:color w:val="000000" w:themeColor="text1"/>
        </w:rPr>
      </w:pPr>
      <w:r w:rsidRPr="00137FCB">
        <w:rPr>
          <w:bCs/>
          <w:color w:val="000000" w:themeColor="text1"/>
        </w:rPr>
        <w:t>Of these, one (Uroboros Glass Studios, Inc.) is in Tier 2 of the proposed rules. The other three (Glass Alchemy, Northstar Glassworks, and Trautman Art Glass) are in Tier 1.</w:t>
      </w:r>
    </w:p>
    <w:p w14:paraId="28191DD7" w14:textId="77777777" w:rsidR="00137FCB" w:rsidRPr="00137FCB" w:rsidRDefault="00137FCB" w:rsidP="00137FCB">
      <w:pPr>
        <w:spacing w:after="120"/>
        <w:ind w:left="1440" w:right="14"/>
        <w:rPr>
          <w:bCs/>
          <w:color w:val="000000" w:themeColor="text1"/>
        </w:rPr>
      </w:pPr>
      <w:r w:rsidRPr="00137FCB">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51FDE131" w14:textId="77777777" w:rsidR="00137FCB" w:rsidRPr="00137FCB" w:rsidRDefault="00137FCB" w:rsidP="00137FCB">
      <w:pPr>
        <w:spacing w:after="120"/>
        <w:ind w:left="1440" w:right="14"/>
        <w:rPr>
          <w:bCs/>
          <w:color w:val="000000" w:themeColor="text1"/>
        </w:rPr>
      </w:pPr>
      <w:r w:rsidRPr="00137FCB">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20AF4A2E" w14:textId="77777777" w:rsidR="00137FCB" w:rsidRPr="00137FCB" w:rsidRDefault="00137FCB" w:rsidP="00137FCB">
      <w:pPr>
        <w:spacing w:after="120"/>
        <w:ind w:left="1440" w:right="14"/>
        <w:rPr>
          <w:bCs/>
          <w:color w:val="000000" w:themeColor="text1"/>
        </w:rPr>
      </w:pPr>
      <w:r w:rsidRPr="00137FCB">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27AB5F92" w14:textId="77777777" w:rsidR="00137FCB" w:rsidRPr="00137FCB" w:rsidRDefault="00137FCB" w:rsidP="00137FCB">
      <w:pPr>
        <w:spacing w:after="120"/>
        <w:ind w:left="1440" w:right="14"/>
        <w:rPr>
          <w:bCs/>
          <w:color w:val="000000" w:themeColor="text1"/>
        </w:rPr>
      </w:pPr>
      <w:r w:rsidRPr="00137FCB">
        <w:rPr>
          <w:bCs/>
          <w:color w:val="000000" w:themeColor="text1"/>
        </w:rPr>
        <w:t xml:space="preserve">Facility-specific data for the Tier 1 CAGMs was not available, so their costs were estimated as a class. The proposed rule gives Tier 1 CAGMs multiple compliance options. </w:t>
      </w:r>
    </w:p>
    <w:p w14:paraId="274FD27C" w14:textId="77777777" w:rsidR="00137FCB" w:rsidRPr="00137FCB" w:rsidRDefault="00137FCB" w:rsidP="00137FCB">
      <w:pPr>
        <w:spacing w:after="120"/>
        <w:ind w:left="1440" w:right="14"/>
        <w:rPr>
          <w:bCs/>
          <w:color w:val="000000" w:themeColor="text1"/>
        </w:rPr>
      </w:pPr>
      <w:r w:rsidRPr="00137FCB">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17874674" w14:textId="77777777" w:rsidR="00137FCB" w:rsidRPr="00137FCB" w:rsidRDefault="00137FCB" w:rsidP="00137FCB">
      <w:pPr>
        <w:spacing w:after="120"/>
        <w:ind w:left="1440" w:right="14"/>
        <w:rPr>
          <w:bCs/>
          <w:color w:val="000000" w:themeColor="text1"/>
        </w:rPr>
      </w:pPr>
      <w:r w:rsidRPr="00137FCB">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7F2249E9" w14:textId="287E79F9" w:rsidR="00137FCB" w:rsidRPr="00137FCB" w:rsidRDefault="00137FCB" w:rsidP="00137FCB">
      <w:pPr>
        <w:spacing w:after="120"/>
        <w:ind w:left="1440" w:right="14"/>
        <w:rPr>
          <w:bCs/>
          <w:color w:val="000000" w:themeColor="text1"/>
        </w:rPr>
      </w:pPr>
      <w:r w:rsidRPr="00137FCB">
        <w:rPr>
          <w:bCs/>
          <w:color w:val="000000" w:themeColor="text1"/>
        </w:rPr>
        <w:t xml:space="preserve">Tier 1 CAGMs also have the option to stop using some or all of the metal </w:t>
      </w:r>
      <w:r>
        <w:rPr>
          <w:bCs/>
          <w:color w:val="000000" w:themeColor="text1"/>
        </w:rPr>
        <w:t>hazardous air pollutants (HAPs)</w:t>
      </w:r>
      <w:r>
        <w:rPr>
          <w:rStyle w:val="FootnoteReference"/>
          <w:bCs/>
          <w:color w:val="000000" w:themeColor="text1"/>
        </w:rPr>
        <w:footnoteReference w:id="4"/>
      </w:r>
      <w:r w:rsidRPr="00137FCB">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3080B0D3" w14:textId="77777777" w:rsidR="00137FCB" w:rsidRPr="00137FCB" w:rsidRDefault="00137FCB" w:rsidP="00137FCB">
      <w:pPr>
        <w:spacing w:after="120"/>
        <w:ind w:left="1440" w:right="14"/>
        <w:rPr>
          <w:bCs/>
          <w:color w:val="000000" w:themeColor="text1"/>
        </w:rPr>
      </w:pPr>
      <w:r w:rsidRPr="00137FCB">
        <w:rPr>
          <w:bCs/>
          <w:color w:val="000000" w:themeColor="text1"/>
        </w:rPr>
        <w:t xml:space="preserve">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t>
      </w:r>
      <w:r w:rsidRPr="00137FCB">
        <w:rPr>
          <w:bCs/>
          <w:color w:val="000000" w:themeColor="text1"/>
        </w:rPr>
        <w:lastRenderedPageBreak/>
        <w:t>with the rules at the new location would cost approximately $2 million, plus lost revenue of $1 million during the moving process. DEQ does not have data to verify the necessity to move or the facility’s cost estimates for doing so.</w:t>
      </w:r>
    </w:p>
    <w:p w14:paraId="7662D15F" w14:textId="0ECFC0CC" w:rsidR="00137FCB" w:rsidRPr="00137FCB" w:rsidRDefault="00137FCB" w:rsidP="00137FCB">
      <w:pPr>
        <w:spacing w:after="120"/>
        <w:ind w:left="1440" w:right="14"/>
        <w:rPr>
          <w:bCs/>
          <w:color w:val="000000" w:themeColor="text1"/>
        </w:rPr>
      </w:pPr>
      <w:r w:rsidRPr="00137FCB">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w:t>
      </w:r>
      <w:r w:rsidR="00A1693B">
        <w:rPr>
          <w:bCs/>
          <w:color w:val="000000" w:themeColor="text1"/>
        </w:rPr>
        <w:t>sdiction of the proposed rules.</w:t>
      </w:r>
    </w:p>
    <w:p w14:paraId="76E93B80" w14:textId="6D591E34" w:rsidR="00AD7DB9" w:rsidRPr="008F491E" w:rsidRDefault="00137FCB" w:rsidP="00137FCB">
      <w:pPr>
        <w:spacing w:after="120"/>
        <w:ind w:left="1440" w:right="14"/>
        <w:rPr>
          <w:bCs/>
          <w:color w:val="000000" w:themeColor="text1"/>
        </w:rPr>
      </w:pPr>
      <w:r w:rsidRPr="00137FCB">
        <w:rPr>
          <w:bCs/>
          <w:color w:val="000000" w:themeColor="text1"/>
        </w:rPr>
        <w:t xml:space="preserve">Further details on these cost estimates can be found in the </w:t>
      </w:r>
      <w:r w:rsidRPr="00137FCB">
        <w:rPr>
          <w:bCs/>
          <w:color w:val="000000" w:themeColor="text1"/>
          <w:highlight w:val="yellow"/>
        </w:rPr>
        <w:t>attached tables</w:t>
      </w:r>
      <w:r w:rsidRPr="00137FCB">
        <w:rPr>
          <w:bCs/>
          <w:color w:val="000000" w:themeColor="text1"/>
        </w:rPr>
        <w:t xml:space="preserve">. The impact on small business is </w:t>
      </w:r>
      <w:r w:rsidRPr="00137FCB">
        <w:rPr>
          <w:bCs/>
          <w:color w:val="000000" w:themeColor="text1"/>
          <w:highlight w:val="yellow"/>
        </w:rPr>
        <w:t>summarized below</w:t>
      </w:r>
      <w:r w:rsidRPr="00137FCB">
        <w:rPr>
          <w:bCs/>
          <w:color w:val="000000" w:themeColor="text1"/>
        </w:rPr>
        <w:t>.</w:t>
      </w:r>
    </w:p>
    <w:p w14:paraId="0EE89393" w14:textId="77777777" w:rsidR="00137FCB" w:rsidRDefault="00137FCB" w:rsidP="00137FCB">
      <w:pPr>
        <w:spacing w:after="120"/>
        <w:ind w:left="1440" w:right="14"/>
      </w:pPr>
    </w:p>
    <w:p w14:paraId="76E93B81" w14:textId="77777777" w:rsidR="002A1E7F" w:rsidRDefault="00AD7DB9" w:rsidP="00137FCB">
      <w:pPr>
        <w:spacing w:after="120"/>
        <w:ind w:left="1440" w:right="14"/>
      </w:pPr>
      <w:r w:rsidRPr="008F491E">
        <w:t>Indirect Impacts</w:t>
      </w:r>
    </w:p>
    <w:p w14:paraId="76E93B83" w14:textId="4702D347" w:rsidR="0007684B" w:rsidRDefault="00A1693B" w:rsidP="00137FCB">
      <w:pPr>
        <w:spacing w:after="120"/>
        <w:ind w:left="1440" w:right="14"/>
        <w:rPr>
          <w:bCs/>
          <w:color w:val="000000" w:themeColor="text1"/>
        </w:rPr>
      </w:pPr>
      <w:r w:rsidRPr="00A1693B">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76E93B84" w14:textId="77777777" w:rsidR="0007684B" w:rsidRPr="0007684B" w:rsidRDefault="0007684B" w:rsidP="0007684B">
      <w:pPr>
        <w:rPr>
          <w:b/>
        </w:rPr>
      </w:pPr>
      <w:r w:rsidRPr="0007684B">
        <w:rPr>
          <w:b/>
          <w:bCs/>
        </w:rPr>
        <w:t xml:space="preserve">a. </w:t>
      </w:r>
      <w:r w:rsidRPr="0007684B">
        <w:rPr>
          <w:b/>
        </w:rPr>
        <w:t>Estimated number of small businesses and types of businesses and industries with small businesses subject to proposed rule.</w:t>
      </w:r>
    </w:p>
    <w:p w14:paraId="76E93B85" w14:textId="77777777" w:rsidR="00AD7DB9" w:rsidRDefault="00AD7DB9" w:rsidP="002D6C99"/>
    <w:p w14:paraId="2AB02B41" w14:textId="32BCB486" w:rsidR="00A1693B" w:rsidRPr="00A1693B" w:rsidRDefault="00A1693B" w:rsidP="00A1693B">
      <w:pPr>
        <w:ind w:left="1080"/>
        <w:rPr>
          <w:rFonts w:asciiTheme="minorHAnsi" w:hAnsiTheme="minorHAnsi" w:cstheme="minorHAnsi"/>
          <w:bCs/>
          <w:iCs/>
        </w:rPr>
      </w:pPr>
      <w:r w:rsidRPr="00A1693B">
        <w:rPr>
          <w:rFonts w:asciiTheme="minorHAnsi" w:hAnsiTheme="minorHAnsi" w:cstheme="minorHAnsi"/>
          <w:bCs/>
          <w:iCs/>
        </w:rPr>
        <w:t xml:space="preserve">Four </w:t>
      </w:r>
      <w:r>
        <w:rPr>
          <w:rFonts w:asciiTheme="minorHAnsi" w:hAnsiTheme="minorHAnsi" w:cstheme="minorHAnsi"/>
          <w:bCs/>
          <w:iCs/>
        </w:rPr>
        <w:t xml:space="preserve">of the </w:t>
      </w:r>
      <w:r w:rsidRPr="00A1693B">
        <w:rPr>
          <w:rFonts w:asciiTheme="minorHAnsi" w:hAnsiTheme="minorHAnsi" w:cstheme="minorHAnsi"/>
          <w:bCs/>
          <w:iCs/>
        </w:rPr>
        <w:t>CA</w:t>
      </w:r>
      <w:r>
        <w:rPr>
          <w:rFonts w:asciiTheme="minorHAnsi" w:hAnsiTheme="minorHAnsi" w:cstheme="minorHAnsi"/>
          <w:bCs/>
          <w:iCs/>
        </w:rPr>
        <w:t>GMs directly impacted by this</w:t>
      </w:r>
      <w:r w:rsidRPr="00A1693B">
        <w:rPr>
          <w:rFonts w:asciiTheme="minorHAnsi" w:hAnsiTheme="minorHAnsi" w:cstheme="minorHAnsi"/>
          <w:bCs/>
          <w:iCs/>
        </w:rPr>
        <w:t xml:space="preserve"> rule</w:t>
      </w:r>
      <w:r>
        <w:rPr>
          <w:rFonts w:asciiTheme="minorHAnsi" w:hAnsiTheme="minorHAnsi" w:cstheme="minorHAnsi"/>
          <w:bCs/>
          <w:iCs/>
        </w:rPr>
        <w:t xml:space="preserve"> are small businesses. </w:t>
      </w:r>
      <w:r w:rsidRPr="00A1693B">
        <w:rPr>
          <w:rFonts w:asciiTheme="minorHAnsi" w:hAnsiTheme="minorHAnsi" w:cstheme="minorHAnsi"/>
          <w:bCs/>
          <w:iCs/>
        </w:rPr>
        <w:t>Some other small businesses may be indirectly impacted if they are customers of CAGMs.</w:t>
      </w:r>
    </w:p>
    <w:p w14:paraId="76E93B89" w14:textId="77777777" w:rsidR="0007684B" w:rsidRDefault="0007684B" w:rsidP="002D6C99"/>
    <w:p w14:paraId="76E93B8A" w14:textId="77777777" w:rsidR="0007684B" w:rsidRDefault="0007684B" w:rsidP="002D6C99">
      <w:pPr>
        <w:rPr>
          <w:b/>
        </w:rPr>
      </w:pPr>
      <w:r w:rsidRPr="0007684B">
        <w:rPr>
          <w:b/>
          <w:bCs/>
        </w:rPr>
        <w:t>b.</w:t>
      </w:r>
      <w:r w:rsidRPr="0007684B">
        <w:rPr>
          <w:b/>
        </w:rPr>
        <w:t xml:space="preserve"> Projected reporting, recordkeeping and other administrative activities, including costs of professional services, required for small businesses to comply with the proposed rule.</w:t>
      </w:r>
    </w:p>
    <w:p w14:paraId="76E93B8B" w14:textId="77777777" w:rsidR="0007684B" w:rsidRDefault="0007684B" w:rsidP="002D6C99">
      <w:pPr>
        <w:rPr>
          <w:b/>
        </w:rPr>
      </w:pPr>
    </w:p>
    <w:p w14:paraId="6B6CE229" w14:textId="31437D64" w:rsidR="00A1693B" w:rsidRPr="00A1693B" w:rsidRDefault="00A1693B" w:rsidP="00A1693B">
      <w:pPr>
        <w:ind w:left="1080"/>
        <w:rPr>
          <w:rStyle w:val="IntenseEmphasis"/>
          <w:rFonts w:asciiTheme="minorHAnsi" w:hAnsiTheme="minorHAnsi" w:cstheme="minorHAnsi"/>
          <w:i w:val="0"/>
          <w:vanish w:val="0"/>
          <w:color w:val="auto"/>
          <w:sz w:val="24"/>
        </w:rPr>
      </w:pPr>
      <w:r w:rsidRPr="00A1693B">
        <w:rPr>
          <w:rStyle w:val="IntenseEmphasis"/>
          <w:rFonts w:asciiTheme="minorHAnsi" w:hAnsiTheme="minorHAnsi" w:cstheme="minorHAnsi"/>
          <w:i w:val="0"/>
          <w:vanish w:val="0"/>
          <w:color w:val="auto"/>
          <w:sz w:val="24"/>
        </w:rPr>
        <w:t>Tier 1 CAGMs would be required to obtain an Air Contaminant Discharge Permit (ACDP) that they wouldn’t otherwise be required to have. Tier 2 CAGMs would be required to obtain an ACDP, if an ACDP or Title V is not already required by other regulations.</w:t>
      </w:r>
    </w:p>
    <w:p w14:paraId="5AB2E0DC" w14:textId="77777777" w:rsidR="00A1693B" w:rsidRDefault="00A1693B" w:rsidP="00A1693B">
      <w:pPr>
        <w:ind w:left="1080"/>
        <w:rPr>
          <w:rStyle w:val="IntenseEmphasis"/>
          <w:rFonts w:asciiTheme="minorHAnsi" w:hAnsiTheme="minorHAnsi" w:cstheme="minorHAnsi"/>
          <w:i w:val="0"/>
          <w:vanish w:val="0"/>
          <w:color w:val="auto"/>
          <w:sz w:val="24"/>
        </w:rPr>
      </w:pPr>
    </w:p>
    <w:p w14:paraId="4B2D3A60" w14:textId="052E4251" w:rsidR="00A1693B" w:rsidRPr="00A1693B" w:rsidRDefault="00A1693B" w:rsidP="00A1693B">
      <w:pPr>
        <w:ind w:left="1080"/>
        <w:rPr>
          <w:rStyle w:val="IntenseEmphasis"/>
          <w:rFonts w:asciiTheme="minorHAnsi" w:hAnsiTheme="minorHAnsi" w:cstheme="minorHAnsi"/>
          <w:i w:val="0"/>
          <w:vanish w:val="0"/>
          <w:color w:val="auto"/>
          <w:sz w:val="24"/>
        </w:rPr>
      </w:pPr>
      <w:r w:rsidRPr="00A1693B">
        <w:rPr>
          <w:rStyle w:val="IntenseEmphasis"/>
          <w:rFonts w:asciiTheme="minorHAnsi" w:hAnsiTheme="minorHAnsi" w:cstheme="minorHAnsi"/>
          <w:i w:val="0"/>
          <w:vanish w:val="0"/>
          <w:color w:val="auto"/>
          <w:sz w:val="24"/>
        </w:rPr>
        <w:t>CAGMs complying using an emissions control device are required to do an initial source test, and ongoing monitoring and reporting to show proper operation of the emissions control device.</w:t>
      </w:r>
    </w:p>
    <w:p w14:paraId="306437F5" w14:textId="77777777" w:rsidR="00A1693B" w:rsidRDefault="00A1693B" w:rsidP="00A1693B">
      <w:pPr>
        <w:ind w:left="1080"/>
        <w:rPr>
          <w:rStyle w:val="IntenseEmphasis"/>
          <w:rFonts w:asciiTheme="minorHAnsi" w:hAnsiTheme="minorHAnsi" w:cstheme="minorHAnsi"/>
          <w:i w:val="0"/>
          <w:vanish w:val="0"/>
          <w:color w:val="auto"/>
          <w:sz w:val="24"/>
        </w:rPr>
      </w:pPr>
    </w:p>
    <w:p w14:paraId="36E4A9A9" w14:textId="1B69440C" w:rsidR="00A1693B" w:rsidRPr="00A1693B" w:rsidRDefault="00A1693B" w:rsidP="00A1693B">
      <w:pPr>
        <w:ind w:left="1080"/>
        <w:rPr>
          <w:rStyle w:val="IntenseEmphasis"/>
          <w:rFonts w:asciiTheme="minorHAnsi" w:hAnsiTheme="minorHAnsi" w:cstheme="minorHAnsi"/>
          <w:i w:val="0"/>
          <w:vanish w:val="0"/>
          <w:color w:val="auto"/>
          <w:sz w:val="24"/>
        </w:rPr>
      </w:pPr>
      <w:r w:rsidRPr="00A1693B">
        <w:rPr>
          <w:rStyle w:val="IntenseEmphasis"/>
          <w:rFonts w:asciiTheme="minorHAnsi" w:hAnsiTheme="minorHAnsi" w:cstheme="minorHAnsi"/>
          <w:i w:val="0"/>
          <w:vanish w:val="0"/>
          <w:color w:val="auto"/>
          <w:sz w:val="24"/>
        </w:rPr>
        <w:t>CAGMs complying using source testing and modeling would be required to perform source testing and modeling, and may also need to do recordkeeping and reporting to show that production levels remain below limits established through that process.</w:t>
      </w:r>
    </w:p>
    <w:p w14:paraId="76E93B8E" w14:textId="77777777" w:rsidR="0007684B" w:rsidRDefault="0007684B" w:rsidP="002D6C99">
      <w:pPr>
        <w:rPr>
          <w:b/>
        </w:rPr>
      </w:pPr>
    </w:p>
    <w:p w14:paraId="76E93B8F" w14:textId="77777777" w:rsidR="0007684B" w:rsidRDefault="0007684B" w:rsidP="002D6C99">
      <w:pPr>
        <w:rPr>
          <w:b/>
        </w:rPr>
      </w:pPr>
      <w:r w:rsidRPr="0007684B">
        <w:rPr>
          <w:b/>
          <w:bCs/>
        </w:rPr>
        <w:t>c.</w:t>
      </w:r>
      <w:r w:rsidRPr="0007684B">
        <w:rPr>
          <w:b/>
        </w:rPr>
        <w:t xml:space="preserve"> Projected equipment, supplies, labor and increased administration required for small businesses to comply with the proposed rule.</w:t>
      </w:r>
    </w:p>
    <w:p w14:paraId="76E93B90" w14:textId="77777777" w:rsidR="0007684B" w:rsidRDefault="0007684B" w:rsidP="002D6C99">
      <w:pPr>
        <w:rPr>
          <w:b/>
        </w:rPr>
      </w:pPr>
    </w:p>
    <w:p w14:paraId="76E93B92" w14:textId="1A920344" w:rsidR="0007684B" w:rsidRPr="00A1693B" w:rsidRDefault="00A1693B" w:rsidP="00A1693B">
      <w:pPr>
        <w:ind w:left="1080"/>
        <w:rPr>
          <w:rStyle w:val="IntenseEmphasis"/>
          <w:rFonts w:asciiTheme="minorHAnsi" w:hAnsiTheme="minorHAnsi" w:cstheme="minorHAnsi"/>
          <w:i w:val="0"/>
          <w:vanish w:val="0"/>
          <w:color w:val="auto"/>
          <w:sz w:val="24"/>
        </w:rPr>
      </w:pPr>
      <w:r w:rsidRPr="00A1693B">
        <w:rPr>
          <w:rStyle w:val="IntenseEmphasis"/>
          <w:rFonts w:asciiTheme="minorHAnsi" w:hAnsiTheme="minorHAnsi" w:cstheme="minorHAnsi"/>
          <w:i w:val="0"/>
          <w:vanish w:val="0"/>
          <w:color w:val="auto"/>
          <w:sz w:val="24"/>
        </w:rPr>
        <w:t>CAGMs complying using an emissions control device would be required to install the control device, which may require replacement parts and supplies.</w:t>
      </w:r>
    </w:p>
    <w:p w14:paraId="6E940D16" w14:textId="77777777" w:rsidR="00A1693B" w:rsidRDefault="00A1693B" w:rsidP="0007684B">
      <w:pPr>
        <w:rPr>
          <w:rStyle w:val="IntenseEmphasis"/>
          <w:rFonts w:ascii="Arial" w:hAnsi="Arial"/>
          <w:i w:val="0"/>
          <w:vanish w:val="0"/>
          <w:color w:val="C45911" w:themeColor="accent2" w:themeShade="BF"/>
          <w:sz w:val="24"/>
        </w:rPr>
      </w:pPr>
    </w:p>
    <w:p w14:paraId="76E93B93" w14:textId="77777777" w:rsidR="0007684B" w:rsidRPr="0007684B" w:rsidRDefault="0007684B" w:rsidP="0007684B">
      <w:pPr>
        <w:rPr>
          <w:b/>
        </w:rPr>
      </w:pPr>
      <w:r w:rsidRPr="0007684B">
        <w:rPr>
          <w:b/>
          <w:bCs/>
        </w:rPr>
        <w:t>d.</w:t>
      </w:r>
      <w:r w:rsidRPr="0007684B">
        <w:rPr>
          <w:b/>
        </w:rPr>
        <w:t xml:space="preserve"> Describe how DEQ involved small businesses in developing this proposed rule.</w:t>
      </w:r>
    </w:p>
    <w:p w14:paraId="76E93B94" w14:textId="77777777" w:rsidR="0007684B" w:rsidRPr="00A1693B" w:rsidRDefault="0007684B" w:rsidP="0007684B">
      <w:pPr>
        <w:rPr>
          <w:rFonts w:asciiTheme="minorHAnsi" w:hAnsiTheme="minorHAnsi" w:cstheme="minorHAnsi"/>
        </w:rPr>
      </w:pPr>
    </w:p>
    <w:p w14:paraId="76E93B96" w14:textId="1D45C0C7" w:rsidR="0007684B" w:rsidRPr="00A1693B" w:rsidRDefault="00A1693B" w:rsidP="00A1693B">
      <w:pPr>
        <w:ind w:left="1080"/>
        <w:rPr>
          <w:rFonts w:asciiTheme="minorHAnsi" w:hAnsiTheme="minorHAnsi" w:cstheme="minorHAnsi"/>
          <w:b/>
        </w:rPr>
      </w:pPr>
      <w:r w:rsidRPr="00A1693B">
        <w:rPr>
          <w:rStyle w:val="IntenseEmphasis"/>
          <w:rFonts w:asciiTheme="minorHAnsi" w:hAnsiTheme="minorHAnsi" w:cstheme="minorHAnsi"/>
          <w:i w:val="0"/>
          <w:vanish w:val="0"/>
          <w:color w:val="auto"/>
          <w:sz w:val="24"/>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6E93B97" w14:textId="77777777" w:rsidR="0007684B" w:rsidRPr="008F491E" w:rsidRDefault="0007684B" w:rsidP="002D6C99"/>
    <w:p w14:paraId="76E93B9A" w14:textId="77777777" w:rsidR="00AD7DB9" w:rsidRPr="006807BF" w:rsidRDefault="00AD7DB9" w:rsidP="00F0078E">
      <w:pPr>
        <w:pStyle w:val="Heading2"/>
      </w:pPr>
      <w:r w:rsidRPr="006807BF">
        <w:t>Documents relied on for fiscal and economic impact</w:t>
      </w:r>
    </w:p>
    <w:p w14:paraId="5BB19458" w14:textId="77777777" w:rsidR="005031C0" w:rsidRDefault="005031C0" w:rsidP="002D6C99">
      <w:pPr>
        <w:rPr>
          <w:rStyle w:val="Emphasis"/>
          <w:rFonts w:ascii="Arial" w:hAnsi="Arial"/>
          <w:vanish w:val="0"/>
          <w:color w:val="C45911" w:themeColor="accent2" w:themeShade="BF"/>
          <w:sz w:val="24"/>
        </w:rPr>
      </w:pPr>
    </w:p>
    <w:p w14:paraId="582F12C6" w14:textId="20F008CD" w:rsidR="005031C0" w:rsidRPr="005031C0" w:rsidRDefault="005031C0" w:rsidP="002D6C99">
      <w:pPr>
        <w:rPr>
          <w:rStyle w:val="Emphasis"/>
          <w:rFonts w:asciiTheme="minorHAnsi" w:hAnsiTheme="minorHAnsi" w:cstheme="minorHAnsi"/>
          <w:vanish w:val="0"/>
          <w:color w:val="auto"/>
          <w:sz w:val="24"/>
        </w:rPr>
      </w:pPr>
      <w:r w:rsidRPr="005031C0">
        <w:rPr>
          <w:rStyle w:val="Emphasis"/>
          <w:rFonts w:asciiTheme="minorHAnsi" w:hAnsiTheme="minorHAnsi" w:cstheme="minorHAnsi"/>
          <w:vanish w:val="0"/>
          <w:color w:val="auto"/>
          <w:sz w:val="24"/>
        </w:rPr>
        <w:t>none</w:t>
      </w:r>
    </w:p>
    <w:p w14:paraId="4694DEAB" w14:textId="77777777" w:rsidR="005031C0" w:rsidRDefault="005031C0" w:rsidP="002D6C99">
      <w:pPr>
        <w:rPr>
          <w:rStyle w:val="Emphasis"/>
          <w:rFonts w:ascii="Arial" w:hAnsi="Arial"/>
          <w:vanish w:val="0"/>
          <w:color w:val="C45911" w:themeColor="accent2" w:themeShade="BF"/>
          <w:sz w:val="24"/>
        </w:rPr>
      </w:pPr>
    </w:p>
    <w:p w14:paraId="76E93B9C" w14:textId="77777777"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14:paraId="76E93B9F" w14:textId="77777777" w:rsidTr="00064299">
        <w:tc>
          <w:tcPr>
            <w:tcW w:w="3870" w:type="dxa"/>
            <w:tcBorders>
              <w:top w:val="double" w:sz="4" w:space="0" w:color="auto"/>
              <w:left w:val="double" w:sz="4" w:space="0" w:color="auto"/>
            </w:tcBorders>
            <w:shd w:val="clear" w:color="auto" w:fill="008272"/>
          </w:tcPr>
          <w:p w14:paraId="76E93B9D" w14:textId="77777777"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76E93B9E" w14:textId="77777777" w:rsidR="00AD7DB9" w:rsidRPr="00D27525" w:rsidRDefault="00AD7DB9" w:rsidP="002608BC">
            <w:pPr>
              <w:pStyle w:val="Title"/>
              <w:rPr>
                <w:sz w:val="24"/>
                <w:szCs w:val="24"/>
              </w:rPr>
            </w:pPr>
            <w:r w:rsidRPr="00D27525">
              <w:t>Document location</w:t>
            </w:r>
          </w:p>
        </w:tc>
      </w:tr>
      <w:tr w:rsidR="00AD7DB9" w14:paraId="76E93BA4" w14:textId="77777777" w:rsidTr="00064299">
        <w:trPr>
          <w:hidden w:val="0"/>
        </w:trPr>
        <w:tc>
          <w:tcPr>
            <w:tcW w:w="3870" w:type="dxa"/>
            <w:tcBorders>
              <w:left w:val="double" w:sz="4" w:space="0" w:color="auto"/>
            </w:tcBorders>
          </w:tcPr>
          <w:p w14:paraId="76E93BA1" w14:textId="5F4ED9BC" w:rsidR="008B7341" w:rsidRPr="008B7341" w:rsidRDefault="00454FBA" w:rsidP="002608BC">
            <w:pPr>
              <w:ind w:left="-18"/>
              <w:rPr>
                <w:rStyle w:val="Emphasis"/>
                <w:rFonts w:asciiTheme="minorHAnsi" w:hAnsiTheme="minorHAnsi" w:cstheme="minorHAnsi"/>
                <w:color w:val="000000" w:themeColor="text1"/>
                <w:sz w:val="24"/>
              </w:rPr>
            </w:pPr>
            <w:r w:rsidRPr="00454FBA">
              <w:rPr>
                <w:rStyle w:val="Emphasis"/>
                <w:rFonts w:ascii="Arial" w:hAnsi="Arial"/>
                <w:vanish w:val="0"/>
                <w:color w:val="auto"/>
                <w:sz w:val="24"/>
              </w:rPr>
              <w:t>none</w:t>
            </w:r>
          </w:p>
        </w:tc>
        <w:tc>
          <w:tcPr>
            <w:tcW w:w="4950" w:type="dxa"/>
            <w:tcBorders>
              <w:right w:val="double" w:sz="4" w:space="0" w:color="auto"/>
            </w:tcBorders>
          </w:tcPr>
          <w:p w14:paraId="76E93BA3" w14:textId="6F03DC08" w:rsidR="00B40B6F" w:rsidRPr="00B40B6F" w:rsidRDefault="00B40B6F" w:rsidP="00983629">
            <w:pPr>
              <w:ind w:left="0"/>
              <w:rPr>
                <w:rStyle w:val="Emphasis"/>
                <w:rFonts w:asciiTheme="minorHAnsi" w:hAnsiTheme="minorHAnsi" w:cstheme="minorHAnsi"/>
                <w:vanish w:val="0"/>
                <w:color w:val="000000" w:themeColor="text1"/>
                <w:sz w:val="24"/>
              </w:rPr>
            </w:pPr>
          </w:p>
        </w:tc>
      </w:tr>
    </w:tbl>
    <w:p w14:paraId="76E93BAF" w14:textId="77777777" w:rsidR="00AD7DB9" w:rsidRDefault="00AD7DB9" w:rsidP="002D6C99">
      <w:r w:rsidRPr="006F02EB">
        <w:t xml:space="preserve"> </w:t>
      </w:r>
    </w:p>
    <w:p w14:paraId="76E93BB0" w14:textId="77777777" w:rsidR="00AD7DB9" w:rsidRDefault="00AD7DB9" w:rsidP="002D6C99"/>
    <w:p w14:paraId="76E93BB4" w14:textId="7B5BE7B7" w:rsidR="00AD7DB9" w:rsidRPr="005031C0" w:rsidRDefault="00AD7DB9" w:rsidP="005031C0">
      <w:pPr>
        <w:pStyle w:val="Heading2"/>
        <w:rPr>
          <w:rStyle w:val="Emphasis"/>
          <w:rFonts w:asciiTheme="majorHAnsi" w:hAnsiTheme="majorHAnsi"/>
          <w:bCs/>
          <w:vanish w:val="0"/>
          <w:color w:val="3B3838" w:themeColor="background2" w:themeShade="40"/>
          <w:sz w:val="22"/>
        </w:rPr>
      </w:pPr>
      <w:r w:rsidRPr="006807BF">
        <w:t>Advisory committee</w:t>
      </w:r>
    </w:p>
    <w:p w14:paraId="76E93BB5" w14:textId="77777777" w:rsidR="00AD7DB9" w:rsidRDefault="00AD7DB9" w:rsidP="002D6C99">
      <w:r>
        <w:t>DEQ appointed an advisory committee</w:t>
      </w:r>
      <w:r w:rsidR="00EC75F3">
        <w:t>.</w:t>
      </w:r>
      <w:r>
        <w:t xml:space="preserve"> </w:t>
      </w:r>
    </w:p>
    <w:p w14:paraId="76E93BB6" w14:textId="77777777" w:rsidR="007F0170" w:rsidRDefault="007F0170" w:rsidP="002D6C99"/>
    <w:p w14:paraId="76E93BB7" w14:textId="77777777" w:rsidR="00AD7DB9" w:rsidRDefault="00E36109" w:rsidP="007F0170">
      <w:pPr>
        <w:spacing w:after="120"/>
        <w:ind w:right="14"/>
      </w:pPr>
      <w:r>
        <w:t>As ORS 183.33 requires, DEQ</w:t>
      </w:r>
      <w:r w:rsidR="00AD7DB9">
        <w:t xml:space="preserve"> asked for the committee’s recommendations on:</w:t>
      </w:r>
    </w:p>
    <w:p w14:paraId="76E93BB8"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76E93BB9"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76E93BBA"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76E93BC1" w14:textId="77777777" w:rsidR="00AD7DB9" w:rsidRDefault="00AD7DB9" w:rsidP="00E86F17"/>
    <w:p w14:paraId="7A65FE1E" w14:textId="1D36C931" w:rsidR="00A64BC4" w:rsidRDefault="00A64BC4" w:rsidP="00A64BC4">
      <w:r>
        <w:t xml:space="preserve">The committee met on May 27, 2016 and June 10, 2016 to </w:t>
      </w:r>
      <w:r w:rsidR="00E86F17">
        <w:t>review the draft fiscal and economic impact statement</w:t>
      </w:r>
      <w:r>
        <w:t>. Committee members were asked individually to respond to the questions listed above.</w:t>
      </w:r>
    </w:p>
    <w:p w14:paraId="71C3897C" w14:textId="77777777" w:rsidR="00A64BC4" w:rsidRDefault="00A64BC4" w:rsidP="00A64BC4"/>
    <w:p w14:paraId="299415D0" w14:textId="17971077" w:rsidR="009E4C32" w:rsidRDefault="00A64BC4" w:rsidP="00A64BC4">
      <w:r>
        <w:t xml:space="preserve">Committee members agreed that the rules would have a fiscal impact. </w:t>
      </w:r>
      <w:r w:rsidR="009E4C32">
        <w:t xml:space="preserve">Several members </w:t>
      </w:r>
      <w:r w:rsidR="004D1D72">
        <w:t>commented</w:t>
      </w:r>
      <w:r w:rsidR="009E4C32">
        <w:t xml:space="preserve"> that there is also a fiscal impact on the US EPA. Other committee members stated that in addition to negative fiscal impacts of the rule, there are positive impacts because of avoided health impacts.</w:t>
      </w:r>
    </w:p>
    <w:p w14:paraId="26D70C81" w14:textId="77777777" w:rsidR="009E4C32" w:rsidRDefault="009E4C32" w:rsidP="00A64BC4"/>
    <w:p w14:paraId="1F52089F" w14:textId="1570B5E9" w:rsidR="00A64BC4" w:rsidRDefault="009E4C32" w:rsidP="00A64BC4">
      <w:r>
        <w:t xml:space="preserve">Committee members felt the range of costs reflected in the </w:t>
      </w:r>
      <w:r w:rsidR="00A64BC4">
        <w:t xml:space="preserve">DEQ fiscal impact estimates were reasonable. Some commented that there is high uncertainty about the numbers, and some requested that the health benefits of the rule be quantified. </w:t>
      </w:r>
      <w:r>
        <w:t>One commented that costs could be significantly higher than the cost range given if a CAGM had to move their facility to install controls.</w:t>
      </w:r>
    </w:p>
    <w:p w14:paraId="71F6ECDF" w14:textId="77777777" w:rsidR="00A64BC4" w:rsidRDefault="00A64BC4" w:rsidP="00A64BC4"/>
    <w:p w14:paraId="29218352" w14:textId="0159D002" w:rsidR="00A64BC4" w:rsidRDefault="00A64BC4" w:rsidP="00A64BC4">
      <w:r>
        <w:t xml:space="preserve">Committee members agreed that the rule would have a significant adverse impact on small businesses. </w:t>
      </w:r>
      <w:r w:rsidR="0078600B">
        <w:t>Several</w:t>
      </w:r>
      <w:r>
        <w:t xml:space="preserve"> member</w:t>
      </w:r>
      <w:r w:rsidR="0078600B">
        <w:t>s</w:t>
      </w:r>
      <w:r>
        <w:t xml:space="preserve"> commented that small businesses </w:t>
      </w:r>
      <w:r w:rsidR="0078600B">
        <w:t xml:space="preserve">located </w:t>
      </w:r>
      <w:r>
        <w:t xml:space="preserve">near the facilities </w:t>
      </w:r>
      <w:r w:rsidR="0078600B">
        <w:t xml:space="preserve">or whose employees are located hear the facilities </w:t>
      </w:r>
      <w:r>
        <w:t>would be negatively impacted if the rule were not implemented</w:t>
      </w:r>
      <w:r w:rsidR="00585197">
        <w:t>,</w:t>
      </w:r>
      <w:r>
        <w:t xml:space="preserve"> because of the health impacts of uncontrolled emissions.</w:t>
      </w:r>
    </w:p>
    <w:p w14:paraId="76E93BC5" w14:textId="77777777" w:rsidR="00F146F0" w:rsidRDefault="00F146F0" w:rsidP="0078600B">
      <w:pPr>
        <w:rPr>
          <w:color w:val="000000" w:themeColor="text1"/>
        </w:rPr>
      </w:pPr>
    </w:p>
    <w:p w14:paraId="76E93BC6" w14:textId="6C07992E" w:rsidR="00E36109" w:rsidRDefault="0078600B" w:rsidP="00F60382">
      <w:pPr>
        <w:rPr>
          <w:color w:val="000000" w:themeColor="text1"/>
        </w:rPr>
      </w:pPr>
      <w:r>
        <w:rPr>
          <w:color w:val="000000" w:themeColor="text1"/>
        </w:rPr>
        <w:t>T</w:t>
      </w:r>
      <w:r w:rsidRPr="0078600B">
        <w:rPr>
          <w:color w:val="000000" w:themeColor="text1"/>
        </w:rPr>
        <w:t xml:space="preserve">he committee determined the proposed rules would have a significant adverse impact on small businesses. </w:t>
      </w:r>
      <w:r w:rsidR="00E36109">
        <w:rPr>
          <w:color w:val="000000" w:themeColor="text1"/>
        </w:rPr>
        <w:t>As ORS 183.333 and 183.540 require, the committee considered how DEQ could reduce the rules’ fiscal impact on small business by:</w:t>
      </w:r>
    </w:p>
    <w:p w14:paraId="76E93BC7" w14:textId="77777777" w:rsidR="00E36109" w:rsidRDefault="00E36109" w:rsidP="00F60382">
      <w:pPr>
        <w:rPr>
          <w:color w:val="000000" w:themeColor="text1"/>
        </w:rPr>
      </w:pPr>
    </w:p>
    <w:p w14:paraId="76E93BC8" w14:textId="77777777"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14:paraId="76E93BC9" w14:textId="77777777"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14:paraId="76E93BCA" w14:textId="77777777"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14:paraId="76E93BCB" w14:textId="77777777" w:rsidR="00E36109" w:rsidRPr="00E36109" w:rsidRDefault="00E36109" w:rsidP="00A53488">
      <w:pPr>
        <w:pStyle w:val="ListParagraph"/>
        <w:numPr>
          <w:ilvl w:val="0"/>
          <w:numId w:val="11"/>
        </w:numPr>
        <w:rPr>
          <w:color w:val="000000" w:themeColor="text1"/>
        </w:rPr>
      </w:pPr>
      <w:r w:rsidRPr="00E36109">
        <w:rPr>
          <w:color w:val="000000" w:themeColor="text1"/>
        </w:rPr>
        <w:lastRenderedPageBreak/>
        <w:t>Exempting small businesses from any or all requirements of the rule; or</w:t>
      </w:r>
    </w:p>
    <w:p w14:paraId="76E93BCC" w14:textId="77777777"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14:paraId="76E93BCD" w14:textId="77777777" w:rsidR="00AD7DB9" w:rsidRDefault="00AD7DB9" w:rsidP="002D6C99"/>
    <w:p w14:paraId="333979C9" w14:textId="6B947EEE" w:rsidR="00E86F17" w:rsidRDefault="009C002B" w:rsidP="009C002B">
      <w:r w:rsidRPr="00E86F17">
        <w:t xml:space="preserve">Committee members </w:t>
      </w:r>
      <w:r>
        <w:t>were asked whether they could suggest</w:t>
      </w:r>
      <w:r w:rsidRPr="00E86F17">
        <w:t xml:space="preserve"> ways to reduce the negative economic impact of the rule while still meeting its public health and safety purpose.</w:t>
      </w:r>
      <w:r>
        <w:t xml:space="preserve"> </w:t>
      </w:r>
      <w:r w:rsidR="00706896">
        <w:t>Several committee members commented that DEQ could reduce uncertainty for small business</w:t>
      </w:r>
      <w:r w:rsidR="00585197">
        <w:t>es</w:t>
      </w:r>
      <w:r w:rsidR="00706896">
        <w:t xml:space="preserve"> by clarifying whether they can operate during the period between submitting a permit application and DEQ issuing the permit.</w:t>
      </w:r>
      <w:r>
        <w:t xml:space="preserve"> </w:t>
      </w:r>
      <w:r w:rsidR="004C1C01">
        <w:t xml:space="preserve">Some committee members mentioned that the rule already attempts to reduce impacts on small businesses by having different requirements for different tiers. </w:t>
      </w:r>
    </w:p>
    <w:p w14:paraId="09C1F32C" w14:textId="77777777" w:rsidR="00E86F17" w:rsidRDefault="00E86F17" w:rsidP="002D6C99"/>
    <w:p w14:paraId="76E93BDE" w14:textId="77777777" w:rsidR="000A5647" w:rsidRDefault="00AD7DB9" w:rsidP="00F0078E">
      <w:pPr>
        <w:pStyle w:val="Heading2"/>
      </w:pPr>
      <w:r w:rsidRPr="006807BF">
        <w:t xml:space="preserve">Housing cost  </w:t>
      </w:r>
    </w:p>
    <w:p w14:paraId="332C28F7" w14:textId="0F74FBCB" w:rsidR="009C002B" w:rsidRPr="0034710D" w:rsidRDefault="009C002B" w:rsidP="009C002B">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6E93BF3" w14:textId="77777777" w:rsidR="00B60B1B" w:rsidRDefault="00B60B1B" w:rsidP="002D6C99"/>
    <w:p w14:paraId="76E93BF4"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76E93BF7"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76E93BF5" w14:textId="77777777" w:rsidR="00255B02" w:rsidRPr="00B15DF7" w:rsidRDefault="00255B02" w:rsidP="002D6C99"/>
          <w:p w14:paraId="76E93BF6" w14:textId="77777777"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7" w:history="1"/>
          </w:p>
        </w:tc>
      </w:tr>
    </w:tbl>
    <w:p w14:paraId="76E93BF8" w14:textId="77777777" w:rsidR="00255B02" w:rsidRPr="00362542" w:rsidRDefault="00255B02" w:rsidP="002D6C99"/>
    <w:p w14:paraId="76E93C01" w14:textId="5289983A" w:rsidR="00DB4041" w:rsidRPr="0099793C" w:rsidRDefault="00255B02" w:rsidP="0099793C">
      <w:pPr>
        <w:pStyle w:val="Heading2"/>
      </w:pPr>
      <w:r w:rsidRPr="0099793C">
        <w:t>Relationship to federal requirements</w:t>
      </w:r>
      <w:r w:rsidRPr="006807BF">
        <w:t xml:space="preserve"> </w:t>
      </w:r>
    </w:p>
    <w:p w14:paraId="76E93C02" w14:textId="77777777" w:rsidR="00DB4041" w:rsidRDefault="00DB4041" w:rsidP="002D6C99">
      <w:pPr>
        <w:rPr>
          <w:rFonts w:asciiTheme="minorHAnsi" w:hAnsiTheme="minorHAnsi" w:cstheme="minorHAnsi"/>
          <w:color w:val="000000"/>
        </w:rPr>
      </w:pPr>
    </w:p>
    <w:p w14:paraId="76E93C03" w14:textId="5E2BE7BE"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sidR="0099793C">
        <w:rPr>
          <w:rFonts w:asciiTheme="minorHAnsi" w:hAnsiTheme="minorHAnsi" w:cstheme="minorHAnsi"/>
          <w:color w:val="000000"/>
        </w:rPr>
        <w:t xml:space="preserve">attempt to adopt rules that </w:t>
      </w:r>
      <w:r>
        <w:rPr>
          <w:rFonts w:asciiTheme="minorHAnsi" w:hAnsiTheme="minorHAnsi" w:cstheme="minorHAnsi"/>
          <w:color w:val="000000"/>
        </w:rPr>
        <w:t xml:space="preserve">correspond with existing equivalent federal laws and rules unless there are reasons not to do so. </w:t>
      </w:r>
      <w:r w:rsidR="0004204A">
        <w:rPr>
          <w:rFonts w:asciiTheme="minorHAnsi" w:hAnsiTheme="minorHAnsi" w:cstheme="minorHAnsi"/>
          <w:color w:val="000000"/>
        </w:rPr>
        <w:t xml:space="preserve"> </w:t>
      </w:r>
    </w:p>
    <w:p w14:paraId="76E93C04" w14:textId="77777777" w:rsidR="0004204A" w:rsidRDefault="0004204A" w:rsidP="002D6C99">
      <w:pPr>
        <w:rPr>
          <w:rFonts w:asciiTheme="minorHAnsi" w:hAnsiTheme="minorHAnsi" w:cstheme="minorHAnsi"/>
          <w:color w:val="000000"/>
        </w:rPr>
      </w:pPr>
    </w:p>
    <w:p w14:paraId="76E93C0F" w14:textId="77777777" w:rsidR="00225B8E" w:rsidRDefault="00644DE0" w:rsidP="00056F18">
      <w:pPr>
        <w:ind w:right="14"/>
      </w:pPr>
      <w:commentRangeStart w:id="4"/>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commentRangeEnd w:id="4"/>
      <w:r w:rsidR="0099793C">
        <w:rPr>
          <w:rStyle w:val="CommentReference"/>
        </w:rPr>
        <w:commentReference w:id="4"/>
      </w:r>
    </w:p>
    <w:p w14:paraId="76E93C12" w14:textId="77777777" w:rsidR="00225B8E" w:rsidRPr="00225B8E" w:rsidRDefault="00225B8E" w:rsidP="006D79ED">
      <w:pPr>
        <w:ind w:left="0" w:right="14"/>
      </w:pPr>
    </w:p>
    <w:p w14:paraId="76E93C13" w14:textId="77777777"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5" w:name="AlternativesConsidered"/>
      <w:bookmarkStart w:id="6" w:name="RANGE!C35"/>
      <w:r w:rsidR="00D40C0F" w:rsidRPr="00F05E86">
        <w:rPr>
          <w:rStyle w:val="Emphasis"/>
          <w:rFonts w:ascii="Arial" w:hAnsi="Arial"/>
          <w:vanish w:val="0"/>
          <w:color w:val="C45911" w:themeColor="accent2" w:themeShade="BF"/>
          <w:sz w:val="24"/>
        </w:rPr>
        <w:t>in addition to federal rules</w:t>
      </w:r>
    </w:p>
    <w:p w14:paraId="76E93C14" w14:textId="77777777" w:rsidR="00D40C0F" w:rsidRPr="00F05E86" w:rsidRDefault="00D40C0F" w:rsidP="00B13B71">
      <w:pPr>
        <w:rPr>
          <w:rStyle w:val="Emphasis"/>
          <w:rFonts w:ascii="Arial" w:hAnsi="Arial"/>
          <w:vanish w:val="0"/>
          <w:color w:val="C45911" w:themeColor="accent2" w:themeShade="BF"/>
          <w:sz w:val="24"/>
        </w:rPr>
      </w:pPr>
    </w:p>
    <w:p w14:paraId="76E93C15" w14:textId="77777777"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14:paraId="76E93C16" w14:textId="77777777" w:rsidR="00D40C0F" w:rsidRPr="00F05E86" w:rsidRDefault="00D40C0F" w:rsidP="00B13B71">
      <w:pPr>
        <w:rPr>
          <w:rFonts w:ascii="Arial" w:hAnsi="Arial"/>
          <w:bCs/>
          <w:color w:val="C45911" w:themeColor="accent2" w:themeShade="BF"/>
        </w:rPr>
      </w:pPr>
    </w:p>
    <w:p w14:paraId="76E93C17" w14:textId="77777777" w:rsidR="00255B02" w:rsidRDefault="00255B02" w:rsidP="00356BDF">
      <w:r w:rsidRPr="006807BF">
        <w:t>What alternatives did DEQ consider</w:t>
      </w:r>
      <w:bookmarkEnd w:id="5"/>
      <w:r w:rsidRPr="006807BF">
        <w:t xml:space="preserve"> if any?</w:t>
      </w:r>
      <w:bookmarkEnd w:id="6"/>
      <w:r w:rsidRPr="006807BF">
        <w:t xml:space="preserve"> </w:t>
      </w:r>
    </w:p>
    <w:p w14:paraId="76E93C18" w14:textId="77777777"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14:paraId="76E93C19" w14:textId="77777777" w:rsidR="0004204A" w:rsidRPr="0004204A" w:rsidRDefault="0004204A" w:rsidP="0004204A"/>
    <w:p w14:paraId="76E93C1A" w14:textId="77777777" w:rsidR="00225B8E" w:rsidRPr="00225B8E" w:rsidRDefault="00225B8E" w:rsidP="00356BDF">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14:paraId="76E93C1B" w14:textId="77777777" w:rsidR="00225B8E" w:rsidRPr="00F05E86" w:rsidRDefault="00225B8E" w:rsidP="002D6C99">
      <w:pPr>
        <w:rPr>
          <w:rStyle w:val="Emphasis"/>
          <w:rFonts w:ascii="Arial" w:hAnsi="Arial"/>
          <w:vanish w:val="0"/>
          <w:color w:val="C45911" w:themeColor="accent2" w:themeShade="BF"/>
          <w:sz w:val="24"/>
        </w:rPr>
      </w:pPr>
    </w:p>
    <w:p w14:paraId="76E93C1C" w14:textId="77777777"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14:paraId="76E93C1D" w14:textId="77777777" w:rsidR="00255B02" w:rsidRDefault="00255B02" w:rsidP="002D6C99"/>
    <w:p w14:paraId="76E93C1E"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76E93C21" w14:textId="77777777" w:rsidTr="009778BC">
        <w:trPr>
          <w:trHeight w:val="613"/>
        </w:trPr>
        <w:tc>
          <w:tcPr>
            <w:tcW w:w="12240" w:type="dxa"/>
            <w:shd w:val="clear" w:color="000000" w:fill="D5DCE4" w:themeFill="text2" w:themeFillTint="33"/>
            <w:noWrap/>
            <w:vAlign w:val="bottom"/>
            <w:hideMark/>
          </w:tcPr>
          <w:p w14:paraId="76E93C1F" w14:textId="77777777" w:rsidR="00823C9D" w:rsidRPr="00823C9D" w:rsidRDefault="00823C9D" w:rsidP="002D6C99"/>
          <w:p w14:paraId="76E93C20" w14:textId="77777777"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hyperlink r:id="rId18" w:history="1">
              <w:r w:rsidR="009C0A9E" w:rsidRPr="009C0A9E">
                <w:rPr>
                  <w:rStyle w:val="Hyperlink"/>
                  <w:rFonts w:ascii="Arial" w:hAnsi="Arial" w:cs="Arial"/>
                  <w:sz w:val="24"/>
                  <w:szCs w:val="24"/>
                </w:rPr>
                <w:t>Land Use</w:t>
              </w:r>
            </w:hyperlink>
          </w:p>
        </w:tc>
      </w:tr>
    </w:tbl>
    <w:p w14:paraId="76E93C22" w14:textId="77777777" w:rsidR="00BB582F" w:rsidRDefault="00BB582F" w:rsidP="00BB582F"/>
    <w:p w14:paraId="76E93C87"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76E93C88"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76E93C89" w14:textId="77777777" w:rsidR="00661768" w:rsidRDefault="00661768" w:rsidP="002D6C99"/>
    <w:p w14:paraId="76E93C8A" w14:textId="77777777" w:rsidR="00AA62F7" w:rsidRDefault="00AA62F7" w:rsidP="00AA62F7">
      <w:r>
        <w:t>Under OAR 660-030-0005 and OAR 340 Division 18, DEQ considers that rules affect land use if:</w:t>
      </w:r>
    </w:p>
    <w:p w14:paraId="76E93C8B" w14:textId="77777777" w:rsidR="00AA62F7" w:rsidRPr="009A7070" w:rsidRDefault="00AA62F7" w:rsidP="00AA62F7">
      <w:pPr>
        <w:numPr>
          <w:ilvl w:val="0"/>
          <w:numId w:val="14"/>
        </w:numPr>
      </w:pPr>
      <w:r w:rsidRPr="009A7070">
        <w:t>The statewide land use planning goals specifically refer to the rule or program, or</w:t>
      </w:r>
    </w:p>
    <w:p w14:paraId="76E93C8C" w14:textId="77777777" w:rsidR="00AA62F7" w:rsidRPr="009A7070" w:rsidRDefault="00AA62F7" w:rsidP="00AA62F7">
      <w:pPr>
        <w:numPr>
          <w:ilvl w:val="0"/>
          <w:numId w:val="14"/>
        </w:numPr>
      </w:pPr>
      <w:r w:rsidRPr="009A7070">
        <w:t>The rule or program is reasonably expected to have significant effects on:</w:t>
      </w:r>
    </w:p>
    <w:p w14:paraId="76E93C8D" w14:textId="77777777" w:rsidR="00AA62F7" w:rsidRPr="009A7070" w:rsidRDefault="00AA62F7" w:rsidP="00AA62F7">
      <w:pPr>
        <w:numPr>
          <w:ilvl w:val="1"/>
          <w:numId w:val="14"/>
        </w:numPr>
      </w:pPr>
      <w:r w:rsidRPr="009A7070">
        <w:t>Resources, objectives or areas identified in the statewide planning goals, or</w:t>
      </w:r>
    </w:p>
    <w:p w14:paraId="76E93C8E" w14:textId="77777777" w:rsidR="00AA62F7" w:rsidRPr="009A7070" w:rsidRDefault="00AA62F7" w:rsidP="00AA62F7">
      <w:pPr>
        <w:numPr>
          <w:ilvl w:val="1"/>
          <w:numId w:val="14"/>
        </w:numPr>
      </w:pPr>
      <w:r w:rsidRPr="009A7070">
        <w:t>Present or future land uses identified in acknowledged comprehensive plans</w:t>
      </w:r>
    </w:p>
    <w:p w14:paraId="76E93C8F" w14:textId="77777777" w:rsidR="00AA62F7" w:rsidRDefault="00AA62F7" w:rsidP="009A7070"/>
    <w:p w14:paraId="76E93C90" w14:textId="77777777"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6E93C91" w14:textId="77777777" w:rsidR="00705C22" w:rsidRPr="00B82764" w:rsidRDefault="00705C22" w:rsidP="002D6C99"/>
    <w:p w14:paraId="76E93C92"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76E93C93"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76E93C94"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76E93C95"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76E93C96"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76E93C97"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76E93C98" w14:textId="77777777" w:rsidR="00705C22" w:rsidRPr="00B82764" w:rsidRDefault="00705C22" w:rsidP="002D6C99"/>
    <w:p w14:paraId="76E93C99" w14:textId="77777777" w:rsidR="00BB582F" w:rsidRDefault="0006277C" w:rsidP="002D6C99">
      <w:pPr>
        <w:pStyle w:val="ListParagraph"/>
      </w:pPr>
      <w:r>
        <w:t>Statewide goals also specifically reference the following DEQ programs:</w:t>
      </w:r>
    </w:p>
    <w:p w14:paraId="76E93C9A" w14:textId="77777777" w:rsidR="0006277C" w:rsidRDefault="0006277C" w:rsidP="002D6C99">
      <w:pPr>
        <w:pStyle w:val="ListParagraph"/>
      </w:pPr>
    </w:p>
    <w:p w14:paraId="76E93C9B" w14:textId="77777777" w:rsidR="0006277C" w:rsidRPr="0006277C" w:rsidRDefault="0006277C" w:rsidP="0006277C">
      <w:pPr>
        <w:pStyle w:val="ListParagraph"/>
        <w:numPr>
          <w:ilvl w:val="0"/>
          <w:numId w:val="16"/>
        </w:numPr>
      </w:pPr>
      <w:r w:rsidRPr="0006277C">
        <w:t>Nonpoint source discharge water quality program – Goal 16</w:t>
      </w:r>
    </w:p>
    <w:p w14:paraId="76E93C9C" w14:textId="77777777" w:rsidR="0006277C" w:rsidRPr="0006277C" w:rsidRDefault="0006277C" w:rsidP="0006277C">
      <w:pPr>
        <w:pStyle w:val="ListParagraph"/>
        <w:numPr>
          <w:ilvl w:val="0"/>
          <w:numId w:val="16"/>
        </w:numPr>
      </w:pPr>
      <w:r w:rsidRPr="0006277C">
        <w:t>Water quality and sewage disposal systems – Goal 16</w:t>
      </w:r>
    </w:p>
    <w:p w14:paraId="76E93C9D" w14:textId="77777777" w:rsidR="0006277C" w:rsidRPr="0006277C" w:rsidRDefault="0006277C" w:rsidP="0006277C">
      <w:pPr>
        <w:pStyle w:val="ListParagraph"/>
        <w:numPr>
          <w:ilvl w:val="0"/>
          <w:numId w:val="16"/>
        </w:numPr>
      </w:pPr>
      <w:r w:rsidRPr="0006277C">
        <w:t>Water quality permits and oil spill regulations – Goal 19</w:t>
      </w:r>
    </w:p>
    <w:p w14:paraId="76E93C9E" w14:textId="77777777" w:rsidR="0006277C" w:rsidRDefault="0006277C" w:rsidP="002D6C99">
      <w:pPr>
        <w:pStyle w:val="ListParagraph"/>
      </w:pPr>
    </w:p>
    <w:p w14:paraId="76E93C9F" w14:textId="77777777" w:rsidR="002E4AA0" w:rsidRPr="006807BF" w:rsidRDefault="006416C7" w:rsidP="00F0078E">
      <w:pPr>
        <w:pStyle w:val="Heading2"/>
      </w:pPr>
      <w:r w:rsidRPr="006807BF">
        <w:t>Determination</w:t>
      </w:r>
    </w:p>
    <w:p w14:paraId="76E93CBA" w14:textId="01A44606" w:rsidR="0065239D" w:rsidRPr="00D936A0" w:rsidRDefault="006416C7" w:rsidP="00C777B7">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76E93CBB" w14:textId="77777777" w:rsidR="00F810EA" w:rsidRDefault="00F810EA" w:rsidP="002D6C99"/>
    <w:p w14:paraId="76E93CBC"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76E93CBF" w14:textId="77777777" w:rsidTr="009778BC">
        <w:trPr>
          <w:trHeight w:val="571"/>
        </w:trPr>
        <w:tc>
          <w:tcPr>
            <w:tcW w:w="12240" w:type="dxa"/>
            <w:shd w:val="clear" w:color="000000" w:fill="D5DCE4" w:themeFill="text2" w:themeFillTint="33"/>
            <w:noWrap/>
            <w:vAlign w:val="bottom"/>
            <w:hideMark/>
          </w:tcPr>
          <w:p w14:paraId="76E93CBD" w14:textId="77777777" w:rsidR="00C9239E" w:rsidRPr="00823C9D" w:rsidRDefault="00C9239E" w:rsidP="002D6C99">
            <w:pPr>
              <w:rPr>
                <w:color w:val="32525C"/>
                <w:sz w:val="28"/>
                <w:szCs w:val="28"/>
              </w:rPr>
            </w:pPr>
            <w:r w:rsidRPr="00B15DF7">
              <w:lastRenderedPageBreak/>
              <w:t> </w:t>
            </w:r>
          </w:p>
          <w:p w14:paraId="76E93CBE" w14:textId="77777777" w:rsidR="00C9239E" w:rsidRPr="00D1364A" w:rsidRDefault="00C9239E" w:rsidP="007546FD">
            <w:pPr>
              <w:pStyle w:val="Heading1"/>
              <w:rPr>
                <w:b w:val="0"/>
                <w:color w:val="C45911" w:themeColor="accent2" w:themeShade="BF"/>
              </w:rPr>
            </w:pPr>
            <w:r>
              <w:t xml:space="preserve">Stakeholder </w:t>
            </w:r>
            <w:r w:rsidR="00B35715">
              <w:t xml:space="preserve">and public </w:t>
            </w:r>
            <w:r>
              <w:t>involvement</w:t>
            </w:r>
            <w:r w:rsidR="00D1364A">
              <w:t xml:space="preserve"> </w:t>
            </w:r>
            <w:r w:rsidR="00D1364A">
              <w:rPr>
                <w:b w:val="0"/>
                <w:color w:val="C45911" w:themeColor="accent2" w:themeShade="BF"/>
              </w:rPr>
              <w:t>ORS 183.333; 183.333(3)</w:t>
            </w:r>
            <w:r w:rsidR="009C0A9E">
              <w:rPr>
                <w:b w:val="0"/>
                <w:color w:val="C45911" w:themeColor="accent2" w:themeShade="BF"/>
              </w:rPr>
              <w:t xml:space="preserve"> </w:t>
            </w:r>
            <w:hyperlink r:id="rId19" w:history="1">
              <w:r w:rsidR="009C0A9E" w:rsidRPr="009C0A9E">
                <w:rPr>
                  <w:rStyle w:val="Hyperlink"/>
                  <w:b w:val="0"/>
                  <w:color w:val="034990" w:themeColor="hyperlink" w:themeShade="BF"/>
                </w:rPr>
                <w:t>Advisory Committee</w:t>
              </w:r>
            </w:hyperlink>
          </w:p>
        </w:tc>
      </w:tr>
    </w:tbl>
    <w:p w14:paraId="76E93CC0" w14:textId="77777777" w:rsidR="00C9239E" w:rsidRPr="00B15DF7" w:rsidRDefault="00C9239E" w:rsidP="002D6C99">
      <w:r w:rsidRPr="00B15DF7">
        <w:t>  </w:t>
      </w:r>
    </w:p>
    <w:p w14:paraId="76E93CC1" w14:textId="7575D7E6" w:rsidR="00C9239E" w:rsidRPr="006807BF" w:rsidRDefault="00C9239E" w:rsidP="00F0078E">
      <w:pPr>
        <w:pStyle w:val="Heading2"/>
        <w:rPr>
          <w:rFonts w:asciiTheme="minorHAnsi" w:hAnsiTheme="minorHAnsi" w:cstheme="minorHAnsi"/>
        </w:rPr>
      </w:pPr>
      <w:bookmarkStart w:id="7" w:name="AdvisoryCommittee"/>
      <w:r w:rsidRPr="006807BF">
        <w:t>Advisory committee</w:t>
      </w:r>
      <w:bookmarkEnd w:id="7"/>
    </w:p>
    <w:p w14:paraId="76E93CC6" w14:textId="5C3B5614" w:rsidR="00A76D00" w:rsidRDefault="00A76D00" w:rsidP="00A76D00">
      <w:pPr>
        <w:pStyle w:val="Heading2"/>
      </w:pPr>
      <w:r>
        <w:t>Background</w:t>
      </w:r>
    </w:p>
    <w:p w14:paraId="76E93CC7" w14:textId="5047D577"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497DF8">
        <w:rPr>
          <w:rFonts w:asciiTheme="minorHAnsi" w:hAnsiTheme="minorHAnsi" w:cstheme="minorHAnsi"/>
        </w:rPr>
        <w:t xml:space="preserve">met </w:t>
      </w:r>
      <w:r w:rsidR="00497DF8" w:rsidRPr="00497DF8">
        <w:rPr>
          <w:rStyle w:val="Emphasis"/>
          <w:rFonts w:asciiTheme="minorHAnsi" w:hAnsiTheme="minorHAnsi" w:cstheme="minorHAnsi"/>
          <w:vanish w:val="0"/>
          <w:color w:val="auto"/>
          <w:sz w:val="24"/>
        </w:rPr>
        <w:t>two</w:t>
      </w:r>
      <w:r w:rsidRPr="00497DF8">
        <w:rPr>
          <w:rFonts w:asciiTheme="minorHAnsi" w:hAnsiTheme="minorHAnsi" w:cstheme="minorHAnsi"/>
        </w:rPr>
        <w:t xml:space="preserve"> times</w:t>
      </w:r>
      <w:r w:rsidRPr="007546FD">
        <w:t xml:space="preserve">. </w:t>
      </w:r>
      <w:r>
        <w:t xml:space="preserve">The committee’s web page is located at: </w:t>
      </w:r>
      <w:r>
        <w:rPr>
          <w:color w:val="C45911" w:themeColor="accent2" w:themeShade="BF"/>
        </w:rPr>
        <w:t>LINK TO COMMITTEE WEB PAGE.</w:t>
      </w:r>
    </w:p>
    <w:p w14:paraId="76E93CC8" w14:textId="77777777" w:rsidR="00A76D00" w:rsidRDefault="00A76D00" w:rsidP="00A76D00">
      <w:pPr>
        <w:rPr>
          <w:color w:val="C45911" w:themeColor="accent2" w:themeShade="BF"/>
        </w:rPr>
      </w:pPr>
    </w:p>
    <w:p w14:paraId="76E93CC9" w14:textId="77777777" w:rsidR="00A76D00" w:rsidRPr="00A76D00" w:rsidRDefault="00A76D00" w:rsidP="00A76D00">
      <w:r>
        <w:rPr>
          <w:color w:val="000000" w:themeColor="text1"/>
        </w:rPr>
        <w:t>The committee members were:</w:t>
      </w:r>
    </w:p>
    <w:p w14:paraId="76E93CCA" w14:textId="77777777" w:rsidR="00A94E6E" w:rsidRPr="00A94E6E" w:rsidRDefault="00A94E6E" w:rsidP="00A94E6E"/>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4590"/>
        <w:gridCol w:w="4950"/>
      </w:tblGrid>
      <w:tr w:rsidR="00E82718" w14:paraId="76E93CCD" w14:textId="77777777" w:rsidTr="00C3579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76E93CCB" w14:textId="77777777" w:rsidR="00E82718" w:rsidRPr="00A01BB8" w:rsidRDefault="00E82718" w:rsidP="00544830">
            <w:pPr>
              <w:pStyle w:val="Title"/>
            </w:pPr>
            <w:r w:rsidRPr="00A01BB8">
              <w:t>Name</w:t>
            </w:r>
          </w:p>
        </w:tc>
        <w:tc>
          <w:tcPr>
            <w:tcW w:w="4950" w:type="dxa"/>
            <w:tcBorders>
              <w:bottom w:val="none" w:sz="0" w:space="0" w:color="auto"/>
            </w:tcBorders>
          </w:tcPr>
          <w:p w14:paraId="76E93CCC" w14:textId="77777777" w:rsidR="00E82718" w:rsidRPr="00A01BB8" w:rsidRDefault="00E82718" w:rsidP="00544830">
            <w:pPr>
              <w:pStyle w:val="Title"/>
            </w:pPr>
            <w:r w:rsidRPr="00A01BB8">
              <w:t>Representing</w:t>
            </w:r>
          </w:p>
        </w:tc>
      </w:tr>
      <w:tr w:rsidR="00E82718" w14:paraId="76E93CD0"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76E93CCE" w14:textId="77777777" w:rsidR="00E82718" w:rsidRDefault="00E82718" w:rsidP="00544830">
            <w:pPr>
              <w:ind w:left="72"/>
            </w:pPr>
            <w:r>
              <w:t>Enter name, Chair</w:t>
            </w:r>
          </w:p>
        </w:tc>
        <w:tc>
          <w:tcPr>
            <w:tcW w:w="4950" w:type="dxa"/>
          </w:tcPr>
          <w:p w14:paraId="76E93CCF" w14:textId="77777777" w:rsidR="00E82718" w:rsidRDefault="00E82718" w:rsidP="00544830">
            <w:pPr>
              <w:ind w:left="72"/>
            </w:pPr>
          </w:p>
        </w:tc>
      </w:tr>
      <w:tr w:rsidR="00E82718" w14:paraId="76E93CD3"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76E93CD1" w14:textId="77777777" w:rsidR="00E82718" w:rsidRDefault="00E82718" w:rsidP="00544830">
            <w:pPr>
              <w:ind w:left="72"/>
            </w:pPr>
            <w:r>
              <w:t>Enter name, Co-Chair</w:t>
            </w:r>
          </w:p>
        </w:tc>
        <w:tc>
          <w:tcPr>
            <w:tcW w:w="4950" w:type="dxa"/>
          </w:tcPr>
          <w:p w14:paraId="76E93CD2" w14:textId="77777777" w:rsidR="00E82718" w:rsidRDefault="00E82718" w:rsidP="00544830">
            <w:pPr>
              <w:ind w:left="72"/>
            </w:pPr>
          </w:p>
        </w:tc>
      </w:tr>
      <w:tr w:rsidR="00E82718" w14:paraId="76E93CD6"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76E93CD4" w14:textId="77777777" w:rsidR="00E82718" w:rsidRDefault="00E82718" w:rsidP="00544830">
            <w:pPr>
              <w:ind w:left="72"/>
            </w:pPr>
            <w:r>
              <w:t>Enter name, Member</w:t>
            </w:r>
          </w:p>
        </w:tc>
        <w:tc>
          <w:tcPr>
            <w:tcW w:w="4950" w:type="dxa"/>
          </w:tcPr>
          <w:p w14:paraId="76E93CD5" w14:textId="77777777" w:rsidR="00E82718" w:rsidRDefault="00E82718" w:rsidP="00544830">
            <w:pPr>
              <w:ind w:left="72"/>
            </w:pPr>
          </w:p>
        </w:tc>
      </w:tr>
      <w:tr w:rsidR="00E82718" w14:paraId="76E93CD9"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76E93CD7" w14:textId="77777777" w:rsidR="00E82718" w:rsidRDefault="00E82718" w:rsidP="00544830">
            <w:pPr>
              <w:ind w:left="72"/>
            </w:pPr>
          </w:p>
        </w:tc>
        <w:tc>
          <w:tcPr>
            <w:tcW w:w="4950" w:type="dxa"/>
          </w:tcPr>
          <w:p w14:paraId="76E93CD8" w14:textId="77777777" w:rsidR="00E82718" w:rsidRDefault="00E82718" w:rsidP="00544830">
            <w:pPr>
              <w:ind w:left="72"/>
            </w:pPr>
          </w:p>
        </w:tc>
      </w:tr>
      <w:tr w:rsidR="00E82718" w14:paraId="76E93CDC"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76E93CDA" w14:textId="77777777" w:rsidR="00E82718" w:rsidRDefault="00E82718" w:rsidP="00544830">
            <w:pPr>
              <w:ind w:left="72"/>
            </w:pPr>
          </w:p>
        </w:tc>
        <w:tc>
          <w:tcPr>
            <w:tcW w:w="4950" w:type="dxa"/>
          </w:tcPr>
          <w:p w14:paraId="76E93CDB" w14:textId="77777777" w:rsidR="00E82718" w:rsidRDefault="00E82718" w:rsidP="00544830">
            <w:pPr>
              <w:ind w:left="72"/>
            </w:pPr>
          </w:p>
        </w:tc>
      </w:tr>
      <w:tr w:rsidR="00E82718" w14:paraId="76E93CDF"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76E93CDD" w14:textId="77777777" w:rsidR="00E82718" w:rsidRDefault="00E82718" w:rsidP="00544830">
            <w:pPr>
              <w:ind w:left="72"/>
            </w:pPr>
          </w:p>
        </w:tc>
        <w:tc>
          <w:tcPr>
            <w:tcW w:w="4950" w:type="dxa"/>
          </w:tcPr>
          <w:p w14:paraId="76E93CDE" w14:textId="77777777" w:rsidR="00E82718" w:rsidRDefault="00E82718" w:rsidP="00544830">
            <w:pPr>
              <w:ind w:left="72"/>
            </w:pPr>
          </w:p>
        </w:tc>
      </w:tr>
      <w:tr w:rsidR="00E82718" w14:paraId="76E93CE2"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76E93CE0" w14:textId="77777777" w:rsidR="00E82718" w:rsidRDefault="00E82718" w:rsidP="00544830">
            <w:pPr>
              <w:ind w:left="72"/>
            </w:pPr>
          </w:p>
        </w:tc>
        <w:tc>
          <w:tcPr>
            <w:tcW w:w="4950" w:type="dxa"/>
          </w:tcPr>
          <w:p w14:paraId="76E93CE1" w14:textId="77777777" w:rsidR="00E82718" w:rsidRDefault="00E82718" w:rsidP="00544830">
            <w:pPr>
              <w:ind w:left="72"/>
            </w:pPr>
          </w:p>
        </w:tc>
      </w:tr>
      <w:tr w:rsidR="00E82718" w14:paraId="76E93CE5"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76E93CE3" w14:textId="77777777" w:rsidR="00E82718" w:rsidRDefault="00E82718" w:rsidP="00544830">
            <w:pPr>
              <w:ind w:left="72"/>
            </w:pPr>
          </w:p>
        </w:tc>
        <w:tc>
          <w:tcPr>
            <w:tcW w:w="4950" w:type="dxa"/>
          </w:tcPr>
          <w:p w14:paraId="76E93CE4" w14:textId="77777777" w:rsidR="00E82718" w:rsidRDefault="00E82718" w:rsidP="00544830">
            <w:pPr>
              <w:ind w:left="72"/>
            </w:pPr>
          </w:p>
        </w:tc>
      </w:tr>
      <w:tr w:rsidR="00E82718" w14:paraId="76E93CE8"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76E93CE6" w14:textId="77777777" w:rsidR="00E82718" w:rsidRDefault="00E82718" w:rsidP="00544830">
            <w:pPr>
              <w:ind w:left="72"/>
            </w:pPr>
          </w:p>
        </w:tc>
        <w:tc>
          <w:tcPr>
            <w:tcW w:w="4950" w:type="dxa"/>
          </w:tcPr>
          <w:p w14:paraId="76E93CE7" w14:textId="77777777" w:rsidR="00E82718" w:rsidRDefault="00E82718" w:rsidP="00544830">
            <w:pPr>
              <w:ind w:left="72"/>
            </w:pPr>
          </w:p>
        </w:tc>
      </w:tr>
    </w:tbl>
    <w:p w14:paraId="76E93CE9" w14:textId="77777777" w:rsidR="00E82718" w:rsidRDefault="00E82718" w:rsidP="002D6C99"/>
    <w:p w14:paraId="76E93CEA" w14:textId="77777777" w:rsidR="002048F4" w:rsidRDefault="002048F4" w:rsidP="00D01EC9">
      <w:pPr>
        <w:pStyle w:val="Heading2"/>
      </w:pPr>
      <w:r>
        <w:t>Meeting notifications</w:t>
      </w:r>
    </w:p>
    <w:p w14:paraId="76E93CEB" w14:textId="77777777" w:rsidR="002048F4" w:rsidRDefault="002048F4" w:rsidP="00A94E6E"/>
    <w:p w14:paraId="76E93CEC"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76E93CED" w14:textId="77777777"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76E93CEE" w14:textId="77777777"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76E93CEF" w14:textId="77777777" w:rsidR="00A76D00" w:rsidRDefault="00A76D00" w:rsidP="00A53488">
      <w:pPr>
        <w:pStyle w:val="ListParagraph"/>
        <w:numPr>
          <w:ilvl w:val="1"/>
          <w:numId w:val="12"/>
        </w:numPr>
        <w:ind w:right="378"/>
      </w:pPr>
      <w:r>
        <w:t>People who signed up for the advisory committee bulletin.</w:t>
      </w:r>
    </w:p>
    <w:p w14:paraId="76E93CF0"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76E93CF1" w14:textId="77777777"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14:paraId="76E93CF2" w14:textId="77777777" w:rsidR="00A76D00" w:rsidRDefault="00A76D00" w:rsidP="000C1364">
      <w:pPr>
        <w:pStyle w:val="Heading2"/>
      </w:pPr>
      <w:r>
        <w:t>Committee discussions</w:t>
      </w:r>
    </w:p>
    <w:p w14:paraId="76E93CF3" w14:textId="77777777"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14:paraId="76E93CF4" w14:textId="77777777" w:rsidR="00C9239E" w:rsidRPr="00F0078E" w:rsidRDefault="00DC04D1" w:rsidP="00F0078E">
      <w:pPr>
        <w:pStyle w:val="Heading2"/>
      </w:pPr>
      <w:r w:rsidRPr="00F0078E">
        <w:rPr>
          <w:rStyle w:val="SubtitleChar"/>
          <w:rFonts w:cstheme="majorBidi"/>
          <w:color w:val="3B3838" w:themeColor="background2" w:themeShade="40"/>
        </w:rPr>
        <w:lastRenderedPageBreak/>
        <w:t xml:space="preserve">EQC </w:t>
      </w:r>
      <w:r w:rsidR="00A74227" w:rsidRPr="00F0078E">
        <w:rPr>
          <w:rStyle w:val="SubtitleChar"/>
          <w:rFonts w:cstheme="majorBidi"/>
          <w:color w:val="3B3838" w:themeColor="background2" w:themeShade="40"/>
        </w:rPr>
        <w:t>prior involvemen</w:t>
      </w:r>
      <w:r w:rsidR="00A74227" w:rsidRPr="00F0078E">
        <w:t>t</w:t>
      </w:r>
    </w:p>
    <w:p w14:paraId="76E93CF5" w14:textId="77777777"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14:paraId="76E93CF6" w14:textId="77777777" w:rsidR="00B849C7" w:rsidRDefault="00B849C7" w:rsidP="002D6C99"/>
    <w:p w14:paraId="76E93CF7" w14:textId="77777777"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14:paraId="76E93CF8" w14:textId="77777777" w:rsidR="00B849C7" w:rsidRDefault="00B849C7" w:rsidP="002D6C99"/>
    <w:p w14:paraId="76E93CF9" w14:textId="77777777"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14:paraId="76E93CFA" w14:textId="77777777" w:rsidR="00B849C7" w:rsidRDefault="00B849C7" w:rsidP="002D6C99"/>
    <w:p w14:paraId="76E93CFB" w14:textId="77777777" w:rsidR="00B849C7" w:rsidRDefault="00B849C7" w:rsidP="002D6C99">
      <w:pPr>
        <w:rPr>
          <w:color w:val="C45911" w:themeColor="accent2" w:themeShade="BF"/>
        </w:rPr>
      </w:pPr>
      <w:r>
        <w:rPr>
          <w:color w:val="C45911" w:themeColor="accent2" w:themeShade="BF"/>
        </w:rPr>
        <w:t>Choose one and delete the other options:</w:t>
      </w:r>
    </w:p>
    <w:p w14:paraId="76E93CFC" w14:textId="77777777" w:rsidR="00B849C7" w:rsidRDefault="00B849C7" w:rsidP="002D6C99">
      <w:pPr>
        <w:rPr>
          <w:color w:val="C45911" w:themeColor="accent2" w:themeShade="BF"/>
        </w:rPr>
      </w:pPr>
    </w:p>
    <w:p w14:paraId="76E93CFD" w14:textId="77777777" w:rsidR="00B849C7" w:rsidRPr="00F05E86" w:rsidRDefault="00A74227" w:rsidP="002D6C99">
      <w:pPr>
        <w:rPr>
          <w:rStyle w:val="Emphasis"/>
          <w:rFonts w:ascii="Arial" w:hAnsi="Arial"/>
          <w:vanish w:val="0"/>
          <w:color w:val="C45911" w:themeColor="accent2" w:themeShade="BF"/>
          <w:sz w:val="24"/>
        </w:rPr>
      </w:pPr>
      <w:r w:rsidRPr="00A872BA">
        <w:t>at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14:paraId="76E93CFE" w14:textId="77777777" w:rsidR="00B849C7" w:rsidRPr="00F05E86" w:rsidRDefault="00B849C7" w:rsidP="002D6C99">
      <w:pPr>
        <w:rPr>
          <w:rStyle w:val="Emphasis"/>
          <w:rFonts w:ascii="Arial" w:hAnsi="Arial"/>
          <w:vanish w:val="0"/>
          <w:color w:val="C45911" w:themeColor="accent2" w:themeShade="BF"/>
          <w:sz w:val="24"/>
        </w:rPr>
      </w:pPr>
    </w:p>
    <w:p w14:paraId="76E93CFF" w14:textId="77777777" w:rsidR="00B849C7" w:rsidRDefault="00A74227" w:rsidP="002D6C99">
      <w:pPr>
        <w:rPr>
          <w:sz w:val="22"/>
          <w:szCs w:val="22"/>
        </w:rPr>
      </w:pPr>
      <w:r w:rsidRPr="00A872BA">
        <w:rPr>
          <w:sz w:val="22"/>
          <w:szCs w:val="22"/>
        </w:rPr>
        <w:t>through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14:paraId="76E93D00" w14:textId="77777777" w:rsidR="00B849C7" w:rsidRDefault="00B849C7" w:rsidP="002D6C99">
      <w:pPr>
        <w:rPr>
          <w:sz w:val="22"/>
          <w:szCs w:val="22"/>
        </w:rPr>
      </w:pPr>
    </w:p>
    <w:p w14:paraId="76E93D01" w14:textId="77777777" w:rsidR="000C1364" w:rsidRDefault="00B849C7" w:rsidP="002D6C99">
      <w:pPr>
        <w:sectPr w:rsidR="000C1364" w:rsidSect="00B34CF8">
          <w:pgSz w:w="12240" w:h="15840"/>
          <w:pgMar w:top="1080" w:right="990" w:bottom="1080" w:left="360" w:header="720" w:footer="720" w:gutter="432"/>
          <w:cols w:space="720"/>
          <w:docGrid w:linePitch="360"/>
        </w:sectPr>
      </w:pPr>
      <w:r>
        <w:rPr>
          <w:sz w:val="22"/>
          <w:szCs w:val="22"/>
        </w:rPr>
        <w:t>i</w:t>
      </w:r>
      <w:r w:rsidR="001F2D3C" w:rsidRPr="00A872BA">
        <w:rPr>
          <w:sz w:val="22"/>
          <w:szCs w:val="22"/>
        </w:rPr>
        <w:t xml:space="preserve">n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76E93D04" w14:textId="77777777" w:rsidTr="00983629">
        <w:trPr>
          <w:trHeight w:val="571"/>
        </w:trPr>
        <w:tc>
          <w:tcPr>
            <w:tcW w:w="12240" w:type="dxa"/>
            <w:shd w:val="clear" w:color="000000" w:fill="D5DCE4" w:themeFill="text2" w:themeFillTint="33"/>
            <w:noWrap/>
            <w:vAlign w:val="bottom"/>
            <w:hideMark/>
          </w:tcPr>
          <w:p w14:paraId="76E93D02" w14:textId="77777777" w:rsidR="000C1364" w:rsidRPr="00823C9D" w:rsidRDefault="000C1364" w:rsidP="00983629">
            <w:pPr>
              <w:rPr>
                <w:color w:val="32525C"/>
                <w:sz w:val="28"/>
                <w:szCs w:val="28"/>
              </w:rPr>
            </w:pPr>
            <w:r w:rsidRPr="00B15DF7">
              <w:lastRenderedPageBreak/>
              <w:t> </w:t>
            </w:r>
          </w:p>
          <w:p w14:paraId="76E93D03" w14:textId="77777777" w:rsidR="000C1364" w:rsidRPr="00D1364A" w:rsidRDefault="000C1364" w:rsidP="00983629">
            <w:pPr>
              <w:pStyle w:val="Heading1"/>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1" w:history="1">
              <w:r w:rsidR="009C0A9E" w:rsidRPr="009C0A9E">
                <w:rPr>
                  <w:rStyle w:val="Hyperlink"/>
                  <w:b w:val="0"/>
                  <w:color w:val="034990" w:themeColor="hyperlink" w:themeShade="BF"/>
                </w:rPr>
                <w:t>Public Hearings</w:t>
              </w:r>
            </w:hyperlink>
          </w:p>
        </w:tc>
      </w:tr>
    </w:tbl>
    <w:p w14:paraId="76E93D05" w14:textId="77777777" w:rsidR="000C1364" w:rsidRPr="00B15DF7" w:rsidRDefault="000C1364" w:rsidP="000C1364">
      <w:r w:rsidRPr="00B15DF7">
        <w:t>  </w:t>
      </w:r>
    </w:p>
    <w:p w14:paraId="76E93D06" w14:textId="77777777" w:rsidR="00A74227" w:rsidRDefault="00A74227" w:rsidP="002D6C99"/>
    <w:p w14:paraId="76E93D07" w14:textId="77777777" w:rsidR="00A74227" w:rsidRPr="00287EA4" w:rsidRDefault="00A74227" w:rsidP="00F0078E">
      <w:pPr>
        <w:pStyle w:val="Heading2"/>
        <w:rPr>
          <w:rStyle w:val="SubtitleChar"/>
          <w:color w:val="3B3838" w:themeColor="background2" w:themeShade="40"/>
          <w:sz w:val="24"/>
          <w:szCs w:val="24"/>
        </w:rPr>
      </w:pPr>
      <w:r w:rsidRPr="00287EA4">
        <w:rPr>
          <w:rStyle w:val="SubtitleChar"/>
          <w:color w:val="3B3838" w:themeColor="background2" w:themeShade="40"/>
          <w:sz w:val="24"/>
          <w:szCs w:val="24"/>
        </w:rPr>
        <w:t>Public notice</w:t>
      </w:r>
    </w:p>
    <w:p w14:paraId="76E93D08" w14:textId="6F204859" w:rsidR="00A74227" w:rsidRDefault="00233537" w:rsidP="002D6C99">
      <w:r>
        <w:t xml:space="preserve">DEQ provided notice </w:t>
      </w:r>
      <w:r w:rsidR="000D707E">
        <w:t xml:space="preserve">of the proposed rulemaking and rulemaking </w:t>
      </w:r>
      <w:r w:rsidR="00BD4585">
        <w:t xml:space="preserve">hearing </w:t>
      </w:r>
      <w:r w:rsidR="000D707E" w:rsidRPr="0001323B">
        <w:t xml:space="preserve">on </w:t>
      </w:r>
      <w:r w:rsidR="0001323B" w:rsidRPr="0001323B">
        <w:t>June 15, 2016</w:t>
      </w:r>
      <w:r w:rsidR="000D707E" w:rsidRPr="0001323B">
        <w:t xml:space="preserve"> </w:t>
      </w:r>
      <w:r w:rsidR="000D707E">
        <w:t>by</w:t>
      </w:r>
      <w:r>
        <w:t>:</w:t>
      </w:r>
      <w:r w:rsidR="006F1FBD">
        <w:t xml:space="preserve"> </w:t>
      </w:r>
    </w:p>
    <w:p w14:paraId="76E93D09" w14:textId="77777777" w:rsidR="0005132C" w:rsidRDefault="0005132C" w:rsidP="002D6C99">
      <w:pPr>
        <w:pStyle w:val="ListParagraph"/>
      </w:pPr>
    </w:p>
    <w:p w14:paraId="76E93D0A" w14:textId="599FD0DA" w:rsidR="00EB34DD" w:rsidRDefault="000D707E" w:rsidP="0065671A">
      <w:pPr>
        <w:pStyle w:val="ListParagraph"/>
        <w:numPr>
          <w:ilvl w:val="0"/>
          <w:numId w:val="5"/>
        </w:numPr>
      </w:pPr>
      <w:r>
        <w:t xml:space="preserve">Filing notice with the Oregon </w:t>
      </w:r>
      <w:r w:rsidR="00233537">
        <w:t xml:space="preserve">Secretary of State for publication in the </w:t>
      </w:r>
      <w:r>
        <w:t xml:space="preserve">Oregon Bulletin on </w:t>
      </w:r>
      <w:r w:rsidR="009E6A34">
        <w:t>June 15, 2016</w:t>
      </w:r>
      <w:r w:rsidRPr="00C35797">
        <w:rPr>
          <w:color w:val="000000" w:themeColor="text1"/>
        </w:rPr>
        <w:t>,</w:t>
      </w:r>
    </w:p>
    <w:p w14:paraId="76E93D0B" w14:textId="77777777" w:rsidR="0005132C" w:rsidRPr="00C35797" w:rsidRDefault="000D707E" w:rsidP="0065671A">
      <w:pPr>
        <w:pStyle w:val="ListParagraph"/>
        <w:numPr>
          <w:ilvl w:val="0"/>
          <w:numId w:val="5"/>
        </w:numPr>
        <w:rPr>
          <w:color w:val="000000" w:themeColor="text1"/>
        </w:rPr>
      </w:pPr>
      <w:r w:rsidRPr="009E6A34">
        <w:rPr>
          <w:highlight w:val="yellow"/>
        </w:rPr>
        <w:t xml:space="preserve">Notifying the </w:t>
      </w:r>
      <w:r w:rsidR="004C40F0" w:rsidRPr="009E6A34">
        <w:rPr>
          <w:highlight w:val="yellow"/>
        </w:rPr>
        <w:t xml:space="preserve">EPA </w:t>
      </w:r>
      <w:r w:rsidRPr="009E6A34">
        <w:rPr>
          <w:highlight w:val="yellow"/>
        </w:rPr>
        <w:t xml:space="preserve">by </w:t>
      </w:r>
      <w:commentRangeStart w:id="8"/>
      <w:r w:rsidRPr="009E6A34">
        <w:rPr>
          <w:highlight w:val="yellow"/>
        </w:rPr>
        <w:t>email</w:t>
      </w:r>
      <w:commentRangeEnd w:id="8"/>
      <w:r w:rsidR="009E6A34">
        <w:rPr>
          <w:rStyle w:val="CommentReference"/>
        </w:rPr>
        <w:commentReference w:id="8"/>
      </w:r>
      <w:r>
        <w:t>,</w:t>
      </w:r>
    </w:p>
    <w:p w14:paraId="76E93D0C" w14:textId="1DAFBB6C" w:rsidR="0005132C" w:rsidRPr="00C35797" w:rsidRDefault="000D707E" w:rsidP="009E6A34">
      <w:pPr>
        <w:pStyle w:val="ListParagraph"/>
        <w:numPr>
          <w:ilvl w:val="0"/>
          <w:numId w:val="5"/>
        </w:numPr>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web page for this rulemaking; located at</w:t>
      </w:r>
      <w:r w:rsidR="009E6A34">
        <w:rPr>
          <w:color w:val="000000" w:themeColor="text1"/>
        </w:rPr>
        <w:t xml:space="preserve">: </w:t>
      </w:r>
      <w:hyperlink r:id="rId22" w:history="1">
        <w:r w:rsidR="009E6A34" w:rsidRPr="000F520F">
          <w:rPr>
            <w:rStyle w:val="Hyperlink"/>
          </w:rPr>
          <w:t>http://www.oregon.gov/deq/RulesandRegulations/Pages/2016/Rartglass2016.aspx</w:t>
        </w:r>
      </w:hyperlink>
      <w:r w:rsidR="002C4F3A" w:rsidRPr="00C35797">
        <w:rPr>
          <w:color w:val="000000" w:themeColor="text1"/>
        </w:rPr>
        <w:t>,</w:t>
      </w:r>
    </w:p>
    <w:p w14:paraId="76E93D0D" w14:textId="77777777" w:rsidR="00233537" w:rsidRDefault="000D707E" w:rsidP="00A53488">
      <w:pPr>
        <w:pStyle w:val="ListParagraph"/>
        <w:numPr>
          <w:ilvl w:val="0"/>
          <w:numId w:val="5"/>
        </w:numPr>
      </w:pPr>
      <w:r>
        <w:t xml:space="preserve">Emailing </w:t>
      </w:r>
      <w:commentRangeStart w:id="9"/>
      <w:r>
        <w:rPr>
          <w:color w:val="C45911" w:themeColor="accent2" w:themeShade="BF"/>
        </w:rPr>
        <w:t xml:space="preserve">NUMBER OF PARTIES </w:t>
      </w:r>
      <w:commentRangeEnd w:id="9"/>
      <w:r w:rsidR="009E6A34">
        <w:rPr>
          <w:rStyle w:val="CommentReference"/>
        </w:rPr>
        <w:commentReference w:id="9"/>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76E93D0E" w14:textId="77777777" w:rsidR="002C4F3A" w:rsidRPr="002C4F3A" w:rsidRDefault="002C4F3A" w:rsidP="00A53488">
      <w:pPr>
        <w:pStyle w:val="ListParagraph"/>
        <w:numPr>
          <w:ilvl w:val="1"/>
          <w:numId w:val="5"/>
        </w:numPr>
      </w:pPr>
      <w:r>
        <w:rPr>
          <w:color w:val="C45911" w:themeColor="accent2" w:themeShade="BF"/>
        </w:rPr>
        <w:t>TOPIC</w:t>
      </w:r>
    </w:p>
    <w:p w14:paraId="76E93D0F" w14:textId="77777777" w:rsidR="002C4F3A" w:rsidRPr="002C4F3A" w:rsidRDefault="002C4F3A" w:rsidP="00A53488">
      <w:pPr>
        <w:pStyle w:val="ListParagraph"/>
        <w:numPr>
          <w:ilvl w:val="1"/>
          <w:numId w:val="5"/>
        </w:numPr>
      </w:pPr>
      <w:r>
        <w:rPr>
          <w:color w:val="C45911" w:themeColor="accent2" w:themeShade="BF"/>
        </w:rPr>
        <w:t>TOPIC</w:t>
      </w:r>
    </w:p>
    <w:p w14:paraId="76E93D10" w14:textId="77777777" w:rsidR="0005132C" w:rsidRPr="00C35797" w:rsidRDefault="002C4F3A" w:rsidP="0065671A">
      <w:pPr>
        <w:pStyle w:val="ListParagraph"/>
        <w:numPr>
          <w:ilvl w:val="1"/>
          <w:numId w:val="5"/>
        </w:numPr>
        <w:rPr>
          <w:bCs/>
          <w:color w:val="385623" w:themeColor="accent6" w:themeShade="80"/>
        </w:rPr>
      </w:pPr>
      <w:r w:rsidRPr="00C35797">
        <w:rPr>
          <w:color w:val="C45911" w:themeColor="accent2" w:themeShade="BF"/>
        </w:rPr>
        <w:t>TOPIC</w:t>
      </w:r>
    </w:p>
    <w:p w14:paraId="76E93D11" w14:textId="77777777" w:rsidR="00EB34DD" w:rsidRDefault="002C4F3A" w:rsidP="0065671A">
      <w:pPr>
        <w:pStyle w:val="ListParagraph"/>
        <w:numPr>
          <w:ilvl w:val="0"/>
          <w:numId w:val="5"/>
        </w:numPr>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76E93D12"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14:paraId="76E93D13" w14:textId="77777777" w:rsidR="00F0078E" w:rsidRPr="006F1FBD" w:rsidRDefault="00F0078E" w:rsidP="002D6C99">
      <w:pPr>
        <w:pStyle w:val="ListParagraph"/>
      </w:pPr>
    </w:p>
    <w:p w14:paraId="76E93D14" w14:textId="77777777"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6E93D15" w14:textId="77777777"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76E93D16" w14:textId="77777777"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76E93D17" w14:textId="77777777" w:rsidR="00F0078E" w:rsidRDefault="00F0078E" w:rsidP="00F0078E">
      <w:pPr>
        <w:pStyle w:val="ListParagraph"/>
        <w:ind w:left="1440"/>
      </w:pPr>
    </w:p>
    <w:p w14:paraId="76E93D18" w14:textId="77777777" w:rsidR="0068788A" w:rsidRPr="006F1FBD" w:rsidRDefault="00BD4585" w:rsidP="0065671A">
      <w:pPr>
        <w:pStyle w:val="ListParagraph"/>
        <w:numPr>
          <w:ilvl w:val="0"/>
          <w:numId w:val="6"/>
        </w:numPr>
      </w:pPr>
      <w:r>
        <w:t>Emailing advisory committee members,</w:t>
      </w:r>
    </w:p>
    <w:p w14:paraId="76E93D19" w14:textId="77777777"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6E93D1A" w14:textId="77777777"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14:paraId="76E93D1B" w14:textId="77777777"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14:paraId="76E93D1C" w14:textId="77777777"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76E93D1D" w14:textId="77777777" w:rsidR="001033D3" w:rsidRPr="001033D3" w:rsidRDefault="001033D3" w:rsidP="001033D3">
      <w:pPr>
        <w:pStyle w:val="ListParagraph"/>
        <w:ind w:left="1440"/>
        <w:rPr>
          <w:color w:val="C45911" w:themeColor="accent2" w:themeShade="BF"/>
        </w:rPr>
      </w:pPr>
      <w:r>
        <w:rPr>
          <w:color w:val="C45911" w:themeColor="accent2" w:themeShade="BF"/>
        </w:rPr>
        <w:t>(choose the appropriate ones and delete the rest)</w:t>
      </w:r>
    </w:p>
    <w:p w14:paraId="76E93D1E" w14:textId="77777777"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76E93D1F" w14:textId="77777777"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76E93D20" w14:textId="77777777"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76E93D21" w14:textId="77777777"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76E93D22" w14:textId="77777777"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6E93D23" w14:textId="77777777"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76E93D24" w14:textId="77777777"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14:paraId="76E93D25" w14:textId="77777777" w:rsidR="007B7B80" w:rsidRDefault="007B7B80" w:rsidP="0068788A">
      <w:pPr>
        <w:pStyle w:val="ListParagraph"/>
        <w:ind w:left="1080"/>
      </w:pPr>
    </w:p>
    <w:p w14:paraId="76E93D26" w14:textId="77777777" w:rsidR="0068788A" w:rsidRDefault="0068788A" w:rsidP="002D6C99"/>
    <w:p w14:paraId="76E93D27"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76E93D28" w14:textId="4951EA28" w:rsidR="006911BB" w:rsidRDefault="006911BB" w:rsidP="002D6C99">
      <w:r>
        <w:t xml:space="preserve">DEQ plans to hold </w:t>
      </w:r>
      <w:r w:rsidR="00355237" w:rsidRPr="00355237">
        <w:t>one</w:t>
      </w:r>
      <w:r w:rsidRPr="00355237">
        <w:t xml:space="preserve"> </w:t>
      </w:r>
      <w:r w:rsidR="00A77657" w:rsidRPr="00355237">
        <w:t xml:space="preserve">public </w:t>
      </w:r>
      <w:r w:rsidR="00A77657">
        <w:t>hearing</w:t>
      </w:r>
      <w:r w:rsidR="00355237">
        <w:t>. The table</w:t>
      </w:r>
      <w:r w:rsidR="00D74378">
        <w:t xml:space="preserve"> below </w:t>
      </w:r>
      <w:r w:rsidR="006D5B6E">
        <w:t>provides the details.</w:t>
      </w:r>
      <w:r>
        <w:t xml:space="preserve"> </w:t>
      </w:r>
    </w:p>
    <w:p w14:paraId="76E93D29" w14:textId="77777777" w:rsidR="00D74378" w:rsidRDefault="00D74378" w:rsidP="002D6C99"/>
    <w:p w14:paraId="76E93D2A" w14:textId="77777777" w:rsidR="00C32274" w:rsidRDefault="00C32274" w:rsidP="002D6C99">
      <w:r>
        <w:lastRenderedPageBreak/>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76E93D2B" w14:textId="77777777" w:rsidR="006D5B6E" w:rsidRDefault="006D5B6E" w:rsidP="002D6C99"/>
    <w:p w14:paraId="76E93D2C" w14:textId="77777777"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6E93D2E"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76E93D2D" w14:textId="77777777"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14:paraId="76E93D31"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2F" w14:textId="77777777" w:rsidR="006D5B6E" w:rsidRPr="006D5B6E" w:rsidRDefault="00840D76" w:rsidP="002D6C99">
            <w:pPr>
              <w:ind w:left="0"/>
              <w:rPr>
                <w:b w:val="0"/>
              </w:rPr>
            </w:pPr>
            <w:r>
              <w:rPr>
                <w:b w:val="0"/>
              </w:rPr>
              <w:t>Date</w:t>
            </w:r>
          </w:p>
        </w:tc>
        <w:tc>
          <w:tcPr>
            <w:tcW w:w="5337" w:type="dxa"/>
          </w:tcPr>
          <w:p w14:paraId="76E93D30" w14:textId="413B74FC" w:rsidR="006D5B6E" w:rsidRPr="006D5B6E" w:rsidRDefault="00905C2C" w:rsidP="002D6C99">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840D76" w:rsidRPr="006D5B6E" w14:paraId="76E93D34"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32" w14:textId="77777777" w:rsidR="00840D76" w:rsidRPr="00840D76" w:rsidRDefault="00840D76" w:rsidP="002D6C99">
            <w:pPr>
              <w:ind w:left="0"/>
              <w:rPr>
                <w:b w:val="0"/>
              </w:rPr>
            </w:pPr>
            <w:r>
              <w:rPr>
                <w:b w:val="0"/>
              </w:rPr>
              <w:t>Time</w:t>
            </w:r>
          </w:p>
        </w:tc>
        <w:tc>
          <w:tcPr>
            <w:tcW w:w="5337" w:type="dxa"/>
          </w:tcPr>
          <w:p w14:paraId="76E93D33" w14:textId="2103CA88" w:rsidR="00840D76" w:rsidRPr="006D5B6E" w:rsidRDefault="00905C2C" w:rsidP="002D6C99">
            <w:pPr>
              <w:ind w:left="0"/>
              <w:cnfStyle w:val="000000000000" w:firstRow="0" w:lastRow="0" w:firstColumn="0" w:lastColumn="0" w:oddVBand="0" w:evenVBand="0" w:oddHBand="0" w:evenHBand="0" w:firstRowFirstColumn="0" w:firstRowLastColumn="0" w:lastRowFirstColumn="0" w:lastRowLastColumn="0"/>
              <w:rPr>
                <w:b/>
              </w:rPr>
            </w:pPr>
            <w:r>
              <w:rPr>
                <w:b/>
              </w:rPr>
              <w:t>6pm</w:t>
            </w:r>
          </w:p>
        </w:tc>
      </w:tr>
      <w:tr w:rsidR="005A0F05" w:rsidRPr="006D5B6E" w14:paraId="76E93D37"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35" w14:textId="77777777" w:rsidR="005A0F05" w:rsidRPr="005A0F05" w:rsidRDefault="005A0F05" w:rsidP="002D6C99">
            <w:pPr>
              <w:ind w:left="0"/>
              <w:rPr>
                <w:b w:val="0"/>
              </w:rPr>
            </w:pPr>
            <w:r>
              <w:rPr>
                <w:b w:val="0"/>
              </w:rPr>
              <w:t>Address Line 1</w:t>
            </w:r>
          </w:p>
        </w:tc>
        <w:tc>
          <w:tcPr>
            <w:tcW w:w="5337" w:type="dxa"/>
          </w:tcPr>
          <w:p w14:paraId="76E93D36" w14:textId="4CF8F144" w:rsidR="005A0F05" w:rsidRPr="006D5B6E" w:rsidRDefault="00905C2C" w:rsidP="002D6C99">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6D5B6E" w:rsidRPr="006D5B6E" w14:paraId="76E93D3A"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38" w14:textId="77777777" w:rsidR="006D5B6E" w:rsidRPr="006D5B6E" w:rsidRDefault="006D5B6E" w:rsidP="002D6C99">
            <w:pPr>
              <w:ind w:left="0"/>
              <w:rPr>
                <w:b w:val="0"/>
              </w:rPr>
            </w:pPr>
            <w:r>
              <w:rPr>
                <w:b w:val="0"/>
              </w:rPr>
              <w:t>Address Line 2</w:t>
            </w:r>
          </w:p>
        </w:tc>
        <w:tc>
          <w:tcPr>
            <w:tcW w:w="5337" w:type="dxa"/>
          </w:tcPr>
          <w:p w14:paraId="76E93D39" w14:textId="030CBBC3" w:rsidR="006D5B6E" w:rsidRPr="00905C2C" w:rsidRDefault="00905C2C" w:rsidP="00905C2C">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6D5B6E" w:rsidRPr="006D5B6E" w14:paraId="76E93D3D"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3B" w14:textId="77777777" w:rsidR="006D5B6E" w:rsidRPr="006D5B6E" w:rsidRDefault="006D5B6E" w:rsidP="002D6C99">
            <w:pPr>
              <w:ind w:left="0"/>
              <w:rPr>
                <w:b w:val="0"/>
              </w:rPr>
            </w:pPr>
            <w:r>
              <w:rPr>
                <w:b w:val="0"/>
              </w:rPr>
              <w:t>City</w:t>
            </w:r>
          </w:p>
        </w:tc>
        <w:tc>
          <w:tcPr>
            <w:tcW w:w="5337" w:type="dxa"/>
          </w:tcPr>
          <w:p w14:paraId="76E93D3C" w14:textId="054C9346" w:rsidR="006D5B6E" w:rsidRPr="00905C2C" w:rsidRDefault="00905C2C" w:rsidP="002D6C99">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6D5B6E" w:rsidRPr="006D5B6E" w14:paraId="76E93D40"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3E" w14:textId="77777777" w:rsidR="006D5B6E" w:rsidRPr="006D5B6E" w:rsidRDefault="006D5B6E" w:rsidP="002D6C99">
            <w:pPr>
              <w:ind w:left="0"/>
              <w:rPr>
                <w:b w:val="0"/>
              </w:rPr>
            </w:pPr>
            <w:r>
              <w:rPr>
                <w:b w:val="0"/>
              </w:rPr>
              <w:t>Presiding Officer</w:t>
            </w:r>
          </w:p>
        </w:tc>
        <w:tc>
          <w:tcPr>
            <w:tcW w:w="5337" w:type="dxa"/>
          </w:tcPr>
          <w:p w14:paraId="76E93D3F" w14:textId="7F5563F3" w:rsidR="006D5B6E" w:rsidRPr="00905C2C" w:rsidRDefault="00905C2C" w:rsidP="002D6C99">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6D5B6E" w:rsidRPr="006D5B6E" w14:paraId="76E93D43"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41" w14:textId="77777777" w:rsidR="006D5B6E" w:rsidRPr="006D5B6E" w:rsidRDefault="006D5B6E" w:rsidP="002D6C99">
            <w:pPr>
              <w:ind w:left="0"/>
              <w:rPr>
                <w:b w:val="0"/>
              </w:rPr>
            </w:pPr>
            <w:r>
              <w:rPr>
                <w:b w:val="0"/>
              </w:rPr>
              <w:t>Staff Presenter</w:t>
            </w:r>
          </w:p>
        </w:tc>
        <w:tc>
          <w:tcPr>
            <w:tcW w:w="5337" w:type="dxa"/>
          </w:tcPr>
          <w:p w14:paraId="76E93D42" w14:textId="2FE80FDA" w:rsidR="006D5B6E" w:rsidRPr="00905C2C" w:rsidRDefault="00905C2C" w:rsidP="002D6C99">
            <w:pPr>
              <w:ind w:left="0"/>
              <w:cnfStyle w:val="000000100000" w:firstRow="0" w:lastRow="0" w:firstColumn="0" w:lastColumn="0" w:oddVBand="0" w:evenVBand="0" w:oddHBand="1" w:evenHBand="0" w:firstRowFirstColumn="0" w:firstRowLastColumn="0" w:lastRowFirstColumn="0" w:lastRowLastColumn="0"/>
              <w:rPr>
                <w:b/>
              </w:rPr>
            </w:pPr>
            <w:r w:rsidRPr="00905C2C">
              <w:rPr>
                <w:b/>
                <w:highlight w:val="yellow"/>
              </w:rPr>
              <w:t>???</w:t>
            </w:r>
          </w:p>
        </w:tc>
      </w:tr>
      <w:tr w:rsidR="006D5B6E" w:rsidRPr="006D5B6E" w14:paraId="76E93D46"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44" w14:textId="77777777" w:rsidR="006D5B6E" w:rsidRPr="006D5B6E" w:rsidRDefault="00ED2663" w:rsidP="002D6C99">
            <w:pPr>
              <w:ind w:left="0"/>
              <w:rPr>
                <w:b w:val="0"/>
              </w:rPr>
            </w:pPr>
            <w:r>
              <w:rPr>
                <w:b w:val="0"/>
              </w:rPr>
              <w:t>Call-in Phone</w:t>
            </w:r>
            <w:r w:rsidR="006D5B6E">
              <w:rPr>
                <w:b w:val="0"/>
              </w:rPr>
              <w:t xml:space="preserve"> Number</w:t>
            </w:r>
          </w:p>
        </w:tc>
        <w:tc>
          <w:tcPr>
            <w:tcW w:w="5337" w:type="dxa"/>
          </w:tcPr>
          <w:p w14:paraId="76E93D45" w14:textId="11BCB4F5" w:rsidR="006D5B6E" w:rsidRPr="006D5B6E" w:rsidRDefault="00CE1644" w:rsidP="002D6C99">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6D5B6E" w:rsidRPr="006D5B6E" w14:paraId="76E93D49"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76E93D47" w14:textId="150353FA" w:rsidR="006D5B6E" w:rsidRPr="006D5B6E" w:rsidRDefault="00ED2663" w:rsidP="00CE1644">
            <w:pPr>
              <w:ind w:left="0"/>
              <w:rPr>
                <w:b w:val="0"/>
              </w:rPr>
            </w:pPr>
            <w:r>
              <w:rPr>
                <w:b w:val="0"/>
              </w:rPr>
              <w:t xml:space="preserve">Call-in </w:t>
            </w:r>
            <w:r w:rsidR="00CE1644">
              <w:rPr>
                <w:b w:val="0"/>
              </w:rPr>
              <w:t>Participant</w:t>
            </w:r>
            <w:r>
              <w:rPr>
                <w:b w:val="0"/>
              </w:rPr>
              <w:t xml:space="preserve"> </w:t>
            </w:r>
            <w:r w:rsidR="006D5B6E">
              <w:rPr>
                <w:b w:val="0"/>
              </w:rPr>
              <w:t>Code</w:t>
            </w:r>
          </w:p>
        </w:tc>
        <w:tc>
          <w:tcPr>
            <w:tcW w:w="5337" w:type="dxa"/>
          </w:tcPr>
          <w:p w14:paraId="76E93D48" w14:textId="018F9F85" w:rsidR="006D5B6E" w:rsidRPr="006D5B6E" w:rsidRDefault="00CE1644" w:rsidP="002D6C99">
            <w:pPr>
              <w:ind w:left="0"/>
              <w:cnfStyle w:val="000000100000" w:firstRow="0" w:lastRow="0" w:firstColumn="0" w:lastColumn="0" w:oddVBand="0" w:evenVBand="0" w:oddHBand="1" w:evenHBand="0" w:firstRowFirstColumn="0" w:firstRowLastColumn="0" w:lastRowFirstColumn="0" w:lastRowLastColumn="0"/>
            </w:pPr>
            <w:r w:rsidRPr="00CE1644">
              <w:t>1910322</w:t>
            </w:r>
          </w:p>
        </w:tc>
      </w:tr>
      <w:tr w:rsidR="00CE1644" w:rsidRPr="006D5B6E" w14:paraId="7268AF4E"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E7AB6BD" w14:textId="0C9C135C" w:rsidR="00CE1644" w:rsidRPr="00CE1644" w:rsidRDefault="00CE1644" w:rsidP="00CE1644">
            <w:pPr>
              <w:ind w:left="0"/>
              <w:rPr>
                <w:b w:val="0"/>
              </w:rPr>
            </w:pPr>
            <w:r w:rsidRPr="00CE1644">
              <w:rPr>
                <w:b w:val="0"/>
              </w:rPr>
              <w:t xml:space="preserve">Webinar </w:t>
            </w:r>
            <w:r>
              <w:rPr>
                <w:b w:val="0"/>
              </w:rPr>
              <w:t>link:</w:t>
            </w:r>
          </w:p>
        </w:tc>
        <w:tc>
          <w:tcPr>
            <w:tcW w:w="5337" w:type="dxa"/>
          </w:tcPr>
          <w:p w14:paraId="34C1305A" w14:textId="59A35161" w:rsidR="00CE1644" w:rsidRPr="00CE1644" w:rsidRDefault="00401B4C" w:rsidP="002D6C99">
            <w:pPr>
              <w:ind w:left="0"/>
              <w:cnfStyle w:val="000000000000" w:firstRow="0" w:lastRow="0" w:firstColumn="0" w:lastColumn="0" w:oddVBand="0" w:evenVBand="0" w:oddHBand="0" w:evenHBand="0" w:firstRowFirstColumn="0" w:firstRowLastColumn="0" w:lastRowFirstColumn="0" w:lastRowLastColumn="0"/>
            </w:pPr>
            <w:hyperlink r:id="rId25" w:history="1">
              <w:r w:rsidR="00CE1644" w:rsidRPr="000F520F">
                <w:rPr>
                  <w:rStyle w:val="Hyperlink"/>
                </w:rPr>
                <w:t>https://www.connectmeeting.att.com</w:t>
              </w:r>
            </w:hyperlink>
            <w:r w:rsidR="00CE1644">
              <w:t xml:space="preserve"> </w:t>
            </w:r>
          </w:p>
        </w:tc>
      </w:tr>
    </w:tbl>
    <w:p w14:paraId="76E93D4A" w14:textId="77777777" w:rsidR="006D5B6E" w:rsidRPr="008B7C03" w:rsidRDefault="006D5B6E" w:rsidP="002D6C99"/>
    <w:p w14:paraId="76E93D4B" w14:textId="77777777" w:rsidR="00C32274" w:rsidRDefault="00C32274" w:rsidP="002D6C99"/>
    <w:p w14:paraId="76E93D4C" w14:textId="77777777" w:rsidR="0007687D" w:rsidRDefault="0007687D" w:rsidP="0007687D">
      <w:pPr>
        <w:pStyle w:val="NoSpacing"/>
        <w:tabs>
          <w:tab w:val="left" w:pos="630"/>
        </w:tabs>
        <w:ind w:left="450"/>
      </w:pPr>
      <w:r>
        <w:t>How to comment on the proposed rules:</w:t>
      </w:r>
    </w:p>
    <w:p w14:paraId="76E93D4D" w14:textId="77777777"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Submit comment online</w:t>
      </w:r>
    </w:p>
    <w:p w14:paraId="76E93D4E" w14:textId="77777777" w:rsidR="0007687D" w:rsidRPr="00355237" w:rsidRDefault="0007687D" w:rsidP="0007687D">
      <w:pPr>
        <w:spacing w:line="259" w:lineRule="auto"/>
        <w:ind w:right="0"/>
        <w:outlineLvl w:val="9"/>
        <w:rPr>
          <w:rFonts w:eastAsia="Calibri"/>
          <w:bCs/>
          <w:color w:val="BF8F00"/>
          <w:sz w:val="22"/>
          <w:szCs w:val="22"/>
          <w:highlight w:val="yellow"/>
        </w:rPr>
      </w:pPr>
      <w:r w:rsidRPr="00355237">
        <w:rPr>
          <w:rFonts w:eastAsia="Calibri"/>
          <w:bCs/>
          <w:color w:val="BF8F00"/>
          <w:sz w:val="22"/>
          <w:szCs w:val="22"/>
          <w:highlight w:val="yellow"/>
        </w:rPr>
        <w:t>LINK TO RULEMAKING COMMENT PAGE:</w:t>
      </w:r>
    </w:p>
    <w:p w14:paraId="76E93D4F" w14:textId="77777777" w:rsidR="0007687D" w:rsidRPr="0007687D" w:rsidRDefault="0007687D" w:rsidP="0007687D">
      <w:pPr>
        <w:spacing w:line="259" w:lineRule="auto"/>
        <w:ind w:right="0"/>
        <w:outlineLvl w:val="9"/>
        <w:rPr>
          <w:rFonts w:eastAsia="Calibri"/>
          <w:bCs/>
          <w:color w:val="BF8F00"/>
          <w:sz w:val="22"/>
          <w:szCs w:val="22"/>
          <w:u w:val="single"/>
        </w:rPr>
      </w:pPr>
      <w:r w:rsidRPr="00355237">
        <w:rPr>
          <w:rFonts w:eastAsia="Calibri"/>
          <w:bCs/>
          <w:color w:val="BF8F00"/>
          <w:sz w:val="22"/>
          <w:szCs w:val="22"/>
          <w:highlight w:val="yellow"/>
        </w:rPr>
        <w:t>http://www.oregon.gov/deq/RulesandRegulations/Pages/comments/Ccodename.aspx</w:t>
      </w:r>
    </w:p>
    <w:p w14:paraId="76E93D50" w14:textId="77777777"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Note for public university students: </w:t>
      </w:r>
      <w:r w:rsidRPr="0007687D">
        <w:rPr>
          <w:rFonts w:ascii="Arial" w:eastAsia="Calibri" w:hAnsi="Arial" w:cs="Arial"/>
          <w:b/>
          <w:vanish/>
          <w:sz w:val="22"/>
          <w:szCs w:val="22"/>
        </w:rPr>
        <w:t>Optional p</w:t>
      </w:r>
    </w:p>
    <w:p w14:paraId="76E93D51" w14:textId="77777777"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6E93D52" w14:textId="77777777"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By mail</w:t>
      </w:r>
    </w:p>
    <w:p w14:paraId="76E93D53" w14:textId="77777777"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Oregon DEQ</w:t>
      </w:r>
    </w:p>
    <w:p w14:paraId="76E93D54" w14:textId="38B5CC71" w:rsidR="0007687D" w:rsidRPr="0007687D" w:rsidRDefault="0007687D" w:rsidP="0007687D">
      <w:pPr>
        <w:spacing w:line="259" w:lineRule="auto"/>
        <w:ind w:right="0"/>
        <w:outlineLvl w:val="9"/>
        <w:rPr>
          <w:rFonts w:eastAsia="Calibri"/>
          <w:b/>
          <w:sz w:val="22"/>
          <w:szCs w:val="22"/>
        </w:rPr>
      </w:pPr>
      <w:r w:rsidRPr="0007687D">
        <w:rPr>
          <w:rFonts w:eastAsia="Calibri"/>
          <w:sz w:val="22"/>
          <w:szCs w:val="22"/>
        </w:rPr>
        <w:t xml:space="preserve">Attn: </w:t>
      </w:r>
      <w:r w:rsidR="00355237">
        <w:rPr>
          <w:rFonts w:eastAsia="Calibri"/>
          <w:sz w:val="22"/>
          <w:szCs w:val="22"/>
        </w:rPr>
        <w:t>Joe Westersund</w:t>
      </w:r>
    </w:p>
    <w:p w14:paraId="76E93D55" w14:textId="77777777"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811 SW Sixth Avenue</w:t>
      </w:r>
    </w:p>
    <w:p w14:paraId="76E93D56" w14:textId="77777777"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Portland, OR 97204-1390</w:t>
      </w:r>
    </w:p>
    <w:p w14:paraId="76E93D57" w14:textId="77777777"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At </w:t>
      </w:r>
      <w:r>
        <w:rPr>
          <w:rFonts w:ascii="Arial" w:eastAsia="Calibri" w:hAnsi="Arial" w:cs="Arial"/>
          <w:b/>
          <w:sz w:val="22"/>
          <w:szCs w:val="22"/>
        </w:rPr>
        <w:t xml:space="preserve">the </w:t>
      </w:r>
      <w:r w:rsidRPr="0007687D">
        <w:rPr>
          <w:rFonts w:ascii="Arial" w:eastAsia="Calibri" w:hAnsi="Arial" w:cs="Arial"/>
          <w:b/>
          <w:sz w:val="22"/>
          <w:szCs w:val="22"/>
        </w:rPr>
        <w:t>hearing</w:t>
      </w:r>
    </w:p>
    <w:p w14:paraId="76E93D58" w14:textId="77777777" w:rsidR="0007687D" w:rsidRDefault="0007687D" w:rsidP="00C55A42">
      <w:pPr>
        <w:pStyle w:val="NoSpacing"/>
        <w:tabs>
          <w:tab w:val="left" w:pos="630"/>
        </w:tabs>
        <w:ind w:left="450"/>
      </w:pPr>
    </w:p>
    <w:p w14:paraId="76E93D59" w14:textId="77777777" w:rsidR="009B4ACA" w:rsidRPr="008510E6" w:rsidRDefault="009B4ACA" w:rsidP="00C55A42">
      <w:pPr>
        <w:pStyle w:val="NoSpacing"/>
        <w:tabs>
          <w:tab w:val="left" w:pos="630"/>
        </w:tabs>
        <w:ind w:left="450"/>
      </w:pPr>
      <w:r w:rsidRPr="006807BF">
        <w:t>Close of public comment period</w:t>
      </w:r>
    </w:p>
    <w:p w14:paraId="76E93D5A" w14:textId="77777777" w:rsidR="0068788A" w:rsidRDefault="0068788A" w:rsidP="002D6C99"/>
    <w:p w14:paraId="76E93D5B" w14:textId="51ACB6A3"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355237">
        <w:t xml:space="preserve">at </w:t>
      </w:r>
      <w:commentRangeStart w:id="10"/>
      <w:r w:rsidR="002E61C8">
        <w:t>5</w:t>
      </w:r>
      <w:commentRangeEnd w:id="10"/>
      <w:r w:rsidR="002E61C8">
        <w:rPr>
          <w:rStyle w:val="CommentReference"/>
        </w:rPr>
        <w:commentReference w:id="10"/>
      </w:r>
      <w:r w:rsidR="008510E6">
        <w:t xml:space="preserve"> p.m. on</w:t>
      </w:r>
      <w:r w:rsidR="00355237">
        <w:t xml:space="preserve"> July 29, 2016</w:t>
      </w:r>
    </w:p>
    <w:p w14:paraId="76E93D5C" w14:textId="77777777" w:rsidR="004B6A20" w:rsidRDefault="004B6A20" w:rsidP="002D6C99">
      <w:pPr>
        <w:rPr>
          <w:sz w:val="20"/>
          <w:szCs w:val="20"/>
        </w:rPr>
      </w:pPr>
    </w:p>
    <w:p w14:paraId="76E93D5D" w14:textId="77777777" w:rsidR="004B6A20" w:rsidRDefault="004B6A20" w:rsidP="002D6C99">
      <w:pPr>
        <w:rPr>
          <w:sz w:val="20"/>
          <w:szCs w:val="20"/>
        </w:rPr>
      </w:pPr>
    </w:p>
    <w:p w14:paraId="76E93D5E"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76E93D5F" w14:textId="77777777" w:rsidR="004B6A20" w:rsidRDefault="004B6A20" w:rsidP="004B6A20">
      <w:r w:rsidRPr="002175B6">
        <w:t>You may review copies of all documents referenced in this announcement at:</w:t>
      </w:r>
    </w:p>
    <w:p w14:paraId="76E93D60" w14:textId="77777777" w:rsidR="004B6A20" w:rsidRPr="002175B6" w:rsidRDefault="004B6A20" w:rsidP="004B6A20">
      <w:r w:rsidRPr="002175B6">
        <w:lastRenderedPageBreak/>
        <w:t>Oregon Department of Environmental Quality</w:t>
      </w:r>
    </w:p>
    <w:p w14:paraId="76E93D61" w14:textId="77777777" w:rsidR="004B6A20" w:rsidRPr="002175B6" w:rsidRDefault="004B6A20" w:rsidP="004B6A20">
      <w:r w:rsidRPr="002175B6">
        <w:t>811 SW Sixth Avenue</w:t>
      </w:r>
    </w:p>
    <w:p w14:paraId="76E93D62" w14:textId="77777777" w:rsidR="004B6A20" w:rsidRPr="002175B6" w:rsidRDefault="004B6A20" w:rsidP="004B6A20">
      <w:r w:rsidRPr="002175B6">
        <w:t>Portland, OR, 97204</w:t>
      </w:r>
    </w:p>
    <w:p w14:paraId="76E93D63" w14:textId="77777777" w:rsidR="004B6A20" w:rsidRPr="002175B6" w:rsidRDefault="004B6A20" w:rsidP="004B6A20"/>
    <w:p w14:paraId="76E93D64" w14:textId="0E14747D" w:rsidR="004B6A20" w:rsidRPr="002175B6" w:rsidRDefault="004B6A20" w:rsidP="004B6A20">
      <w:r w:rsidRPr="002175B6">
        <w:t xml:space="preserve">To schedule a review of all websites and documents referenced in this announcement, call </w:t>
      </w:r>
      <w:r w:rsidR="002E61C8">
        <w:t xml:space="preserve">Joe Westersund </w:t>
      </w:r>
      <w:r w:rsidRPr="002175B6">
        <w:t>(800-452-4011, ext. 5622 toll-free in Oregon).</w:t>
      </w:r>
    </w:p>
    <w:p w14:paraId="76E93D65" w14:textId="77777777" w:rsidR="004B6A20" w:rsidRPr="002175B6" w:rsidRDefault="004B6A20" w:rsidP="004B6A20"/>
    <w:p w14:paraId="76E93DAC" w14:textId="2594DBCB" w:rsidR="002F5550" w:rsidRPr="000D2678" w:rsidRDefault="004B6A20" w:rsidP="009E6A34">
      <w:pPr>
        <w:rPr>
          <w:color w:val="000000"/>
        </w:r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sectPr w:rsidR="002F5550" w:rsidRPr="000D2678" w:rsidSect="009E6A34">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6-07T17:06:00Z" w:initials="WJ">
    <w:p w14:paraId="09569FA5" w14:textId="77777777" w:rsidR="004E2D34" w:rsidRDefault="004E2D34" w:rsidP="004E2D34">
      <w:pPr>
        <w:pStyle w:val="CommentText"/>
      </w:pPr>
      <w:r>
        <w:rPr>
          <w:rStyle w:val="CommentReference"/>
        </w:rPr>
        <w:annotationRef/>
      </w:r>
      <w:r>
        <w:t>Is this correct? I’m not sure how this works since these rules already exist but on a temporary basis.</w:t>
      </w:r>
    </w:p>
  </w:comment>
  <w:comment w:id="4" w:author="WESTERSUND Joe" w:date="2016-06-09T17:15:00Z" w:initials="WJ">
    <w:p w14:paraId="55665936" w14:textId="6574EB74" w:rsidR="0099793C" w:rsidRDefault="0099793C">
      <w:pPr>
        <w:pStyle w:val="CommentText"/>
      </w:pPr>
      <w:r>
        <w:rPr>
          <w:rStyle w:val="CommentReference"/>
        </w:rPr>
        <w:annotationRef/>
      </w:r>
      <w:r>
        <w:t>Edited to here</w:t>
      </w:r>
    </w:p>
  </w:comment>
  <w:comment w:id="8" w:author="WESTERSUND Joe" w:date="2016-06-10T11:09:00Z" w:initials="WJ">
    <w:p w14:paraId="631C19D4" w14:textId="52BA2EF1" w:rsidR="009E6A34" w:rsidRDefault="009E6A34">
      <w:pPr>
        <w:pStyle w:val="CommentText"/>
      </w:pPr>
      <w:r>
        <w:rPr>
          <w:rStyle w:val="CommentReference"/>
        </w:rPr>
        <w:annotationRef/>
      </w:r>
      <w:r>
        <w:t>Emil, do you do this?</w:t>
      </w:r>
    </w:p>
  </w:comment>
  <w:comment w:id="9" w:author="WESTERSUND Joe" w:date="2016-06-10T11:10:00Z" w:initials="WJ">
    <w:p w14:paraId="79B5E32A" w14:textId="38C3F7E7" w:rsidR="009E6A34" w:rsidRDefault="009E6A34">
      <w:pPr>
        <w:pStyle w:val="CommentText"/>
      </w:pPr>
      <w:r>
        <w:rPr>
          <w:rStyle w:val="CommentReference"/>
        </w:rPr>
        <w:annotationRef/>
      </w:r>
      <w:r>
        <w:t>Emil, I’ll depend on you to fill in the orange text left in this section.</w:t>
      </w:r>
    </w:p>
  </w:comment>
  <w:comment w:id="10" w:author="WESTERSUND Joe" w:date="2016-06-09T17:22:00Z" w:initials="WJ">
    <w:p w14:paraId="69E77F20" w14:textId="00678687" w:rsidR="002E61C8" w:rsidRDefault="002E61C8">
      <w:pPr>
        <w:pStyle w:val="CommentText"/>
      </w:pPr>
      <w:r>
        <w:rPr>
          <w:rStyle w:val="CommentReference"/>
        </w:rPr>
        <w:annotationRef/>
      </w:r>
      <w:r>
        <w:t>Example said 4pm, but I’d said 5pm in my agenda or some other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569FA5" w15:done="0"/>
  <w15:commentEx w15:paraId="55665936" w15:done="0"/>
  <w15:commentEx w15:paraId="631C19D4" w15:done="0"/>
  <w15:commentEx w15:paraId="79B5E32A" w15:done="0"/>
  <w15:commentEx w15:paraId="69E77F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93DB7" w14:textId="77777777" w:rsidR="00355237" w:rsidRDefault="00355237" w:rsidP="002D6C99">
      <w:r>
        <w:separator/>
      </w:r>
    </w:p>
  </w:endnote>
  <w:endnote w:type="continuationSeparator" w:id="0">
    <w:p w14:paraId="76E93DB8" w14:textId="77777777" w:rsidR="00355237" w:rsidRDefault="0035523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93DB9" w14:textId="77777777" w:rsidR="00355237" w:rsidRDefault="00355237" w:rsidP="002D6C99">
    <w:pPr>
      <w:pStyle w:val="Footer"/>
    </w:pPr>
  </w:p>
  <w:p w14:paraId="76E93DBA" w14:textId="77777777" w:rsidR="00355237" w:rsidRPr="002B4E71" w:rsidRDefault="00355237" w:rsidP="002D6C99">
    <w:pPr>
      <w:pStyle w:val="Footer"/>
    </w:pPr>
    <w:r w:rsidRPr="002B4E71">
      <w:t xml:space="preserve">Notice page | </w:t>
    </w:r>
    <w:r>
      <w:fldChar w:fldCharType="begin"/>
    </w:r>
    <w:r>
      <w:instrText xml:space="preserve"> PAGE   \* MERGEFORMAT </w:instrText>
    </w:r>
    <w:r>
      <w:fldChar w:fldCharType="separate"/>
    </w:r>
    <w:r w:rsidR="00401B4C">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93DB5" w14:textId="77777777" w:rsidR="00355237" w:rsidRDefault="00355237" w:rsidP="002D6C99">
      <w:r>
        <w:separator/>
      </w:r>
    </w:p>
  </w:footnote>
  <w:footnote w:type="continuationSeparator" w:id="0">
    <w:p w14:paraId="76E93DB6" w14:textId="77777777" w:rsidR="00355237" w:rsidRDefault="00355237" w:rsidP="002D6C99">
      <w:r>
        <w:continuationSeparator/>
      </w:r>
    </w:p>
  </w:footnote>
  <w:footnote w:id="1">
    <w:p w14:paraId="16BEDB14" w14:textId="58F5CA91" w:rsidR="00355237" w:rsidRDefault="00355237">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6F1D7C0" w14:textId="0ED904A1" w:rsidR="00355237" w:rsidRDefault="00355237">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13D27A52" w14:textId="77777777" w:rsidR="00355237" w:rsidRDefault="00355237" w:rsidP="001A045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71A17F5" w14:textId="09873269" w:rsidR="00355237" w:rsidRDefault="00355237">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323B"/>
    <w:rsid w:val="00016C59"/>
    <w:rsid w:val="00016F5E"/>
    <w:rsid w:val="00021CEF"/>
    <w:rsid w:val="00025EC3"/>
    <w:rsid w:val="00026313"/>
    <w:rsid w:val="00026A45"/>
    <w:rsid w:val="0002747F"/>
    <w:rsid w:val="00030F43"/>
    <w:rsid w:val="000319E1"/>
    <w:rsid w:val="000337BF"/>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345A"/>
    <w:rsid w:val="000D707E"/>
    <w:rsid w:val="000E0C74"/>
    <w:rsid w:val="000E5208"/>
    <w:rsid w:val="000E5338"/>
    <w:rsid w:val="000E5ECC"/>
    <w:rsid w:val="000E60A5"/>
    <w:rsid w:val="000E61F0"/>
    <w:rsid w:val="000F2916"/>
    <w:rsid w:val="000F4621"/>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37FCB"/>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0455"/>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61C8"/>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10D"/>
    <w:rsid w:val="00355237"/>
    <w:rsid w:val="00356BDF"/>
    <w:rsid w:val="00356C23"/>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143"/>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1B4C"/>
    <w:rsid w:val="00403C42"/>
    <w:rsid w:val="00410917"/>
    <w:rsid w:val="00413A9C"/>
    <w:rsid w:val="00414106"/>
    <w:rsid w:val="00417482"/>
    <w:rsid w:val="0042225B"/>
    <w:rsid w:val="004229AB"/>
    <w:rsid w:val="0042360E"/>
    <w:rsid w:val="00425B45"/>
    <w:rsid w:val="004359E4"/>
    <w:rsid w:val="004365BA"/>
    <w:rsid w:val="004369FF"/>
    <w:rsid w:val="00437829"/>
    <w:rsid w:val="004403A5"/>
    <w:rsid w:val="00442934"/>
    <w:rsid w:val="00446FF4"/>
    <w:rsid w:val="00447281"/>
    <w:rsid w:val="00451393"/>
    <w:rsid w:val="0045366E"/>
    <w:rsid w:val="004536FD"/>
    <w:rsid w:val="0045466D"/>
    <w:rsid w:val="00454FBA"/>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97DF8"/>
    <w:rsid w:val="004A5282"/>
    <w:rsid w:val="004A5AB9"/>
    <w:rsid w:val="004B020E"/>
    <w:rsid w:val="004B18D2"/>
    <w:rsid w:val="004B22BC"/>
    <w:rsid w:val="004B2CD8"/>
    <w:rsid w:val="004B4CDA"/>
    <w:rsid w:val="004B692D"/>
    <w:rsid w:val="004B6A20"/>
    <w:rsid w:val="004C12AD"/>
    <w:rsid w:val="004C1BAD"/>
    <w:rsid w:val="004C1C01"/>
    <w:rsid w:val="004C3F40"/>
    <w:rsid w:val="004C40F0"/>
    <w:rsid w:val="004C5246"/>
    <w:rsid w:val="004C5782"/>
    <w:rsid w:val="004C5F43"/>
    <w:rsid w:val="004C6F60"/>
    <w:rsid w:val="004D1420"/>
    <w:rsid w:val="004D195E"/>
    <w:rsid w:val="004D1D72"/>
    <w:rsid w:val="004D2E89"/>
    <w:rsid w:val="004D5553"/>
    <w:rsid w:val="004E2D34"/>
    <w:rsid w:val="004E702D"/>
    <w:rsid w:val="004F22E4"/>
    <w:rsid w:val="004F2D22"/>
    <w:rsid w:val="004F4493"/>
    <w:rsid w:val="004F4B6D"/>
    <w:rsid w:val="004F673A"/>
    <w:rsid w:val="005031C0"/>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5B6"/>
    <w:rsid w:val="00565AEE"/>
    <w:rsid w:val="00571C4C"/>
    <w:rsid w:val="00572FA9"/>
    <w:rsid w:val="00577EFB"/>
    <w:rsid w:val="00584C7D"/>
    <w:rsid w:val="00585197"/>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71A"/>
    <w:rsid w:val="00660658"/>
    <w:rsid w:val="00661768"/>
    <w:rsid w:val="0066273C"/>
    <w:rsid w:val="00663ABA"/>
    <w:rsid w:val="00667D64"/>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1295"/>
    <w:rsid w:val="006D34D0"/>
    <w:rsid w:val="006D5B6E"/>
    <w:rsid w:val="006D5F12"/>
    <w:rsid w:val="006D6F9D"/>
    <w:rsid w:val="006D7243"/>
    <w:rsid w:val="006D79ED"/>
    <w:rsid w:val="006D7F78"/>
    <w:rsid w:val="006E0EA7"/>
    <w:rsid w:val="006E54BF"/>
    <w:rsid w:val="006E68F8"/>
    <w:rsid w:val="006F02EB"/>
    <w:rsid w:val="006F0D97"/>
    <w:rsid w:val="006F1FBD"/>
    <w:rsid w:val="006F2E9F"/>
    <w:rsid w:val="006F3A8D"/>
    <w:rsid w:val="006F57E0"/>
    <w:rsid w:val="006F7471"/>
    <w:rsid w:val="00700417"/>
    <w:rsid w:val="0070371A"/>
    <w:rsid w:val="00705C22"/>
    <w:rsid w:val="00706896"/>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8600B"/>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1541"/>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4593"/>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586E"/>
    <w:rsid w:val="008971A4"/>
    <w:rsid w:val="008A154D"/>
    <w:rsid w:val="008A295E"/>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41A3"/>
    <w:rsid w:val="008F5048"/>
    <w:rsid w:val="008F5CB1"/>
    <w:rsid w:val="0090211A"/>
    <w:rsid w:val="00902DAC"/>
    <w:rsid w:val="0090574E"/>
    <w:rsid w:val="00905C2C"/>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458E4"/>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9793C"/>
    <w:rsid w:val="009A049C"/>
    <w:rsid w:val="009A15E3"/>
    <w:rsid w:val="009A1839"/>
    <w:rsid w:val="009A4672"/>
    <w:rsid w:val="009A7070"/>
    <w:rsid w:val="009B0585"/>
    <w:rsid w:val="009B4ACA"/>
    <w:rsid w:val="009C002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C32"/>
    <w:rsid w:val="009E5F55"/>
    <w:rsid w:val="009E6A34"/>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693B"/>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4BC4"/>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0F65"/>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3B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079A"/>
    <w:rsid w:val="00C22E0C"/>
    <w:rsid w:val="00C257E0"/>
    <w:rsid w:val="00C307ED"/>
    <w:rsid w:val="00C310E2"/>
    <w:rsid w:val="00C32274"/>
    <w:rsid w:val="00C348B1"/>
    <w:rsid w:val="00C35520"/>
    <w:rsid w:val="00C35797"/>
    <w:rsid w:val="00C363DB"/>
    <w:rsid w:val="00C413C9"/>
    <w:rsid w:val="00C51EA4"/>
    <w:rsid w:val="00C51FAE"/>
    <w:rsid w:val="00C5304C"/>
    <w:rsid w:val="00C531D0"/>
    <w:rsid w:val="00C53F0F"/>
    <w:rsid w:val="00C53F2D"/>
    <w:rsid w:val="00C541AC"/>
    <w:rsid w:val="00C54DE2"/>
    <w:rsid w:val="00C55A42"/>
    <w:rsid w:val="00C603D7"/>
    <w:rsid w:val="00C62ECC"/>
    <w:rsid w:val="00C65D06"/>
    <w:rsid w:val="00C708DA"/>
    <w:rsid w:val="00C7432A"/>
    <w:rsid w:val="00C74D58"/>
    <w:rsid w:val="00C76B21"/>
    <w:rsid w:val="00C777B7"/>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4F71"/>
    <w:rsid w:val="00CD7211"/>
    <w:rsid w:val="00CD7819"/>
    <w:rsid w:val="00CD7BA4"/>
    <w:rsid w:val="00CE164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59FA"/>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34FC"/>
    <w:rsid w:val="00E7412E"/>
    <w:rsid w:val="00E77F18"/>
    <w:rsid w:val="00E82718"/>
    <w:rsid w:val="00E82D32"/>
    <w:rsid w:val="00E82FA7"/>
    <w:rsid w:val="00E8332D"/>
    <w:rsid w:val="00E84325"/>
    <w:rsid w:val="00E8584B"/>
    <w:rsid w:val="00E86F17"/>
    <w:rsid w:val="00E90978"/>
    <w:rsid w:val="00E93BBD"/>
    <w:rsid w:val="00E948B4"/>
    <w:rsid w:val="00E97469"/>
    <w:rsid w:val="00EA4362"/>
    <w:rsid w:val="00EA4AC5"/>
    <w:rsid w:val="00EA4AE2"/>
    <w:rsid w:val="00EA7ABC"/>
    <w:rsid w:val="00EA7F6B"/>
    <w:rsid w:val="00EB0EE9"/>
    <w:rsid w:val="00EB2CFC"/>
    <w:rsid w:val="00EB34DD"/>
    <w:rsid w:val="00EB6A1D"/>
    <w:rsid w:val="00EB79B4"/>
    <w:rsid w:val="00EC1212"/>
    <w:rsid w:val="00EC2D21"/>
    <w:rsid w:val="00EC39DC"/>
    <w:rsid w:val="00EC7193"/>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011"/>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055"/>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3CBB"/>
    <w:rsid w:val="00FC5C08"/>
    <w:rsid w:val="00FD1928"/>
    <w:rsid w:val="00FD324F"/>
    <w:rsid w:val="00FD5758"/>
    <w:rsid w:val="00FD6D33"/>
    <w:rsid w:val="00FD736E"/>
    <w:rsid w:val="00FD7A2B"/>
    <w:rsid w:val="00FE1A2B"/>
    <w:rsid w:val="00FE1ACD"/>
    <w:rsid w:val="00FE235D"/>
    <w:rsid w:val="00FE3932"/>
    <w:rsid w:val="00FE4B78"/>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76E93A5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C0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410917"/>
    <w:rPr>
      <w:sz w:val="20"/>
      <w:szCs w:val="20"/>
    </w:rPr>
  </w:style>
  <w:style w:type="character" w:customStyle="1" w:styleId="FootnoteTextChar">
    <w:name w:val="Footnote Text Char"/>
    <w:basedOn w:val="DefaultParagraphFont"/>
    <w:link w:val="FootnoteText"/>
    <w:uiPriority w:val="99"/>
    <w:semiHidden/>
    <w:rsid w:val="004109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109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deqsps/programs/rulemaking/SitePages/Land%20us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468a.html" TargetMode="External"/><Relationship Id="rId25" Type="http://schemas.openxmlformats.org/officeDocument/2006/relationships/hyperlink" Target="https://www.connectmeeting.att.com" TargetMode="External"/><Relationship Id="rId2" Type="http://schemas.openxmlformats.org/officeDocument/2006/relationships/customXml" Target="../customXml/item2.xml"/><Relationship Id="rId16" Type="http://schemas.openxmlformats.org/officeDocument/2006/relationships/hyperlink" Target="http://deqsps/programs/rulemaking/SitePages/Fiscal%20and%20economic%20impact.aspx"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deqsps/programs/rulemaking/SitePages/Fee%20approval.aspx" TargetMode="External"/><Relationship Id="rId23" Type="http://schemas.openxmlformats.org/officeDocument/2006/relationships/hyperlink" Target="http://www.leg.state.or.us/ors/183.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eqsps/programs/rulemaking/SitePages/Advisory%20committe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oregon.gov/deq/RulesandRegulations/Pages/2016/Rartglass2016.aspx"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ListId:doc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4F7A7E0-7FA1-4756-84D0-CDEE0E289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3E51B-60C0-41A5-97F1-4352002D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5175</Words>
  <Characters>29503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WESTERSUND Joe</cp:lastModifiedBy>
  <cp:revision>2</cp:revision>
  <cp:lastPrinted>2013-02-28T21:12:00Z</cp:lastPrinted>
  <dcterms:created xsi:type="dcterms:W3CDTF">2016-06-13T23:30:00Z</dcterms:created>
  <dcterms:modified xsi:type="dcterms:W3CDTF">2016-06-13T23:30:00Z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