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11" w:rsidRDefault="005D4B41">
      <w:r w:rsidRPr="006D57D6">
        <w:rPr>
          <w:noProof/>
          <w:color w:val="000000" w:themeColor="text1"/>
          <w:sz w:val="32"/>
          <w:szCs w:val="32"/>
        </w:rPr>
        <w:drawing>
          <wp:anchor distT="0" distB="0" distL="114300" distR="114300" simplePos="0" relativeHeight="251659264" behindDoc="0" locked="0" layoutInCell="1" allowOverlap="1" wp14:anchorId="2866F259" wp14:editId="106BFADB">
            <wp:simplePos x="0" y="0"/>
            <wp:positionH relativeFrom="column">
              <wp:posOffset>-596900</wp:posOffset>
            </wp:positionH>
            <wp:positionV relativeFrom="paragraph">
              <wp:posOffset>75777</wp:posOffset>
            </wp:positionV>
            <wp:extent cx="586851" cy="1359673"/>
            <wp:effectExtent l="19050" t="0" r="3699"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7" cstate="print"/>
                    <a:srcRect/>
                    <a:stretch>
                      <a:fillRect/>
                    </a:stretch>
                  </pic:blipFill>
                  <pic:spPr bwMode="auto">
                    <a:xfrm>
                      <a:off x="0" y="0"/>
                      <a:ext cx="586851" cy="1359673"/>
                    </a:xfrm>
                    <a:prstGeom prst="rect">
                      <a:avLst/>
                    </a:prstGeom>
                    <a:noFill/>
                    <a:ln w="9525">
                      <a:noFill/>
                      <a:miter lim="800000"/>
                      <a:headEnd/>
                      <a:tailEnd/>
                    </a:ln>
                  </pic:spPr>
                </pic:pic>
              </a:graphicData>
            </a:graphic>
          </wp:anchor>
        </w:drawing>
      </w:r>
    </w:p>
    <w:p w:rsidR="00330083" w:rsidRPr="006D57D6" w:rsidRDefault="00330083" w:rsidP="00330083">
      <w:pPr>
        <w:tabs>
          <w:tab w:val="left" w:pos="16582"/>
        </w:tabs>
        <w:ind w:left="0"/>
        <w:jc w:val="center"/>
        <w:rPr>
          <w:rFonts w:ascii="Times New Roman" w:eastAsia="Times New Roman" w:hAnsi="Times New Roman"/>
          <w:b/>
          <w:color w:val="000000" w:themeColor="text1"/>
        </w:rPr>
      </w:pPr>
      <w:r w:rsidRPr="006D57D6">
        <w:rPr>
          <w:rFonts w:eastAsia="Times New Roman"/>
          <w:bCs/>
          <w:color w:val="000000" w:themeColor="text1"/>
          <w:sz w:val="36"/>
          <w:szCs w:val="36"/>
        </w:rPr>
        <w:t>Oregon Department of Environmental Quality</w:t>
      </w:r>
    </w:p>
    <w:p w:rsidR="00330083" w:rsidRPr="00C74D58" w:rsidRDefault="00330083" w:rsidP="00330083">
      <w:pPr>
        <w:tabs>
          <w:tab w:val="left" w:pos="908"/>
          <w:tab w:val="left" w:pos="16582"/>
        </w:tabs>
        <w:ind w:left="108"/>
        <w:jc w:val="center"/>
        <w:rPr>
          <w:rFonts w:ascii="Times New Roman" w:eastAsia="Times New Roman" w:hAnsi="Times New Roman"/>
          <w:b/>
          <w:color w:val="000000"/>
        </w:rPr>
      </w:pPr>
    </w:p>
    <w:p w:rsidR="00330083" w:rsidRPr="006D57D6" w:rsidRDefault="00330083" w:rsidP="004D75D0">
      <w:pPr>
        <w:ind w:left="0"/>
        <w:jc w:val="center"/>
        <w:rPr>
          <w:color w:val="000000" w:themeColor="text1"/>
          <w:sz w:val="32"/>
          <w:szCs w:val="32"/>
        </w:rPr>
      </w:pPr>
      <w:r w:rsidRPr="006D57D6">
        <w:rPr>
          <w:color w:val="000000" w:themeColor="text1"/>
          <w:sz w:val="32"/>
          <w:szCs w:val="32"/>
        </w:rPr>
        <w:t>Housing Cost</w:t>
      </w:r>
      <w:r w:rsidR="006D57D6">
        <w:rPr>
          <w:color w:val="000000" w:themeColor="text1"/>
          <w:sz w:val="32"/>
          <w:szCs w:val="32"/>
        </w:rPr>
        <w:t xml:space="preserve"> Impact Statement</w:t>
      </w:r>
    </w:p>
    <w:p w:rsidR="00330083" w:rsidRPr="00C45B78" w:rsidRDefault="004D75D0" w:rsidP="004D75D0">
      <w:pPr>
        <w:ind w:left="0"/>
        <w:jc w:val="center"/>
        <w:rPr>
          <w:color w:val="000000" w:themeColor="text1"/>
          <w:sz w:val="32"/>
          <w:szCs w:val="32"/>
        </w:rPr>
      </w:pPr>
      <w:r>
        <w:rPr>
          <w:color w:val="000000" w:themeColor="text1"/>
          <w:sz w:val="32"/>
          <w:szCs w:val="32"/>
        </w:rPr>
        <w:t>Art Glass Permanent Rulemaking</w:t>
      </w:r>
    </w:p>
    <w:p w:rsidR="00330083" w:rsidRDefault="00330083">
      <w:pPr>
        <w:rPr>
          <w:color w:val="415B5C" w:themeColor="accent3" w:themeShade="80"/>
          <w:sz w:val="32"/>
          <w:szCs w:val="32"/>
        </w:rPr>
      </w:pPr>
    </w:p>
    <w:p w:rsidR="00330083" w:rsidRDefault="00330083">
      <w:pPr>
        <w:rPr>
          <w:color w:val="415B5C" w:themeColor="accent3" w:themeShade="80"/>
          <w:sz w:val="32"/>
          <w:szCs w:val="32"/>
        </w:rPr>
      </w:pPr>
    </w:p>
    <w:p w:rsidR="006D57D6" w:rsidRDefault="006D57D6" w:rsidP="006D57D6">
      <w:pPr>
        <w:ind w:left="0"/>
        <w:rPr>
          <w:rFonts w:ascii="Times New Roman" w:eastAsia="Calibri" w:hAnsi="Times New Roman" w:cs="Times New Roman"/>
          <w:sz w:val="22"/>
          <w:szCs w:val="22"/>
        </w:rPr>
      </w:pPr>
      <w:r>
        <w:rPr>
          <w:rFonts w:ascii="Times New Roman" w:hAnsi="Times New Roman"/>
        </w:rPr>
        <w:t xml:space="preserve">A housing cost impact statement is an estimate of the effect of a proposed rule or ordinance on the cost of development of a 6,000 square foot parcel and the construction of a 1,200 square foot detached single family dwelling on that parcel. </w:t>
      </w:r>
    </w:p>
    <w:p w:rsidR="006D57D6" w:rsidRPr="006D57D6" w:rsidRDefault="006D57D6" w:rsidP="006D57D6">
      <w:pPr>
        <w:ind w:left="0"/>
        <w:rPr>
          <w:rFonts w:ascii="Times New Roman" w:eastAsia="Calibri" w:hAnsi="Times New Roman" w:cs="Times New Roman"/>
          <w:sz w:val="22"/>
          <w:szCs w:val="22"/>
        </w:rPr>
      </w:pPr>
    </w:p>
    <w:tbl>
      <w:tblPr>
        <w:tblStyle w:val="TableGrid1"/>
        <w:tblW w:w="9090" w:type="dxa"/>
        <w:tblInd w:w="108" w:type="dxa"/>
        <w:tblLook w:val="04A0" w:firstRow="1" w:lastRow="0" w:firstColumn="1" w:lastColumn="0" w:noHBand="0" w:noVBand="1"/>
      </w:tblPr>
      <w:tblGrid>
        <w:gridCol w:w="2340"/>
        <w:gridCol w:w="6750"/>
      </w:tblGrid>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HEARING DATES</w:t>
            </w:r>
          </w:p>
        </w:tc>
        <w:tc>
          <w:tcPr>
            <w:tcW w:w="6750" w:type="dxa"/>
            <w:vAlign w:val="bottom"/>
          </w:tcPr>
          <w:p w:rsidR="006D57D6" w:rsidRPr="006D57D6" w:rsidRDefault="004D75D0" w:rsidP="004D75D0">
            <w:pPr>
              <w:ind w:left="0"/>
              <w:rPr>
                <w:rFonts w:ascii="Times New Roman" w:eastAsia="Calibri" w:hAnsi="Times New Roman" w:cs="Times New Roman"/>
              </w:rPr>
            </w:pPr>
            <w:r>
              <w:rPr>
                <w:rFonts w:ascii="Times New Roman" w:eastAsia="Calibri" w:hAnsi="Times New Roman" w:cs="Times New Roman"/>
              </w:rPr>
              <w:t>6:00 p.m., July 19</w:t>
            </w:r>
            <w:r w:rsidR="00E62E99">
              <w:rPr>
                <w:rFonts w:ascii="Times New Roman" w:eastAsia="Calibri" w:hAnsi="Times New Roman" w:cs="Times New Roman"/>
              </w:rPr>
              <w:t>, 2016</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ADDRESS</w:t>
            </w:r>
          </w:p>
        </w:tc>
        <w:tc>
          <w:tcPr>
            <w:tcW w:w="6750" w:type="dxa"/>
            <w:vAlign w:val="bottom"/>
          </w:tcPr>
          <w:p w:rsidR="006D57D6" w:rsidRPr="00E62E99" w:rsidRDefault="00E62E99" w:rsidP="006D57D6">
            <w:pPr>
              <w:ind w:left="0"/>
              <w:rPr>
                <w:rFonts w:ascii="Times New Roman" w:eastAsia="Calibri" w:hAnsi="Times New Roman" w:cs="Times New Roman"/>
              </w:rPr>
            </w:pPr>
            <w:r>
              <w:rPr>
                <w:rFonts w:ascii="Times New Roman" w:hAnsi="Times New Roman" w:cs="Times New Roman"/>
              </w:rPr>
              <w:t xml:space="preserve">DEQ Headquarters, </w:t>
            </w:r>
            <w:r w:rsidRPr="00E62E99">
              <w:rPr>
                <w:rFonts w:ascii="Times New Roman" w:hAnsi="Times New Roman" w:cs="Times New Roman"/>
              </w:rPr>
              <w:t>811 SW 6</w:t>
            </w:r>
            <w:r w:rsidRPr="00E62E99">
              <w:rPr>
                <w:rFonts w:ascii="Times New Roman" w:hAnsi="Times New Roman" w:cs="Times New Roman"/>
                <w:vertAlign w:val="superscript"/>
              </w:rPr>
              <w:t>th</w:t>
            </w:r>
            <w:r w:rsidRPr="00E62E99">
              <w:rPr>
                <w:rFonts w:ascii="Times New Roman" w:hAnsi="Times New Roman" w:cs="Times New Roman"/>
              </w:rPr>
              <w:t xml:space="preserve"> Avenue</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CITY/STATE</w:t>
            </w:r>
          </w:p>
        </w:tc>
        <w:tc>
          <w:tcPr>
            <w:tcW w:w="6750" w:type="dxa"/>
            <w:vAlign w:val="bottom"/>
          </w:tcPr>
          <w:p w:rsidR="006D57D6" w:rsidRPr="006D57D6" w:rsidRDefault="00E62E99" w:rsidP="006D57D6">
            <w:pPr>
              <w:ind w:left="0"/>
              <w:rPr>
                <w:rFonts w:ascii="Times New Roman" w:eastAsia="Calibri" w:hAnsi="Times New Roman" w:cs="Times New Roman"/>
              </w:rPr>
            </w:pPr>
            <w:r>
              <w:rPr>
                <w:rFonts w:ascii="Times New Roman" w:eastAsia="Calibri" w:hAnsi="Times New Roman" w:cs="Times New Roman"/>
              </w:rPr>
              <w:t>Portland OR, 97204</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PHONE</w:t>
            </w:r>
          </w:p>
        </w:tc>
        <w:tc>
          <w:tcPr>
            <w:tcW w:w="6750" w:type="dxa"/>
            <w:vAlign w:val="bottom"/>
          </w:tcPr>
          <w:p w:rsidR="006D57D6" w:rsidRPr="006D57D6" w:rsidRDefault="006D57D6" w:rsidP="006D57D6">
            <w:pPr>
              <w:ind w:left="0"/>
              <w:rPr>
                <w:rFonts w:ascii="Times New Roman" w:eastAsia="Calibri" w:hAnsi="Times New Roman" w:cs="Times New Roman"/>
              </w:rPr>
            </w:pPr>
            <w:r>
              <w:rPr>
                <w:rFonts w:ascii="Times New Roman" w:eastAsia="Calibri" w:hAnsi="Times New Roman" w:cs="Times New Roman"/>
              </w:rPr>
              <w:t>503-229-5696</w:t>
            </w:r>
          </w:p>
        </w:tc>
      </w:tr>
      <w:tr w:rsidR="00E62E99" w:rsidRPr="006D57D6" w:rsidTr="00E62E99">
        <w:trPr>
          <w:trHeight w:val="432"/>
        </w:trPr>
        <w:tc>
          <w:tcPr>
            <w:tcW w:w="9090" w:type="dxa"/>
            <w:gridSpan w:val="2"/>
            <w:vAlign w:val="bottom"/>
          </w:tcPr>
          <w:p w:rsidR="00E62E99" w:rsidRPr="006D57D6" w:rsidRDefault="00E62E99" w:rsidP="006D57D6">
            <w:pPr>
              <w:ind w:left="0"/>
              <w:rPr>
                <w:rFonts w:ascii="Times New Roman" w:eastAsia="Calibri" w:hAnsi="Times New Roman" w:cs="Times New Roman"/>
              </w:rPr>
            </w:pPr>
            <w:r w:rsidRPr="006D57D6">
              <w:rPr>
                <w:rFonts w:ascii="Times New Roman" w:eastAsia="Calibri" w:hAnsi="Times New Roman" w:cs="Times New Roman"/>
              </w:rPr>
              <w:t>PERMANENT RULE</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EFFECTIVE DATE</w:t>
            </w:r>
          </w:p>
        </w:tc>
        <w:tc>
          <w:tcPr>
            <w:tcW w:w="6750" w:type="dxa"/>
            <w:vAlign w:val="bottom"/>
          </w:tcPr>
          <w:p w:rsidR="006D57D6" w:rsidRPr="006D57D6" w:rsidRDefault="00E62E99" w:rsidP="00DF5D04">
            <w:pPr>
              <w:ind w:left="0"/>
              <w:rPr>
                <w:rFonts w:ascii="Times New Roman" w:eastAsia="Calibri" w:hAnsi="Times New Roman" w:cs="Times New Roman"/>
              </w:rPr>
            </w:pPr>
            <w:r>
              <w:rPr>
                <w:rFonts w:ascii="Times New Roman" w:eastAsia="Calibri" w:hAnsi="Times New Roman" w:cs="Times New Roman"/>
              </w:rPr>
              <w:t xml:space="preserve">On filing, </w:t>
            </w:r>
            <w:r w:rsidR="00DF5D04">
              <w:rPr>
                <w:rFonts w:ascii="Times New Roman" w:eastAsia="Calibri" w:hAnsi="Times New Roman" w:cs="Times New Roman"/>
              </w:rPr>
              <w:t>June 15</w:t>
            </w:r>
            <w:r>
              <w:rPr>
                <w:rFonts w:ascii="Times New Roman" w:eastAsia="Calibri" w:hAnsi="Times New Roman" w:cs="Times New Roman"/>
              </w:rPr>
              <w:t>, 2016</w:t>
            </w:r>
          </w:p>
        </w:tc>
      </w:tr>
    </w:tbl>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b/>
          <w:sz w:val="22"/>
          <w:szCs w:val="22"/>
        </w:rPr>
      </w:pPr>
      <w:r w:rsidRPr="006D57D6">
        <w:rPr>
          <w:rFonts w:ascii="Times New Roman" w:eastAsia="Calibri" w:hAnsi="Times New Roman" w:cs="Times New Roman"/>
          <w:b/>
          <w:sz w:val="22"/>
          <w:szCs w:val="22"/>
        </w:rPr>
        <w:t>Below please provide a description of the estimated savings or additional costs that will result from this proposed change. Provide a brief explanation of how the cost or savings estimate was determined. Identify how change impacts costs in categories specified:</w:t>
      </w: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E62E99" w:rsidRDefault="006D57D6" w:rsidP="006D57D6">
      <w:pPr>
        <w:ind w:left="0"/>
        <w:rPr>
          <w:rFonts w:ascii="Times New Roman" w:eastAsia="Calibri" w:hAnsi="Times New Roman" w:cs="Times New Roman"/>
          <w:b/>
          <w:sz w:val="28"/>
          <w:szCs w:val="28"/>
        </w:rPr>
      </w:pPr>
      <w:r w:rsidRPr="00E62E99">
        <w:rPr>
          <w:rFonts w:ascii="Times New Roman" w:eastAsia="Calibri" w:hAnsi="Times New Roman" w:cs="Times New Roman"/>
          <w:b/>
          <w:sz w:val="28"/>
          <w:szCs w:val="28"/>
        </w:rPr>
        <w:t xml:space="preserve">Description of proposed change: </w:t>
      </w:r>
    </w:p>
    <w:p w:rsidR="00E62E99" w:rsidRDefault="00E62E99" w:rsidP="00E62E99">
      <w:pPr>
        <w:ind w:left="0"/>
        <w:rPr>
          <w:rFonts w:asciiTheme="minorHAnsi" w:hAnsiTheme="minorHAnsi" w:cstheme="minorHAnsi"/>
          <w:iCs/>
          <w:color w:val="000000"/>
        </w:rPr>
      </w:pPr>
    </w:p>
    <w:p w:rsidR="004D75D0" w:rsidRPr="004D75D0" w:rsidRDefault="004D75D0" w:rsidP="004D75D0">
      <w:pPr>
        <w:ind w:left="0"/>
        <w:rPr>
          <w:rFonts w:asciiTheme="minorHAnsi" w:hAnsiTheme="minorHAnsi" w:cstheme="minorHAnsi"/>
          <w:iCs/>
          <w:color w:val="000000"/>
        </w:rPr>
      </w:pPr>
      <w:r w:rsidRPr="004D75D0">
        <w:rPr>
          <w:rFonts w:asciiTheme="minorHAnsi" w:hAnsiTheme="minorHAnsi" w:cstheme="minorHAnsi"/>
          <w:iCs/>
          <w:color w:val="000000"/>
        </w:rPr>
        <w:t xml:space="preserve">DEQ proposes the following changes to OAR 340, division number 244 that will control metals emissions from colored art glass manufacturing (CAGM) facilities in the Portland area. </w:t>
      </w:r>
    </w:p>
    <w:p w:rsidR="004D75D0" w:rsidRPr="004D75D0" w:rsidRDefault="004D75D0" w:rsidP="004D75D0">
      <w:pPr>
        <w:ind w:left="0"/>
        <w:rPr>
          <w:rFonts w:asciiTheme="minorHAnsi" w:hAnsiTheme="minorHAnsi" w:cstheme="minorHAnsi"/>
          <w:iCs/>
          <w:color w:val="000000"/>
        </w:rPr>
      </w:pPr>
    </w:p>
    <w:p w:rsidR="004D75D0" w:rsidRPr="004D75D0" w:rsidRDefault="004D75D0" w:rsidP="004D75D0">
      <w:pPr>
        <w:ind w:left="0"/>
        <w:rPr>
          <w:rFonts w:asciiTheme="minorHAnsi" w:hAnsiTheme="minorHAnsi" w:cstheme="minorHAnsi"/>
          <w:bCs/>
          <w:iCs/>
          <w:color w:val="000000"/>
        </w:rPr>
      </w:pPr>
      <w:r w:rsidRPr="004D75D0">
        <w:rPr>
          <w:rFonts w:asciiTheme="minorHAnsi" w:hAnsiTheme="minorHAnsi" w:cstheme="minorHAnsi"/>
          <w:bCs/>
          <w:iCs/>
          <w:color w:val="000000"/>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rsidR="004D75D0" w:rsidRPr="004D75D0" w:rsidRDefault="004D75D0" w:rsidP="004D75D0">
      <w:pPr>
        <w:ind w:left="0"/>
        <w:rPr>
          <w:rFonts w:asciiTheme="minorHAnsi" w:hAnsiTheme="minorHAnsi" w:cstheme="minorHAnsi"/>
          <w:bCs/>
          <w:iCs/>
          <w:color w:val="000000"/>
        </w:rPr>
      </w:pPr>
    </w:p>
    <w:p w:rsidR="004D75D0" w:rsidRPr="004D75D0" w:rsidRDefault="004D75D0" w:rsidP="004D75D0">
      <w:pPr>
        <w:ind w:left="0"/>
        <w:rPr>
          <w:rFonts w:asciiTheme="minorHAnsi" w:hAnsiTheme="minorHAnsi" w:cstheme="minorHAnsi"/>
          <w:iCs/>
          <w:color w:val="000000"/>
        </w:rPr>
      </w:pPr>
      <w:r w:rsidRPr="004D75D0">
        <w:rPr>
          <w:rFonts w:asciiTheme="minorHAnsi" w:hAnsiTheme="minorHAnsi" w:cstheme="minorHAnsi"/>
          <w:bCs/>
          <w:iCs/>
          <w:color w:val="000000"/>
        </w:rPr>
        <w:t>EQC adopted temporary rules on April 21, 2016 and this proposed rulemaking will make those rule changes permanent. If no action is taken those rules will expire 180 days after adoption, on October 18, 2016.</w:t>
      </w:r>
      <w:r w:rsidRPr="004D75D0">
        <w:rPr>
          <w:rFonts w:asciiTheme="minorHAnsi" w:hAnsiTheme="minorHAnsi" w:cstheme="minorHAnsi"/>
          <w:iCs/>
          <w:color w:val="000000"/>
        </w:rPr>
        <w:t xml:space="preserve"> DEQ is also seeking comment on possible rule modifications that would make the proposed permanent rules apply to more sources than do the temporary rules, as noted in the “Request for other options” section of the Notice of Proposed Rulemaking.</w:t>
      </w:r>
    </w:p>
    <w:p w:rsidR="00E62E99" w:rsidRPr="00E62E99" w:rsidRDefault="00E62E99" w:rsidP="00E62E99">
      <w:pPr>
        <w:ind w:left="0"/>
        <w:rPr>
          <w:rFonts w:ascii="Times New Roman" w:eastAsia="Calibri" w:hAnsi="Times New Roman" w:cs="Times New Roman"/>
          <w:bCs/>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E62E99" w:rsidRDefault="006D57D6" w:rsidP="006D57D6">
      <w:pPr>
        <w:ind w:left="0"/>
        <w:rPr>
          <w:rFonts w:ascii="Times New Roman" w:eastAsia="Calibri" w:hAnsi="Times New Roman" w:cs="Times New Roman"/>
          <w:b/>
          <w:sz w:val="28"/>
          <w:szCs w:val="28"/>
        </w:rPr>
      </w:pPr>
      <w:r w:rsidRPr="00E62E99">
        <w:rPr>
          <w:rFonts w:ascii="Times New Roman" w:eastAsia="Calibri" w:hAnsi="Times New Roman" w:cs="Times New Roman"/>
          <w:b/>
          <w:sz w:val="28"/>
          <w:szCs w:val="28"/>
        </w:rPr>
        <w:t>Description of the need for, and objectives of the rule:</w:t>
      </w:r>
    </w:p>
    <w:p w:rsidR="006D57D6" w:rsidRDefault="006D57D6" w:rsidP="006D57D6">
      <w:pPr>
        <w:ind w:left="0"/>
        <w:rPr>
          <w:rFonts w:ascii="Times New Roman" w:eastAsia="Calibri" w:hAnsi="Times New Roman" w:cs="Times New Roman"/>
          <w:sz w:val="22"/>
          <w:szCs w:val="22"/>
        </w:rPr>
      </w:pPr>
    </w:p>
    <w:p w:rsidR="004D75D0" w:rsidRPr="004D75D0" w:rsidRDefault="004D75D0" w:rsidP="004D75D0">
      <w:pPr>
        <w:keepNext/>
        <w:keepLines/>
        <w:spacing w:before="120" w:after="120"/>
        <w:ind w:left="0"/>
        <w:outlineLvl w:val="1"/>
        <w:rPr>
          <w:rFonts w:eastAsia="Times New Roman" w:cs="Times New Roman"/>
          <w:b/>
          <w:bCs/>
          <w:sz w:val="22"/>
          <w:szCs w:val="26"/>
        </w:rPr>
      </w:pPr>
      <w:r w:rsidRPr="004D75D0">
        <w:rPr>
          <w:rFonts w:eastAsia="Times New Roman" w:cs="Times New Roman"/>
          <w:b/>
          <w:bCs/>
          <w:sz w:val="22"/>
          <w:szCs w:val="26"/>
        </w:rPr>
        <w:t>What need would the proposed rule address?</w:t>
      </w:r>
    </w:p>
    <w:p w:rsidR="004D75D0" w:rsidRPr="004D75D0" w:rsidRDefault="004D75D0" w:rsidP="004D75D0">
      <w:pPr>
        <w:ind w:left="0" w:right="18"/>
        <w:outlineLvl w:val="0"/>
        <w:rPr>
          <w:rFonts w:ascii="Times New Roman" w:eastAsia="Times New Roman" w:hAnsi="Times New Roman" w:cs="Times New Roman"/>
          <w:sz w:val="22"/>
        </w:rPr>
      </w:pPr>
      <w:r w:rsidRPr="004D75D0">
        <w:rPr>
          <w:rFonts w:ascii="Times New Roman" w:eastAsia="Times New Roman" w:hAnsi="Times New Roman" w:cs="Times New Roman"/>
          <w:sz w:val="22"/>
        </w:rPr>
        <w:t xml:space="preserve">DEQ is addressing the need to control metals emissions from CAGM facilities. As DEQ recently determined through air monitoring and facility inspections, uncontrolled glass furnaces processing colored glass to which metal Hazardous Air Pollutants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rsidR="004D75D0" w:rsidRPr="004D75D0" w:rsidRDefault="004D75D0" w:rsidP="004D75D0">
      <w:pPr>
        <w:ind w:left="0" w:right="18"/>
        <w:outlineLvl w:val="0"/>
        <w:rPr>
          <w:rFonts w:ascii="Times New Roman" w:eastAsia="Times New Roman" w:hAnsi="Times New Roman" w:cs="Times New Roman"/>
          <w:sz w:val="22"/>
        </w:rPr>
      </w:pPr>
    </w:p>
    <w:p w:rsidR="004D75D0" w:rsidRPr="004D75D0" w:rsidRDefault="004D75D0" w:rsidP="004D75D0">
      <w:pPr>
        <w:ind w:left="0" w:right="18"/>
        <w:outlineLvl w:val="0"/>
        <w:rPr>
          <w:rFonts w:ascii="Times New Roman" w:eastAsia="Times New Roman" w:hAnsi="Times New Roman" w:cs="Times New Roman"/>
          <w:sz w:val="22"/>
        </w:rPr>
      </w:pPr>
      <w:r w:rsidRPr="004D75D0">
        <w:rPr>
          <w:rFonts w:ascii="Times New Roman" w:eastAsia="Times New Roman" w:hAnsi="Times New Roman" w:cs="Times New Roman"/>
          <w:sz w:val="22"/>
        </w:rPr>
        <w:t>These rules are necessary to address a regulatory gap. A federal regulation called NESHAP 6S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rsidR="004D75D0" w:rsidRPr="004D75D0" w:rsidRDefault="004D75D0" w:rsidP="004D75D0">
      <w:pPr>
        <w:ind w:left="0" w:right="18"/>
        <w:outlineLvl w:val="0"/>
        <w:rPr>
          <w:rFonts w:ascii="Times New Roman" w:eastAsia="Times New Roman" w:hAnsi="Times New Roman" w:cs="Times New Roman"/>
          <w:sz w:val="22"/>
        </w:rPr>
      </w:pPr>
    </w:p>
    <w:p w:rsidR="004D75D0" w:rsidRPr="004D75D0" w:rsidRDefault="004D75D0" w:rsidP="004D75D0">
      <w:pPr>
        <w:keepNext/>
        <w:keepLines/>
        <w:spacing w:before="120" w:after="120"/>
        <w:ind w:left="0"/>
        <w:outlineLvl w:val="1"/>
        <w:rPr>
          <w:rFonts w:eastAsia="Times New Roman" w:cs="Times New Roman"/>
          <w:b/>
          <w:bCs/>
          <w:sz w:val="22"/>
          <w:szCs w:val="26"/>
        </w:rPr>
      </w:pPr>
      <w:r w:rsidRPr="004D75D0">
        <w:rPr>
          <w:rFonts w:eastAsia="Times New Roman" w:cs="Times New Roman"/>
          <w:b/>
          <w:bCs/>
          <w:sz w:val="22"/>
          <w:szCs w:val="26"/>
        </w:rPr>
        <w:t xml:space="preserve">How would the proposed rule address the need? </w:t>
      </w:r>
    </w:p>
    <w:p w:rsidR="004D75D0" w:rsidRPr="004D75D0" w:rsidRDefault="004D75D0" w:rsidP="004D75D0">
      <w:pPr>
        <w:ind w:left="0" w:right="18"/>
        <w:outlineLvl w:val="0"/>
        <w:rPr>
          <w:rFonts w:ascii="Times New Roman" w:eastAsia="Times New Roman" w:hAnsi="Times New Roman" w:cs="Times New Roman"/>
          <w:color w:val="000000"/>
          <w:sz w:val="22"/>
        </w:rPr>
      </w:pPr>
      <w:r w:rsidRPr="004D75D0">
        <w:rPr>
          <w:rFonts w:ascii="Times New Roman" w:eastAsia="Times New Roman" w:hAnsi="Times New Roman" w:cs="Times New Roman"/>
          <w:color w:val="000000"/>
          <w:sz w:val="22"/>
        </w:rPr>
        <w:t>The proposed rules would fill the regulatory gap by setting operational standards for art glass businesses that emit air toxics and potentially cause serious health effects.</w:t>
      </w:r>
    </w:p>
    <w:p w:rsidR="004D75D0" w:rsidRPr="004D75D0" w:rsidRDefault="004D75D0" w:rsidP="004D75D0">
      <w:pPr>
        <w:ind w:left="0" w:right="18"/>
        <w:outlineLvl w:val="0"/>
        <w:rPr>
          <w:rFonts w:ascii="Times New Roman" w:eastAsia="Times New Roman" w:hAnsi="Times New Roman" w:cs="Times New Roman"/>
          <w:color w:val="000000"/>
          <w:sz w:val="22"/>
        </w:rPr>
      </w:pPr>
    </w:p>
    <w:p w:rsidR="004D75D0" w:rsidRPr="004D75D0" w:rsidRDefault="004D75D0" w:rsidP="004D75D0">
      <w:pPr>
        <w:ind w:left="0" w:right="18"/>
        <w:outlineLvl w:val="0"/>
        <w:rPr>
          <w:rFonts w:ascii="Times New Roman" w:eastAsia="Times New Roman" w:hAnsi="Times New Roman" w:cs="Times New Roman"/>
          <w:color w:val="000000"/>
          <w:sz w:val="22"/>
        </w:rPr>
      </w:pPr>
      <w:r w:rsidRPr="004D75D0">
        <w:rPr>
          <w:rFonts w:ascii="Times New Roman" w:eastAsia="Times New Roman" w:hAnsi="Times New Roman" w:cs="Times New Roman"/>
          <w:color w:val="000000"/>
          <w:sz w:val="22"/>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hexavalent chromium. The smaller Tier 1 CAGMs can install emission control devices on all furnaces using metal HAP, use source testing and modeling to demonstrate that emissions are below source impact levels without controls, or stop using metal HAP in one or more furnaces.</w:t>
      </w:r>
    </w:p>
    <w:p w:rsidR="004D75D0" w:rsidRPr="004D75D0" w:rsidRDefault="004D75D0" w:rsidP="004D75D0">
      <w:pPr>
        <w:ind w:left="0" w:right="18"/>
        <w:outlineLvl w:val="0"/>
        <w:rPr>
          <w:rFonts w:ascii="Times New Roman" w:eastAsia="Times New Roman" w:hAnsi="Times New Roman" w:cs="Times New Roman"/>
          <w:color w:val="000000"/>
          <w:sz w:val="22"/>
        </w:rPr>
      </w:pPr>
    </w:p>
    <w:p w:rsidR="004D75D0" w:rsidRPr="004D75D0" w:rsidRDefault="004D75D0" w:rsidP="004D75D0">
      <w:pPr>
        <w:ind w:left="0" w:right="18"/>
        <w:outlineLvl w:val="0"/>
        <w:rPr>
          <w:rFonts w:ascii="Times New Roman" w:eastAsia="Times New Roman" w:hAnsi="Times New Roman" w:cs="Times New Roman"/>
          <w:sz w:val="22"/>
        </w:rPr>
      </w:pPr>
      <w:r w:rsidRPr="004D75D0">
        <w:rPr>
          <w:rFonts w:ascii="Times New Roman" w:eastAsia="Times New Roman" w:hAnsi="Times New Roman" w:cs="Times New Roman"/>
          <w:color w:val="000000"/>
          <w:sz w:val="22"/>
        </w:rPr>
        <w:t xml:space="preserve">These rules would decrease the risk from airborne metal exposure to people nearby, including </w:t>
      </w:r>
      <w:r w:rsidRPr="004D75D0">
        <w:rPr>
          <w:rFonts w:ascii="Times New Roman" w:eastAsia="Times New Roman" w:hAnsi="Times New Roman" w:cs="Times New Roman"/>
          <w:sz w:val="22"/>
        </w:rPr>
        <w:t>children and other sensitive or vulnerable individuals.</w:t>
      </w:r>
    </w:p>
    <w:p w:rsidR="004D75D0" w:rsidRPr="004D75D0" w:rsidRDefault="004D75D0" w:rsidP="004D75D0">
      <w:pPr>
        <w:ind w:left="0" w:right="18"/>
        <w:outlineLvl w:val="0"/>
        <w:rPr>
          <w:rFonts w:ascii="Times New Roman" w:eastAsia="Times New Roman" w:hAnsi="Times New Roman" w:cs="Times New Roman"/>
          <w:sz w:val="22"/>
        </w:rPr>
      </w:pPr>
    </w:p>
    <w:p w:rsidR="004D75D0" w:rsidRPr="004D75D0" w:rsidRDefault="004D75D0" w:rsidP="004D75D0">
      <w:pPr>
        <w:keepNext/>
        <w:keepLines/>
        <w:spacing w:before="120" w:after="120"/>
        <w:ind w:left="0"/>
        <w:outlineLvl w:val="1"/>
        <w:rPr>
          <w:rFonts w:eastAsia="Times New Roman" w:cs="Times New Roman"/>
          <w:b/>
          <w:bCs/>
          <w:sz w:val="22"/>
          <w:szCs w:val="26"/>
        </w:rPr>
      </w:pPr>
      <w:r w:rsidRPr="004D75D0">
        <w:rPr>
          <w:rFonts w:eastAsia="Times New Roman" w:cs="Times New Roman"/>
          <w:b/>
          <w:bCs/>
          <w:sz w:val="22"/>
          <w:szCs w:val="26"/>
        </w:rPr>
        <w:t xml:space="preserve">How will DEQ know the rule addressed the need? </w:t>
      </w:r>
    </w:p>
    <w:p w:rsidR="004D75D0" w:rsidRPr="004D75D0" w:rsidRDefault="004D75D0" w:rsidP="004D75D0">
      <w:pPr>
        <w:ind w:left="0" w:right="18"/>
        <w:outlineLvl w:val="0"/>
        <w:rPr>
          <w:rFonts w:ascii="Times New Roman" w:eastAsia="Times New Roman" w:hAnsi="Times New Roman" w:cs="Times New Roman"/>
          <w:color w:val="000000"/>
          <w:sz w:val="22"/>
        </w:rPr>
      </w:pPr>
      <w:r w:rsidRPr="004D75D0">
        <w:rPr>
          <w:rFonts w:ascii="Times New Roman" w:eastAsia="Times New Roman" w:hAnsi="Times New Roman" w:cs="Times New Roman"/>
          <w:color w:val="000000"/>
          <w:sz w:val="22"/>
        </w:rPr>
        <w:t>The rule requires source testing to demonstrate the effectiveness of emissions control devices and to measure emissions in several other cases (hexavalent chromium emissions from Tier 2 facilities and metal HAP emissions from Tier 1 facilities opting to operate uncontrolled furnaces). Source testing will quantify metal HAP emissions and emissions reductions.</w:t>
      </w:r>
    </w:p>
    <w:p w:rsidR="004D75D0" w:rsidRPr="004D75D0" w:rsidRDefault="004D75D0" w:rsidP="004D75D0">
      <w:pPr>
        <w:ind w:left="0" w:right="18"/>
        <w:outlineLvl w:val="0"/>
        <w:rPr>
          <w:rFonts w:ascii="Times New Roman" w:eastAsia="Times New Roman" w:hAnsi="Times New Roman" w:cs="Times New Roman"/>
          <w:color w:val="000000"/>
          <w:sz w:val="22"/>
        </w:rPr>
      </w:pPr>
    </w:p>
    <w:p w:rsidR="004D75D0" w:rsidRPr="004D75D0" w:rsidRDefault="004D75D0" w:rsidP="004D75D0">
      <w:pPr>
        <w:ind w:left="0" w:right="18"/>
        <w:outlineLvl w:val="0"/>
        <w:rPr>
          <w:rFonts w:ascii="Times New Roman" w:eastAsia="Times New Roman" w:hAnsi="Times New Roman" w:cs="Times New Roman"/>
          <w:color w:val="000000"/>
          <w:sz w:val="22"/>
        </w:rPr>
      </w:pPr>
      <w:r w:rsidRPr="004D75D0">
        <w:rPr>
          <w:rFonts w:ascii="Times New Roman" w:eastAsia="Times New Roman" w:hAnsi="Times New Roman" w:cs="Times New Roman"/>
          <w:color w:val="000000"/>
          <w:sz w:val="22"/>
        </w:rPr>
        <w:t>DEQ is also performing ambient air monitoring near several CAGMs, which can verify whether metal HAP concentrations in the air people breathe have been reduced to safe levels.</w:t>
      </w:r>
    </w:p>
    <w:p w:rsidR="004D75D0" w:rsidRDefault="004D75D0" w:rsidP="006D57D6">
      <w:pPr>
        <w:ind w:left="0"/>
        <w:rPr>
          <w:rFonts w:ascii="Times New Roman" w:eastAsia="Calibri" w:hAnsi="Times New Roman" w:cs="Times New Roman"/>
          <w:sz w:val="22"/>
          <w:szCs w:val="22"/>
        </w:rPr>
      </w:pPr>
    </w:p>
    <w:p w:rsidR="004D75D0" w:rsidRDefault="004D75D0" w:rsidP="006D57D6">
      <w:pPr>
        <w:ind w:left="0"/>
        <w:rPr>
          <w:rFonts w:ascii="Times New Roman" w:eastAsia="Calibri" w:hAnsi="Times New Roman" w:cs="Times New Roman"/>
          <w:sz w:val="22"/>
          <w:szCs w:val="22"/>
        </w:rPr>
      </w:pPr>
    </w:p>
    <w:p w:rsidR="006D57D6" w:rsidRPr="00E62E99" w:rsidRDefault="006D57D6" w:rsidP="006D57D6">
      <w:pPr>
        <w:ind w:left="0"/>
        <w:rPr>
          <w:rFonts w:ascii="Times New Roman" w:eastAsia="Calibri" w:hAnsi="Times New Roman" w:cs="Times New Roman"/>
          <w:b/>
          <w:sz w:val="28"/>
          <w:szCs w:val="28"/>
        </w:rPr>
      </w:pPr>
      <w:r w:rsidRPr="00E62E99">
        <w:rPr>
          <w:rFonts w:ascii="Times New Roman" w:eastAsia="Calibri" w:hAnsi="Times New Roman" w:cs="Times New Roman"/>
          <w:b/>
          <w:sz w:val="28"/>
          <w:szCs w:val="28"/>
        </w:rPr>
        <w:t>List of rules adopted or amended:</w:t>
      </w:r>
    </w:p>
    <w:p w:rsidR="006D57D6" w:rsidRDefault="006D57D6" w:rsidP="006D57D6">
      <w:pPr>
        <w:ind w:left="0"/>
        <w:rPr>
          <w:rFonts w:ascii="Times New Roman" w:eastAsia="Calibri" w:hAnsi="Times New Roman" w:cs="Times New Roman"/>
          <w:sz w:val="22"/>
          <w:szCs w:val="22"/>
        </w:rPr>
      </w:pPr>
    </w:p>
    <w:p w:rsidR="004D75D0" w:rsidRDefault="004D75D0" w:rsidP="004D75D0">
      <w:pPr>
        <w:ind w:left="1440" w:hanging="1440"/>
        <w:rPr>
          <w:rFonts w:ascii="Times New Roman" w:eastAsia="Calibri" w:hAnsi="Times New Roman" w:cs="Times New Roman"/>
          <w:sz w:val="22"/>
          <w:szCs w:val="22"/>
        </w:rPr>
      </w:pPr>
      <w:r>
        <w:rPr>
          <w:rFonts w:ascii="Times New Roman" w:eastAsia="Calibri" w:hAnsi="Times New Roman" w:cs="Times New Roman"/>
          <w:sz w:val="22"/>
          <w:szCs w:val="22"/>
        </w:rPr>
        <w:t>Repeal</w:t>
      </w:r>
      <w:r>
        <w:rPr>
          <w:rFonts w:ascii="Times New Roman" w:eastAsia="Calibri" w:hAnsi="Times New Roman" w:cs="Times New Roman"/>
          <w:sz w:val="22"/>
          <w:szCs w:val="22"/>
        </w:rPr>
        <w:tab/>
      </w:r>
      <w:r w:rsidRPr="004D75D0">
        <w:rPr>
          <w:rFonts w:ascii="Times New Roman" w:eastAsia="Calibri" w:hAnsi="Times New Roman" w:cs="Times New Roman"/>
          <w:sz w:val="22"/>
          <w:szCs w:val="22"/>
        </w:rPr>
        <w:t>OAR 340-244-0010(T), 340-244-9000(T), 340-244-9010(T), 340-244-9020(T), 340-244-9030(T), 340-244-9040(T), 340-244-9050(T), 340-244-9060(T), 340-244-9070(T), 340-244-9080(T), 340-244-9090(T)</w:t>
      </w:r>
    </w:p>
    <w:p w:rsidR="004D75D0" w:rsidRDefault="004D75D0" w:rsidP="004D75D0">
      <w:pPr>
        <w:ind w:left="1440" w:hanging="1440"/>
        <w:rPr>
          <w:rFonts w:ascii="Times New Roman" w:eastAsia="Calibri" w:hAnsi="Times New Roman" w:cs="Times New Roman"/>
          <w:sz w:val="22"/>
          <w:szCs w:val="22"/>
        </w:rPr>
      </w:pPr>
      <w:r>
        <w:rPr>
          <w:rFonts w:ascii="Times New Roman" w:eastAsia="Calibri" w:hAnsi="Times New Roman" w:cs="Times New Roman"/>
          <w:sz w:val="22"/>
          <w:szCs w:val="22"/>
        </w:rPr>
        <w:t>Adopt</w:t>
      </w:r>
      <w:r>
        <w:rPr>
          <w:rFonts w:ascii="Times New Roman" w:eastAsia="Calibri" w:hAnsi="Times New Roman" w:cs="Times New Roman"/>
          <w:sz w:val="22"/>
          <w:szCs w:val="22"/>
        </w:rPr>
        <w:tab/>
      </w:r>
      <w:r w:rsidRPr="004D75D0">
        <w:rPr>
          <w:rFonts w:ascii="Times New Roman" w:eastAsia="Calibri" w:hAnsi="Times New Roman" w:cs="Times New Roman"/>
          <w:sz w:val="22"/>
          <w:szCs w:val="22"/>
        </w:rPr>
        <w:t>OAR 340-244-9000, 340-244-9010, 340-244-9020, 340-244-9030, 340-244-9040, 340-244-9050, 340-244-9060, 340-244-9070, 340-244-9080, 340-244-9090</w:t>
      </w:r>
    </w:p>
    <w:p w:rsidR="004D75D0" w:rsidRDefault="004D75D0" w:rsidP="006D57D6">
      <w:pPr>
        <w:ind w:left="0"/>
        <w:rPr>
          <w:rFonts w:ascii="Times New Roman" w:eastAsia="Calibri" w:hAnsi="Times New Roman" w:cs="Times New Roman"/>
          <w:sz w:val="22"/>
          <w:szCs w:val="22"/>
        </w:rPr>
      </w:pPr>
    </w:p>
    <w:p w:rsidR="006D57D6" w:rsidRDefault="00634C5D" w:rsidP="00634C5D">
      <w:pPr>
        <w:ind w:left="720" w:hanging="720"/>
        <w:rPr>
          <w:rFonts w:ascii="Times New Roman" w:eastAsia="Calibri" w:hAnsi="Times New Roman" w:cs="Times New Roman"/>
          <w:bCs/>
        </w:rPr>
      </w:pPr>
      <w:r w:rsidRPr="00E7395E">
        <w:rPr>
          <w:rFonts w:ascii="Times New Roman" w:eastAsia="Calibri" w:hAnsi="Times New Roman" w:cs="Times New Roman"/>
        </w:rPr>
        <w:t>Amend</w:t>
      </w:r>
      <w:r w:rsidRPr="00E7395E">
        <w:rPr>
          <w:rFonts w:ascii="Times New Roman" w:eastAsia="Calibri" w:hAnsi="Times New Roman" w:cs="Times New Roman"/>
        </w:rPr>
        <w:tab/>
      </w:r>
      <w:r w:rsidRPr="00E7395E">
        <w:rPr>
          <w:rFonts w:ascii="Times New Roman" w:eastAsia="Calibri" w:hAnsi="Times New Roman" w:cs="Times New Roman"/>
        </w:rPr>
        <w:tab/>
      </w:r>
      <w:r w:rsidR="004D75D0" w:rsidRPr="004D75D0">
        <w:rPr>
          <w:rFonts w:ascii="Times New Roman" w:eastAsia="Calibri" w:hAnsi="Times New Roman" w:cs="Times New Roman"/>
          <w:bCs/>
        </w:rPr>
        <w:t>OAR 340-244-0010</w:t>
      </w:r>
    </w:p>
    <w:p w:rsidR="00634C5D" w:rsidRPr="006D57D6" w:rsidRDefault="00634C5D" w:rsidP="00634C5D">
      <w:pPr>
        <w:ind w:left="720" w:hanging="720"/>
        <w:rPr>
          <w:rFonts w:ascii="Times New Roman" w:eastAsia="Calibri" w:hAnsi="Times New Roman" w:cs="Times New Roman"/>
          <w:sz w:val="22"/>
          <w:szCs w:val="22"/>
        </w:rPr>
      </w:pPr>
    </w:p>
    <w:p w:rsidR="006D57D6" w:rsidRPr="00E62E99" w:rsidRDefault="006D57D6" w:rsidP="006D57D6">
      <w:pPr>
        <w:ind w:left="0"/>
        <w:rPr>
          <w:rFonts w:ascii="Times New Roman" w:eastAsia="Calibri" w:hAnsi="Times New Roman" w:cs="Times New Roman"/>
          <w:b/>
          <w:sz w:val="28"/>
          <w:szCs w:val="28"/>
        </w:rPr>
      </w:pPr>
      <w:r w:rsidRPr="00E62E99">
        <w:rPr>
          <w:rFonts w:ascii="Times New Roman" w:eastAsia="Calibri" w:hAnsi="Times New Roman" w:cs="Times New Roman"/>
          <w:b/>
          <w:sz w:val="28"/>
          <w:szCs w:val="28"/>
        </w:rPr>
        <w:t>Materials and labor costs increase or savings:</w:t>
      </w:r>
    </w:p>
    <w:p w:rsidR="006D57D6" w:rsidRDefault="006D57D6" w:rsidP="006D57D6">
      <w:pPr>
        <w:ind w:left="0"/>
        <w:rPr>
          <w:rFonts w:ascii="Times New Roman" w:eastAsia="Calibri" w:hAnsi="Times New Roman" w:cs="Times New Roman"/>
          <w:sz w:val="22"/>
          <w:szCs w:val="22"/>
        </w:rPr>
      </w:pPr>
    </w:p>
    <w:p w:rsidR="004D75D0" w:rsidRPr="004D75D0" w:rsidRDefault="004D75D0" w:rsidP="004D75D0">
      <w:pPr>
        <w:ind w:left="0"/>
        <w:rPr>
          <w:rFonts w:ascii="Times New Roman" w:eastAsia="Calibri" w:hAnsi="Times New Roman" w:cs="Times New Roman"/>
        </w:rPr>
      </w:pPr>
      <w:r w:rsidRPr="004D75D0">
        <w:rPr>
          <w:rFonts w:ascii="Times New Roman" w:eastAsia="Calibri" w:hAnsi="Times New Roman" w:cs="Times New Roman"/>
        </w:rPr>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rsidR="006D57D6" w:rsidRPr="006D57D6" w:rsidRDefault="006D57D6" w:rsidP="006D57D6">
      <w:pPr>
        <w:ind w:left="0"/>
        <w:rPr>
          <w:rFonts w:ascii="Times New Roman" w:eastAsia="Calibri" w:hAnsi="Times New Roman" w:cs="Times New Roman"/>
          <w:sz w:val="22"/>
          <w:szCs w:val="22"/>
        </w:rPr>
      </w:pPr>
      <w:bookmarkStart w:id="0" w:name="_GoBack"/>
      <w:bookmarkEnd w:id="0"/>
    </w:p>
    <w:p w:rsidR="006D57D6" w:rsidRPr="00E62E99" w:rsidRDefault="006D57D6" w:rsidP="006D57D6">
      <w:pPr>
        <w:ind w:left="0"/>
        <w:rPr>
          <w:rFonts w:ascii="Times New Roman" w:eastAsia="Calibri" w:hAnsi="Times New Roman" w:cs="Times New Roman"/>
          <w:b/>
          <w:sz w:val="28"/>
          <w:szCs w:val="28"/>
        </w:rPr>
      </w:pPr>
      <w:r w:rsidRPr="00E62E99">
        <w:rPr>
          <w:rFonts w:ascii="Times New Roman" w:eastAsia="Calibri" w:hAnsi="Times New Roman" w:cs="Times New Roman"/>
          <w:b/>
          <w:sz w:val="28"/>
          <w:szCs w:val="28"/>
        </w:rPr>
        <w:t>Land costs increase or savings:</w:t>
      </w:r>
    </w:p>
    <w:p w:rsidR="006D57D6" w:rsidRPr="006D57D6" w:rsidRDefault="006D57D6" w:rsidP="006D57D6">
      <w:pPr>
        <w:ind w:left="0"/>
        <w:rPr>
          <w:rFonts w:ascii="Times New Roman" w:eastAsia="Calibri" w:hAnsi="Times New Roman" w:cs="Times New Roman"/>
          <w:sz w:val="22"/>
          <w:szCs w:val="22"/>
        </w:rPr>
      </w:pPr>
    </w:p>
    <w:p w:rsidR="006D57D6" w:rsidRDefault="00634C5D" w:rsidP="006D57D6">
      <w:pPr>
        <w:ind w:left="0"/>
        <w:rPr>
          <w:rFonts w:ascii="Times New Roman" w:eastAsia="Calibri" w:hAnsi="Times New Roman" w:cs="Times New Roman"/>
          <w:sz w:val="22"/>
          <w:szCs w:val="22"/>
        </w:rPr>
      </w:pPr>
      <w:r>
        <w:rPr>
          <w:rFonts w:ascii="Times New Roman" w:eastAsia="Calibri" w:hAnsi="Times New Roman" w:cs="Times New Roman"/>
          <w:sz w:val="22"/>
          <w:szCs w:val="22"/>
        </w:rPr>
        <w:t>None.</w:t>
      </w:r>
    </w:p>
    <w:p w:rsidR="006D57D6" w:rsidRPr="006D57D6" w:rsidRDefault="006D57D6" w:rsidP="006D57D6">
      <w:pPr>
        <w:ind w:left="0"/>
        <w:rPr>
          <w:rFonts w:ascii="Times New Roman" w:eastAsia="Calibri" w:hAnsi="Times New Roman" w:cs="Times New Roman"/>
          <w:sz w:val="22"/>
          <w:szCs w:val="22"/>
        </w:rPr>
      </w:pPr>
    </w:p>
    <w:sectPr w:rsidR="006D57D6" w:rsidRPr="006D57D6" w:rsidSect="00C45B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5D0" w:rsidRDefault="004D75D0" w:rsidP="004D75D0">
      <w:r>
        <w:separator/>
      </w:r>
    </w:p>
  </w:endnote>
  <w:endnote w:type="continuationSeparator" w:id="0">
    <w:p w:rsidR="004D75D0" w:rsidRDefault="004D75D0" w:rsidP="004D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5D0" w:rsidRDefault="004D75D0" w:rsidP="004D75D0">
      <w:r>
        <w:separator/>
      </w:r>
    </w:p>
  </w:footnote>
  <w:footnote w:type="continuationSeparator" w:id="0">
    <w:p w:rsidR="004D75D0" w:rsidRDefault="004D75D0" w:rsidP="004D7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83"/>
    <w:rsid w:val="000032B6"/>
    <w:rsid w:val="00047512"/>
    <w:rsid w:val="0007121C"/>
    <w:rsid w:val="00081375"/>
    <w:rsid w:val="00092BD8"/>
    <w:rsid w:val="00093587"/>
    <w:rsid w:val="000A207D"/>
    <w:rsid w:val="000F3297"/>
    <w:rsid w:val="000F3493"/>
    <w:rsid w:val="0012757B"/>
    <w:rsid w:val="001331DC"/>
    <w:rsid w:val="00173DD9"/>
    <w:rsid w:val="001829E9"/>
    <w:rsid w:val="001843EA"/>
    <w:rsid w:val="001850FB"/>
    <w:rsid w:val="00191F63"/>
    <w:rsid w:val="001B1799"/>
    <w:rsid w:val="001B2C46"/>
    <w:rsid w:val="001C4FC0"/>
    <w:rsid w:val="001D464B"/>
    <w:rsid w:val="001E5899"/>
    <w:rsid w:val="00214E17"/>
    <w:rsid w:val="002273E8"/>
    <w:rsid w:val="00230935"/>
    <w:rsid w:val="002372C8"/>
    <w:rsid w:val="002633DD"/>
    <w:rsid w:val="00266864"/>
    <w:rsid w:val="00276A83"/>
    <w:rsid w:val="0028022B"/>
    <w:rsid w:val="002941E4"/>
    <w:rsid w:val="002C5D32"/>
    <w:rsid w:val="002F205C"/>
    <w:rsid w:val="002F4FAC"/>
    <w:rsid w:val="00303715"/>
    <w:rsid w:val="00313D83"/>
    <w:rsid w:val="00330083"/>
    <w:rsid w:val="003343EF"/>
    <w:rsid w:val="00370282"/>
    <w:rsid w:val="003A3B4D"/>
    <w:rsid w:val="003F55BA"/>
    <w:rsid w:val="00404189"/>
    <w:rsid w:val="00406CA6"/>
    <w:rsid w:val="0041427E"/>
    <w:rsid w:val="004262E6"/>
    <w:rsid w:val="004511AC"/>
    <w:rsid w:val="0045697A"/>
    <w:rsid w:val="00483513"/>
    <w:rsid w:val="00491CBA"/>
    <w:rsid w:val="004A26CB"/>
    <w:rsid w:val="004B07ED"/>
    <w:rsid w:val="004C41B2"/>
    <w:rsid w:val="004D2118"/>
    <w:rsid w:val="004D31F4"/>
    <w:rsid w:val="004D75D0"/>
    <w:rsid w:val="004E5477"/>
    <w:rsid w:val="004F41B4"/>
    <w:rsid w:val="00502292"/>
    <w:rsid w:val="0053430C"/>
    <w:rsid w:val="00542DAA"/>
    <w:rsid w:val="00555005"/>
    <w:rsid w:val="0057711C"/>
    <w:rsid w:val="005C2368"/>
    <w:rsid w:val="005C7944"/>
    <w:rsid w:val="005D4B41"/>
    <w:rsid w:val="005E5AC6"/>
    <w:rsid w:val="005E65BE"/>
    <w:rsid w:val="00610595"/>
    <w:rsid w:val="006121AD"/>
    <w:rsid w:val="00614C52"/>
    <w:rsid w:val="00634C5D"/>
    <w:rsid w:val="006352D3"/>
    <w:rsid w:val="00641B34"/>
    <w:rsid w:val="0067101D"/>
    <w:rsid w:val="006732E3"/>
    <w:rsid w:val="006748DE"/>
    <w:rsid w:val="00686426"/>
    <w:rsid w:val="006B68FB"/>
    <w:rsid w:val="006D1F14"/>
    <w:rsid w:val="006D57D6"/>
    <w:rsid w:val="00701FFD"/>
    <w:rsid w:val="00711858"/>
    <w:rsid w:val="00717ACA"/>
    <w:rsid w:val="00725AED"/>
    <w:rsid w:val="00766F0B"/>
    <w:rsid w:val="00792438"/>
    <w:rsid w:val="007947AD"/>
    <w:rsid w:val="0079498B"/>
    <w:rsid w:val="007B16BF"/>
    <w:rsid w:val="007C4D22"/>
    <w:rsid w:val="007D6405"/>
    <w:rsid w:val="007E5321"/>
    <w:rsid w:val="007F3BA1"/>
    <w:rsid w:val="0080323F"/>
    <w:rsid w:val="008457D7"/>
    <w:rsid w:val="00863601"/>
    <w:rsid w:val="00882B7B"/>
    <w:rsid w:val="008963A8"/>
    <w:rsid w:val="00897C67"/>
    <w:rsid w:val="008A59D7"/>
    <w:rsid w:val="008C11A0"/>
    <w:rsid w:val="008C4E2F"/>
    <w:rsid w:val="008D041A"/>
    <w:rsid w:val="0090032D"/>
    <w:rsid w:val="00937040"/>
    <w:rsid w:val="009622CC"/>
    <w:rsid w:val="00964C9E"/>
    <w:rsid w:val="00973525"/>
    <w:rsid w:val="00985E75"/>
    <w:rsid w:val="009B355B"/>
    <w:rsid w:val="009C0F09"/>
    <w:rsid w:val="009C3879"/>
    <w:rsid w:val="009C4F7D"/>
    <w:rsid w:val="009D49B4"/>
    <w:rsid w:val="00A075B4"/>
    <w:rsid w:val="00A17568"/>
    <w:rsid w:val="00A26526"/>
    <w:rsid w:val="00A26960"/>
    <w:rsid w:val="00A55CA9"/>
    <w:rsid w:val="00A71866"/>
    <w:rsid w:val="00A935CD"/>
    <w:rsid w:val="00AA26A6"/>
    <w:rsid w:val="00AA2895"/>
    <w:rsid w:val="00AA29E8"/>
    <w:rsid w:val="00AD1E18"/>
    <w:rsid w:val="00AD5B9D"/>
    <w:rsid w:val="00B144AF"/>
    <w:rsid w:val="00B14677"/>
    <w:rsid w:val="00B24236"/>
    <w:rsid w:val="00B25CFE"/>
    <w:rsid w:val="00B53BBC"/>
    <w:rsid w:val="00B63031"/>
    <w:rsid w:val="00B649E8"/>
    <w:rsid w:val="00B65424"/>
    <w:rsid w:val="00B84510"/>
    <w:rsid w:val="00B93DED"/>
    <w:rsid w:val="00BC6EC4"/>
    <w:rsid w:val="00BF3450"/>
    <w:rsid w:val="00BF5D1A"/>
    <w:rsid w:val="00C058FB"/>
    <w:rsid w:val="00C17F8C"/>
    <w:rsid w:val="00C2127D"/>
    <w:rsid w:val="00C27FD4"/>
    <w:rsid w:val="00C37057"/>
    <w:rsid w:val="00C45B78"/>
    <w:rsid w:val="00C539F3"/>
    <w:rsid w:val="00C61511"/>
    <w:rsid w:val="00C9595A"/>
    <w:rsid w:val="00CC5405"/>
    <w:rsid w:val="00CE15F0"/>
    <w:rsid w:val="00CE72B3"/>
    <w:rsid w:val="00CF1678"/>
    <w:rsid w:val="00CF4CFA"/>
    <w:rsid w:val="00D11374"/>
    <w:rsid w:val="00D37689"/>
    <w:rsid w:val="00D56F36"/>
    <w:rsid w:val="00D6283B"/>
    <w:rsid w:val="00D86A27"/>
    <w:rsid w:val="00DA68A0"/>
    <w:rsid w:val="00DB098B"/>
    <w:rsid w:val="00DC28F9"/>
    <w:rsid w:val="00DE03D0"/>
    <w:rsid w:val="00DF5D04"/>
    <w:rsid w:val="00E0293E"/>
    <w:rsid w:val="00E0408C"/>
    <w:rsid w:val="00E14BA4"/>
    <w:rsid w:val="00E2312F"/>
    <w:rsid w:val="00E24C44"/>
    <w:rsid w:val="00E31E64"/>
    <w:rsid w:val="00E34A04"/>
    <w:rsid w:val="00E4581E"/>
    <w:rsid w:val="00E61A74"/>
    <w:rsid w:val="00E62E99"/>
    <w:rsid w:val="00E7165B"/>
    <w:rsid w:val="00EA5B10"/>
    <w:rsid w:val="00EA5DA8"/>
    <w:rsid w:val="00ED048B"/>
    <w:rsid w:val="00ED146B"/>
    <w:rsid w:val="00ED6E5E"/>
    <w:rsid w:val="00EF2809"/>
    <w:rsid w:val="00F00DCD"/>
    <w:rsid w:val="00F23647"/>
    <w:rsid w:val="00F65756"/>
    <w:rsid w:val="00F7042C"/>
    <w:rsid w:val="00F81F4C"/>
    <w:rsid w:val="00F82A2B"/>
    <w:rsid w:val="00F911FA"/>
    <w:rsid w:val="00F962DA"/>
    <w:rsid w:val="00F971EB"/>
    <w:rsid w:val="00FB0602"/>
    <w:rsid w:val="00FB2290"/>
    <w:rsid w:val="00FB3A80"/>
    <w:rsid w:val="00FC68C6"/>
    <w:rsid w:val="00FE166F"/>
    <w:rsid w:val="00F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A5E0A-2606-4AC6-AF94-B620729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083"/>
    <w:pPr>
      <w:spacing w:after="0" w:line="240" w:lineRule="auto"/>
      <w:ind w:left="2880"/>
      <w:jc w:val="left"/>
    </w:pPr>
    <w:rPr>
      <w:rFonts w:ascii="Arial" w:hAnsi="Arial" w:cs="Arial"/>
      <w:sz w:val="24"/>
      <w:szCs w:val="24"/>
      <w:lang w:bidi="ar-SA"/>
    </w:rPr>
  </w:style>
  <w:style w:type="paragraph" w:styleId="Heading1">
    <w:name w:val="heading 1"/>
    <w:basedOn w:val="Normal"/>
    <w:next w:val="Normal"/>
    <w:link w:val="Heading1Char"/>
    <w:uiPriority w:val="9"/>
    <w:qFormat/>
    <w:rsid w:val="002F4FAC"/>
    <w:pPr>
      <w:spacing w:before="300" w:after="40" w:line="276" w:lineRule="auto"/>
      <w:ind w:left="0"/>
      <w:outlineLvl w:val="0"/>
    </w:pPr>
    <w:rPr>
      <w:rFonts w:asciiTheme="minorHAnsi" w:hAnsiTheme="minorHAnsi" w:cstheme="minorBidi"/>
      <w:smallCaps/>
      <w:spacing w:val="5"/>
      <w:sz w:val="32"/>
      <w:szCs w:val="32"/>
      <w:lang w:bidi="en-US"/>
    </w:rPr>
  </w:style>
  <w:style w:type="paragraph" w:styleId="Heading2">
    <w:name w:val="heading 2"/>
    <w:basedOn w:val="Normal"/>
    <w:next w:val="Normal"/>
    <w:link w:val="Heading2Char"/>
    <w:uiPriority w:val="9"/>
    <w:semiHidden/>
    <w:unhideWhenUsed/>
    <w:qFormat/>
    <w:rsid w:val="002F4FAC"/>
    <w:pPr>
      <w:spacing w:before="240" w:after="80" w:line="276" w:lineRule="auto"/>
      <w:ind w:left="0"/>
      <w:outlineLvl w:val="1"/>
    </w:pPr>
    <w:rPr>
      <w:rFonts w:asciiTheme="minorHAnsi" w:hAnsiTheme="minorHAnsi" w:cstheme="minorBidi"/>
      <w:smallCaps/>
      <w:spacing w:val="5"/>
      <w:sz w:val="28"/>
      <w:szCs w:val="28"/>
      <w:lang w:bidi="en-US"/>
    </w:rPr>
  </w:style>
  <w:style w:type="paragraph" w:styleId="Heading3">
    <w:name w:val="heading 3"/>
    <w:basedOn w:val="Normal"/>
    <w:next w:val="Normal"/>
    <w:link w:val="Heading3Char"/>
    <w:uiPriority w:val="9"/>
    <w:semiHidden/>
    <w:unhideWhenUsed/>
    <w:qFormat/>
    <w:rsid w:val="002F4FAC"/>
    <w:pPr>
      <w:spacing w:line="276" w:lineRule="auto"/>
      <w:ind w:left="0"/>
      <w:outlineLvl w:val="2"/>
    </w:pPr>
    <w:rPr>
      <w:rFonts w:asciiTheme="minorHAnsi" w:hAnsiTheme="minorHAnsi" w:cstheme="minorBidi"/>
      <w:smallCaps/>
      <w:spacing w:val="5"/>
      <w:lang w:bidi="en-US"/>
    </w:rPr>
  </w:style>
  <w:style w:type="paragraph" w:styleId="Heading4">
    <w:name w:val="heading 4"/>
    <w:basedOn w:val="Normal"/>
    <w:next w:val="Normal"/>
    <w:link w:val="Heading4Char"/>
    <w:uiPriority w:val="9"/>
    <w:semiHidden/>
    <w:unhideWhenUsed/>
    <w:qFormat/>
    <w:rsid w:val="002F4FAC"/>
    <w:pPr>
      <w:spacing w:before="240" w:line="276" w:lineRule="auto"/>
      <w:ind w:left="0"/>
      <w:outlineLvl w:val="3"/>
    </w:pPr>
    <w:rPr>
      <w:rFonts w:asciiTheme="minorHAnsi" w:hAnsiTheme="minorHAnsi" w:cstheme="minorBidi"/>
      <w:smallCaps/>
      <w:spacing w:val="10"/>
      <w:sz w:val="22"/>
      <w:szCs w:val="22"/>
      <w:lang w:bidi="en-US"/>
    </w:rPr>
  </w:style>
  <w:style w:type="paragraph" w:styleId="Heading5">
    <w:name w:val="heading 5"/>
    <w:basedOn w:val="Normal"/>
    <w:next w:val="Normal"/>
    <w:link w:val="Heading5Char"/>
    <w:uiPriority w:val="9"/>
    <w:semiHidden/>
    <w:unhideWhenUsed/>
    <w:qFormat/>
    <w:rsid w:val="002F4FAC"/>
    <w:pPr>
      <w:spacing w:before="200" w:line="276" w:lineRule="auto"/>
      <w:ind w:left="0"/>
      <w:outlineLvl w:val="4"/>
    </w:pPr>
    <w:rPr>
      <w:rFonts w:asciiTheme="minorHAnsi" w:hAnsiTheme="minorHAnsi" w:cstheme="minorBidi"/>
      <w:smallCaps/>
      <w:color w:val="988600" w:themeColor="accent2" w:themeShade="BF"/>
      <w:spacing w:val="10"/>
      <w:sz w:val="22"/>
      <w:szCs w:val="26"/>
      <w:lang w:bidi="en-US"/>
    </w:rPr>
  </w:style>
  <w:style w:type="paragraph" w:styleId="Heading6">
    <w:name w:val="heading 6"/>
    <w:basedOn w:val="Normal"/>
    <w:next w:val="Normal"/>
    <w:link w:val="Heading6Char"/>
    <w:uiPriority w:val="9"/>
    <w:semiHidden/>
    <w:unhideWhenUsed/>
    <w:qFormat/>
    <w:rsid w:val="002F4FAC"/>
    <w:pPr>
      <w:spacing w:line="276" w:lineRule="auto"/>
      <w:ind w:left="0"/>
      <w:outlineLvl w:val="5"/>
    </w:pPr>
    <w:rPr>
      <w:rFonts w:asciiTheme="minorHAnsi" w:hAnsiTheme="minorHAnsi" w:cstheme="minorBidi"/>
      <w:smallCaps/>
      <w:color w:val="CCB400" w:themeColor="accent2"/>
      <w:spacing w:val="5"/>
      <w:sz w:val="22"/>
      <w:szCs w:val="20"/>
      <w:lang w:bidi="en-US"/>
    </w:rPr>
  </w:style>
  <w:style w:type="paragraph" w:styleId="Heading7">
    <w:name w:val="heading 7"/>
    <w:basedOn w:val="Normal"/>
    <w:next w:val="Normal"/>
    <w:link w:val="Heading7Char"/>
    <w:uiPriority w:val="9"/>
    <w:semiHidden/>
    <w:unhideWhenUsed/>
    <w:qFormat/>
    <w:rsid w:val="002F4FAC"/>
    <w:pPr>
      <w:spacing w:line="276" w:lineRule="auto"/>
      <w:ind w:left="0"/>
      <w:outlineLvl w:val="6"/>
    </w:pPr>
    <w:rPr>
      <w:rFonts w:asciiTheme="minorHAnsi" w:hAnsiTheme="minorHAnsi" w:cstheme="minorBidi"/>
      <w:b/>
      <w:smallCaps/>
      <w:color w:val="CCB400" w:themeColor="accent2"/>
      <w:spacing w:val="10"/>
      <w:sz w:val="20"/>
      <w:szCs w:val="20"/>
      <w:lang w:bidi="en-US"/>
    </w:rPr>
  </w:style>
  <w:style w:type="paragraph" w:styleId="Heading8">
    <w:name w:val="heading 8"/>
    <w:basedOn w:val="Normal"/>
    <w:next w:val="Normal"/>
    <w:link w:val="Heading8Char"/>
    <w:uiPriority w:val="9"/>
    <w:semiHidden/>
    <w:unhideWhenUsed/>
    <w:qFormat/>
    <w:rsid w:val="002F4FAC"/>
    <w:pPr>
      <w:spacing w:line="276" w:lineRule="auto"/>
      <w:ind w:left="0"/>
      <w:outlineLvl w:val="7"/>
    </w:pPr>
    <w:rPr>
      <w:rFonts w:asciiTheme="minorHAnsi" w:hAnsiTheme="minorHAnsi" w:cstheme="minorBidi"/>
      <w:b/>
      <w:i/>
      <w:smallCaps/>
      <w:color w:val="988600" w:themeColor="accent2" w:themeShade="BF"/>
      <w:sz w:val="20"/>
      <w:szCs w:val="20"/>
      <w:lang w:bidi="en-US"/>
    </w:rPr>
  </w:style>
  <w:style w:type="paragraph" w:styleId="Heading9">
    <w:name w:val="heading 9"/>
    <w:basedOn w:val="Normal"/>
    <w:next w:val="Normal"/>
    <w:link w:val="Heading9Char"/>
    <w:uiPriority w:val="9"/>
    <w:semiHidden/>
    <w:unhideWhenUsed/>
    <w:qFormat/>
    <w:rsid w:val="002F4FAC"/>
    <w:pPr>
      <w:spacing w:line="276" w:lineRule="auto"/>
      <w:ind w:left="0"/>
      <w:outlineLvl w:val="8"/>
    </w:pPr>
    <w:rPr>
      <w:rFonts w:asciiTheme="minorHAnsi" w:hAnsiTheme="minorHAnsi" w:cstheme="minorBidi"/>
      <w:b/>
      <w:i/>
      <w:smallCaps/>
      <w:color w:val="655900" w:themeColor="accent2" w:themeShade="7F"/>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spacing w:after="200" w:line="276" w:lineRule="auto"/>
      <w:ind w:left="720"/>
      <w:contextualSpacing/>
      <w:jc w:val="both"/>
    </w:pPr>
    <w:rPr>
      <w:rFonts w:asciiTheme="minorHAnsi" w:hAnsiTheme="minorHAnsi" w:cstheme="minorBidi"/>
      <w:sz w:val="20"/>
      <w:szCs w:val="20"/>
      <w:lang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spacing w:after="200" w:line="276" w:lineRule="auto"/>
      <w:ind w:left="0"/>
      <w:jc w:val="both"/>
    </w:pPr>
    <w:rPr>
      <w:rFonts w:asciiTheme="minorHAnsi" w:hAnsiTheme="minorHAnsi" w:cstheme="minorBidi"/>
      <w:b/>
      <w:bCs/>
      <w:caps/>
      <w:sz w:val="16"/>
      <w:szCs w:val="18"/>
      <w:lang w:bidi="en-US"/>
    </w:rPr>
  </w:style>
  <w:style w:type="paragraph" w:styleId="Title">
    <w:name w:val="Title"/>
    <w:basedOn w:val="Normal"/>
    <w:next w:val="Normal"/>
    <w:link w:val="TitleChar"/>
    <w:uiPriority w:val="10"/>
    <w:qFormat/>
    <w:rsid w:val="002F4FAC"/>
    <w:pPr>
      <w:pBdr>
        <w:top w:val="single" w:sz="12" w:space="1" w:color="CCB400" w:themeColor="accent2"/>
      </w:pBdr>
      <w:spacing w:after="200"/>
      <w:ind w:left="0"/>
      <w:jc w:val="right"/>
    </w:pPr>
    <w:rPr>
      <w:rFonts w:asciiTheme="minorHAnsi" w:hAnsiTheme="minorHAnsi" w:cstheme="minorBidi"/>
      <w:smallCaps/>
      <w:sz w:val="48"/>
      <w:szCs w:val="48"/>
      <w:lang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ind w:left="0"/>
      <w:jc w:val="right"/>
    </w:pPr>
    <w:rPr>
      <w:rFonts w:asciiTheme="majorHAnsi" w:eastAsiaTheme="majorEastAsia" w:hAnsiTheme="majorHAnsi" w:cstheme="majorBidi"/>
      <w:sz w:val="20"/>
      <w:szCs w:val="22"/>
      <w:lang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ind w:left="0"/>
      <w:jc w:val="both"/>
    </w:pPr>
    <w:rPr>
      <w:rFonts w:asciiTheme="minorHAnsi" w:hAnsiTheme="minorHAnsi" w:cstheme="minorBidi"/>
      <w:sz w:val="20"/>
      <w:szCs w:val="20"/>
      <w:lang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spacing w:after="200" w:line="276" w:lineRule="auto"/>
      <w:ind w:left="0"/>
      <w:jc w:val="both"/>
    </w:pPr>
    <w:rPr>
      <w:rFonts w:asciiTheme="minorHAnsi" w:hAnsiTheme="minorHAnsi" w:cstheme="minorBidi"/>
      <w:i/>
      <w:sz w:val="20"/>
      <w:szCs w:val="20"/>
      <w:lang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line="276" w:lineRule="auto"/>
      <w:ind w:left="1440" w:right="1440"/>
      <w:jc w:val="both"/>
    </w:pPr>
    <w:rPr>
      <w:rFonts w:asciiTheme="minorHAnsi" w:hAnsiTheme="minorHAnsi" w:cstheme="minorBidi"/>
      <w:b/>
      <w:i/>
      <w:color w:val="FFFFFF" w:themeColor="background1"/>
      <w:sz w:val="20"/>
      <w:szCs w:val="20"/>
      <w:lang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TableGrid1">
    <w:name w:val="Table Grid1"/>
    <w:basedOn w:val="TableNormal"/>
    <w:next w:val="TableGrid"/>
    <w:uiPriority w:val="59"/>
    <w:rsid w:val="006D57D6"/>
    <w:pPr>
      <w:spacing w:after="0" w:line="240" w:lineRule="auto"/>
      <w:jc w:val="left"/>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2E99"/>
    <w:pPr>
      <w:spacing w:after="0" w:line="240" w:lineRule="auto"/>
      <w:ind w:left="2880"/>
      <w:jc w:val="left"/>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75D0"/>
    <w:pPr>
      <w:ind w:left="720" w:right="18"/>
      <w:outlineLv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D75D0"/>
    <w:rPr>
      <w:rFonts w:ascii="Times New Roman" w:eastAsia="Times New Roman" w:hAnsi="Times New Roman" w:cs="Times New Roman"/>
      <w:lang w:bidi="ar-SA"/>
    </w:rPr>
  </w:style>
  <w:style w:type="character" w:styleId="FootnoteReference">
    <w:name w:val="footnote reference"/>
    <w:basedOn w:val="DefaultParagraphFont"/>
    <w:uiPriority w:val="99"/>
    <w:semiHidden/>
    <w:unhideWhenUsed/>
    <w:rsid w:val="004D7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HNIDEY Emil</cp:lastModifiedBy>
  <cp:revision>2</cp:revision>
  <dcterms:created xsi:type="dcterms:W3CDTF">2016-06-15T20:38:00Z</dcterms:created>
  <dcterms:modified xsi:type="dcterms:W3CDTF">2016-06-15T20:38:00Z</dcterms:modified>
</cp:coreProperties>
</file>