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se in art, architecture, interior design and other similar decorative  applications,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(8) “Finished glass” means the final glass product that results from melting and refining materials in a glassmaking furnace. Finished glass that has been remelted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  means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such as lead oxide, chromium oxide, and sodium antimonate;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pyrolusite.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 xml:space="preserve">(i) An annual acceptable source impact level for chromium VI concentration of 0.08 nanograms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nanograms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 xml:space="preserve">section (3)(a)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nanograms per cubic meter and a daily acceptable source impact level of </w:t>
      </w:r>
      <w:r w:rsidR="00317899">
        <w:t>5</w:t>
      </w:r>
      <w:r>
        <w:t xml:space="preserve"> nanograms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r w:rsidR="00BC2826" w:rsidRPr="00BC2826">
        <w:t xml:space="preserve"> annual average</w:t>
      </w:r>
      <w:r>
        <w:t>;</w:t>
      </w:r>
    </w:p>
    <w:p w14:paraId="32BD2478" w14:textId="4076F505" w:rsidR="0083329C" w:rsidRDefault="0083329C" w:rsidP="0083329C">
      <w:pPr>
        <w:spacing w:after="100" w:afterAutospacing="1"/>
        <w:ind w:left="0"/>
      </w:pPr>
      <w:r>
        <w:t>(B) Cadmium, 0.6 nanograms per cubic meter</w:t>
      </w:r>
      <w:r w:rsidR="00BC2826" w:rsidRPr="00BC2826">
        <w:t xml:space="preserve"> annual average</w:t>
      </w:r>
      <w:r>
        <w:t>;</w:t>
      </w:r>
    </w:p>
    <w:p w14:paraId="32BD2479" w14:textId="307860AB" w:rsidR="0083329C" w:rsidRDefault="0083329C" w:rsidP="0083329C">
      <w:pPr>
        <w:spacing w:after="100" w:afterAutospacing="1"/>
        <w:ind w:left="0"/>
      </w:pPr>
      <w:r>
        <w:t>(C) Chromium VI, 0.08 nanograms per cubic meter</w:t>
      </w:r>
      <w:r w:rsidR="00BC2826" w:rsidRPr="00BC2826">
        <w:t xml:space="preserve"> annual average</w:t>
      </w:r>
      <w:r>
        <w:t>;</w:t>
      </w:r>
    </w:p>
    <w:p w14:paraId="32BD247A" w14:textId="5E331703" w:rsidR="0083329C" w:rsidRDefault="0083329C" w:rsidP="0083329C">
      <w:pPr>
        <w:spacing w:after="100" w:afterAutospacing="1"/>
        <w:ind w:left="0"/>
      </w:pPr>
      <w:r>
        <w:t>(D) Lead, 15 nanograms per cubic meter</w:t>
      </w:r>
      <w:r w:rsidR="00BC2826" w:rsidRPr="00BC2826">
        <w:t xml:space="preserve"> annual average</w:t>
      </w:r>
      <w:r>
        <w:t>;</w:t>
      </w:r>
    </w:p>
    <w:p w14:paraId="32BD247B" w14:textId="5009A5B5" w:rsidR="0083329C" w:rsidRDefault="0083329C" w:rsidP="0083329C">
      <w:pPr>
        <w:spacing w:after="100" w:afterAutospacing="1"/>
        <w:ind w:left="0"/>
      </w:pPr>
      <w:r>
        <w:t>(E) Manganese, 90 nanograms per cubic meter</w:t>
      </w:r>
      <w:r w:rsidR="00BC2826" w:rsidRPr="00BC2826">
        <w:t xml:space="preserve"> annual average</w:t>
      </w:r>
      <w:r>
        <w:t>;</w:t>
      </w:r>
    </w:p>
    <w:p w14:paraId="32BD247C" w14:textId="1E5879DC" w:rsidR="0083329C" w:rsidRDefault="0083329C" w:rsidP="0083329C">
      <w:pPr>
        <w:spacing w:after="100" w:afterAutospacing="1"/>
        <w:ind w:left="0"/>
      </w:pPr>
      <w:r>
        <w:t>(F) Nickel, 4 nanograms per cubic meter</w:t>
      </w:r>
      <w:r w:rsidR="00BC2826" w:rsidRPr="00BC2826">
        <w:t xml:space="preserve"> annual average</w:t>
      </w:r>
      <w:r w:rsidR="00BC2826">
        <w:t>;</w:t>
      </w:r>
    </w:p>
    <w:p w14:paraId="4734BF4C" w14:textId="53181DF1" w:rsidR="00BC2826" w:rsidRDefault="00BC2826" w:rsidP="00C72712">
      <w:pPr>
        <w:spacing w:after="100" w:afterAutospacing="1"/>
        <w:ind w:left="0"/>
      </w:pPr>
      <w:r w:rsidRPr="00BC2826">
        <w:t xml:space="preserve">(G) Selenium, </w:t>
      </w:r>
      <w:ins w:id="1" w:author="WESTERSUND Joe" w:date="2016-09-20T15:18:00Z">
        <w:r w:rsidR="00C72712">
          <w:t xml:space="preserve">at a concentration that </w:t>
        </w:r>
      </w:ins>
      <w:ins w:id="2" w:author="WESTERSUND Joe" w:date="2016-09-20T15:48:00Z">
        <w:r w:rsidR="007F0D0D">
          <w:t xml:space="preserve">the CAGM demonstrates to the satisfaction of the Director </w:t>
        </w:r>
      </w:ins>
      <w:ins w:id="3" w:author="WESTERSUND Joe" w:date="2016-09-20T15:18:00Z">
        <w:r w:rsidR="00C72712">
          <w:t xml:space="preserve">is adequate to protect public health from adverse effects. The Director shall consult with the </w:t>
        </w:r>
      </w:ins>
      <w:ins w:id="4" w:author="WESTERSUND Joe" w:date="2016-09-20T15:21:00Z">
        <w:r w:rsidR="00C72712">
          <w:lastRenderedPageBreak/>
          <w:t xml:space="preserve">Oregon Health Authority </w:t>
        </w:r>
      </w:ins>
      <w:ins w:id="5" w:author="WESTERSUND Joe" w:date="2016-09-20T15:18:00Z">
        <w:r w:rsidR="00C72712">
          <w:t>when considering whether a proposed concentration will be adequately protective.</w:t>
        </w:r>
      </w:ins>
      <w:del w:id="6" w:author="WESTERSUND Joe" w:date="2016-09-20T15:19:00Z">
        <w:r w:rsidRPr="00BC2826" w:rsidDel="00C72712">
          <w:delText>710 nanograms per cubic meter 24 hour average.</w:delText>
        </w:r>
      </w:del>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r w:rsidR="00913CA1" w:rsidRPr="00913CA1">
        <w:t>CAGMs  must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afterfilter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(B) If a fabric filter (baghouse) is used, install either a bag leak detection system that meets the requirements of section (4) or an afterfilter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lastRenderedPageBreak/>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r>
        <w:t>)</w:t>
      </w:r>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lastRenderedPageBreak/>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(5) If an afterfilter is installed under section (1), the requirements for the afterfilter are:</w:t>
      </w:r>
    </w:p>
    <w:p w14:paraId="0646C762" w14:textId="3822797C" w:rsidR="00146CBF" w:rsidRPr="00146CBF" w:rsidRDefault="00146CBF" w:rsidP="00146CBF">
      <w:pPr>
        <w:spacing w:after="100" w:afterAutospacing="1"/>
        <w:ind w:left="0"/>
      </w:pPr>
      <w:r w:rsidRPr="00146CBF">
        <w:t>(a) The afterfilter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(b) The afterfilter must filter the entire exhaust flow from the fabric filter (baghouse); and</w:t>
      </w:r>
    </w:p>
    <w:p w14:paraId="29D3823A" w14:textId="77777777" w:rsidR="00146CBF" w:rsidRPr="00146CBF" w:rsidRDefault="00146CBF" w:rsidP="00146CBF">
      <w:pPr>
        <w:spacing w:after="100" w:afterAutospacing="1"/>
        <w:ind w:left="0"/>
      </w:pPr>
      <w:r w:rsidRPr="00146CBF">
        <w:lastRenderedPageBreak/>
        <w:t>(c) The afterfilter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afterfilter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afterfilter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lastRenderedPageBreak/>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lastRenderedPageBreak/>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0D0D"/>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EE7017"/>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ListId:doc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F5F0AAB-99E8-42A8-A6F9-76E195E7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 clean</vt:lpstr>
    </vt:vector>
  </TitlesOfParts>
  <Company>State of Oregon</Company>
  <LinksUpToDate>false</LinksUpToDate>
  <CharactersWithSpaces>32199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WESTERSUND Joe</cp:lastModifiedBy>
  <cp:revision>2</cp:revision>
  <dcterms:created xsi:type="dcterms:W3CDTF">2016-09-20T22:52:00Z</dcterms:created>
  <dcterms:modified xsi:type="dcterms:W3CDTF">2016-09-20T22:52:00Z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