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2B5F3" w14:textId="77777777" w:rsidR="00646FB8" w:rsidRDefault="00646FB8" w:rsidP="00646FB8">
      <w:pPr>
        <w:ind w:left="720" w:right="18"/>
        <w:outlineLvl w:val="0"/>
        <w:rPr>
          <w:rFonts w:ascii="Times New Roman" w:eastAsia="Times New Roman" w:hAnsi="Times New Roman"/>
          <w:sz w:val="24"/>
          <w:szCs w:val="24"/>
        </w:rPr>
      </w:pPr>
      <w:r>
        <w:rPr>
          <w:noProof/>
          <w:lang w:eastAsia="zh-CN"/>
        </w:rPr>
        <w:drawing>
          <wp:anchor distT="0" distB="0" distL="114300" distR="114300" simplePos="0" relativeHeight="251659264" behindDoc="1" locked="0" layoutInCell="1" allowOverlap="1" wp14:anchorId="3AD2B64E" wp14:editId="3AD2B64F">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2B5F4" w14:textId="77777777" w:rsidR="00646FB8" w:rsidRPr="0065354D" w:rsidRDefault="00646FB8" w:rsidP="00646FB8">
      <w:pPr>
        <w:pStyle w:val="Title"/>
        <w:contextualSpacing/>
        <w:jc w:val="left"/>
        <w:rPr>
          <w:rFonts w:ascii="Arial" w:hAnsi="Arial" w:cs="Arial"/>
          <w:sz w:val="32"/>
          <w:szCs w:val="32"/>
        </w:rPr>
      </w:pPr>
      <w:r>
        <w:rPr>
          <w:rFonts w:ascii="Arial" w:hAnsi="Arial" w:cs="Arial"/>
          <w:sz w:val="32"/>
          <w:szCs w:val="32"/>
        </w:rPr>
        <w:t>Art Glass Permanent Rules 2016</w:t>
      </w:r>
    </w:p>
    <w:p w14:paraId="3AD2B5F5" w14:textId="77777777" w:rsidR="00646FB8" w:rsidRDefault="00646FB8" w:rsidP="00646FB8">
      <w:pPr>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r>
        <w:rPr>
          <w:rFonts w:ascii="Arial" w:hAnsi="Arial" w:cs="Arial"/>
          <w:sz w:val="32"/>
          <w:szCs w:val="32"/>
        </w:rPr>
        <w:t xml:space="preserve"> (Draft)</w:t>
      </w:r>
    </w:p>
    <w:p w14:paraId="3AD2B5F6" w14:textId="77777777" w:rsidR="00646FB8" w:rsidRDefault="00646FB8" w:rsidP="00646FB8">
      <w:pPr>
        <w:ind w:left="720" w:right="18"/>
        <w:outlineLvl w:val="0"/>
        <w:rPr>
          <w:rFonts w:ascii="Times New Roman" w:eastAsia="Times New Roman" w:hAnsi="Times New Roman"/>
          <w:sz w:val="24"/>
          <w:szCs w:val="24"/>
        </w:rPr>
      </w:pPr>
    </w:p>
    <w:p w14:paraId="3AD2B5F7" w14:textId="77777777" w:rsidR="00646FB8" w:rsidRPr="0008000F" w:rsidRDefault="00646FB8" w:rsidP="00646FB8">
      <w:pPr>
        <w:pStyle w:val="Title"/>
        <w:contextualSpacing/>
        <w:jc w:val="left"/>
        <w:rPr>
          <w:b w:val="0"/>
          <w:szCs w:val="24"/>
        </w:rPr>
      </w:pPr>
      <w:r w:rsidRPr="0008000F">
        <w:rPr>
          <w:b w:val="0"/>
          <w:szCs w:val="24"/>
        </w:rPr>
        <w:t>Oregon Department of Environmental Quality</w:t>
      </w:r>
    </w:p>
    <w:p w14:paraId="3AD2B5F8" w14:textId="77777777" w:rsidR="00646FB8" w:rsidRPr="0008000F" w:rsidRDefault="00646FB8" w:rsidP="00646FB8">
      <w:pPr>
        <w:pStyle w:val="Title"/>
        <w:contextualSpacing/>
        <w:jc w:val="left"/>
        <w:rPr>
          <w:b w:val="0"/>
          <w:szCs w:val="24"/>
        </w:rPr>
      </w:pPr>
      <w:r>
        <w:rPr>
          <w:b w:val="0"/>
          <w:szCs w:val="24"/>
        </w:rPr>
        <w:t>Headquarters Office</w:t>
      </w:r>
    </w:p>
    <w:p w14:paraId="3AD2B5F9" w14:textId="77777777" w:rsidR="00646FB8" w:rsidRPr="0008000F" w:rsidRDefault="00646FB8" w:rsidP="00646FB8">
      <w:pPr>
        <w:pStyle w:val="Title"/>
        <w:contextualSpacing/>
        <w:jc w:val="left"/>
        <w:rPr>
          <w:b w:val="0"/>
          <w:szCs w:val="24"/>
        </w:rPr>
      </w:pPr>
      <w:r>
        <w:rPr>
          <w:b w:val="0"/>
          <w:szCs w:val="24"/>
        </w:rPr>
        <w:t>811 SW 6</w:t>
      </w:r>
      <w:r w:rsidRPr="004C5331">
        <w:rPr>
          <w:b w:val="0"/>
          <w:szCs w:val="24"/>
          <w:vertAlign w:val="superscript"/>
        </w:rPr>
        <w:t>th</w:t>
      </w:r>
      <w:r>
        <w:rPr>
          <w:b w:val="0"/>
          <w:szCs w:val="24"/>
        </w:rPr>
        <w:t xml:space="preserve"> Avenue</w:t>
      </w:r>
    </w:p>
    <w:p w14:paraId="3AD2B5FA" w14:textId="77777777" w:rsidR="00646FB8" w:rsidRDefault="00646FB8" w:rsidP="00646FB8">
      <w:pPr>
        <w:ind w:left="720" w:right="18"/>
        <w:outlineLvl w:val="0"/>
        <w:rPr>
          <w:rFonts w:ascii="Times New Roman" w:hAnsi="Times New Roman"/>
          <w:sz w:val="24"/>
          <w:szCs w:val="24"/>
        </w:rPr>
      </w:pPr>
      <w:r w:rsidRPr="0008000F">
        <w:rPr>
          <w:rFonts w:ascii="Times New Roman" w:hAnsi="Times New Roman"/>
          <w:sz w:val="24"/>
          <w:szCs w:val="24"/>
        </w:rPr>
        <w:t>Portland OR 97204</w:t>
      </w:r>
    </w:p>
    <w:p w14:paraId="3AD2B5FB" w14:textId="77777777" w:rsidR="00646FB8" w:rsidRDefault="00646FB8" w:rsidP="00646FB8">
      <w:pPr>
        <w:ind w:left="720" w:right="18"/>
        <w:outlineLvl w:val="0"/>
        <w:rPr>
          <w:rFonts w:ascii="Times New Roman" w:hAnsi="Times New Roman"/>
          <w:sz w:val="24"/>
          <w:szCs w:val="24"/>
        </w:rPr>
      </w:pPr>
    </w:p>
    <w:p w14:paraId="3AD2B5FC" w14:textId="77777777" w:rsidR="003E7E4F" w:rsidRDefault="003E7E4F" w:rsidP="006507F8">
      <w:pPr>
        <w:ind w:right="18"/>
        <w:outlineLvl w:val="0"/>
        <w:rPr>
          <w:rFonts w:ascii="Times New Roman" w:hAnsi="Times New Roman"/>
          <w:sz w:val="24"/>
          <w:szCs w:val="24"/>
        </w:rPr>
      </w:pPr>
      <w:r>
        <w:rPr>
          <w:rFonts w:ascii="Times New Roman" w:hAnsi="Times New Roman"/>
          <w:sz w:val="24"/>
          <w:szCs w:val="24"/>
        </w:rPr>
        <w:t>J</w:t>
      </w:r>
      <w:r w:rsidR="00646FB8" w:rsidRPr="006507F8">
        <w:rPr>
          <w:rFonts w:ascii="Times New Roman" w:hAnsi="Times New Roman"/>
          <w:sz w:val="24"/>
          <w:szCs w:val="24"/>
        </w:rPr>
        <w:t xml:space="preserve">oe Westersund </w:t>
      </w:r>
    </w:p>
    <w:p w14:paraId="3AD2B5FD" w14:textId="77777777" w:rsidR="003E7E4F" w:rsidRDefault="00646FB8" w:rsidP="003E7E4F">
      <w:pPr>
        <w:ind w:left="1080" w:right="18"/>
        <w:outlineLvl w:val="0"/>
        <w:rPr>
          <w:rFonts w:ascii="Times New Roman" w:hAnsi="Times New Roman"/>
          <w:sz w:val="24"/>
          <w:szCs w:val="24"/>
        </w:rPr>
      </w:pPr>
      <w:r w:rsidRPr="006507F8">
        <w:rPr>
          <w:rFonts w:ascii="Times New Roman" w:hAnsi="Times New Roman"/>
          <w:sz w:val="24"/>
          <w:szCs w:val="24"/>
        </w:rPr>
        <w:t xml:space="preserve">(503) 229-6240 </w:t>
      </w:r>
    </w:p>
    <w:p w14:paraId="3AD2B5FE" w14:textId="77777777" w:rsidR="00646FB8" w:rsidRPr="006507F8" w:rsidRDefault="00713A0F" w:rsidP="003E7E4F">
      <w:pPr>
        <w:ind w:left="1080" w:right="18"/>
        <w:outlineLvl w:val="0"/>
        <w:rPr>
          <w:rFonts w:ascii="Times New Roman" w:eastAsia="Times New Roman" w:hAnsi="Times New Roman"/>
          <w:sz w:val="24"/>
          <w:szCs w:val="24"/>
        </w:rPr>
      </w:pPr>
      <w:hyperlink r:id="rId12" w:history="1">
        <w:r w:rsidR="00646FB8" w:rsidRPr="006507F8">
          <w:rPr>
            <w:rStyle w:val="Hyperlink"/>
            <w:rFonts w:ascii="Times New Roman" w:hAnsi="Times New Roman"/>
            <w:sz w:val="24"/>
            <w:szCs w:val="24"/>
          </w:rPr>
          <w:t>westersund.joe@deq.state.or.us</w:t>
        </w:r>
      </w:hyperlink>
    </w:p>
    <w:p w14:paraId="3AD2B5FF" w14:textId="77777777" w:rsidR="00646FB8" w:rsidRDefault="00646FB8">
      <w:pPr>
        <w:pStyle w:val="Heading1"/>
        <w:spacing w:before="37"/>
        <w:rPr>
          <w:rFonts w:ascii="Arial" w:hAnsi="Arial" w:cs="Arial"/>
          <w:spacing w:val="-1"/>
        </w:rPr>
      </w:pPr>
    </w:p>
    <w:p w14:paraId="1A1AA84F" w14:textId="77777777" w:rsidR="006856E4" w:rsidRPr="006856E4" w:rsidRDefault="006856E4" w:rsidP="006856E4">
      <w:pPr>
        <w:pStyle w:val="BodyText"/>
        <w:spacing w:line="275" w:lineRule="auto"/>
        <w:ind w:right="199"/>
        <w:rPr>
          <w:rFonts w:ascii="Times New Roman" w:hAnsi="Times New Roman" w:cs="Times New Roman"/>
          <w:spacing w:val="-1"/>
        </w:rPr>
      </w:pPr>
      <w:r w:rsidRPr="006856E4">
        <w:rPr>
          <w:rFonts w:ascii="Times New Roman" w:hAnsi="Times New Roman" w:cs="Times New Roman"/>
          <w:spacing w:val="-1"/>
        </w:rPr>
        <w:t>The following analysis looks at the impact of making the current temporary colored art glass manufacturer (CAGM) rules permanent, compared with the alternate scenario in which the temporary CAGM rules are allowed to expire.</w:t>
      </w:r>
    </w:p>
    <w:p w14:paraId="0BB793E7" w14:textId="77777777" w:rsidR="006856E4" w:rsidRPr="006856E4" w:rsidRDefault="006856E4" w:rsidP="006856E4">
      <w:pPr>
        <w:pStyle w:val="BodyText"/>
        <w:spacing w:line="275" w:lineRule="auto"/>
        <w:ind w:right="199"/>
        <w:rPr>
          <w:rFonts w:ascii="Times New Roman" w:hAnsi="Times New Roman" w:cs="Times New Roman"/>
          <w:spacing w:val="-1"/>
        </w:rPr>
      </w:pPr>
    </w:p>
    <w:p w14:paraId="399619EC" w14:textId="77777777" w:rsidR="006856E4" w:rsidRPr="00646FB8" w:rsidRDefault="006856E4" w:rsidP="006856E4">
      <w:pPr>
        <w:pStyle w:val="Heading1"/>
        <w:rPr>
          <w:rFonts w:ascii="Arial" w:hAnsi="Arial" w:cs="Arial"/>
          <w:b w:val="0"/>
          <w:bCs w:val="0"/>
        </w:rPr>
      </w:pPr>
      <w:r w:rsidRPr="00646FB8">
        <w:rPr>
          <w:rFonts w:ascii="Arial" w:hAnsi="Arial" w:cs="Arial"/>
          <w:spacing w:val="-1"/>
        </w:rPr>
        <w:t>Fiscal</w:t>
      </w:r>
      <w:r w:rsidRPr="00646FB8">
        <w:rPr>
          <w:rFonts w:ascii="Arial" w:hAnsi="Arial" w:cs="Arial"/>
        </w:rPr>
        <w:t xml:space="preserve"> </w:t>
      </w:r>
      <w:r w:rsidRPr="00646FB8">
        <w:rPr>
          <w:rFonts w:ascii="Arial" w:hAnsi="Arial" w:cs="Arial"/>
          <w:spacing w:val="-1"/>
        </w:rPr>
        <w:t>and economic impacts</w:t>
      </w:r>
      <w:r>
        <w:rPr>
          <w:rFonts w:ascii="Arial" w:hAnsi="Arial" w:cs="Arial"/>
          <w:spacing w:val="-1"/>
        </w:rPr>
        <w:t xml:space="preserve"> </w:t>
      </w:r>
      <w:hyperlink r:id="rId13" w:history="1">
        <w:bookmarkStart w:id="0" w:name="_GoBack"/>
        <w:r w:rsidRPr="00FE539E">
          <w:rPr>
            <w:rStyle w:val="Hyperlink"/>
            <w:rFonts w:ascii="Arial" w:hAnsi="Arial" w:cs="Arial"/>
            <w:b w:val="0"/>
            <w:spacing w:val="-1"/>
            <w:sz w:val="20"/>
            <w:szCs w:val="20"/>
          </w:rPr>
          <w:t>ORS</w:t>
        </w:r>
        <w:bookmarkEnd w:id="0"/>
        <w:r w:rsidRPr="00FE539E">
          <w:rPr>
            <w:rStyle w:val="Hyperlink"/>
            <w:rFonts w:ascii="Arial" w:hAnsi="Arial" w:cs="Arial"/>
            <w:b w:val="0"/>
            <w:spacing w:val="-1"/>
            <w:sz w:val="20"/>
            <w:szCs w:val="20"/>
          </w:rPr>
          <w:t xml:space="preserve"> 183.335(2</w:t>
        </w:r>
        <w:proofErr w:type="gramStart"/>
        <w:r w:rsidRPr="00FE539E">
          <w:rPr>
            <w:rStyle w:val="Hyperlink"/>
            <w:rFonts w:ascii="Arial" w:hAnsi="Arial" w:cs="Arial"/>
            <w:b w:val="0"/>
            <w:spacing w:val="-1"/>
            <w:sz w:val="20"/>
            <w:szCs w:val="20"/>
          </w:rPr>
          <w:t>)(</w:t>
        </w:r>
        <w:proofErr w:type="gramEnd"/>
        <w:r w:rsidRPr="00FE539E">
          <w:rPr>
            <w:rStyle w:val="Hyperlink"/>
            <w:rFonts w:ascii="Arial" w:hAnsi="Arial" w:cs="Arial"/>
            <w:b w:val="0"/>
            <w:spacing w:val="-1"/>
            <w:sz w:val="20"/>
            <w:szCs w:val="20"/>
          </w:rPr>
          <w:t>b)(E)</w:t>
        </w:r>
      </w:hyperlink>
    </w:p>
    <w:p w14:paraId="275895A8" w14:textId="68C80EB0" w:rsidR="006856E4" w:rsidRDefault="006856E4" w:rsidP="006856E4">
      <w:pPr>
        <w:pStyle w:val="BodyText"/>
        <w:spacing w:line="275" w:lineRule="auto"/>
        <w:ind w:right="199"/>
        <w:rPr>
          <w:rFonts w:ascii="Times New Roman" w:hAnsi="Times New Roman" w:cs="Times New Roman"/>
          <w:spacing w:val="-1"/>
        </w:rPr>
      </w:pPr>
      <w:r w:rsidRPr="006856E4">
        <w:rPr>
          <w:rFonts w:ascii="Times New Roman" w:hAnsi="Times New Roman" w:cs="Times New Roman"/>
          <w:spacing w:val="-1"/>
        </w:rPr>
        <w:t>The proposed change to make the CAGM rules permanent would have fiscal and economic impacts on businesses, DEQ, and the public. It is not anticipated to have fiscal and economic impacts on federal government, other state agencies, or local governments.</w:t>
      </w:r>
    </w:p>
    <w:p w14:paraId="0C721BE3" w14:textId="77777777" w:rsidR="006856E4" w:rsidRDefault="006856E4">
      <w:pPr>
        <w:pStyle w:val="BodyText"/>
        <w:spacing w:line="275" w:lineRule="auto"/>
        <w:ind w:right="199"/>
        <w:rPr>
          <w:rFonts w:ascii="Times New Roman" w:hAnsi="Times New Roman" w:cs="Times New Roman"/>
          <w:spacing w:val="-1"/>
        </w:rPr>
      </w:pPr>
    </w:p>
    <w:p w14:paraId="3AD2B605" w14:textId="77777777" w:rsidR="00870ACF" w:rsidRPr="00646FB8" w:rsidRDefault="00C26073">
      <w:pPr>
        <w:pStyle w:val="Heading1"/>
        <w:rPr>
          <w:rFonts w:ascii="Arial" w:hAnsi="Arial" w:cs="Arial"/>
          <w:b w:val="0"/>
          <w:bCs w:val="0"/>
        </w:rPr>
      </w:pPr>
      <w:r w:rsidRPr="00646FB8">
        <w:rPr>
          <w:rFonts w:ascii="Arial" w:hAnsi="Arial" w:cs="Arial"/>
          <w:spacing w:val="-1"/>
        </w:rPr>
        <w:t>Statement</w:t>
      </w:r>
      <w:r w:rsidRPr="00646FB8">
        <w:rPr>
          <w:rFonts w:ascii="Arial" w:hAnsi="Arial" w:cs="Arial"/>
        </w:rPr>
        <w:t xml:space="preserve"> </w:t>
      </w:r>
      <w:r w:rsidRPr="00646FB8">
        <w:rPr>
          <w:rFonts w:ascii="Arial" w:hAnsi="Arial" w:cs="Arial"/>
          <w:spacing w:val="-1"/>
        </w:rPr>
        <w:t>of</w:t>
      </w:r>
      <w:r w:rsidRPr="00646FB8">
        <w:rPr>
          <w:rFonts w:ascii="Arial" w:hAnsi="Arial" w:cs="Arial"/>
        </w:rPr>
        <w:t xml:space="preserve"> </w:t>
      </w:r>
      <w:r w:rsidRPr="00646FB8">
        <w:rPr>
          <w:rFonts w:ascii="Arial" w:hAnsi="Arial" w:cs="Arial"/>
          <w:spacing w:val="-1"/>
        </w:rPr>
        <w:t>Cost</w:t>
      </w:r>
      <w:r w:rsidRPr="00646FB8">
        <w:rPr>
          <w:rFonts w:ascii="Arial" w:hAnsi="Arial" w:cs="Arial"/>
        </w:rPr>
        <w:t xml:space="preserve"> </w:t>
      </w:r>
      <w:r w:rsidRPr="00646FB8">
        <w:rPr>
          <w:rFonts w:ascii="Arial" w:hAnsi="Arial" w:cs="Arial"/>
          <w:spacing w:val="-1"/>
        </w:rPr>
        <w:t>of</w:t>
      </w:r>
      <w:r w:rsidRPr="00646FB8">
        <w:rPr>
          <w:rFonts w:ascii="Arial" w:hAnsi="Arial" w:cs="Arial"/>
          <w:spacing w:val="-2"/>
        </w:rPr>
        <w:t xml:space="preserve"> </w:t>
      </w:r>
      <w:r w:rsidRPr="00646FB8">
        <w:rPr>
          <w:rFonts w:ascii="Arial" w:hAnsi="Arial" w:cs="Arial"/>
          <w:spacing w:val="-1"/>
        </w:rPr>
        <w:t>Compliance</w:t>
      </w:r>
    </w:p>
    <w:p w14:paraId="3AD2B606" w14:textId="77777777" w:rsidR="00870ACF" w:rsidRPr="00F120D6" w:rsidRDefault="00870ACF">
      <w:pPr>
        <w:spacing w:before="9"/>
        <w:rPr>
          <w:rFonts w:ascii="Arial" w:eastAsia="Calibri" w:hAnsi="Arial" w:cs="Arial"/>
          <w:b/>
          <w:bCs/>
          <w:sz w:val="24"/>
          <w:szCs w:val="24"/>
        </w:rPr>
      </w:pPr>
    </w:p>
    <w:p w14:paraId="3AD2B607" w14:textId="77777777" w:rsidR="00870ACF" w:rsidRPr="00646FB8" w:rsidRDefault="00C26073">
      <w:pPr>
        <w:ind w:left="100"/>
        <w:rPr>
          <w:rFonts w:ascii="Arial" w:eastAsia="Calibri" w:hAnsi="Arial" w:cs="Arial"/>
        </w:rPr>
      </w:pPr>
      <w:r w:rsidRPr="00646FB8">
        <w:rPr>
          <w:rFonts w:ascii="Arial" w:hAnsi="Arial" w:cs="Arial"/>
          <w:b/>
          <w:spacing w:val="-1"/>
        </w:rPr>
        <w:t>Large businesses-</w:t>
      </w:r>
      <w:r w:rsidRPr="00646FB8">
        <w:rPr>
          <w:rFonts w:ascii="Arial" w:hAnsi="Arial" w:cs="Arial"/>
          <w:b/>
          <w:spacing w:val="-3"/>
        </w:rPr>
        <w:t xml:space="preserve"> </w:t>
      </w:r>
      <w:r w:rsidRPr="00646FB8">
        <w:rPr>
          <w:rFonts w:ascii="Arial" w:hAnsi="Arial" w:cs="Arial"/>
          <w:b/>
          <w:spacing w:val="-1"/>
        </w:rPr>
        <w:t>businesses</w:t>
      </w:r>
      <w:r w:rsidRPr="00646FB8">
        <w:rPr>
          <w:rFonts w:ascii="Arial" w:hAnsi="Arial" w:cs="Arial"/>
          <w:b/>
        </w:rPr>
        <w:t xml:space="preserve"> </w:t>
      </w:r>
      <w:r w:rsidRPr="00646FB8">
        <w:rPr>
          <w:rFonts w:ascii="Arial" w:hAnsi="Arial" w:cs="Arial"/>
          <w:b/>
          <w:spacing w:val="-1"/>
        </w:rPr>
        <w:t>with more than 50</w:t>
      </w:r>
      <w:r w:rsidRPr="00646FB8">
        <w:rPr>
          <w:rFonts w:ascii="Arial" w:hAnsi="Arial" w:cs="Arial"/>
          <w:b/>
        </w:rPr>
        <w:t xml:space="preserve"> </w:t>
      </w:r>
      <w:r w:rsidRPr="00646FB8">
        <w:rPr>
          <w:rFonts w:ascii="Arial" w:hAnsi="Arial" w:cs="Arial"/>
          <w:b/>
          <w:spacing w:val="-1"/>
        </w:rPr>
        <w:t>employees</w:t>
      </w:r>
    </w:p>
    <w:p w14:paraId="06603499"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Currently there are five CAGM that would be subject to the proposed rules. One of those, Bullseye Glass Company, has more than 50 employees and is therefore considered a large business for the purposes of rulemaking fiscal impact analysis.</w:t>
      </w:r>
    </w:p>
    <w:p w14:paraId="33CE91CC" w14:textId="77777777" w:rsidR="006856E4" w:rsidRPr="006856E4" w:rsidRDefault="006856E4" w:rsidP="006856E4">
      <w:pPr>
        <w:pStyle w:val="BodyText"/>
        <w:rPr>
          <w:rFonts w:ascii="Times New Roman" w:hAnsi="Times New Roman" w:cs="Times New Roman"/>
          <w:spacing w:val="-1"/>
        </w:rPr>
      </w:pPr>
    </w:p>
    <w:p w14:paraId="16BC0C23" w14:textId="4EF128EB"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Compliance cost may vary depending on facility-specific circumstances. In particular, Bullseye is making changes to comply with a federal air toxi</w:t>
      </w:r>
      <w:r>
        <w:rPr>
          <w:rFonts w:ascii="Times New Roman" w:hAnsi="Times New Roman" w:cs="Times New Roman"/>
          <w:spacing w:val="-1"/>
        </w:rPr>
        <w:t>cs regulation called NESHAP 6S</w:t>
      </w:r>
      <w:r>
        <w:rPr>
          <w:rStyle w:val="FootnoteReference"/>
          <w:rFonts w:ascii="Times New Roman" w:hAnsi="Times New Roman" w:cs="Times New Roman"/>
          <w:spacing w:val="-1"/>
        </w:rPr>
        <w:footnoteReference w:id="1"/>
      </w:r>
      <w:r>
        <w:rPr>
          <w:rFonts w:ascii="Times New Roman" w:hAnsi="Times New Roman" w:cs="Times New Roman"/>
          <w:spacing w:val="-1"/>
        </w:rPr>
        <w:t xml:space="preserve"> </w:t>
      </w:r>
      <w:r w:rsidRPr="006856E4">
        <w:rPr>
          <w:rFonts w:ascii="Times New Roman" w:hAnsi="Times New Roman" w:cs="Times New Roman"/>
          <w:spacing w:val="-1"/>
        </w:rPr>
        <w:t>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72A6A10" w14:textId="77777777" w:rsidR="006856E4" w:rsidRPr="006856E4" w:rsidRDefault="006856E4" w:rsidP="006856E4">
      <w:pPr>
        <w:pStyle w:val="BodyText"/>
        <w:rPr>
          <w:rFonts w:ascii="Times New Roman" w:hAnsi="Times New Roman" w:cs="Times New Roman"/>
          <w:spacing w:val="-1"/>
        </w:rPr>
      </w:pPr>
    </w:p>
    <w:p w14:paraId="4133CF5D"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 xml:space="preserve">If no additional baghouse costs were attributable to the proposed rule, compliance with the proposed rule would cost Bullseye about $70,000 to $100,000 in initial costs for permitting, source testing, and modeling, with no ongoing costs. </w:t>
      </w:r>
    </w:p>
    <w:p w14:paraId="7BA6FDAB" w14:textId="77777777" w:rsidR="006856E4" w:rsidRPr="006856E4" w:rsidRDefault="006856E4" w:rsidP="006856E4">
      <w:pPr>
        <w:pStyle w:val="BodyText"/>
        <w:rPr>
          <w:rFonts w:ascii="Times New Roman" w:hAnsi="Times New Roman" w:cs="Times New Roman"/>
          <w:spacing w:val="-1"/>
        </w:rPr>
      </w:pPr>
    </w:p>
    <w:p w14:paraId="505E95FC"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57ACD0F8" w14:textId="77777777" w:rsidR="006856E4" w:rsidRPr="006856E4" w:rsidRDefault="006856E4" w:rsidP="006856E4">
      <w:pPr>
        <w:pStyle w:val="BodyText"/>
        <w:rPr>
          <w:rFonts w:ascii="Times New Roman" w:hAnsi="Times New Roman" w:cs="Times New Roman"/>
          <w:spacing w:val="-1"/>
        </w:rPr>
      </w:pPr>
    </w:p>
    <w:p w14:paraId="1BD98D91"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lastRenderedPageBreak/>
        <w:t xml:space="preserve">It is possible that Bullseye may be able to offset the cost of compliance through increased prices. However, this potential may be limited if prices are set in a market that includes competitors located outside the jurisdiction of the proposed rules. To the extent CAGMs did raise their prices in response to the proposed rules, the increased prices represent an indirect fiscal impact on their customers, some of whom may be large businesses. DEQ does not have sufficient information to estimate this effect. </w:t>
      </w:r>
    </w:p>
    <w:p w14:paraId="0418B47E" w14:textId="77777777" w:rsidR="006856E4" w:rsidRPr="006856E4" w:rsidRDefault="006856E4" w:rsidP="006856E4">
      <w:pPr>
        <w:pStyle w:val="BodyText"/>
        <w:rPr>
          <w:rFonts w:ascii="Times New Roman" w:hAnsi="Times New Roman" w:cs="Times New Roman"/>
          <w:spacing w:val="-1"/>
        </w:rPr>
      </w:pPr>
    </w:p>
    <w:p w14:paraId="3AD2B60E" w14:textId="42D0FDD2" w:rsidR="00870ACF" w:rsidRPr="00646FB8" w:rsidRDefault="006856E4" w:rsidP="006856E4">
      <w:pPr>
        <w:pStyle w:val="BodyText"/>
        <w:rPr>
          <w:rFonts w:ascii="Times New Roman" w:hAnsi="Times New Roman" w:cs="Times New Roman"/>
        </w:rPr>
      </w:pPr>
      <w:r w:rsidRPr="006856E4">
        <w:rPr>
          <w:rFonts w:ascii="Times New Roman" w:hAnsi="Times New Roman" w:cs="Times New Roman"/>
          <w:spacing w:val="-1"/>
        </w:rPr>
        <w:t>Further details on these cost estimates can be found in the attached tables.</w:t>
      </w:r>
    </w:p>
    <w:p w14:paraId="3AD2B60F" w14:textId="77777777" w:rsidR="00870ACF" w:rsidRPr="00646FB8" w:rsidRDefault="00870ACF">
      <w:pPr>
        <w:spacing w:before="7"/>
        <w:rPr>
          <w:rFonts w:ascii="Arial" w:eastAsia="Calibri" w:hAnsi="Arial" w:cs="Arial"/>
          <w:sz w:val="28"/>
          <w:szCs w:val="28"/>
        </w:rPr>
      </w:pPr>
    </w:p>
    <w:p w14:paraId="3AD2B610" w14:textId="77777777" w:rsidR="00870ACF" w:rsidRPr="00646FB8" w:rsidRDefault="00C26073">
      <w:pPr>
        <w:pStyle w:val="Heading1"/>
        <w:rPr>
          <w:rFonts w:ascii="Times New Roman" w:hAnsi="Times New Roman" w:cs="Times New Roman"/>
          <w:b w:val="0"/>
          <w:bCs w:val="0"/>
        </w:rPr>
      </w:pPr>
      <w:r w:rsidRPr="00646FB8">
        <w:rPr>
          <w:rFonts w:ascii="Arial" w:hAnsi="Arial" w:cs="Arial"/>
          <w:spacing w:val="-1"/>
        </w:rPr>
        <w:t>Small</w:t>
      </w:r>
      <w:r w:rsidRPr="00646FB8">
        <w:rPr>
          <w:rFonts w:ascii="Arial" w:hAnsi="Arial" w:cs="Arial"/>
          <w:spacing w:val="1"/>
        </w:rPr>
        <w:t xml:space="preserve"> </w:t>
      </w:r>
      <w:r w:rsidRPr="00646FB8">
        <w:rPr>
          <w:rFonts w:ascii="Arial" w:hAnsi="Arial" w:cs="Arial"/>
          <w:spacing w:val="-1"/>
        </w:rPr>
        <w:t>businesses</w:t>
      </w:r>
      <w:r w:rsidR="000211FF">
        <w:rPr>
          <w:rFonts w:ascii="Arial" w:hAnsi="Arial" w:cs="Arial"/>
          <w:spacing w:val="-1"/>
        </w:rPr>
        <w:t xml:space="preserve"> </w:t>
      </w:r>
      <w:r w:rsidRPr="00646FB8">
        <w:rPr>
          <w:rFonts w:ascii="Arial" w:hAnsi="Arial" w:cs="Arial"/>
          <w:spacing w:val="-1"/>
        </w:rPr>
        <w:t>-</w:t>
      </w:r>
      <w:r w:rsidRPr="00646FB8">
        <w:rPr>
          <w:rFonts w:ascii="Arial" w:hAnsi="Arial" w:cs="Arial"/>
          <w:spacing w:val="-3"/>
        </w:rPr>
        <w:t xml:space="preserve"> </w:t>
      </w:r>
      <w:r w:rsidRPr="00646FB8">
        <w:rPr>
          <w:rFonts w:ascii="Arial" w:hAnsi="Arial" w:cs="Arial"/>
          <w:spacing w:val="-1"/>
        </w:rPr>
        <w:t>businesses</w:t>
      </w:r>
      <w:r w:rsidRPr="00646FB8">
        <w:rPr>
          <w:rFonts w:ascii="Arial" w:hAnsi="Arial" w:cs="Arial"/>
        </w:rPr>
        <w:t xml:space="preserve"> </w:t>
      </w:r>
      <w:r w:rsidRPr="00646FB8">
        <w:rPr>
          <w:rFonts w:ascii="Arial" w:hAnsi="Arial" w:cs="Arial"/>
          <w:spacing w:val="-1"/>
        </w:rPr>
        <w:t>with</w:t>
      </w:r>
      <w:r w:rsidRPr="00646FB8">
        <w:rPr>
          <w:rFonts w:ascii="Arial" w:hAnsi="Arial" w:cs="Arial"/>
          <w:spacing w:val="-3"/>
        </w:rPr>
        <w:t xml:space="preserve"> </w:t>
      </w:r>
      <w:r w:rsidRPr="00646FB8">
        <w:rPr>
          <w:rFonts w:ascii="Arial" w:hAnsi="Arial" w:cs="Arial"/>
        </w:rPr>
        <w:t xml:space="preserve">50 </w:t>
      </w:r>
      <w:r w:rsidRPr="00646FB8">
        <w:rPr>
          <w:rFonts w:ascii="Arial" w:hAnsi="Arial" w:cs="Arial"/>
          <w:spacing w:val="-2"/>
        </w:rPr>
        <w:t>or</w:t>
      </w:r>
      <w:r w:rsidRPr="00646FB8">
        <w:rPr>
          <w:rFonts w:ascii="Arial" w:hAnsi="Arial" w:cs="Arial"/>
        </w:rPr>
        <w:t xml:space="preserve"> </w:t>
      </w:r>
      <w:r w:rsidRPr="00646FB8">
        <w:rPr>
          <w:rFonts w:ascii="Arial" w:hAnsi="Arial" w:cs="Arial"/>
          <w:spacing w:val="-2"/>
        </w:rPr>
        <w:t>fewer</w:t>
      </w:r>
      <w:r w:rsidRPr="00646FB8">
        <w:rPr>
          <w:rFonts w:ascii="Arial" w:hAnsi="Arial" w:cs="Arial"/>
        </w:rPr>
        <w:t xml:space="preserve"> </w:t>
      </w:r>
      <w:r w:rsidRPr="00646FB8">
        <w:rPr>
          <w:rFonts w:ascii="Arial" w:hAnsi="Arial" w:cs="Arial"/>
          <w:spacing w:val="-1"/>
        </w:rPr>
        <w:t>employees</w:t>
      </w:r>
      <w:r w:rsidRPr="00646FB8">
        <w:rPr>
          <w:rFonts w:ascii="Arial" w:hAnsi="Arial" w:cs="Arial"/>
          <w:spacing w:val="4"/>
        </w:rPr>
        <w:t xml:space="preserve"> </w:t>
      </w:r>
      <w:hyperlink r:id="rId14" w:history="1">
        <w:r w:rsidRPr="00FE539E">
          <w:rPr>
            <w:rStyle w:val="Hyperlink"/>
            <w:rFonts w:ascii="Arial" w:hAnsi="Arial" w:cs="Arial"/>
            <w:b w:val="0"/>
            <w:spacing w:val="-1"/>
            <w:sz w:val="20"/>
            <w:szCs w:val="20"/>
          </w:rPr>
          <w:t>(ORS 183.336)</w:t>
        </w:r>
      </w:hyperlink>
    </w:p>
    <w:p w14:paraId="4F21B1BD"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Four of the five businesses subject to the proposed rules have 50 or fewer employees and are therefore considered small businesses for the purposes of rulemaking fiscal analysis.</w:t>
      </w:r>
    </w:p>
    <w:p w14:paraId="5AAC8AA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2850378F"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Of these, one (Uroboros Glass Studios, Inc.) is in Tier 2 of the proposed rules. The other three (Glass Alchemy, Northstar Glassworks, and Trautman Art Glass) are in Tier 1.</w:t>
      </w:r>
    </w:p>
    <w:p w14:paraId="28702B56"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23B5988"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69E6A7B2"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50BC4A14"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If no additional baghouse costs were attributable to the proposed rule, compliance with the proposed rule would cost Uroboros about $66,000 to $89,000 in initial costs for permitting, source testing, and modeling, with no ongoing costs. </w:t>
      </w:r>
    </w:p>
    <w:p w14:paraId="6272C91D"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689A544B"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If all costs for the baghouse were attributable to the proposed rule, compliance with the proposed rule would cost Uroboros $421,000 to $699,000 for permitting, baghouse installation, source testing, and modeling, and ongoing costs of $27,000</w:t>
      </w:r>
      <w:r w:rsidRPr="006856E4">
        <w:rPr>
          <w:rFonts w:ascii="Times New Roman" w:hAnsi="Times New Roman" w:cs="Times New Roman"/>
          <w:spacing w:val="-1"/>
        </w:rPr>
        <w:tab/>
        <w:t>to $87,000 per year to operate and monitor the baghouse.</w:t>
      </w:r>
    </w:p>
    <w:p w14:paraId="03A0BDA2"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4897910B"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Facility-specific data for the Tier 1 CAGMs was not available, so their costs were estimated as a class. The proposed rule gives Tier 1 CAGMs multiple compliance options. </w:t>
      </w:r>
    </w:p>
    <w:p w14:paraId="79A43EBD"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2D07E082"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223C9AD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0A0D0C1E"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w:t>
      </w:r>
      <w:r w:rsidRPr="006856E4">
        <w:rPr>
          <w:rFonts w:ascii="Times New Roman" w:hAnsi="Times New Roman" w:cs="Times New Roman"/>
          <w:spacing w:val="-1"/>
        </w:rPr>
        <w:lastRenderedPageBreak/>
        <w:t>limits. The proposed rules also prohibit chrome VI from being used in furnaces that are using this compliance pathway. DEQ does not have sufficient information to estimate whether reduction or changes in production would be necessary.</w:t>
      </w:r>
    </w:p>
    <w:p w14:paraId="31967E7E"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57F65F6" w14:textId="7D88D50B"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Tier 1 CAGMs also have the option to stop using some or all of the metal hazardous air pollutants (HAPs)</w:t>
      </w:r>
      <w:r>
        <w:rPr>
          <w:rStyle w:val="FootnoteReference"/>
          <w:rFonts w:ascii="Times New Roman" w:hAnsi="Times New Roman" w:cs="Times New Roman"/>
          <w:spacing w:val="-1"/>
        </w:rPr>
        <w:footnoteReference w:id="2"/>
      </w:r>
      <w:r w:rsidRPr="006856E4">
        <w:rPr>
          <w:rFonts w:ascii="Times New Roman" w:hAnsi="Times New Roman" w:cs="Times New Roman"/>
          <w:spacing w:val="-1"/>
        </w:rPr>
        <w:t xml:space="preserve"> regulated by this rule completely. While this option is available, this would limit the range of glass colors that can be produced, and the lost revenue would likely make this an expensive compliance option.</w:t>
      </w:r>
    </w:p>
    <w:p w14:paraId="3377856E"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0B469891"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2E57B0B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523459A"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 To the extent CAGMs did raise their prices in response to the proposed rules, it would represent an indirect fiscal impact on their customers, some of whom may be small businesses. DEQ does not have sufficient information to estimate this effect. </w:t>
      </w:r>
    </w:p>
    <w:p w14:paraId="65321F14"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3AD2B617" w14:textId="704188D3" w:rsidR="006856E4" w:rsidRPr="00646FB8" w:rsidRDefault="006856E4" w:rsidP="006856E4">
      <w:pPr>
        <w:pStyle w:val="BodyText"/>
        <w:spacing w:before="41" w:line="274" w:lineRule="auto"/>
        <w:ind w:right="199"/>
        <w:rPr>
          <w:rFonts w:ascii="Times New Roman" w:hAnsi="Times New Roman" w:cs="Times New Roman"/>
        </w:rPr>
      </w:pPr>
      <w:r w:rsidRPr="006856E4">
        <w:rPr>
          <w:rFonts w:ascii="Times New Roman" w:hAnsi="Times New Roman" w:cs="Times New Roman"/>
          <w:spacing w:val="-1"/>
        </w:rPr>
        <w:t>Further details on these cost estimates can be found in the attached tables.</w:t>
      </w:r>
      <w:r w:rsidR="00713A0F">
        <w:rPr>
          <w:rFonts w:ascii="Times New Roman" w:hAnsi="Times New Roman" w:cs="Times New Roman"/>
          <w:spacing w:val="-1"/>
        </w:rPr>
        <w:t xml:space="preserve"> The impact on small business is summarized below.</w:t>
      </w:r>
    </w:p>
    <w:p w14:paraId="3AD2B61F" w14:textId="34E718B3" w:rsidR="00870ACF" w:rsidRPr="00646FB8" w:rsidRDefault="00870ACF">
      <w:pPr>
        <w:pStyle w:val="BodyText"/>
        <w:ind w:left="120"/>
        <w:rPr>
          <w:rFonts w:ascii="Times New Roman" w:hAnsi="Times New Roman" w:cs="Times New Roman"/>
        </w:rPr>
      </w:pPr>
    </w:p>
    <w:p w14:paraId="3AD2B626" w14:textId="77777777" w:rsidR="00870ACF" w:rsidRPr="00646FB8" w:rsidRDefault="00870ACF">
      <w:pPr>
        <w:rPr>
          <w:rFonts w:ascii="Times New Roman" w:eastAsia="Calibri" w:hAnsi="Times New Roman" w:cs="Times New Roman"/>
          <w:sz w:val="20"/>
          <w:szCs w:val="20"/>
        </w:rPr>
        <w:sectPr w:rsidR="00870ACF" w:rsidRPr="00646FB8">
          <w:headerReference w:type="default" r:id="rId15"/>
          <w:footerReference w:type="default" r:id="rId16"/>
          <w:pgSz w:w="12240" w:h="15840"/>
          <w:pgMar w:top="1400" w:right="1280" w:bottom="940" w:left="1320" w:header="0" w:footer="746" w:gutter="0"/>
          <w:cols w:space="720"/>
        </w:sectPr>
      </w:pPr>
    </w:p>
    <w:p w14:paraId="3AD2B627" w14:textId="77777777" w:rsidR="00870ACF" w:rsidRPr="00646FB8" w:rsidRDefault="00870ACF">
      <w:pPr>
        <w:spacing w:before="8"/>
        <w:rPr>
          <w:rFonts w:ascii="Times New Roman" w:eastAsia="Calibri" w:hAnsi="Times New Roman" w:cs="Times New Roman"/>
          <w:sz w:val="15"/>
          <w:szCs w:val="15"/>
        </w:rPr>
      </w:pPr>
    </w:p>
    <w:p w14:paraId="3AD2B628" w14:textId="0F5E7AD7" w:rsidR="00870ACF" w:rsidRPr="00646FB8" w:rsidRDefault="00C26073">
      <w:pPr>
        <w:pStyle w:val="BodyText"/>
        <w:spacing w:before="56"/>
        <w:ind w:left="220"/>
        <w:rPr>
          <w:rFonts w:ascii="Arial" w:hAnsi="Arial" w:cs="Arial"/>
        </w:rPr>
      </w:pPr>
      <w:r w:rsidRPr="00646FB8">
        <w:rPr>
          <w:rFonts w:ascii="Arial" w:hAnsi="Arial" w:cs="Arial"/>
          <w:spacing w:val="-1"/>
        </w:rPr>
        <w:t>Summary</w:t>
      </w:r>
      <w:r w:rsidRPr="00646FB8">
        <w:rPr>
          <w:rFonts w:ascii="Arial" w:hAnsi="Arial" w:cs="Arial"/>
          <w:spacing w:val="-2"/>
        </w:rPr>
        <w:t xml:space="preserve"> </w:t>
      </w:r>
      <w:r w:rsidRPr="00646FB8">
        <w:rPr>
          <w:rFonts w:ascii="Arial" w:hAnsi="Arial" w:cs="Arial"/>
        </w:rPr>
        <w:t xml:space="preserve">of </w:t>
      </w:r>
      <w:r w:rsidRPr="00646FB8">
        <w:rPr>
          <w:rFonts w:ascii="Arial" w:hAnsi="Arial" w:cs="Arial"/>
          <w:spacing w:val="-1"/>
        </w:rPr>
        <w:t>impact</w:t>
      </w:r>
      <w:r w:rsidRPr="00646FB8">
        <w:rPr>
          <w:rFonts w:ascii="Arial" w:hAnsi="Arial" w:cs="Arial"/>
          <w:spacing w:val="-2"/>
        </w:rPr>
        <w:t xml:space="preserve"> </w:t>
      </w:r>
      <w:r w:rsidRPr="00646FB8">
        <w:rPr>
          <w:rFonts w:ascii="Arial" w:hAnsi="Arial" w:cs="Arial"/>
        </w:rPr>
        <w:t>on</w:t>
      </w:r>
      <w:r w:rsidRPr="00646FB8">
        <w:rPr>
          <w:rFonts w:ascii="Arial" w:hAnsi="Arial" w:cs="Arial"/>
          <w:spacing w:val="-1"/>
        </w:rPr>
        <w:t xml:space="preserve"> small business</w:t>
      </w:r>
      <w:r w:rsidRPr="00646FB8">
        <w:rPr>
          <w:rFonts w:ascii="Arial" w:hAnsi="Arial" w:cs="Arial"/>
        </w:rPr>
        <w:t xml:space="preserve"> (</w:t>
      </w:r>
      <w:hyperlink r:id="rId17" w:history="1">
        <w:r w:rsidRPr="00713A0F">
          <w:rPr>
            <w:rStyle w:val="Hyperlink"/>
            <w:rFonts w:ascii="Arial" w:hAnsi="Arial" w:cs="Arial"/>
          </w:rPr>
          <w:t>ORS</w:t>
        </w:r>
        <w:r w:rsidRPr="00713A0F">
          <w:rPr>
            <w:rStyle w:val="Hyperlink"/>
            <w:rFonts w:ascii="Arial" w:hAnsi="Arial" w:cs="Arial"/>
            <w:spacing w:val="-3"/>
          </w:rPr>
          <w:t xml:space="preserve"> </w:t>
        </w:r>
        <w:r w:rsidRPr="00713A0F">
          <w:rPr>
            <w:rStyle w:val="Hyperlink"/>
            <w:rFonts w:ascii="Arial" w:hAnsi="Arial" w:cs="Arial"/>
            <w:spacing w:val="-1"/>
          </w:rPr>
          <w:t>183.336</w:t>
        </w:r>
      </w:hyperlink>
      <w:r w:rsidRPr="00646FB8">
        <w:rPr>
          <w:rFonts w:ascii="Arial" w:hAnsi="Arial" w:cs="Arial"/>
          <w:spacing w:val="-1"/>
        </w:rPr>
        <w:t>)</w:t>
      </w:r>
    </w:p>
    <w:p w14:paraId="3AD2B629" w14:textId="77777777" w:rsidR="00870ACF" w:rsidRPr="00646FB8" w:rsidRDefault="00870ACF">
      <w:pPr>
        <w:spacing w:before="10"/>
        <w:rPr>
          <w:rFonts w:ascii="Times New Roman" w:eastAsia="Calibri" w:hAnsi="Times New Roman" w:cs="Times New Roman"/>
          <w:sz w:val="3"/>
          <w:szCs w:val="3"/>
        </w:rPr>
      </w:pPr>
    </w:p>
    <w:tbl>
      <w:tblPr>
        <w:tblW w:w="0" w:type="auto"/>
        <w:tblInd w:w="106" w:type="dxa"/>
        <w:tblLayout w:type="fixed"/>
        <w:tblCellMar>
          <w:left w:w="0" w:type="dxa"/>
          <w:right w:w="0" w:type="dxa"/>
        </w:tblCellMar>
        <w:tblLook w:val="01E0" w:firstRow="1" w:lastRow="1" w:firstColumn="1" w:lastColumn="1" w:noHBand="0" w:noVBand="0"/>
      </w:tblPr>
      <w:tblGrid>
        <w:gridCol w:w="4789"/>
        <w:gridCol w:w="4789"/>
      </w:tblGrid>
      <w:tr w:rsidR="00870ACF" w:rsidRPr="006856E4" w14:paraId="3AD2B62D" w14:textId="77777777">
        <w:trPr>
          <w:trHeight w:hRule="exact" w:val="840"/>
        </w:trPr>
        <w:tc>
          <w:tcPr>
            <w:tcW w:w="4789" w:type="dxa"/>
            <w:tcBorders>
              <w:top w:val="single" w:sz="5" w:space="0" w:color="000000"/>
              <w:left w:val="single" w:sz="5" w:space="0" w:color="000000"/>
              <w:bottom w:val="single" w:sz="5" w:space="0" w:color="000000"/>
              <w:right w:val="single" w:sz="5" w:space="0" w:color="000000"/>
            </w:tcBorders>
          </w:tcPr>
          <w:p w14:paraId="3AD2B62A" w14:textId="0424C000" w:rsidR="00870ACF" w:rsidRPr="006856E4" w:rsidRDefault="006856E4">
            <w:pPr>
              <w:pStyle w:val="TableParagraph"/>
              <w:spacing w:line="239" w:lineRule="auto"/>
              <w:ind w:left="102" w:right="113"/>
              <w:rPr>
                <w:rFonts w:ascii="Times New Roman" w:eastAsia="Calibri" w:hAnsi="Times New Roman" w:cs="Times New Roman"/>
                <w:highlight w:val="yellow"/>
              </w:rPr>
            </w:pPr>
            <w:r w:rsidRPr="006856E4">
              <w:rPr>
                <w:rFonts w:ascii="Times New Roman" w:hAnsi="Times New Roman" w:cs="Times New Roman"/>
              </w:rPr>
              <w:t>a) Estimated number of small businesses and types of businesses and industries with small businesses subject to proposed rule.</w:t>
            </w:r>
          </w:p>
        </w:tc>
        <w:tc>
          <w:tcPr>
            <w:tcW w:w="4789" w:type="dxa"/>
            <w:tcBorders>
              <w:top w:val="single" w:sz="5" w:space="0" w:color="000000"/>
              <w:left w:val="single" w:sz="5" w:space="0" w:color="000000"/>
              <w:bottom w:val="single" w:sz="5" w:space="0" w:color="000000"/>
              <w:right w:val="single" w:sz="5" w:space="0" w:color="000000"/>
            </w:tcBorders>
          </w:tcPr>
          <w:p w14:paraId="503AA88B" w14:textId="77777777" w:rsidR="006856E4" w:rsidRPr="006856E4" w:rsidRDefault="006856E4" w:rsidP="006856E4">
            <w:pPr>
              <w:pStyle w:val="ListParagraph"/>
              <w:numPr>
                <w:ilvl w:val="0"/>
                <w:numId w:val="2"/>
              </w:numPr>
              <w:tabs>
                <w:tab w:val="left" w:pos="463"/>
              </w:tabs>
              <w:spacing w:line="278" w:lineRule="exact"/>
              <w:rPr>
                <w:rFonts w:ascii="Times New Roman" w:hAnsi="Times New Roman" w:cs="Times New Roman"/>
                <w:spacing w:val="-1"/>
              </w:rPr>
            </w:pPr>
            <w:r w:rsidRPr="006856E4">
              <w:rPr>
                <w:rFonts w:ascii="Times New Roman" w:hAnsi="Times New Roman" w:cs="Times New Roman"/>
                <w:spacing w:val="-1"/>
              </w:rPr>
              <w:t>Four CAGMs directly impacted by the rule.</w:t>
            </w:r>
          </w:p>
          <w:p w14:paraId="3AD2B62C" w14:textId="7560BCB3" w:rsidR="00870ACF" w:rsidRPr="006856E4" w:rsidRDefault="006856E4" w:rsidP="006856E4">
            <w:pPr>
              <w:pStyle w:val="ListParagraph"/>
              <w:numPr>
                <w:ilvl w:val="0"/>
                <w:numId w:val="2"/>
              </w:numPr>
              <w:tabs>
                <w:tab w:val="left" w:pos="463"/>
              </w:tabs>
              <w:ind w:right="151"/>
              <w:rPr>
                <w:rFonts w:ascii="Times New Roman" w:eastAsia="Calibri" w:hAnsi="Times New Roman" w:cs="Times New Roman"/>
              </w:rPr>
            </w:pPr>
            <w:r w:rsidRPr="006856E4">
              <w:rPr>
                <w:rFonts w:ascii="Times New Roman" w:hAnsi="Times New Roman" w:cs="Times New Roman"/>
                <w:spacing w:val="-1"/>
              </w:rPr>
              <w:t>Some other small businesses may be indirectly impacted if they are customers of CAGMs.</w:t>
            </w:r>
          </w:p>
        </w:tc>
      </w:tr>
      <w:tr w:rsidR="00870ACF" w:rsidRPr="006856E4" w14:paraId="3AD2B632" w14:textId="77777777" w:rsidTr="006856E4">
        <w:trPr>
          <w:trHeight w:hRule="exact" w:val="4496"/>
        </w:trPr>
        <w:tc>
          <w:tcPr>
            <w:tcW w:w="4789" w:type="dxa"/>
            <w:tcBorders>
              <w:top w:val="single" w:sz="5" w:space="0" w:color="000000"/>
              <w:left w:val="single" w:sz="5" w:space="0" w:color="000000"/>
              <w:bottom w:val="single" w:sz="5" w:space="0" w:color="000000"/>
              <w:right w:val="single" w:sz="5" w:space="0" w:color="000000"/>
            </w:tcBorders>
          </w:tcPr>
          <w:p w14:paraId="3AD2B62E" w14:textId="0C17A61E" w:rsidR="00870ACF" w:rsidRPr="006856E4" w:rsidRDefault="006856E4">
            <w:pPr>
              <w:pStyle w:val="TableParagraph"/>
              <w:ind w:left="102" w:right="104"/>
              <w:rPr>
                <w:rFonts w:ascii="Times New Roman" w:eastAsia="Calibri" w:hAnsi="Times New Roman" w:cs="Times New Roman"/>
                <w:highlight w:val="yellow"/>
              </w:rPr>
            </w:pPr>
            <w:r w:rsidRPr="006856E4">
              <w:rPr>
                <w:rFonts w:ascii="Times New Roman" w:hAnsi="Times New Roman" w:cs="Times New Roman"/>
                <w:spacing w:val="-1"/>
              </w:rPr>
              <w:t>b) Projected reporting, recordkeeping and other administrative activities, including costs of professional services, required for small businesses to comply with the proposed rule.</w:t>
            </w:r>
          </w:p>
        </w:tc>
        <w:tc>
          <w:tcPr>
            <w:tcW w:w="4789" w:type="dxa"/>
            <w:tcBorders>
              <w:top w:val="single" w:sz="5" w:space="0" w:color="000000"/>
              <w:left w:val="single" w:sz="5" w:space="0" w:color="000000"/>
              <w:bottom w:val="single" w:sz="5" w:space="0" w:color="000000"/>
              <w:right w:val="single" w:sz="5" w:space="0" w:color="000000"/>
            </w:tcBorders>
          </w:tcPr>
          <w:p w14:paraId="595EF523" w14:textId="77777777" w:rsidR="006856E4" w:rsidRPr="006856E4" w:rsidRDefault="006856E4" w:rsidP="006856E4">
            <w:pPr>
              <w:pStyle w:val="ListParagraph"/>
              <w:numPr>
                <w:ilvl w:val="0"/>
                <w:numId w:val="1"/>
              </w:numPr>
              <w:tabs>
                <w:tab w:val="left" w:pos="463"/>
              </w:tabs>
              <w:ind w:right="142"/>
              <w:rPr>
                <w:rFonts w:ascii="Times New Roman" w:eastAsia="Calibri" w:hAnsi="Times New Roman" w:cs="Times New Roman"/>
                <w:spacing w:val="-1"/>
              </w:rPr>
            </w:pPr>
            <w:r w:rsidRPr="006856E4">
              <w:rPr>
                <w:rFonts w:ascii="Times New Roman" w:eastAsia="Calibri" w:hAnsi="Times New Roman" w:cs="Times New Roman"/>
                <w:spacing w:val="-1"/>
              </w:rPr>
              <w:t>Tier 1 CAGMs would be required to obtain an Air Contaminant Discharge Permit that they wouldn’t otherwise be required to have. Tier 2 CAGMs would be required to obtain an ACDP, if an ACDP or Title V is not already required by other regulations.</w:t>
            </w:r>
          </w:p>
          <w:p w14:paraId="2AEF2612" w14:textId="77777777" w:rsidR="006856E4" w:rsidRPr="006856E4" w:rsidRDefault="006856E4" w:rsidP="006856E4">
            <w:pPr>
              <w:pStyle w:val="ListParagraph"/>
              <w:numPr>
                <w:ilvl w:val="0"/>
                <w:numId w:val="1"/>
              </w:numPr>
              <w:tabs>
                <w:tab w:val="left" w:pos="463"/>
              </w:tabs>
              <w:ind w:right="142"/>
              <w:rPr>
                <w:rFonts w:ascii="Times New Roman" w:eastAsia="Calibri" w:hAnsi="Times New Roman" w:cs="Times New Roman"/>
                <w:spacing w:val="-1"/>
              </w:rPr>
            </w:pPr>
            <w:r w:rsidRPr="006856E4">
              <w:rPr>
                <w:rFonts w:ascii="Times New Roman" w:eastAsia="Calibri" w:hAnsi="Times New Roman" w:cs="Times New Roman"/>
                <w:spacing w:val="-1"/>
              </w:rPr>
              <w:t>CAGMs complying using an emissions control device are required to do an initial source test, and ongoing monitoring and reporting to show proper operation of the emissions control device.</w:t>
            </w:r>
          </w:p>
          <w:p w14:paraId="3AD2B631" w14:textId="339438A9" w:rsidR="00870ACF" w:rsidRPr="006856E4" w:rsidRDefault="006856E4" w:rsidP="006856E4">
            <w:pPr>
              <w:pStyle w:val="ListParagraph"/>
              <w:numPr>
                <w:ilvl w:val="0"/>
                <w:numId w:val="1"/>
              </w:numPr>
              <w:tabs>
                <w:tab w:val="left" w:pos="463"/>
              </w:tabs>
              <w:spacing w:line="239" w:lineRule="auto"/>
              <w:ind w:right="105"/>
              <w:rPr>
                <w:rFonts w:ascii="Times New Roman" w:eastAsia="Calibri" w:hAnsi="Times New Roman" w:cs="Times New Roman"/>
              </w:rPr>
            </w:pPr>
            <w:r w:rsidRPr="006856E4">
              <w:rPr>
                <w:rFonts w:ascii="Times New Roman" w:eastAsia="Calibri" w:hAnsi="Times New Roman" w:cs="Times New Roman"/>
                <w:spacing w:val="-1"/>
              </w:rPr>
              <w:t>CAGM complying using source testing and modeling would be required to perform source testing and modeling, and may also need to do recordkeeping and reporting to show that production levels remain below limits established through that process.</w:t>
            </w:r>
          </w:p>
        </w:tc>
      </w:tr>
      <w:tr w:rsidR="00870ACF" w:rsidRPr="00646FB8" w14:paraId="3AD2B635" w14:textId="77777777" w:rsidTr="006856E4">
        <w:trPr>
          <w:trHeight w:hRule="exact" w:val="1166"/>
        </w:trPr>
        <w:tc>
          <w:tcPr>
            <w:tcW w:w="4789" w:type="dxa"/>
            <w:tcBorders>
              <w:top w:val="single" w:sz="5" w:space="0" w:color="000000"/>
              <w:left w:val="single" w:sz="5" w:space="0" w:color="000000"/>
              <w:bottom w:val="single" w:sz="5" w:space="0" w:color="000000"/>
              <w:right w:val="single" w:sz="5" w:space="0" w:color="000000"/>
            </w:tcBorders>
          </w:tcPr>
          <w:p w14:paraId="3AD2B633" w14:textId="6C0855C0" w:rsidR="00870ACF" w:rsidRPr="006856E4" w:rsidRDefault="006856E4">
            <w:pPr>
              <w:pStyle w:val="TableParagraph"/>
              <w:ind w:left="102" w:right="617"/>
              <w:rPr>
                <w:rFonts w:ascii="Times New Roman" w:eastAsia="Calibri" w:hAnsi="Times New Roman" w:cs="Times New Roman"/>
                <w:highlight w:val="yellow"/>
              </w:rPr>
            </w:pPr>
            <w:r w:rsidRPr="006856E4">
              <w:rPr>
                <w:rFonts w:ascii="Times New Roman" w:hAnsi="Times New Roman" w:cs="Times New Roman"/>
              </w:rPr>
              <w:t>c) Projected equipment, supplies, labor and increased administration required for small businesses to comply with the proposed rule.</w:t>
            </w:r>
          </w:p>
        </w:tc>
        <w:tc>
          <w:tcPr>
            <w:tcW w:w="4789" w:type="dxa"/>
            <w:tcBorders>
              <w:top w:val="single" w:sz="5" w:space="0" w:color="000000"/>
              <w:left w:val="single" w:sz="5" w:space="0" w:color="000000"/>
              <w:bottom w:val="single" w:sz="5" w:space="0" w:color="000000"/>
              <w:right w:val="single" w:sz="5" w:space="0" w:color="000000"/>
            </w:tcBorders>
          </w:tcPr>
          <w:p w14:paraId="3AD2B634" w14:textId="0FC8DE1B" w:rsidR="00870ACF" w:rsidRPr="006856E4" w:rsidRDefault="006856E4">
            <w:pPr>
              <w:pStyle w:val="TableParagraph"/>
              <w:ind w:left="102" w:right="245"/>
              <w:rPr>
                <w:rFonts w:ascii="Times New Roman" w:eastAsia="Calibri" w:hAnsi="Times New Roman" w:cs="Times New Roman"/>
                <w:highlight w:val="yellow"/>
              </w:rPr>
            </w:pPr>
            <w:r w:rsidRPr="006856E4">
              <w:rPr>
                <w:rFonts w:ascii="Times New Roman" w:hAnsi="Times New Roman" w:cs="Times New Roman"/>
                <w:spacing w:val="-1"/>
              </w:rPr>
              <w:t>CAGM complying using an emissions control device would be required to install the control device, which may require replacement parts and supplies.</w:t>
            </w:r>
          </w:p>
        </w:tc>
      </w:tr>
      <w:tr w:rsidR="00870ACF" w:rsidRPr="00646FB8" w14:paraId="3AD2B638" w14:textId="77777777" w:rsidTr="006856E4">
        <w:trPr>
          <w:trHeight w:hRule="exact" w:val="1706"/>
        </w:trPr>
        <w:tc>
          <w:tcPr>
            <w:tcW w:w="4789" w:type="dxa"/>
            <w:tcBorders>
              <w:top w:val="single" w:sz="5" w:space="0" w:color="000000"/>
              <w:left w:val="single" w:sz="5" w:space="0" w:color="000000"/>
              <w:bottom w:val="single" w:sz="5" w:space="0" w:color="000000"/>
              <w:right w:val="single" w:sz="5" w:space="0" w:color="000000"/>
            </w:tcBorders>
          </w:tcPr>
          <w:p w14:paraId="3AD2B636" w14:textId="329BFC1F" w:rsidR="00870ACF" w:rsidRPr="006856E4" w:rsidRDefault="006856E4">
            <w:pPr>
              <w:pStyle w:val="TableParagraph"/>
              <w:ind w:left="102" w:right="233"/>
              <w:rPr>
                <w:rFonts w:ascii="Times New Roman" w:eastAsia="Calibri" w:hAnsi="Times New Roman" w:cs="Times New Roman"/>
                <w:highlight w:val="yellow"/>
              </w:rPr>
            </w:pPr>
            <w:r w:rsidRPr="006856E4">
              <w:rPr>
                <w:rFonts w:ascii="Times New Roman" w:hAnsi="Times New Roman" w:cs="Times New Roman"/>
                <w:spacing w:val="-1"/>
              </w:rPr>
              <w:t>d) Describe how DEQ involved small businesses in developing this proposed rule.</w:t>
            </w:r>
          </w:p>
        </w:tc>
        <w:tc>
          <w:tcPr>
            <w:tcW w:w="4789" w:type="dxa"/>
            <w:tcBorders>
              <w:top w:val="single" w:sz="5" w:space="0" w:color="000000"/>
              <w:left w:val="single" w:sz="5" w:space="0" w:color="000000"/>
              <w:bottom w:val="single" w:sz="5" w:space="0" w:color="000000"/>
              <w:right w:val="single" w:sz="5" w:space="0" w:color="000000"/>
            </w:tcBorders>
          </w:tcPr>
          <w:p w14:paraId="3AD2B637" w14:textId="78BCF570" w:rsidR="00870ACF" w:rsidRPr="006856E4" w:rsidRDefault="006856E4">
            <w:pPr>
              <w:pStyle w:val="TableParagraph"/>
              <w:spacing w:line="239" w:lineRule="auto"/>
              <w:ind w:left="102" w:right="129"/>
              <w:rPr>
                <w:rFonts w:ascii="Times New Roman" w:eastAsia="Calibri" w:hAnsi="Times New Roman" w:cs="Times New Roman"/>
                <w:highlight w:val="yellow"/>
              </w:rPr>
            </w:pPr>
            <w:r w:rsidRPr="006856E4">
              <w:rPr>
                <w:rFonts w:ascii="Times New Roman" w:hAnsi="Times New Roman" w:cs="Times New Roman"/>
                <w:spacing w:val="-1"/>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tc>
      </w:tr>
    </w:tbl>
    <w:p w14:paraId="3AD2B639" w14:textId="77777777" w:rsidR="00870ACF" w:rsidRPr="00646FB8" w:rsidRDefault="00870ACF">
      <w:pPr>
        <w:spacing w:before="12"/>
        <w:rPr>
          <w:rFonts w:ascii="Times New Roman" w:eastAsia="Calibri" w:hAnsi="Times New Roman" w:cs="Times New Roman"/>
          <w:sz w:val="19"/>
          <w:szCs w:val="19"/>
        </w:rPr>
      </w:pPr>
    </w:p>
    <w:p w14:paraId="3AD2B63A" w14:textId="77777777" w:rsidR="00870ACF" w:rsidRPr="00646FB8" w:rsidRDefault="00C26073">
      <w:pPr>
        <w:pStyle w:val="Heading1"/>
        <w:spacing w:before="56"/>
        <w:ind w:left="220"/>
        <w:rPr>
          <w:rFonts w:ascii="Arial" w:hAnsi="Arial" w:cs="Arial"/>
          <w:b w:val="0"/>
          <w:bCs w:val="0"/>
        </w:rPr>
      </w:pPr>
      <w:r w:rsidRPr="00646FB8">
        <w:rPr>
          <w:rFonts w:ascii="Arial" w:hAnsi="Arial" w:cs="Arial"/>
        </w:rPr>
        <w:t>DEQ</w:t>
      </w:r>
    </w:p>
    <w:p w14:paraId="6C648DAF" w14:textId="77777777" w:rsidR="006856E4" w:rsidRPr="006856E4" w:rsidRDefault="006856E4" w:rsidP="006856E4">
      <w:pPr>
        <w:pStyle w:val="BodyText"/>
        <w:spacing w:before="41" w:line="276" w:lineRule="auto"/>
        <w:ind w:left="220" w:right="385"/>
        <w:rPr>
          <w:rFonts w:ascii="Times New Roman" w:hAnsi="Times New Roman" w:cs="Times New Roman"/>
          <w:spacing w:val="-1"/>
        </w:rPr>
      </w:pPr>
      <w:r w:rsidRPr="006856E4">
        <w:rPr>
          <w:rFonts w:ascii="Times New Roman" w:hAnsi="Times New Roman" w:cs="Times New Roman"/>
          <w:spacing w:val="-1"/>
        </w:rPr>
        <w:t>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roughly be offset by DEQ’s additional costs for permit writing, compliance monitoring and inspections.</w:t>
      </w:r>
    </w:p>
    <w:p w14:paraId="689C6836" w14:textId="77777777" w:rsidR="006856E4" w:rsidRPr="006856E4" w:rsidRDefault="006856E4" w:rsidP="006856E4">
      <w:pPr>
        <w:pStyle w:val="BodyText"/>
        <w:spacing w:before="41" w:line="276" w:lineRule="auto"/>
        <w:ind w:left="220" w:right="385"/>
        <w:rPr>
          <w:rFonts w:ascii="Times New Roman" w:hAnsi="Times New Roman" w:cs="Times New Roman"/>
          <w:spacing w:val="-1"/>
        </w:rPr>
      </w:pPr>
    </w:p>
    <w:p w14:paraId="3AD2B63D" w14:textId="51AD302A" w:rsidR="00870ACF" w:rsidRPr="006856E4" w:rsidRDefault="006856E4" w:rsidP="006856E4">
      <w:pPr>
        <w:pStyle w:val="BodyText"/>
        <w:spacing w:before="41" w:line="276" w:lineRule="auto"/>
        <w:ind w:left="220" w:right="385"/>
        <w:rPr>
          <w:rFonts w:ascii="Times New Roman" w:hAnsi="Times New Roman" w:cs="Times New Roman"/>
          <w:spacing w:val="-1"/>
        </w:rPr>
      </w:pPr>
      <w:r w:rsidRPr="006856E4">
        <w:rPr>
          <w:rFonts w:ascii="Times New Roman" w:hAnsi="Times New Roman" w:cs="Times New Roman"/>
          <w:spacing w:val="-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3AD2B63E" w14:textId="77777777" w:rsidR="00870ACF" w:rsidRPr="00646FB8" w:rsidRDefault="00870ACF">
      <w:pPr>
        <w:spacing w:before="2"/>
        <w:rPr>
          <w:rFonts w:ascii="Times New Roman" w:eastAsia="Calibri" w:hAnsi="Times New Roman" w:cs="Times New Roman"/>
          <w:sz w:val="25"/>
          <w:szCs w:val="25"/>
        </w:rPr>
      </w:pPr>
    </w:p>
    <w:p w14:paraId="3AD2B63F" w14:textId="77777777" w:rsidR="00870ACF" w:rsidRPr="00646FB8" w:rsidRDefault="00C26073">
      <w:pPr>
        <w:pStyle w:val="Heading1"/>
        <w:rPr>
          <w:rFonts w:ascii="Arial" w:hAnsi="Arial" w:cs="Arial"/>
          <w:b w:val="0"/>
          <w:bCs w:val="0"/>
        </w:rPr>
      </w:pPr>
      <w:r w:rsidRPr="00646FB8">
        <w:rPr>
          <w:rFonts w:ascii="Arial" w:hAnsi="Arial" w:cs="Arial"/>
          <w:spacing w:val="-1"/>
        </w:rPr>
        <w:t>Public</w:t>
      </w:r>
    </w:p>
    <w:p w14:paraId="0BD717C7"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 xml:space="preserve">The proposed rules are intended to measure and reduce emissions of metal HAPs from the CAGMs subject to the </w:t>
      </w:r>
      <w:r w:rsidRPr="006856E4">
        <w:rPr>
          <w:rFonts w:ascii="Times New Roman" w:hAnsi="Times New Roman" w:cs="Times New Roman"/>
          <w:spacing w:val="-1"/>
        </w:rPr>
        <w:lastRenderedPageBreak/>
        <w:t xml:space="preserve">rule. Decreased emissions of metal HAPs and other particulate matter may have significant health benefits for the public, particularly those who live, work or otherwise spend significant time near a CAGM. </w:t>
      </w:r>
    </w:p>
    <w:p w14:paraId="55B7E962"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0B81485F"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Cadmium and arsenic, two of the metal HAPs regulated by the rule, were found to exceed human health-based benchmark concentrations near CAGMs.  Exposure to metal HAPs through inhalation or other means is connected with serious health effects like cancer, respiratory problems and organ damage. DEQ's air toxics benchmarks are designed to be very protective air concentrations that people could breathe for a lifetime without increasing their cancer risk beyond a chance of one in a million.</w:t>
      </w:r>
    </w:p>
    <w:p w14:paraId="79C209F9"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24058EC5"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 xml:space="preserve">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  </w:t>
      </w:r>
    </w:p>
    <w:p w14:paraId="0442D20B"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1280A57F"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Health problems have negative economic impacts to the people experiencing them.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6C59C722"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4B3966ED" w14:textId="45F1F432"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US Environmental Protection Agency (EPA) estimated the costs and benefits of th</w:t>
      </w:r>
      <w:r>
        <w:rPr>
          <w:rFonts w:ascii="Times New Roman" w:hAnsi="Times New Roman" w:cs="Times New Roman"/>
          <w:spacing w:val="-1"/>
        </w:rPr>
        <w:t>e 1990 Clean Air Act Amendments</w:t>
      </w:r>
      <w:r>
        <w:rPr>
          <w:rStyle w:val="FootnoteReference"/>
          <w:rFonts w:ascii="Times New Roman" w:hAnsi="Times New Roman" w:cs="Times New Roman"/>
          <w:spacing w:val="-1"/>
        </w:rPr>
        <w:footnoteReference w:id="3"/>
      </w:r>
      <w:r w:rsidRPr="006856E4">
        <w:rPr>
          <w:rFonts w:ascii="Times New Roman" w:hAnsi="Times New Roman" w:cs="Times New Roman"/>
          <w:spacing w:val="-1"/>
        </w:rPr>
        <w:t>, which among other things expanded regulation of air toxics and led to regulations such as NESHAP 6S. EPA’s estimate was that the health benefits of that set of regulations were 30 times the costs of compliance, with a range between 3 and 90. However, it is unknown whether numbers would be similar for these proposed rules.</w:t>
      </w:r>
    </w:p>
    <w:p w14:paraId="742E6A6F"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33B62A72"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6E8736A5"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75A3FE2F" w14:textId="77777777" w:rsid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public would not incur direct compliance costs because they are not subject to the rule. 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3AD2B64B" w14:textId="77777777" w:rsidR="00870ACF" w:rsidRPr="00646FB8" w:rsidRDefault="00870ACF">
      <w:pPr>
        <w:spacing w:before="5"/>
        <w:rPr>
          <w:rFonts w:ascii="Times New Roman" w:eastAsia="Calibri" w:hAnsi="Times New Roman" w:cs="Times New Roman"/>
          <w:sz w:val="25"/>
          <w:szCs w:val="25"/>
        </w:rPr>
      </w:pPr>
    </w:p>
    <w:p w14:paraId="3AD2B64C" w14:textId="77777777" w:rsidR="00870ACF" w:rsidRPr="00646FB8" w:rsidRDefault="00C26073">
      <w:pPr>
        <w:pStyle w:val="Heading1"/>
        <w:rPr>
          <w:rFonts w:ascii="Arial" w:hAnsi="Arial" w:cs="Arial"/>
          <w:b w:val="0"/>
          <w:bCs w:val="0"/>
        </w:rPr>
      </w:pPr>
      <w:r w:rsidRPr="00646FB8">
        <w:rPr>
          <w:rFonts w:ascii="Arial" w:hAnsi="Arial" w:cs="Arial"/>
          <w:spacing w:val="-1"/>
        </w:rPr>
        <w:t>Housing</w:t>
      </w:r>
      <w:r w:rsidRPr="00646FB8">
        <w:rPr>
          <w:rFonts w:ascii="Arial" w:hAnsi="Arial" w:cs="Arial"/>
          <w:spacing w:val="-2"/>
        </w:rPr>
        <w:t xml:space="preserve"> </w:t>
      </w:r>
      <w:r w:rsidRPr="00646FB8">
        <w:rPr>
          <w:rFonts w:ascii="Arial" w:hAnsi="Arial" w:cs="Arial"/>
        </w:rPr>
        <w:t>cost</w:t>
      </w:r>
    </w:p>
    <w:p w14:paraId="2EA05AED" w14:textId="5E7C2400" w:rsidR="006856E4" w:rsidRPr="006856E4" w:rsidRDefault="006856E4" w:rsidP="006856E4">
      <w:pPr>
        <w:pStyle w:val="BodyText"/>
        <w:spacing w:before="38" w:line="276" w:lineRule="auto"/>
        <w:ind w:right="629"/>
        <w:rPr>
          <w:rFonts w:ascii="Times New Roman" w:hAnsi="Times New Roman" w:cs="Times New Roman"/>
          <w:spacing w:val="-1"/>
        </w:rPr>
      </w:pPr>
      <w:r w:rsidRPr="006856E4">
        <w:rPr>
          <w:rFonts w:ascii="Times New Roman" w:hAnsi="Times New Roman" w:cs="Times New Roman"/>
          <w:spacing w:val="-1"/>
        </w:rPr>
        <w:t xml:space="preserve">To comply with </w:t>
      </w:r>
      <w:hyperlink r:id="rId18" w:history="1">
        <w:r w:rsidRPr="00713A0F">
          <w:rPr>
            <w:rStyle w:val="Hyperlink"/>
            <w:rFonts w:ascii="Times New Roman" w:hAnsi="Times New Roman" w:cs="Times New Roman"/>
            <w:spacing w:val="-1"/>
          </w:rPr>
          <w:t>ORS 183.534</w:t>
        </w:r>
      </w:hyperlink>
      <w:r w:rsidRPr="006856E4">
        <w:rPr>
          <w:rFonts w:ascii="Times New Roman" w:hAnsi="Times New Roman" w:cs="Times New Roman"/>
          <w:spacing w:val="-1"/>
        </w:rPr>
        <w:t>, DEQ determined that the proposed rules may have an effect on the development cost of a 6,000-square-foot parcel and construction of a 1,200-square-foot detached, single-family dwelling on that parcel.</w:t>
      </w:r>
    </w:p>
    <w:p w14:paraId="58CCF45D" w14:textId="77777777" w:rsidR="006856E4" w:rsidRPr="006856E4" w:rsidRDefault="006856E4" w:rsidP="006856E4">
      <w:pPr>
        <w:pStyle w:val="BodyText"/>
        <w:spacing w:before="38" w:line="276" w:lineRule="auto"/>
        <w:ind w:right="629"/>
        <w:rPr>
          <w:rFonts w:ascii="Times New Roman" w:hAnsi="Times New Roman" w:cs="Times New Roman"/>
          <w:spacing w:val="-1"/>
        </w:rPr>
      </w:pPr>
    </w:p>
    <w:p w14:paraId="3AD2B64D" w14:textId="5D07DFA0" w:rsidR="00C26073" w:rsidRPr="006856E4" w:rsidRDefault="006856E4" w:rsidP="006856E4">
      <w:pPr>
        <w:pStyle w:val="BodyText"/>
        <w:spacing w:before="38" w:line="276" w:lineRule="auto"/>
        <w:ind w:right="629"/>
        <w:rPr>
          <w:rFonts w:ascii="Times New Roman" w:hAnsi="Times New Roman" w:cs="Times New Roman"/>
          <w:spacing w:val="-1"/>
        </w:rPr>
      </w:pPr>
      <w:r w:rsidRPr="006856E4">
        <w:rPr>
          <w:rFonts w:ascii="Times New Roman" w:hAnsi="Times New Roman" w:cs="Times New Roman"/>
          <w:spacing w:val="-1"/>
        </w:rPr>
        <w:lastRenderedPageBreak/>
        <w:t>If a house is constructed using colored art glass as a material, and if CAGM increase their prices in response to the proposed rule, the cost of compliance with the rule could cause an increase in the cost to construct a home. However, the possible housing cost impact of these proposed changes appears to be infinitesimal because colored art glass represents an exceedingly small proportion of the development cost of a home.</w:t>
      </w:r>
    </w:p>
    <w:sectPr w:rsidR="00C26073" w:rsidRPr="006856E4" w:rsidSect="001C0B37">
      <w:pgSz w:w="12240" w:h="15840"/>
      <w:pgMar w:top="1060" w:right="1020" w:bottom="1260" w:left="900" w:header="0" w:footer="74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2B654" w14:textId="77777777" w:rsidR="00C26073" w:rsidRDefault="00C26073">
      <w:r>
        <w:separator/>
      </w:r>
    </w:p>
  </w:endnote>
  <w:endnote w:type="continuationSeparator" w:id="0">
    <w:p w14:paraId="3AD2B655" w14:textId="77777777" w:rsidR="00C26073" w:rsidRDefault="00C2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2B657" w14:textId="77777777" w:rsidR="00870ACF" w:rsidRDefault="00713A0F">
    <w:pPr>
      <w:spacing w:line="14" w:lineRule="auto"/>
      <w:rPr>
        <w:sz w:val="20"/>
        <w:szCs w:val="20"/>
      </w:rPr>
    </w:pPr>
    <w:r>
      <w:pict w14:anchorId="3AD2B659">
        <v:shapetype id="_x0000_t202" coordsize="21600,21600" o:spt="202" path="m,l,21600r21600,l21600,xe">
          <v:stroke joinstyle="miter"/>
          <v:path gradientshapeok="t" o:connecttype="rect"/>
        </v:shapetype>
        <v:shape id="_x0000_s2049" type="#_x0000_t202" style="position:absolute;margin-left:71pt;margin-top:743.7pt;width:103.6pt;height:13.05pt;z-index:-251658752;mso-position-horizontal-relative:page;mso-position-vertical-relative:page" filled="f" stroked="f">
          <v:textbox inset="0,0,0,0">
            <w:txbxContent>
              <w:p w14:paraId="3AD2B65A" w14:textId="40A6466B" w:rsidR="00870ACF" w:rsidRDefault="00C26073" w:rsidP="00F34D3E">
                <w:pPr>
                  <w:pStyle w:val="BodyText"/>
                  <w:spacing w:line="245" w:lineRule="exact"/>
                  <w:ind w:left="0"/>
                </w:pPr>
                <w:r>
                  <w:rPr>
                    <w:spacing w:val="-1"/>
                  </w:rPr>
                  <w:t>DEQ</w:t>
                </w:r>
                <w:r>
                  <w:rPr>
                    <w:spacing w:val="-2"/>
                  </w:rPr>
                  <w:t xml:space="preserve"> </w:t>
                </w:r>
                <w:r>
                  <w:rPr>
                    <w:spacing w:val="-1"/>
                  </w:rPr>
                  <w:t>DRAFT</w:t>
                </w:r>
                <w:r>
                  <w:rPr>
                    <w:spacing w:val="-2"/>
                  </w:rPr>
                  <w:t xml:space="preserve"> </w:t>
                </w:r>
                <w:r w:rsidR="006856E4">
                  <w:rPr>
                    <w:spacing w:val="-1"/>
                  </w:rPr>
                  <w:t>6/3</w:t>
                </w:r>
                <w:r>
                  <w:rPr>
                    <w:spacing w:val="-1"/>
                  </w:rPr>
                  <w:t>/2016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2B652" w14:textId="77777777" w:rsidR="00C26073" w:rsidRDefault="00C26073">
      <w:r>
        <w:separator/>
      </w:r>
    </w:p>
  </w:footnote>
  <w:footnote w:type="continuationSeparator" w:id="0">
    <w:p w14:paraId="3AD2B653" w14:textId="77777777" w:rsidR="00C26073" w:rsidRDefault="00C26073">
      <w:r>
        <w:continuationSeparator/>
      </w:r>
    </w:p>
  </w:footnote>
  <w:footnote w:id="1">
    <w:p w14:paraId="14BB93F8" w14:textId="2E803FAB" w:rsidR="006856E4" w:rsidRDefault="006856E4">
      <w:pPr>
        <w:pStyle w:val="FootnoteText"/>
      </w:pPr>
      <w:r>
        <w:rPr>
          <w:rStyle w:val="FootnoteReference"/>
        </w:rPr>
        <w:footnoteRef/>
      </w:r>
      <w:r>
        <w:t xml:space="preserve"> </w:t>
      </w:r>
      <w:r w:rsidRPr="006856E4">
        <w:t>National Emission Standards for Hazardous Air Pollutants for Glass Manufacturing Area Sources, 40 CFR Part 63 Subpart SSSSSS</w:t>
      </w:r>
      <w:r>
        <w:t>.</w:t>
      </w:r>
    </w:p>
  </w:footnote>
  <w:footnote w:id="2">
    <w:p w14:paraId="0561F30C" w14:textId="6BCD7A35" w:rsidR="006856E4" w:rsidRDefault="006856E4">
      <w:pPr>
        <w:pStyle w:val="FootnoteText"/>
      </w:pPr>
      <w:r>
        <w:rPr>
          <w:rStyle w:val="FootnoteReference"/>
        </w:rPr>
        <w:footnoteRef/>
      </w:r>
      <w:r>
        <w:t xml:space="preserve"> </w:t>
      </w:r>
      <w:r w:rsidRPr="006856E4">
        <w:t>The metal HAPs regulated by the proposed rule include arsenic, cadmium, chromium, lead, manganese and nickel.</w:t>
      </w:r>
    </w:p>
  </w:footnote>
  <w:footnote w:id="3">
    <w:p w14:paraId="6E31EE4A" w14:textId="5BA4B02E" w:rsidR="006856E4" w:rsidRDefault="006856E4">
      <w:pPr>
        <w:pStyle w:val="FootnoteText"/>
      </w:pPr>
      <w:r>
        <w:rPr>
          <w:rStyle w:val="FootnoteReference"/>
        </w:rPr>
        <w:footnoteRef/>
      </w:r>
      <w:r>
        <w:t xml:space="preserve"> </w:t>
      </w:r>
      <w:r w:rsidRPr="006856E4">
        <w:t xml:space="preserve">“Benefits and Costs of the Clean Air Act, 1990 to 2020”, </w:t>
      </w:r>
      <w:hyperlink r:id="rId1" w:history="1">
        <w:r w:rsidRPr="00753F87">
          <w:rPr>
            <w:rStyle w:val="Hyperlink"/>
          </w:rPr>
          <w:t>https://www.epa.gov/clean-air-act-overview/benefits-and-costs-clean-air-act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687270"/>
      <w:docPartObj>
        <w:docPartGallery w:val="Watermarks"/>
        <w:docPartUnique/>
      </w:docPartObj>
    </w:sdtPr>
    <w:sdtEndPr/>
    <w:sdtContent>
      <w:p w14:paraId="3AD2B656" w14:textId="77777777" w:rsidR="00F120D6" w:rsidRDefault="00713A0F">
        <w:pPr>
          <w:pStyle w:val="Header"/>
        </w:pPr>
        <w:r>
          <w:rPr>
            <w:noProof/>
          </w:rPr>
          <w:pict w14:anchorId="3AD2B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11843"/>
    <w:multiLevelType w:val="hybridMultilevel"/>
    <w:tmpl w:val="D534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4C050B"/>
    <w:multiLevelType w:val="hybridMultilevel"/>
    <w:tmpl w:val="4C500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143BDA"/>
    <w:multiLevelType w:val="hybridMultilevel"/>
    <w:tmpl w:val="C19653DC"/>
    <w:lvl w:ilvl="0" w:tplc="80E0A14C">
      <w:start w:val="1"/>
      <w:numFmt w:val="bullet"/>
      <w:lvlText w:val=""/>
      <w:lvlJc w:val="left"/>
      <w:pPr>
        <w:ind w:left="462" w:hanging="360"/>
      </w:pPr>
      <w:rPr>
        <w:rFonts w:ascii="Symbol" w:eastAsia="Symbol" w:hAnsi="Symbol" w:hint="default"/>
        <w:sz w:val="22"/>
        <w:szCs w:val="22"/>
      </w:rPr>
    </w:lvl>
    <w:lvl w:ilvl="1" w:tplc="4CD62722">
      <w:start w:val="1"/>
      <w:numFmt w:val="bullet"/>
      <w:lvlText w:val="•"/>
      <w:lvlJc w:val="left"/>
      <w:pPr>
        <w:ind w:left="893" w:hanging="360"/>
      </w:pPr>
      <w:rPr>
        <w:rFonts w:hint="default"/>
      </w:rPr>
    </w:lvl>
    <w:lvl w:ilvl="2" w:tplc="8ED29B6C">
      <w:start w:val="1"/>
      <w:numFmt w:val="bullet"/>
      <w:lvlText w:val="•"/>
      <w:lvlJc w:val="left"/>
      <w:pPr>
        <w:ind w:left="1325" w:hanging="360"/>
      </w:pPr>
      <w:rPr>
        <w:rFonts w:hint="default"/>
      </w:rPr>
    </w:lvl>
    <w:lvl w:ilvl="3" w:tplc="E8B63EB6">
      <w:start w:val="1"/>
      <w:numFmt w:val="bullet"/>
      <w:lvlText w:val="•"/>
      <w:lvlJc w:val="left"/>
      <w:pPr>
        <w:ind w:left="1756" w:hanging="360"/>
      </w:pPr>
      <w:rPr>
        <w:rFonts w:hint="default"/>
      </w:rPr>
    </w:lvl>
    <w:lvl w:ilvl="4" w:tplc="5B2E8846">
      <w:start w:val="1"/>
      <w:numFmt w:val="bullet"/>
      <w:lvlText w:val="•"/>
      <w:lvlJc w:val="left"/>
      <w:pPr>
        <w:ind w:left="2188" w:hanging="360"/>
      </w:pPr>
      <w:rPr>
        <w:rFonts w:hint="default"/>
      </w:rPr>
    </w:lvl>
    <w:lvl w:ilvl="5" w:tplc="47F63CC0">
      <w:start w:val="1"/>
      <w:numFmt w:val="bullet"/>
      <w:lvlText w:val="•"/>
      <w:lvlJc w:val="left"/>
      <w:pPr>
        <w:ind w:left="2619" w:hanging="360"/>
      </w:pPr>
      <w:rPr>
        <w:rFonts w:hint="default"/>
      </w:rPr>
    </w:lvl>
    <w:lvl w:ilvl="6" w:tplc="EEB42FC2">
      <w:start w:val="1"/>
      <w:numFmt w:val="bullet"/>
      <w:lvlText w:val="•"/>
      <w:lvlJc w:val="left"/>
      <w:pPr>
        <w:ind w:left="3051" w:hanging="360"/>
      </w:pPr>
      <w:rPr>
        <w:rFonts w:hint="default"/>
      </w:rPr>
    </w:lvl>
    <w:lvl w:ilvl="7" w:tplc="8BBC2D58">
      <w:start w:val="1"/>
      <w:numFmt w:val="bullet"/>
      <w:lvlText w:val="•"/>
      <w:lvlJc w:val="left"/>
      <w:pPr>
        <w:ind w:left="3482" w:hanging="360"/>
      </w:pPr>
      <w:rPr>
        <w:rFonts w:hint="default"/>
      </w:rPr>
    </w:lvl>
    <w:lvl w:ilvl="8" w:tplc="01C2BF70">
      <w:start w:val="1"/>
      <w:numFmt w:val="bullet"/>
      <w:lvlText w:val="•"/>
      <w:lvlJc w:val="left"/>
      <w:pPr>
        <w:ind w:left="3914" w:hanging="360"/>
      </w:pPr>
      <w:rPr>
        <w:rFonts w:hint="default"/>
      </w:rPr>
    </w:lvl>
  </w:abstractNum>
  <w:abstractNum w:abstractNumId="3" w15:restartNumberingAfterBreak="0">
    <w:nsid w:val="55C51BE1"/>
    <w:multiLevelType w:val="hybridMultilevel"/>
    <w:tmpl w:val="89ACFE88"/>
    <w:lvl w:ilvl="0" w:tplc="45FA1604">
      <w:start w:val="1"/>
      <w:numFmt w:val="bullet"/>
      <w:lvlText w:val=""/>
      <w:lvlJc w:val="left"/>
      <w:pPr>
        <w:ind w:left="462" w:hanging="360"/>
      </w:pPr>
      <w:rPr>
        <w:rFonts w:ascii="Symbol" w:eastAsia="Symbol" w:hAnsi="Symbol" w:hint="default"/>
        <w:sz w:val="22"/>
        <w:szCs w:val="22"/>
      </w:rPr>
    </w:lvl>
    <w:lvl w:ilvl="1" w:tplc="D6EA57E4">
      <w:start w:val="1"/>
      <w:numFmt w:val="bullet"/>
      <w:lvlText w:val="•"/>
      <w:lvlJc w:val="left"/>
      <w:pPr>
        <w:ind w:left="893" w:hanging="360"/>
      </w:pPr>
      <w:rPr>
        <w:rFonts w:hint="default"/>
      </w:rPr>
    </w:lvl>
    <w:lvl w:ilvl="2" w:tplc="2C82DD30">
      <w:start w:val="1"/>
      <w:numFmt w:val="bullet"/>
      <w:lvlText w:val="•"/>
      <w:lvlJc w:val="left"/>
      <w:pPr>
        <w:ind w:left="1325" w:hanging="360"/>
      </w:pPr>
      <w:rPr>
        <w:rFonts w:hint="default"/>
      </w:rPr>
    </w:lvl>
    <w:lvl w:ilvl="3" w:tplc="273EC806">
      <w:start w:val="1"/>
      <w:numFmt w:val="bullet"/>
      <w:lvlText w:val="•"/>
      <w:lvlJc w:val="left"/>
      <w:pPr>
        <w:ind w:left="1756" w:hanging="360"/>
      </w:pPr>
      <w:rPr>
        <w:rFonts w:hint="default"/>
      </w:rPr>
    </w:lvl>
    <w:lvl w:ilvl="4" w:tplc="20723BCE">
      <w:start w:val="1"/>
      <w:numFmt w:val="bullet"/>
      <w:lvlText w:val="•"/>
      <w:lvlJc w:val="left"/>
      <w:pPr>
        <w:ind w:left="2188" w:hanging="360"/>
      </w:pPr>
      <w:rPr>
        <w:rFonts w:hint="default"/>
      </w:rPr>
    </w:lvl>
    <w:lvl w:ilvl="5" w:tplc="9FEEFE06">
      <w:start w:val="1"/>
      <w:numFmt w:val="bullet"/>
      <w:lvlText w:val="•"/>
      <w:lvlJc w:val="left"/>
      <w:pPr>
        <w:ind w:left="2619" w:hanging="360"/>
      </w:pPr>
      <w:rPr>
        <w:rFonts w:hint="default"/>
      </w:rPr>
    </w:lvl>
    <w:lvl w:ilvl="6" w:tplc="BF3AA7EE">
      <w:start w:val="1"/>
      <w:numFmt w:val="bullet"/>
      <w:lvlText w:val="•"/>
      <w:lvlJc w:val="left"/>
      <w:pPr>
        <w:ind w:left="3051" w:hanging="360"/>
      </w:pPr>
      <w:rPr>
        <w:rFonts w:hint="default"/>
      </w:rPr>
    </w:lvl>
    <w:lvl w:ilvl="7" w:tplc="D56E9BB6">
      <w:start w:val="1"/>
      <w:numFmt w:val="bullet"/>
      <w:lvlText w:val="•"/>
      <w:lvlJc w:val="left"/>
      <w:pPr>
        <w:ind w:left="3482" w:hanging="360"/>
      </w:pPr>
      <w:rPr>
        <w:rFonts w:hint="default"/>
      </w:rPr>
    </w:lvl>
    <w:lvl w:ilvl="8" w:tplc="34F065B8">
      <w:start w:val="1"/>
      <w:numFmt w:val="bullet"/>
      <w:lvlText w:val="•"/>
      <w:lvlJc w:val="left"/>
      <w:pPr>
        <w:ind w:left="3914"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70ACF"/>
    <w:rsid w:val="000211FF"/>
    <w:rsid w:val="000C7DF6"/>
    <w:rsid w:val="001C0B37"/>
    <w:rsid w:val="001E17E2"/>
    <w:rsid w:val="003E7E4F"/>
    <w:rsid w:val="00646FB8"/>
    <w:rsid w:val="006507F8"/>
    <w:rsid w:val="006856E4"/>
    <w:rsid w:val="00713A0F"/>
    <w:rsid w:val="00870ACF"/>
    <w:rsid w:val="00A24460"/>
    <w:rsid w:val="00B910F8"/>
    <w:rsid w:val="00C26073"/>
    <w:rsid w:val="00F120D6"/>
    <w:rsid w:val="00F34D3E"/>
    <w:rsid w:val="00FE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AD2B5F3"/>
  <w15:docId w15:val="{0E4BA29D-333C-4A01-9FDB-84E3F3B7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646FB8"/>
    <w:rPr>
      <w:color w:val="0000FF"/>
      <w:u w:val="single"/>
    </w:rPr>
  </w:style>
  <w:style w:type="paragraph" w:styleId="Title">
    <w:name w:val="Title"/>
    <w:basedOn w:val="Normal"/>
    <w:link w:val="TitleChar"/>
    <w:qFormat/>
    <w:rsid w:val="00646FB8"/>
    <w:pPr>
      <w:widowControl/>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646FB8"/>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F120D6"/>
    <w:pPr>
      <w:tabs>
        <w:tab w:val="center" w:pos="4680"/>
        <w:tab w:val="right" w:pos="9360"/>
      </w:tabs>
    </w:pPr>
  </w:style>
  <w:style w:type="character" w:customStyle="1" w:styleId="HeaderChar">
    <w:name w:val="Header Char"/>
    <w:basedOn w:val="DefaultParagraphFont"/>
    <w:link w:val="Header"/>
    <w:uiPriority w:val="99"/>
    <w:rsid w:val="00F120D6"/>
  </w:style>
  <w:style w:type="paragraph" w:styleId="Footer">
    <w:name w:val="footer"/>
    <w:basedOn w:val="Normal"/>
    <w:link w:val="FooterChar"/>
    <w:uiPriority w:val="99"/>
    <w:unhideWhenUsed/>
    <w:rsid w:val="00F120D6"/>
    <w:pPr>
      <w:tabs>
        <w:tab w:val="center" w:pos="4680"/>
        <w:tab w:val="right" w:pos="9360"/>
      </w:tabs>
    </w:pPr>
  </w:style>
  <w:style w:type="character" w:customStyle="1" w:styleId="FooterChar">
    <w:name w:val="Footer Char"/>
    <w:basedOn w:val="DefaultParagraphFont"/>
    <w:link w:val="Footer"/>
    <w:uiPriority w:val="99"/>
    <w:rsid w:val="00F120D6"/>
  </w:style>
  <w:style w:type="paragraph" w:styleId="FootnoteText">
    <w:name w:val="footnote text"/>
    <w:basedOn w:val="Normal"/>
    <w:link w:val="FootnoteTextChar"/>
    <w:uiPriority w:val="99"/>
    <w:semiHidden/>
    <w:unhideWhenUsed/>
    <w:rsid w:val="006856E4"/>
    <w:rPr>
      <w:sz w:val="20"/>
      <w:szCs w:val="20"/>
    </w:rPr>
  </w:style>
  <w:style w:type="character" w:customStyle="1" w:styleId="FootnoteTextChar">
    <w:name w:val="Footnote Text Char"/>
    <w:basedOn w:val="DefaultParagraphFont"/>
    <w:link w:val="FootnoteText"/>
    <w:uiPriority w:val="99"/>
    <w:semiHidden/>
    <w:rsid w:val="006856E4"/>
    <w:rPr>
      <w:sz w:val="20"/>
      <w:szCs w:val="20"/>
    </w:rPr>
  </w:style>
  <w:style w:type="character" w:styleId="FootnoteReference">
    <w:name w:val="footnote reference"/>
    <w:basedOn w:val="DefaultParagraphFont"/>
    <w:uiPriority w:val="99"/>
    <w:semiHidden/>
    <w:unhideWhenUsed/>
    <w:rsid w:val="006856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legislature.gov/bills_laws/ors/ors183.html" TargetMode="External"/><Relationship Id="rId18" Type="http://schemas.openxmlformats.org/officeDocument/2006/relationships/hyperlink" Target="https://www.oregonlegislature.gov/bills_laws/or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stersund.joe@deq.state.or.us" TargetMode="External"/><Relationship Id="rId17" Type="http://schemas.openxmlformats.org/officeDocument/2006/relationships/hyperlink" Target="https://www.oregonlegislature.gov/bills_laws/ors/ors183.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legislature.gov/bills_laws/ors/ors183.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E7F49-3902-45C7-954E-5E40D5E4866F}">
  <ds:schemaRef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ListId:docs;"/>
    <ds:schemaRef ds:uri="http://schemas.microsoft.com/office/infopath/2007/PartnerControls"/>
  </ds:schemaRefs>
</ds:datastoreItem>
</file>

<file path=customXml/itemProps2.xml><?xml version="1.0" encoding="utf-8"?>
<ds:datastoreItem xmlns:ds="http://schemas.openxmlformats.org/officeDocument/2006/customXml" ds:itemID="{8595BA67-27A0-47FC-9C5A-9809EBBF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BD2A6-8B8C-42B5-A7CF-3E8C2C53F4DD}">
  <ds:schemaRefs>
    <ds:schemaRef ds:uri="http://schemas.microsoft.com/sharepoint/v3/contenttype/forms"/>
  </ds:schemaRefs>
</ds:datastoreItem>
</file>

<file path=customXml/itemProps4.xml><?xml version="1.0" encoding="utf-8"?>
<ds:datastoreItem xmlns:ds="http://schemas.openxmlformats.org/officeDocument/2006/customXml" ds:itemID="{0CB20783-A0C6-42EA-AF0B-DB404EA5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Narrative (Draft)</dc:title>
  <dc:creator>Joe Westersund</dc:creator>
  <cp:lastModifiedBy>WESTERSUND Joe</cp:lastModifiedBy>
  <cp:revision>10</cp:revision>
  <dcterms:created xsi:type="dcterms:W3CDTF">2016-05-25T09:22:00Z</dcterms:created>
  <dcterms:modified xsi:type="dcterms:W3CDTF">2016-06-07T18:07:00Z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LastSaved">
    <vt:filetime>2016-05-25T00:00:00Z</vt:filetime>
  </property>
  <property fmtid="{D5CDD505-2E9C-101B-9397-08002B2CF9AE}" pid="4" name="ContentTypeId">
    <vt:lpwstr>0x0101005DBCEEF682D8A148A4F17798E0326BA2</vt:lpwstr>
  </property>
</Properties>
</file>