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370DDB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p w14:paraId="70BFA228" w14:textId="77777777" w:rsidR="00377FA3" w:rsidRPr="00377FA3" w:rsidRDefault="00377FA3" w:rsidP="00377FA3">
      <w:pPr>
        <w:ind w:right="0"/>
        <w:outlineLvl w:val="9"/>
        <w:rPr>
          <w:rStyle w:val="Emphasis"/>
        </w:rPr>
        <w:sectPr w:rsidR="00377FA3" w:rsidRPr="00377FA3" w:rsidSect="00377FA3">
          <w:headerReference w:type="even" r:id="rId11"/>
          <w:headerReference w:type="default" r:id="rId12"/>
          <w:footerReference w:type="even" r:id="rId13"/>
          <w:footerReference w:type="default" r:id="rId14"/>
          <w:headerReference w:type="first" r:id="rId15"/>
          <w:footerReference w:type="first" r:id="rId16"/>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2E" w14:textId="77777777" w:rsidR="00377FA3" w:rsidRPr="00F406EC" w:rsidRDefault="00377FA3" w:rsidP="00377FA3">
      <w:pPr>
        <w:spacing w:after="120"/>
        <w:rPr>
          <w:sz w:val="28"/>
          <w:szCs w:val="28"/>
        </w:rPr>
      </w:pPr>
      <w:r w:rsidRPr="00F406EC">
        <w:rPr>
          <w:sz w:val="28"/>
          <w:szCs w:val="28"/>
        </w:rPr>
        <w:t>DEQ recommends that the Environmental Quality Commission adopt the proposed rules in Attachment A as part of Chapter 340 of the Oregon Administrative Rules.</w:t>
      </w:r>
    </w:p>
    <w:p w14:paraId="70BFA22F" w14:textId="77777777" w:rsidR="00377FA3" w:rsidRPr="00377FA3" w:rsidRDefault="00377FA3" w:rsidP="00377FA3">
      <w:pPr>
        <w:spacing w:after="120"/>
        <w:rPr>
          <w:color w:val="806000" w:themeColor="accent4" w:themeShade="80"/>
        </w:rPr>
      </w:pPr>
    </w:p>
    <w:p w14:paraId="70BFA23C"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70BFA23D"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70BFA23E"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70BFA23F"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70BFA240"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70BFA241"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70BFA242"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70BFA243"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70BFA244"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70BFA245"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ED70A5">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0BFA24B" w14:textId="77777777"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14:paraId="70BFA24C"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14:paraId="70BFA24D"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14:paraId="70BFA24E" w14:textId="77777777"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14:paraId="70BFA251" w14:textId="56EA0360" w:rsidR="00377FA3" w:rsidRPr="003939C0" w:rsidRDefault="00377FA3" w:rsidP="003939C0">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14:paraId="288A61F9" w14:textId="77777777" w:rsidR="00ED70A5" w:rsidRPr="00ED70A5" w:rsidRDefault="00ED70A5" w:rsidP="00ED70A5">
      <w:pPr>
        <w:keepNext/>
        <w:keepLines/>
        <w:spacing w:before="120" w:after="120"/>
        <w:ind w:left="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77777777" w:rsidR="00ED70A5" w:rsidRPr="00ED70A5" w:rsidRDefault="00ED70A5" w:rsidP="00ED70A5">
      <w:pPr>
        <w:ind w:left="0"/>
        <w:rPr>
          <w:bCs/>
        </w:rPr>
      </w:pPr>
      <w:r w:rsidRPr="00ED70A5">
        <w:rPr>
          <w:bCs/>
        </w:rPr>
        <w:t>DEQ proposes that the Oregon Environmental Quality Commission (EQC) approve the proposed rules, making the temporary art glass rules adopted by the EQC in April 2016 permanent, but potentially with some modifications.</w:t>
      </w:r>
    </w:p>
    <w:p w14:paraId="4B8023E7" w14:textId="77777777" w:rsidR="00ED70A5" w:rsidRPr="00ED70A5" w:rsidRDefault="00ED70A5" w:rsidP="00ED70A5">
      <w:pPr>
        <w:ind w:left="0"/>
        <w:rPr>
          <w:color w:val="000000"/>
        </w:rPr>
      </w:pPr>
    </w:p>
    <w:p w14:paraId="0DEE2E9C"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77777777" w:rsidR="00ED70A5" w:rsidRPr="00ED70A5" w:rsidRDefault="00ED70A5" w:rsidP="00ED70A5">
      <w:pPr>
        <w:ind w:left="0"/>
      </w:pPr>
      <w:r w:rsidRPr="00ED70A5">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ED70A5">
      <w:pPr>
        <w:ind w:left="0"/>
      </w:pPr>
    </w:p>
    <w:p w14:paraId="4BA914FC" w14:textId="77777777" w:rsidR="00ED70A5" w:rsidRPr="00ED70A5" w:rsidRDefault="00ED70A5" w:rsidP="00ED70A5">
      <w:pPr>
        <w:ind w:left="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ED70A5">
      <w:pPr>
        <w:ind w:left="0"/>
      </w:pPr>
    </w:p>
    <w:p w14:paraId="2648F089" w14:textId="77777777" w:rsidR="00ED70A5" w:rsidRPr="00ED70A5" w:rsidRDefault="00ED70A5" w:rsidP="00ED70A5">
      <w:pPr>
        <w:ind w:left="0"/>
      </w:pPr>
      <w:r w:rsidRPr="00ED70A5">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57408CAA" w14:textId="77777777" w:rsidR="00ED70A5" w:rsidRPr="00ED70A5" w:rsidRDefault="00ED70A5" w:rsidP="00ED70A5">
      <w:pPr>
        <w:ind w:left="0"/>
      </w:pPr>
    </w:p>
    <w:p w14:paraId="626127E1" w14:textId="77777777" w:rsidR="00ED70A5" w:rsidRPr="00ED70A5" w:rsidRDefault="00ED70A5" w:rsidP="00ED70A5">
      <w:pPr>
        <w:ind w:left="0"/>
      </w:pPr>
      <w:r w:rsidRPr="00ED70A5">
        <w:t>The U.S. Congress amended the Clean Air Act in 1990 to allow EPA to oversee the control of 188 hazardous air pollutants (HAPs) in order to protect human health. The EPA works with local and state governments to implement technologies that control the emission of these chemicals.</w:t>
      </w:r>
    </w:p>
    <w:p w14:paraId="4443BF93" w14:textId="77777777" w:rsidR="00ED70A5" w:rsidRPr="00ED70A5" w:rsidRDefault="00ED70A5" w:rsidP="00ED70A5">
      <w:pPr>
        <w:ind w:left="0"/>
      </w:pPr>
      <w:r w:rsidRPr="00ED70A5">
        <w:t xml:space="preserve"> </w:t>
      </w:r>
    </w:p>
    <w:p w14:paraId="76194643" w14:textId="77777777" w:rsidR="00ED70A5" w:rsidRPr="00ED70A5" w:rsidRDefault="00ED70A5" w:rsidP="00ED70A5">
      <w:pPr>
        <w:ind w:left="0"/>
      </w:pPr>
      <w:r w:rsidRPr="00ED70A5">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ED70A5">
      <w:pPr>
        <w:ind w:left="0"/>
      </w:pPr>
    </w:p>
    <w:p w14:paraId="78BC12AC" w14:textId="77777777" w:rsidR="00ED70A5" w:rsidRPr="00ED70A5" w:rsidRDefault="00ED70A5" w:rsidP="00ED70A5">
      <w:pPr>
        <w:ind w:left="0"/>
      </w:pPr>
      <w:r w:rsidRPr="00ED70A5">
        <w:lastRenderedPageBreak/>
        <w:t>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toxics benchmarks are designed to be very protective air concentrations that people could breathe for a lifetime without increasing their cancer risk beyond a chance of one in a million.</w:t>
      </w:r>
    </w:p>
    <w:p w14:paraId="62255628" w14:textId="77777777" w:rsidR="00ED70A5" w:rsidRPr="00ED70A5" w:rsidRDefault="00ED70A5" w:rsidP="00ED70A5">
      <w:pPr>
        <w:ind w:left="0"/>
      </w:pPr>
    </w:p>
    <w:p w14:paraId="4D67182B" w14:textId="77777777" w:rsidR="00ED70A5" w:rsidRPr="00ED70A5" w:rsidRDefault="00ED70A5" w:rsidP="00ED70A5">
      <w:pPr>
        <w:ind w:left="0"/>
      </w:pPr>
      <w:r w:rsidRPr="00ED70A5">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07170915" w14:textId="77777777" w:rsidR="00ED70A5" w:rsidRPr="00ED70A5" w:rsidRDefault="00ED70A5" w:rsidP="00ED70A5">
      <w:pPr>
        <w:ind w:left="0"/>
      </w:pPr>
    </w:p>
    <w:p w14:paraId="19C42DD8" w14:textId="77777777" w:rsidR="00ED70A5" w:rsidRPr="00ED70A5" w:rsidRDefault="00ED70A5" w:rsidP="00ED70A5">
      <w:pPr>
        <w:ind w:left="0"/>
      </w:pPr>
      <w:r w:rsidRPr="00ED70A5">
        <w:t>EQC adopted temporary rules on April 21, 2016 and this proposed rulemaking will make those rule changes permanent. If no action is taken those rules will expire 180 days after adoption, on October 18, 2016.</w:t>
      </w:r>
    </w:p>
    <w:p w14:paraId="161F6853" w14:textId="77777777" w:rsidR="00ED70A5" w:rsidRPr="00ED70A5" w:rsidRDefault="00ED70A5" w:rsidP="00ED70A5">
      <w:pPr>
        <w:ind w:left="0"/>
      </w:pPr>
    </w:p>
    <w:p w14:paraId="4DF1FC1D"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77777777" w:rsidR="00ED70A5" w:rsidRPr="00ED70A5" w:rsidRDefault="00ED70A5" w:rsidP="00ED70A5">
      <w:pPr>
        <w:ind w:left="0"/>
      </w:pPr>
      <w:r w:rsidRPr="00ED70A5">
        <w:t>The proposed rules apply to colored art glass manufacturers (CAGM) in the Portland Air Quality Maintenance Area (AQMA). DEQ is considering rule modifications that would make the proposed permanent rules apply to more sources than do the temporary rules, as noted below in the section titled “Request for other options”.</w:t>
      </w:r>
    </w:p>
    <w:p w14:paraId="5A5E6B3B" w14:textId="77777777" w:rsidR="00ED70A5" w:rsidRPr="00ED70A5" w:rsidRDefault="00ED70A5" w:rsidP="00ED70A5">
      <w:pPr>
        <w:ind w:left="0"/>
      </w:pPr>
    </w:p>
    <w:p w14:paraId="73448A5A" w14:textId="77777777" w:rsidR="00ED70A5" w:rsidRPr="00ED70A5" w:rsidRDefault="00ED70A5" w:rsidP="00ED70A5">
      <w:pPr>
        <w:ind w:left="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Pr="00ED70A5" w:rsidRDefault="00ED70A5" w:rsidP="00ED70A5">
      <w:pPr>
        <w:ind w:left="0"/>
      </w:pPr>
    </w:p>
    <w:p w14:paraId="6FACD48B" w14:textId="77777777" w:rsidR="00ED70A5" w:rsidRPr="00ED70A5" w:rsidRDefault="00ED70A5" w:rsidP="00ED70A5">
      <w:pPr>
        <w:keepNext/>
        <w:keepLines/>
        <w:spacing w:before="120" w:after="120"/>
        <w:ind w:left="0" w:right="0"/>
        <w:outlineLvl w:val="1"/>
        <w:rPr>
          <w:rFonts w:ascii="Arial" w:hAnsi="Arial"/>
          <w:b/>
          <w:bCs/>
          <w:color w:val="C45911"/>
          <w:szCs w:val="26"/>
        </w:rPr>
      </w:pPr>
      <w:r w:rsidRPr="00ED70A5">
        <w:rPr>
          <w:rFonts w:ascii="Arial" w:hAnsi="Arial"/>
          <w:b/>
          <w:bCs/>
          <w:szCs w:val="26"/>
        </w:rPr>
        <w:t>Request for other options</w:t>
      </w:r>
      <w:r w:rsidRPr="00ED70A5">
        <w:rPr>
          <w:rFonts w:ascii="Arial" w:hAnsi="Arial"/>
          <w:b/>
          <w:bCs/>
          <w:color w:val="3B3838"/>
          <w:szCs w:val="26"/>
        </w:rPr>
        <w:t xml:space="preserve"> </w:t>
      </w:r>
    </w:p>
    <w:p w14:paraId="5462DCD2" w14:textId="587D6EED" w:rsidR="00ED70A5" w:rsidRPr="00ED70A5" w:rsidRDefault="00ED70A5" w:rsidP="00ED70A5">
      <w:pPr>
        <w:ind w:left="0"/>
      </w:pPr>
      <w:r w:rsidRPr="00ED70A5">
        <w:t>During the pub</w:t>
      </w:r>
      <w:r w:rsidR="00427F57">
        <w:t>lic comment period, DEQ requested</w:t>
      </w:r>
      <w:r w:rsidRPr="00ED70A5">
        <w:t xml:space="preserve"> public comment on whether to consider other options for achieving the rules’ substantive goals while reducing the rules’ negative economic impact on business.</w:t>
      </w:r>
    </w:p>
    <w:p w14:paraId="6FBE35BC" w14:textId="77777777" w:rsidR="00ED70A5" w:rsidRPr="00ED70A5" w:rsidRDefault="00ED70A5" w:rsidP="00ED70A5">
      <w:pPr>
        <w:ind w:left="0"/>
      </w:pPr>
    </w:p>
    <w:p w14:paraId="6F205824" w14:textId="68402577" w:rsidR="00ED70A5" w:rsidRPr="00ED70A5" w:rsidRDefault="00ED70A5" w:rsidP="00ED70A5">
      <w:pPr>
        <w:ind w:left="0"/>
      </w:pPr>
      <w:r w:rsidRPr="00ED70A5">
        <w:t>In addition to comments on other aspects of the proposed rules</w:t>
      </w:r>
      <w:r w:rsidR="00427F57">
        <w:t>, DEQ specifically requested</w:t>
      </w:r>
      <w:r w:rsidRPr="00ED70A5">
        <w:t xml:space="preserve"> public input on these questions:</w:t>
      </w:r>
    </w:p>
    <w:p w14:paraId="46E25E2E" w14:textId="77777777" w:rsidR="00ED70A5" w:rsidRPr="00ED70A5" w:rsidRDefault="00ED70A5" w:rsidP="00ED70A5">
      <w:pPr>
        <w:ind w:left="0"/>
      </w:pPr>
    </w:p>
    <w:p w14:paraId="7543E359" w14:textId="77777777" w:rsidR="00ED70A5" w:rsidRPr="00ED70A5" w:rsidRDefault="00ED70A5" w:rsidP="00ED70A5">
      <w:pPr>
        <w:numPr>
          <w:ilvl w:val="0"/>
          <w:numId w:val="11"/>
        </w:numPr>
        <w:contextualSpacing/>
      </w:pPr>
      <w:r w:rsidRPr="00ED70A5">
        <w:t xml:space="preserve">Should the rule be modified to apply to sources that make less than 10 tons per year of colored art glass? If so, what threshold would be appropriate? If proposing a new threshold, what is the scientific/risk based rationale for the change? </w:t>
      </w:r>
    </w:p>
    <w:p w14:paraId="4875C8F7" w14:textId="77777777" w:rsidR="00ED70A5" w:rsidRPr="00ED70A5" w:rsidRDefault="00ED70A5" w:rsidP="00ED70A5">
      <w:pPr>
        <w:numPr>
          <w:ilvl w:val="0"/>
          <w:numId w:val="11"/>
        </w:numPr>
        <w:contextualSpacing/>
      </w:pPr>
      <w:r w:rsidRPr="00ED70A5">
        <w:t>Should the rule be modified to apply statewide, rather than only in the Portland AQMA?</w:t>
      </w:r>
    </w:p>
    <w:p w14:paraId="69AB7A7A" w14:textId="77777777" w:rsidR="00ED70A5" w:rsidRPr="00ED70A5" w:rsidRDefault="00ED70A5" w:rsidP="00ED70A5">
      <w:pPr>
        <w:numPr>
          <w:ilvl w:val="0"/>
          <w:numId w:val="11"/>
        </w:numPr>
        <w:contextualSpacing/>
      </w:pPr>
      <w:r w:rsidRPr="00ED70A5">
        <w:t>The temporary rule requires control devices be shown to capture at least 99.0% of incoming particulate matter. DEQ has received indications that, for some facilities, capturing enough particulate matter to show compliance with the 99.0% requirement may require an unmanageably long source test. DEQ seeks comment on whether replacing the 99.0% capture efficiency standard with an emissions standard at the control device outlet would be appropriate for Tier 1 or all facilities and if so, what emissions standard should be chosen. DEQ is considering a control device outlet particulate matter emission standard between 0.001 and 0.01 gr/dscf (grains per dry standard cubic foot of air) based on a range of emissions standards in federal air toxics rules.</w:t>
      </w:r>
    </w:p>
    <w:p w14:paraId="728696D9" w14:textId="77777777" w:rsidR="00ED70A5" w:rsidRPr="00ED70A5" w:rsidRDefault="00ED70A5" w:rsidP="00ED70A5">
      <w:pPr>
        <w:ind w:left="0"/>
        <w:sectPr w:rsidR="00ED70A5" w:rsidRPr="00ED70A5" w:rsidSect="00ED70A5">
          <w:footerReference w:type="default" r:id="rId17"/>
          <w:pgSz w:w="12240" w:h="15840"/>
          <w:pgMar w:top="1440" w:right="1440" w:bottom="1440" w:left="1440" w:header="720" w:footer="720" w:gutter="360"/>
          <w:cols w:space="720"/>
          <w:docGrid w:linePitch="360"/>
        </w:sectPr>
      </w:pP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lang w:eastAsia="zh-CN"/>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0BFA39B"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77777777" w:rsidR="00ED70A5" w:rsidRPr="00ED70A5" w:rsidRDefault="00ED70A5" w:rsidP="00ED70A5">
      <w:r w:rsidRPr="00ED70A5">
        <w:t>DEQ is addressing the need to control metals emissions from CAGM facilities. As DEQ recently determined through air monitoring and facility inspections, uncontrolled glass furnaces processing colored glass to which metal Hazardous Air Pollutants</w:t>
      </w:r>
      <w:r w:rsidRPr="00ED70A5">
        <w:rPr>
          <w:vertAlign w:val="superscript"/>
        </w:rPr>
        <w:footnoteReference w:id="1"/>
      </w:r>
      <w:r w:rsidRPr="00ED70A5">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51042726" w14:textId="77777777" w:rsidR="00ED70A5" w:rsidRPr="00ED70A5" w:rsidRDefault="00ED70A5" w:rsidP="00ED70A5"/>
    <w:p w14:paraId="275EC482"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7777777" w:rsidR="00ED70A5" w:rsidRPr="00ED70A5" w:rsidRDefault="00ED70A5" w:rsidP="00ED70A5">
      <w:pPr>
        <w:rPr>
          <w:color w:val="000000"/>
        </w:rPr>
      </w:pPr>
      <w:r w:rsidRPr="00ED70A5">
        <w:rPr>
          <w:color w:val="000000"/>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hexavalent chromium. The smaller Tier 1 CAGMs can install emission control devices on all furnaces using metal HAP, use source testing and modeling to demonstrate that emissions are below source impact levels without controls, or stop using metal HAP in one or more furnaces.</w:t>
      </w:r>
    </w:p>
    <w:p w14:paraId="50C96B57" w14:textId="77777777" w:rsidR="00ED70A5" w:rsidRPr="00ED70A5" w:rsidRDefault="00ED70A5" w:rsidP="00ED70A5">
      <w:pPr>
        <w:rPr>
          <w:color w:val="000000"/>
        </w:rPr>
      </w:pPr>
    </w:p>
    <w:p w14:paraId="5A27B974" w14:textId="77777777" w:rsidR="00ED70A5" w:rsidRPr="00ED70A5" w:rsidRDefault="00ED70A5" w:rsidP="00ED70A5">
      <w:r w:rsidRPr="00ED70A5">
        <w:rPr>
          <w:color w:val="000000"/>
        </w:rPr>
        <w:t xml:space="preserve">These rules would decrease the risk from airborne metal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77777777" w:rsidR="00ED70A5" w:rsidRPr="00ED70A5" w:rsidRDefault="00ED70A5" w:rsidP="00ED70A5">
      <w:pPr>
        <w:rPr>
          <w:color w:val="000000"/>
        </w:rPr>
      </w:pPr>
      <w:r w:rsidRPr="00ED70A5">
        <w:rPr>
          <w:color w:val="000000"/>
        </w:rPr>
        <w:t>The rule requires source testing to demonstrate the effectiveness of emissions control devices and to measure emissions in several other cases (hexavalent chromium emissions from Tier 2 facilities and metal HAP emissions from Tier 1 facilities opting to operate uncontrolled furnaces). Source testing will quantify metal HAP emissions and emissions reductions.</w:t>
      </w:r>
    </w:p>
    <w:p w14:paraId="55E0F77D" w14:textId="77777777" w:rsidR="00ED70A5" w:rsidRPr="00ED70A5" w:rsidRDefault="00ED70A5" w:rsidP="00ED70A5">
      <w:pPr>
        <w:rPr>
          <w:color w:val="000000"/>
        </w:rPr>
      </w:pPr>
    </w:p>
    <w:p w14:paraId="328353C6" w14:textId="77777777" w:rsidR="00ED70A5" w:rsidRPr="00ED70A5" w:rsidRDefault="00ED70A5" w:rsidP="00ED70A5">
      <w:pPr>
        <w:rPr>
          <w:color w:val="000000"/>
        </w:rPr>
      </w:pPr>
      <w:r w:rsidRPr="00ED70A5">
        <w:rPr>
          <w:color w:val="000000"/>
        </w:rPr>
        <w:t>DEQ is also performing ambient air monitoring near several CAGMs, which can verify whether metal HAP concentrations in the air people breathe have been reduced to safe levels.</w:t>
      </w:r>
    </w:p>
    <w:p w14:paraId="6C105E25" w14:textId="77777777" w:rsidR="00ED70A5" w:rsidRPr="00377FA3" w:rsidRDefault="00ED70A5" w:rsidP="00377FA3"/>
    <w:p w14:paraId="70BFA25E" w14:textId="77777777" w:rsidR="00377FA3" w:rsidRPr="00377FA3" w:rsidRDefault="00377FA3" w:rsidP="00377FA3"/>
    <w:p w14:paraId="70BFA25F"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lang w:eastAsia="zh-CN"/>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D"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5" w14:textId="77777777" w:rsidR="00377FA3" w:rsidRPr="00377FA3" w:rsidRDefault="00377FA3" w:rsidP="00377FA3"/>
    <w:p w14:paraId="70BFA266" w14:textId="77777777" w:rsidR="00377FA3" w:rsidRDefault="00377FA3" w:rsidP="00377FA3"/>
    <w:p w14:paraId="431AF6B2"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ED70A5">
      <w:pPr>
        <w:tabs>
          <w:tab w:val="left" w:pos="4500"/>
        </w:tabs>
        <w:ind w:left="0"/>
      </w:pPr>
      <w:r w:rsidRPr="00ED70A5">
        <w:t>Operations</w:t>
      </w:r>
    </w:p>
    <w:p w14:paraId="79AA2934" w14:textId="77777777" w:rsidR="00ED70A5" w:rsidRPr="00ED70A5" w:rsidRDefault="00ED70A5" w:rsidP="00ED70A5">
      <w:pPr>
        <w:keepNext/>
        <w:keepLines/>
        <w:spacing w:before="120" w:after="120"/>
        <w:ind w:left="0"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ED70A5">
      <w:pPr>
        <w:tabs>
          <w:tab w:val="left" w:pos="4500"/>
        </w:tabs>
        <w:ind w:left="0"/>
      </w:pPr>
      <w:r w:rsidRPr="00ED70A5">
        <w:t>Program Operations</w:t>
      </w:r>
    </w:p>
    <w:p w14:paraId="4349755E"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8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ED70A5">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r w:rsidRPr="00ED70A5">
              <w:t>OAR 340-244-0010</w:t>
            </w:r>
          </w:p>
        </w:tc>
      </w:tr>
    </w:tbl>
    <w:p w14:paraId="03C9C9AD" w14:textId="77777777" w:rsidR="00ED70A5" w:rsidRPr="00ED70A5" w:rsidRDefault="00ED70A5" w:rsidP="00ED70A5">
      <w:pPr>
        <w:ind w:left="0"/>
      </w:pPr>
    </w:p>
    <w:p w14:paraId="6F4AA3B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ED70A5">
      <w:pPr>
        <w:ind w:left="0"/>
      </w:pPr>
      <w:r w:rsidRPr="00ED70A5">
        <w:t>ORS 468.020, 468A.025, 468A.040, 468A.055, 468A.070 and 468A.310</w:t>
      </w:r>
    </w:p>
    <w:p w14:paraId="3FA4F26A"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ED70A5">
      <w:pPr>
        <w:ind w:left="0" w:right="14"/>
      </w:pPr>
      <w:r w:rsidRPr="00ED70A5">
        <w:t>ORS 468A.025, 468A.040, 468A.055, 468A.070 &amp; 468A.310</w:t>
      </w:r>
    </w:p>
    <w:p w14:paraId="03BE6B9B" w14:textId="77777777" w:rsidR="00ED70A5" w:rsidRPr="00ED70A5" w:rsidRDefault="00ED70A5" w:rsidP="00ED70A5">
      <w:pPr>
        <w:ind w:left="0"/>
      </w:pPr>
    </w:p>
    <w:p w14:paraId="3B32CA03" w14:textId="77777777" w:rsidR="00ED70A5" w:rsidRPr="00ED70A5" w:rsidRDefault="00ED70A5" w:rsidP="00ED70A5">
      <w:pPr>
        <w:ind w:left="0"/>
        <w:rPr>
          <w:u w:val="single"/>
        </w:rPr>
      </w:pPr>
      <w:bookmarkStart w:id="0" w:name="SupportingDocuments"/>
      <w:r w:rsidRPr="00ED70A5">
        <w:rPr>
          <w:rFonts w:ascii="Arial" w:hAnsi="Arial"/>
          <w:b/>
          <w:bCs/>
          <w:szCs w:val="26"/>
        </w:rPr>
        <w:t xml:space="preserve">Documents relied on for rulemaking </w:t>
      </w:r>
      <w:bookmarkEnd w:id="0"/>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ED70A5">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ED70A5">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945AC8" w:rsidP="00ED70A5">
            <w:pPr>
              <w:ind w:left="0"/>
              <w:rPr>
                <w:rFonts w:ascii="Times New Roman" w:hAnsi="Times New Roman" w:cs="Times New Roman"/>
                <w:color w:val="000000"/>
              </w:rPr>
            </w:pPr>
            <w:hyperlink r:id="rId18"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lang w:eastAsia="zh-CN"/>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9F"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ED70A5">
      <w:pPr>
        <w:ind w:left="0"/>
      </w:pPr>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lang w:eastAsia="zh-CN"/>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1"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Fiscal and Economic Impact</w:t>
      </w:r>
    </w:p>
    <w:p w14:paraId="1BE6C317" w14:textId="77777777" w:rsidR="00ED70A5" w:rsidRPr="00ED70A5" w:rsidRDefault="00ED70A5" w:rsidP="00ED70A5">
      <w:pPr>
        <w:ind w:left="0"/>
      </w:pPr>
      <w:r w:rsidRPr="00ED70A5">
        <w:t>The proposed change to make the CAGM rules permanent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ED70A5">
      <w:pPr>
        <w:ind w:left="0"/>
        <w:rPr>
          <w:rFonts w:ascii="Arial" w:hAnsi="Arial" w:cs="Arial"/>
          <w:szCs w:val="22"/>
        </w:rPr>
      </w:pPr>
      <w:r w:rsidRPr="00ED70A5">
        <w:tab/>
      </w:r>
    </w:p>
    <w:p w14:paraId="19C51C82" w14:textId="77777777" w:rsidR="00ED70A5" w:rsidRPr="00ED70A5" w:rsidRDefault="00ED70A5" w:rsidP="00ED70A5">
      <w:pPr>
        <w:keepNext/>
        <w:keepLines/>
        <w:spacing w:before="120" w:after="120"/>
        <w:ind w:left="0"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ED70A5">
      <w:pPr>
        <w:ind w:left="0"/>
      </w:pPr>
    </w:p>
    <w:p w14:paraId="6562D74C" w14:textId="77777777" w:rsidR="00ED70A5" w:rsidRPr="00ED70A5" w:rsidRDefault="00ED70A5" w:rsidP="00ED70A5">
      <w:pPr>
        <w:spacing w:after="120"/>
        <w:ind w:left="0"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ED70A5">
      <w:pPr>
        <w:ind w:left="0"/>
      </w:pPr>
    </w:p>
    <w:p w14:paraId="7C656F65" w14:textId="77777777" w:rsidR="00ED70A5" w:rsidRPr="00ED70A5" w:rsidRDefault="00ED70A5" w:rsidP="00ED70A5">
      <w:pPr>
        <w:ind w:left="0"/>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ED70A5">
      <w:pPr>
        <w:ind w:left="0"/>
        <w:rPr>
          <w:bCs/>
          <w:color w:val="000000"/>
        </w:rPr>
      </w:pPr>
    </w:p>
    <w:p w14:paraId="7FE85112" w14:textId="77777777" w:rsidR="00ED70A5" w:rsidRPr="00ED70A5" w:rsidRDefault="00ED70A5" w:rsidP="00ED70A5">
      <w:pPr>
        <w:ind w:left="0"/>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ED70A5">
      <w:pPr>
        <w:ind w:left="0"/>
        <w:rPr>
          <w:bCs/>
        </w:rPr>
      </w:pPr>
    </w:p>
    <w:p w14:paraId="25A5A087" w14:textId="77777777" w:rsidR="00ED70A5" w:rsidRPr="00ED70A5" w:rsidRDefault="00ED70A5" w:rsidP="00ED70A5">
      <w:pPr>
        <w:ind w:left="0"/>
      </w:pPr>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ED70A5">
      <w:pPr>
        <w:keepNext/>
        <w:keepLines/>
        <w:spacing w:before="40"/>
        <w:ind w:left="0"/>
        <w:outlineLvl w:val="2"/>
        <w:rPr>
          <w:rFonts w:ascii="Arial" w:eastAsia="SimHei" w:hAnsi="Arial"/>
        </w:rPr>
      </w:pPr>
    </w:p>
    <w:p w14:paraId="113C62FB"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ED70A5">
      <w:pPr>
        <w:ind w:left="0"/>
      </w:pPr>
    </w:p>
    <w:p w14:paraId="30327A01" w14:textId="77777777" w:rsidR="00ED70A5" w:rsidRPr="00ED70A5" w:rsidRDefault="00ED70A5" w:rsidP="00ED70A5">
      <w:pPr>
        <w:ind w:left="0"/>
        <w:rPr>
          <w:bCs/>
        </w:rPr>
      </w:pPr>
      <w:r w:rsidRPr="00ED70A5">
        <w:rPr>
          <w:bCs/>
        </w:rPr>
        <w:t>DEQ does not anticipate indirect impacts to DEQ or other state and federal agencies.</w:t>
      </w:r>
    </w:p>
    <w:p w14:paraId="1B7F5786" w14:textId="77777777" w:rsidR="00ED70A5" w:rsidRPr="00ED70A5" w:rsidRDefault="00ED70A5" w:rsidP="00ED70A5">
      <w:pPr>
        <w:ind w:left="0"/>
      </w:pPr>
    </w:p>
    <w:p w14:paraId="7F4D7D60"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ED70A5">
      <w:pPr>
        <w:keepNext/>
        <w:keepLines/>
        <w:spacing w:before="40"/>
        <w:ind w:left="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ED70A5">
      <w:pPr>
        <w:ind w:left="0"/>
      </w:pPr>
    </w:p>
    <w:p w14:paraId="64751259"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ED70A5">
      <w:pPr>
        <w:ind w:left="0"/>
        <w:rPr>
          <w:bCs/>
        </w:rPr>
      </w:pPr>
    </w:p>
    <w:p w14:paraId="01A5C126" w14:textId="77777777" w:rsidR="00ED70A5" w:rsidRPr="00ED70A5" w:rsidRDefault="00ED70A5" w:rsidP="00ED70A5">
      <w:pPr>
        <w:ind w:left="0"/>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ED70A5">
      <w:pPr>
        <w:ind w:left="0"/>
        <w:rPr>
          <w:bCs/>
        </w:rPr>
      </w:pPr>
    </w:p>
    <w:p w14:paraId="53189057"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ED70A5">
      <w:pPr>
        <w:ind w:left="0"/>
      </w:pPr>
    </w:p>
    <w:p w14:paraId="1D9699A8" w14:textId="77777777" w:rsidR="00ED70A5" w:rsidRPr="00ED70A5" w:rsidRDefault="00ED70A5" w:rsidP="00ED70A5">
      <w:pPr>
        <w:ind w:left="0"/>
        <w:rPr>
          <w:bCs/>
        </w:rPr>
      </w:pPr>
      <w:r w:rsidRPr="00ED70A5">
        <w:rPr>
          <w:bCs/>
        </w:rPr>
        <w:t>The proposed rules are intended to measure and reduce emissions of metal HAPs from the CAGMs subject to the rule. Decreased emissions of metal HAPs and other particulate matter may have significant health benefits for the public, particularly those who live, work or otherwise spend significant time near a CAGM.</w:t>
      </w:r>
    </w:p>
    <w:p w14:paraId="3591761B" w14:textId="77777777" w:rsidR="00ED70A5" w:rsidRPr="00ED70A5" w:rsidRDefault="00ED70A5" w:rsidP="00ED70A5">
      <w:pPr>
        <w:ind w:left="0"/>
        <w:rPr>
          <w:bCs/>
        </w:rPr>
      </w:pPr>
    </w:p>
    <w:p w14:paraId="286CCCDE" w14:textId="77777777" w:rsidR="00ED70A5" w:rsidRPr="00ED70A5" w:rsidRDefault="00ED70A5" w:rsidP="00ED70A5">
      <w:pPr>
        <w:ind w:left="0"/>
        <w:rPr>
          <w:bCs/>
        </w:rPr>
      </w:pPr>
      <w:r w:rsidRPr="00ED70A5">
        <w:rPr>
          <w:bCs/>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ED70A5">
      <w:pPr>
        <w:ind w:left="0"/>
        <w:rPr>
          <w:bCs/>
          <w:color w:val="000000"/>
        </w:rPr>
      </w:pPr>
    </w:p>
    <w:p w14:paraId="125A98C4" w14:textId="77777777" w:rsidR="00ED70A5" w:rsidRPr="00ED70A5" w:rsidRDefault="00ED70A5" w:rsidP="00ED70A5">
      <w:pPr>
        <w:ind w:left="0"/>
        <w:rPr>
          <w:bCs/>
          <w:color w:val="000000"/>
        </w:rPr>
      </w:pPr>
      <w:r w:rsidRPr="00ED70A5">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ED70A5">
      <w:pPr>
        <w:ind w:left="0"/>
        <w:rPr>
          <w:bCs/>
          <w:color w:val="000000"/>
        </w:rPr>
      </w:pPr>
    </w:p>
    <w:p w14:paraId="6ADF4D9B" w14:textId="77777777" w:rsidR="00ED70A5" w:rsidRPr="00ED70A5" w:rsidRDefault="00ED70A5" w:rsidP="00ED70A5">
      <w:pPr>
        <w:ind w:left="0"/>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13B1232E" w14:textId="77777777" w:rsidR="00ED70A5" w:rsidRPr="00ED70A5" w:rsidRDefault="00ED70A5" w:rsidP="00ED70A5">
      <w:pPr>
        <w:ind w:left="0"/>
        <w:rPr>
          <w:bCs/>
          <w:color w:val="000000"/>
        </w:rPr>
      </w:pPr>
    </w:p>
    <w:p w14:paraId="0D9F5688" w14:textId="77777777" w:rsidR="00ED70A5" w:rsidRPr="00ED70A5" w:rsidRDefault="00ED70A5" w:rsidP="00ED70A5">
      <w:pPr>
        <w:ind w:left="0"/>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ED70A5">
      <w:pPr>
        <w:ind w:left="0"/>
        <w:rPr>
          <w:bCs/>
          <w:color w:val="000000"/>
        </w:rPr>
      </w:pPr>
    </w:p>
    <w:p w14:paraId="6124B2D8" w14:textId="77777777" w:rsidR="00ED70A5" w:rsidRPr="00ED70A5" w:rsidRDefault="00ED70A5" w:rsidP="00ED70A5">
      <w:pPr>
        <w:ind w:left="0"/>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ED70A5">
      <w:pPr>
        <w:ind w:left="0"/>
        <w:rPr>
          <w:bCs/>
          <w:color w:val="000000"/>
        </w:rPr>
      </w:pPr>
    </w:p>
    <w:p w14:paraId="5FD2B70C" w14:textId="77777777" w:rsidR="00ED70A5" w:rsidRPr="00ED70A5" w:rsidRDefault="00ED70A5" w:rsidP="00ED70A5">
      <w:pPr>
        <w:ind w:left="0"/>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ED70A5">
      <w:pPr>
        <w:ind w:left="0"/>
        <w:rPr>
          <w:bCs/>
          <w:color w:val="000000"/>
        </w:rPr>
      </w:pPr>
    </w:p>
    <w:p w14:paraId="729A5311" w14:textId="77777777" w:rsidR="00ED70A5" w:rsidRPr="00ED70A5" w:rsidRDefault="00ED70A5" w:rsidP="00ED70A5">
      <w:pPr>
        <w:ind w:left="0"/>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ED70A5">
      <w:pPr>
        <w:ind w:left="0"/>
      </w:pPr>
    </w:p>
    <w:p w14:paraId="154C09F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21268572"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ED70A5">
      <w:pPr>
        <w:ind w:left="0"/>
        <w:rPr>
          <w:bCs/>
        </w:rPr>
      </w:pPr>
    </w:p>
    <w:p w14:paraId="183916CA" w14:textId="77777777" w:rsidR="00ED70A5" w:rsidRPr="00ED70A5" w:rsidRDefault="00ED70A5" w:rsidP="00ED70A5">
      <w:pPr>
        <w:ind w:left="0"/>
        <w:rPr>
          <w:bCs/>
        </w:rPr>
      </w:pPr>
      <w:r w:rsidRPr="00ED70A5">
        <w:rPr>
          <w:bCs/>
        </w:rPr>
        <w:lastRenderedPageBreak/>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ED70A5">
      <w:pPr>
        <w:ind w:left="0"/>
        <w:rPr>
          <w:bCs/>
          <w:color w:val="000000"/>
        </w:rPr>
      </w:pPr>
    </w:p>
    <w:p w14:paraId="6FEC191B" w14:textId="77777777" w:rsidR="00ED70A5" w:rsidRPr="00ED70A5" w:rsidRDefault="00ED70A5" w:rsidP="00ED70A5">
      <w:pPr>
        <w:ind w:left="0"/>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ED70A5">
      <w:pPr>
        <w:ind w:left="0"/>
        <w:rPr>
          <w:bCs/>
          <w:color w:val="000000"/>
        </w:rPr>
      </w:pPr>
    </w:p>
    <w:p w14:paraId="4D9C04AE" w14:textId="77777777" w:rsidR="00ED70A5" w:rsidRPr="00ED70A5" w:rsidRDefault="00ED70A5" w:rsidP="00ED70A5">
      <w:pPr>
        <w:ind w:left="0"/>
        <w:rPr>
          <w:bCs/>
          <w:color w:val="000000"/>
        </w:rPr>
      </w:pPr>
      <w:r w:rsidRPr="00ED70A5">
        <w:rPr>
          <w:bCs/>
          <w:color w:val="000000"/>
        </w:rPr>
        <w:t xml:space="preserve">If no additional baghouse costs were attributable to the proposed rule, compliance with the proposed rule would cost Bullseye about </w:t>
      </w:r>
      <w:commentRangeStart w:id="1"/>
      <w:r w:rsidRPr="00ED70A5">
        <w:rPr>
          <w:bCs/>
          <w:color w:val="000000"/>
        </w:rPr>
        <w:t>$70,000 to $100,000</w:t>
      </w:r>
      <w:commentRangeEnd w:id="1"/>
      <w:r w:rsidR="003F111E">
        <w:rPr>
          <w:rStyle w:val="CommentReference"/>
        </w:rPr>
        <w:commentReference w:id="1"/>
      </w:r>
      <w:r w:rsidRPr="00ED70A5">
        <w:rPr>
          <w:bCs/>
          <w:color w:val="000000"/>
        </w:rPr>
        <w:t xml:space="preserve"> in initial costs for permitting, source testing, and modeling, with no ongoing costs. </w:t>
      </w:r>
    </w:p>
    <w:p w14:paraId="756C7581" w14:textId="77777777" w:rsidR="00ED70A5" w:rsidRPr="00ED70A5" w:rsidRDefault="00ED70A5" w:rsidP="00ED70A5">
      <w:pPr>
        <w:ind w:left="0"/>
        <w:rPr>
          <w:bCs/>
          <w:color w:val="000000"/>
        </w:rPr>
      </w:pPr>
    </w:p>
    <w:p w14:paraId="5CE4BE16" w14:textId="77777777" w:rsidR="00ED70A5" w:rsidRPr="00ED70A5" w:rsidRDefault="00ED70A5" w:rsidP="00ED70A5">
      <w:pPr>
        <w:ind w:left="0"/>
        <w:rPr>
          <w:bCs/>
          <w:color w:val="000000"/>
        </w:rPr>
      </w:pPr>
      <w:r w:rsidRPr="00ED70A5">
        <w:rPr>
          <w:bCs/>
          <w:color w:val="000000"/>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4E5D454E" w14:textId="77777777" w:rsidR="00ED70A5" w:rsidRPr="00ED70A5" w:rsidRDefault="00ED70A5" w:rsidP="00ED70A5">
      <w:pPr>
        <w:ind w:left="0"/>
        <w:rPr>
          <w:bCs/>
          <w:color w:val="000000"/>
        </w:rPr>
      </w:pPr>
    </w:p>
    <w:p w14:paraId="6B38B014" w14:textId="77777777" w:rsidR="00ED70A5" w:rsidRPr="00ED70A5" w:rsidRDefault="00ED70A5" w:rsidP="00ED70A5">
      <w:pPr>
        <w:ind w:left="0"/>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ED70A5">
      <w:pPr>
        <w:ind w:left="0"/>
        <w:rPr>
          <w:bCs/>
          <w:color w:val="000000"/>
        </w:rPr>
      </w:pPr>
    </w:p>
    <w:p w14:paraId="262703C7"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41C8B3FF" w14:textId="77777777" w:rsidR="00ED70A5" w:rsidRPr="00ED70A5" w:rsidRDefault="00ED70A5" w:rsidP="00ED70A5">
      <w:pPr>
        <w:keepNext/>
        <w:keepLines/>
        <w:spacing w:before="40"/>
        <w:ind w:left="0"/>
        <w:outlineLvl w:val="2"/>
        <w:rPr>
          <w:rFonts w:ascii="Arial" w:eastAsia="SimHei" w:hAnsi="Arial"/>
          <w:color w:val="000000"/>
        </w:rPr>
      </w:pPr>
    </w:p>
    <w:p w14:paraId="4BAE1B26"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ED70A5">
      <w:pPr>
        <w:ind w:left="0"/>
        <w:rPr>
          <w:bCs/>
          <w:color w:val="000000"/>
        </w:rPr>
      </w:pPr>
    </w:p>
    <w:p w14:paraId="4A5A524E" w14:textId="77777777" w:rsidR="00ED70A5" w:rsidRPr="00ED70A5" w:rsidRDefault="00ED70A5" w:rsidP="00ED70A5">
      <w:pPr>
        <w:ind w:left="0"/>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ED70A5">
      <w:pPr>
        <w:ind w:left="0"/>
      </w:pPr>
    </w:p>
    <w:p w14:paraId="55F6881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ED70A5">
      <w:pPr>
        <w:keepNext/>
        <w:keepLines/>
        <w:spacing w:before="40"/>
        <w:ind w:left="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ED70A5">
      <w:pPr>
        <w:ind w:left="0"/>
        <w:rPr>
          <w:bCs/>
        </w:rPr>
      </w:pPr>
    </w:p>
    <w:p w14:paraId="7AB88861" w14:textId="77777777" w:rsidR="00ED70A5" w:rsidRPr="00ED70A5" w:rsidRDefault="00ED70A5" w:rsidP="00ED70A5">
      <w:pPr>
        <w:ind w:left="0"/>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ED70A5">
      <w:pPr>
        <w:ind w:left="0"/>
        <w:rPr>
          <w:bCs/>
        </w:rPr>
      </w:pPr>
    </w:p>
    <w:p w14:paraId="1B09F5EE" w14:textId="77777777" w:rsidR="00ED70A5" w:rsidRPr="00ED70A5" w:rsidRDefault="00ED70A5" w:rsidP="00ED70A5">
      <w:pPr>
        <w:ind w:left="0"/>
        <w:rPr>
          <w:bCs/>
        </w:rPr>
      </w:pPr>
      <w:r w:rsidRPr="00ED70A5">
        <w:rPr>
          <w:bCs/>
        </w:rPr>
        <w:t>Of these, one (Uroboros Glass Studios, Inc.) is in Tier 2 of the proposed rules. The other three (Glass Alchemy, Northstar Glassworks, and Trautman Art Glass) are in Tier 1.</w:t>
      </w:r>
    </w:p>
    <w:p w14:paraId="682C7530" w14:textId="77777777" w:rsidR="00ED70A5" w:rsidRPr="00ED70A5" w:rsidRDefault="00ED70A5" w:rsidP="00ED70A5">
      <w:pPr>
        <w:ind w:left="0"/>
        <w:rPr>
          <w:bCs/>
        </w:rPr>
      </w:pPr>
    </w:p>
    <w:p w14:paraId="0C98A874" w14:textId="77777777" w:rsidR="00ED70A5" w:rsidRPr="00ED70A5" w:rsidRDefault="00ED70A5" w:rsidP="00ED70A5">
      <w:pPr>
        <w:ind w:left="0"/>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578320D6" w14:textId="77777777" w:rsidR="00ED70A5" w:rsidRPr="00ED70A5" w:rsidRDefault="00ED70A5" w:rsidP="00ED70A5">
      <w:pPr>
        <w:ind w:left="0"/>
        <w:rPr>
          <w:bCs/>
          <w:color w:val="000000"/>
        </w:rPr>
      </w:pPr>
    </w:p>
    <w:p w14:paraId="5C8FA282" w14:textId="77777777" w:rsidR="00ED70A5" w:rsidRPr="00ED70A5" w:rsidRDefault="00ED70A5" w:rsidP="00ED70A5">
      <w:pPr>
        <w:ind w:left="0"/>
        <w:rPr>
          <w:bCs/>
          <w:color w:val="000000"/>
        </w:rPr>
      </w:pPr>
      <w:r w:rsidRPr="00ED70A5">
        <w:rPr>
          <w:bCs/>
          <w:color w:val="000000"/>
        </w:rPr>
        <w:lastRenderedPageBreak/>
        <w:t>If no additional baghouse costs were attributable to the proposed rule, compliance with the proposed rule would cost Uroboros about $</w:t>
      </w:r>
      <w:commentRangeStart w:id="2"/>
      <w:r w:rsidRPr="00ED70A5">
        <w:rPr>
          <w:bCs/>
          <w:color w:val="000000"/>
        </w:rPr>
        <w:t xml:space="preserve">66,000 to $89,000 </w:t>
      </w:r>
      <w:commentRangeEnd w:id="2"/>
      <w:r w:rsidR="003F111E">
        <w:rPr>
          <w:rStyle w:val="CommentReference"/>
        </w:rPr>
        <w:commentReference w:id="2"/>
      </w:r>
      <w:r w:rsidRPr="00ED70A5">
        <w:rPr>
          <w:bCs/>
          <w:color w:val="000000"/>
        </w:rPr>
        <w:t xml:space="preserve">in initial costs for permitting, source testing, and modeling, with no ongoing costs. </w:t>
      </w:r>
    </w:p>
    <w:p w14:paraId="0D5A3D3B" w14:textId="77777777" w:rsidR="00ED70A5" w:rsidRPr="00ED70A5" w:rsidRDefault="00ED70A5" w:rsidP="00ED70A5">
      <w:pPr>
        <w:ind w:left="0"/>
        <w:rPr>
          <w:bCs/>
          <w:color w:val="000000"/>
        </w:rPr>
      </w:pPr>
    </w:p>
    <w:p w14:paraId="59EBB867" w14:textId="77777777" w:rsidR="00ED70A5" w:rsidRPr="00ED70A5" w:rsidRDefault="00ED70A5" w:rsidP="00ED70A5">
      <w:pPr>
        <w:ind w:left="0"/>
        <w:rPr>
          <w:bCs/>
          <w:color w:val="000000"/>
        </w:rPr>
      </w:pPr>
      <w:r w:rsidRPr="00ED70A5">
        <w:rPr>
          <w:bCs/>
          <w:color w:val="000000"/>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430E3B8F" w14:textId="77777777" w:rsidR="00ED70A5" w:rsidRPr="00ED70A5" w:rsidRDefault="00ED70A5" w:rsidP="00ED70A5">
      <w:pPr>
        <w:ind w:left="0"/>
        <w:rPr>
          <w:bCs/>
          <w:color w:val="000000"/>
        </w:rPr>
      </w:pPr>
    </w:p>
    <w:p w14:paraId="140FA542" w14:textId="77777777" w:rsidR="00ED70A5" w:rsidRPr="00ED70A5" w:rsidRDefault="00ED70A5" w:rsidP="00ED70A5">
      <w:pPr>
        <w:ind w:left="0"/>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ED70A5">
      <w:pPr>
        <w:ind w:left="0"/>
        <w:rPr>
          <w:bCs/>
          <w:color w:val="000000"/>
        </w:rPr>
      </w:pPr>
    </w:p>
    <w:p w14:paraId="36776910" w14:textId="77777777" w:rsidR="00ED70A5" w:rsidRPr="00ED70A5" w:rsidRDefault="00ED70A5" w:rsidP="00ED70A5">
      <w:pPr>
        <w:ind w:left="0"/>
        <w:rPr>
          <w:bCs/>
          <w:color w:val="000000"/>
        </w:rPr>
      </w:pPr>
      <w:r w:rsidRPr="00ED70A5">
        <w:rPr>
          <w:bCs/>
          <w:color w:val="000000"/>
        </w:rPr>
        <w:t>One option is to install an emissions control device such as a baghouse. DEQ estimates that the cost of compliance through this method is approximately $</w:t>
      </w:r>
      <w:commentRangeStart w:id="3"/>
      <w:r w:rsidRPr="00ED70A5">
        <w:rPr>
          <w:bCs/>
          <w:color w:val="000000"/>
        </w:rPr>
        <w:t xml:space="preserve">261,000 to $422,000 </w:t>
      </w:r>
      <w:commentRangeEnd w:id="3"/>
      <w:r w:rsidR="003F111E">
        <w:rPr>
          <w:rStyle w:val="CommentReference"/>
        </w:rPr>
        <w:commentReference w:id="3"/>
      </w:r>
      <w:r w:rsidRPr="00ED70A5">
        <w:rPr>
          <w:bCs/>
          <w:color w:val="000000"/>
        </w:rPr>
        <w:t>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1E064E1A" w14:textId="77777777" w:rsidR="00ED70A5" w:rsidRPr="00ED70A5" w:rsidRDefault="00ED70A5" w:rsidP="00ED70A5">
      <w:pPr>
        <w:ind w:left="0"/>
        <w:rPr>
          <w:bCs/>
          <w:color w:val="000000"/>
        </w:rPr>
      </w:pPr>
    </w:p>
    <w:p w14:paraId="72EEF344" w14:textId="77777777" w:rsidR="00ED70A5" w:rsidRPr="00ED70A5" w:rsidRDefault="00ED70A5" w:rsidP="00ED70A5">
      <w:pPr>
        <w:ind w:left="0"/>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ED70A5">
      <w:pPr>
        <w:ind w:left="0"/>
        <w:rPr>
          <w:bCs/>
          <w:color w:val="000000"/>
        </w:rPr>
      </w:pPr>
    </w:p>
    <w:p w14:paraId="53DA5DD4" w14:textId="77777777" w:rsidR="00ED70A5" w:rsidRPr="00ED70A5" w:rsidRDefault="00ED70A5" w:rsidP="00ED70A5">
      <w:pPr>
        <w:ind w:left="0"/>
        <w:rPr>
          <w:bCs/>
          <w:color w:val="000000"/>
        </w:rPr>
      </w:pPr>
      <w:r w:rsidRPr="00ED70A5">
        <w:rPr>
          <w:bCs/>
          <w:color w:val="000000"/>
        </w:rPr>
        <w:t>Tier 1 CAGMs also have the option to stop using some or all of the metal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ED70A5">
      <w:pPr>
        <w:ind w:left="0"/>
        <w:rPr>
          <w:bCs/>
          <w:color w:val="000000"/>
        </w:rPr>
      </w:pPr>
    </w:p>
    <w:p w14:paraId="0B771CC6" w14:textId="77777777" w:rsidR="00ED70A5" w:rsidRPr="00ED70A5" w:rsidRDefault="00ED70A5" w:rsidP="00ED70A5">
      <w:pPr>
        <w:ind w:left="0"/>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ED70A5">
      <w:pPr>
        <w:ind w:left="0"/>
        <w:rPr>
          <w:bCs/>
          <w:color w:val="000000"/>
        </w:rPr>
      </w:pPr>
    </w:p>
    <w:p w14:paraId="1A9A8620" w14:textId="77777777" w:rsidR="00ED70A5" w:rsidRPr="00ED70A5" w:rsidRDefault="00ED70A5" w:rsidP="00ED70A5">
      <w:pPr>
        <w:ind w:left="0"/>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ED70A5">
      <w:pPr>
        <w:ind w:left="0"/>
        <w:rPr>
          <w:bCs/>
          <w:color w:val="000000"/>
        </w:rPr>
      </w:pPr>
    </w:p>
    <w:p w14:paraId="7C4A8752" w14:textId="77777777" w:rsidR="00ED70A5" w:rsidRPr="00ED70A5" w:rsidRDefault="00ED70A5" w:rsidP="00ED70A5">
      <w:pPr>
        <w:ind w:left="0"/>
        <w:rPr>
          <w:bCs/>
          <w:color w:val="000000"/>
        </w:rPr>
      </w:pPr>
      <w:r w:rsidRPr="00ED70A5">
        <w:rPr>
          <w:bCs/>
          <w:color w:val="000000"/>
        </w:rPr>
        <w:t>Further details on these cost estimates can be found in Attachment A.</w:t>
      </w:r>
    </w:p>
    <w:p w14:paraId="523648DA" w14:textId="77777777" w:rsidR="00ED70A5" w:rsidRPr="00ED70A5" w:rsidRDefault="00ED70A5" w:rsidP="00ED70A5">
      <w:pPr>
        <w:ind w:left="0"/>
        <w:rPr>
          <w:bCs/>
          <w:color w:val="000000"/>
        </w:rPr>
      </w:pPr>
    </w:p>
    <w:p w14:paraId="0795BAFA" w14:textId="77777777" w:rsidR="00ED70A5" w:rsidRPr="00ED70A5" w:rsidRDefault="00ED70A5" w:rsidP="00ED70A5">
      <w:pPr>
        <w:keepNext/>
        <w:keepLines/>
        <w:spacing w:before="40"/>
        <w:ind w:left="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ED70A5">
      <w:pPr>
        <w:ind w:left="0"/>
        <w:rPr>
          <w:bCs/>
          <w:color w:val="000000"/>
        </w:rPr>
      </w:pPr>
    </w:p>
    <w:p w14:paraId="30F8FD9B" w14:textId="77777777" w:rsidR="00ED70A5" w:rsidRPr="00ED70A5" w:rsidRDefault="00ED70A5" w:rsidP="00ED70A5">
      <w:pPr>
        <w:ind w:left="0"/>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5B25EA7D" w14:textId="77777777" w:rsidR="00ED70A5" w:rsidRPr="00ED70A5" w:rsidRDefault="00ED70A5" w:rsidP="00ED70A5">
      <w:pPr>
        <w:ind w:left="0"/>
        <w:rPr>
          <w:bCs/>
          <w:color w:val="000000"/>
        </w:rPr>
      </w:pPr>
    </w:p>
    <w:p w14:paraId="58A1ACAD" w14:textId="77777777" w:rsidR="00ED70A5" w:rsidRPr="00ED70A5" w:rsidRDefault="00ED70A5" w:rsidP="00ED70A5">
      <w:pPr>
        <w:ind w:left="0"/>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ED70A5">
      <w:pPr>
        <w:ind w:left="0"/>
        <w:rPr>
          <w:bCs/>
          <w:color w:val="000000"/>
        </w:rPr>
      </w:pPr>
    </w:p>
    <w:p w14:paraId="04C8DADC" w14:textId="77777777" w:rsidR="00ED70A5" w:rsidRPr="00ED70A5" w:rsidRDefault="00ED70A5" w:rsidP="00ED70A5">
      <w:pPr>
        <w:keepNext/>
        <w:keepLines/>
        <w:spacing w:before="120" w:after="120"/>
        <w:ind w:left="0"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ED70A5">
      <w:pPr>
        <w:ind w:left="0"/>
      </w:pPr>
    </w:p>
    <w:p w14:paraId="6FCC257A" w14:textId="77777777" w:rsidR="00ED70A5" w:rsidRPr="00ED70A5" w:rsidRDefault="00ED70A5" w:rsidP="00ED70A5">
      <w:pPr>
        <w:ind w:left="0"/>
      </w:pPr>
      <w:r w:rsidRPr="00ED70A5">
        <w:rPr>
          <w:bCs/>
          <w:iCs/>
        </w:rPr>
        <w:t>Four of the CAGMs subject to the proposed rule are small businesses.</w:t>
      </w:r>
    </w:p>
    <w:p w14:paraId="05C6BA80" w14:textId="77777777" w:rsidR="00ED70A5" w:rsidRPr="00ED70A5" w:rsidRDefault="00ED70A5" w:rsidP="00ED70A5">
      <w:pPr>
        <w:ind w:left="0"/>
      </w:pPr>
    </w:p>
    <w:p w14:paraId="33ED79AC" w14:textId="77777777" w:rsidR="00ED70A5" w:rsidRPr="00ED70A5" w:rsidRDefault="00ED70A5" w:rsidP="00ED70A5">
      <w:pPr>
        <w:ind w:left="0"/>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ED70A5">
      <w:pPr>
        <w:ind w:left="0"/>
        <w:rPr>
          <w:b/>
        </w:rPr>
      </w:pPr>
    </w:p>
    <w:p w14:paraId="10519DDB" w14:textId="77777777" w:rsidR="00ED70A5" w:rsidRPr="00ED70A5" w:rsidRDefault="00ED70A5" w:rsidP="00ED70A5">
      <w:pPr>
        <w:ind w:left="0"/>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ED70A5">
      <w:pPr>
        <w:ind w:left="0"/>
        <w:rPr>
          <w:bCs/>
          <w:iCs/>
        </w:rPr>
      </w:pPr>
    </w:p>
    <w:p w14:paraId="72D983D7" w14:textId="4F327EFA" w:rsidR="00ED70A5" w:rsidRPr="00ED70A5" w:rsidRDefault="00ED70A5" w:rsidP="00ED70A5">
      <w:pPr>
        <w:ind w:left="0"/>
        <w:rPr>
          <w:bCs/>
          <w:iCs/>
        </w:rPr>
      </w:pPr>
      <w:r w:rsidRPr="00ED70A5">
        <w:rPr>
          <w:bCs/>
          <w:iCs/>
        </w:rPr>
        <w:t>CAGMs complying using an emissions control device are required to do an initial source test</w:t>
      </w:r>
      <w:r w:rsidR="00F333EA">
        <w:rPr>
          <w:bCs/>
          <w:iCs/>
        </w:rPr>
        <w:t xml:space="preserve"> </w:t>
      </w:r>
      <w:r w:rsidR="00F333EA" w:rsidRPr="00F333EA">
        <w:rPr>
          <w:bCs/>
          <w:iCs/>
          <w:highlight w:val="yellow"/>
        </w:rPr>
        <w:t>and/or install a secondary device (a baghouse leak detection system or HEPA after-filter)</w:t>
      </w:r>
      <w:r w:rsidRPr="00F333EA">
        <w:rPr>
          <w:bCs/>
          <w:iCs/>
          <w:highlight w:val="yellow"/>
        </w:rPr>
        <w:t>,</w:t>
      </w:r>
      <w:r w:rsidRPr="00ED70A5">
        <w:rPr>
          <w:bCs/>
          <w:iCs/>
        </w:rPr>
        <w:t xml:space="preserve"> and ongoing monitoring and reporting to show proper operation of the emissions control device.</w:t>
      </w:r>
    </w:p>
    <w:p w14:paraId="1DA3C858" w14:textId="77777777" w:rsidR="00ED70A5" w:rsidRPr="00ED70A5" w:rsidRDefault="00ED70A5" w:rsidP="00ED70A5">
      <w:pPr>
        <w:ind w:left="0"/>
        <w:rPr>
          <w:bCs/>
          <w:iCs/>
        </w:rPr>
      </w:pPr>
    </w:p>
    <w:p w14:paraId="2F49878D" w14:textId="77777777" w:rsidR="00ED70A5" w:rsidRPr="00ED70A5" w:rsidRDefault="00ED70A5" w:rsidP="00ED70A5">
      <w:pPr>
        <w:ind w:left="0"/>
      </w:pPr>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ED70A5">
      <w:pPr>
        <w:ind w:left="0"/>
        <w:rPr>
          <w:b/>
        </w:rPr>
      </w:pPr>
    </w:p>
    <w:p w14:paraId="2046B1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ED70A5">
      <w:pPr>
        <w:ind w:left="0"/>
      </w:pPr>
    </w:p>
    <w:p w14:paraId="510E4594" w14:textId="77777777" w:rsidR="00ED70A5" w:rsidRPr="00ED70A5" w:rsidRDefault="00ED70A5" w:rsidP="00ED70A5">
      <w:pPr>
        <w:ind w:left="0"/>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ED70A5">
      <w:pPr>
        <w:ind w:left="0"/>
      </w:pPr>
    </w:p>
    <w:p w14:paraId="55513E58"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ED70A5">
      <w:pPr>
        <w:ind w:left="0"/>
      </w:pPr>
    </w:p>
    <w:p w14:paraId="0EB6F9A3" w14:textId="77777777" w:rsidR="00ED70A5" w:rsidRPr="00ED70A5" w:rsidRDefault="00ED70A5" w:rsidP="00ED70A5">
      <w:pPr>
        <w:ind w:left="0"/>
        <w:rPr>
          <w:b/>
        </w:rPr>
      </w:pPr>
      <w:r w:rsidRPr="00ED70A5">
        <w:rPr>
          <w:bCs/>
          <w:iCs/>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1C93929F" w14:textId="77777777" w:rsidR="00ED70A5" w:rsidRPr="00ED70A5" w:rsidRDefault="00ED70A5" w:rsidP="00ED70A5">
      <w:pPr>
        <w:ind w:left="0"/>
      </w:pPr>
    </w:p>
    <w:p w14:paraId="646C9E46"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ED70A5">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ED70A5" w:rsidRPr="00ED70A5" w14:paraId="4AD8CEB4" w14:textId="77777777" w:rsidTr="00ED70A5">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ED70A5">
        <w:tc>
          <w:tcPr>
            <w:tcW w:w="3870" w:type="dxa"/>
            <w:tcBorders>
              <w:left w:val="double" w:sz="4" w:space="0" w:color="auto"/>
            </w:tcBorders>
          </w:tcPr>
          <w:p w14:paraId="7A7EB045" w14:textId="77777777" w:rsidR="00ED70A5" w:rsidRPr="00ED70A5" w:rsidRDefault="00ED70A5" w:rsidP="00ED70A5">
            <w:pPr>
              <w:ind w:left="0"/>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945AC8" w:rsidP="00ED70A5">
            <w:pPr>
              <w:ind w:left="0"/>
              <w:rPr>
                <w:rFonts w:ascii="Times New Roman" w:hAnsi="Times New Roman" w:cs="Times New Roman"/>
                <w:bCs/>
                <w:color w:val="000000"/>
              </w:rPr>
            </w:pPr>
            <w:hyperlink r:id="rId21"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ED70A5">
        <w:tc>
          <w:tcPr>
            <w:tcW w:w="3870" w:type="dxa"/>
            <w:tcBorders>
              <w:left w:val="double" w:sz="4" w:space="0" w:color="auto"/>
            </w:tcBorders>
          </w:tcPr>
          <w:p w14:paraId="248314D1"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ED70A5">
            <w:pPr>
              <w:ind w:left="0"/>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945AC8" w:rsidP="00ED70A5">
            <w:pPr>
              <w:ind w:left="0"/>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ED70A5">
      <w:pPr>
        <w:ind w:left="0"/>
      </w:pPr>
      <w:r w:rsidRPr="00ED70A5">
        <w:t xml:space="preserve"> </w:t>
      </w:r>
    </w:p>
    <w:p w14:paraId="505E0A43" w14:textId="77777777" w:rsidR="00ED70A5" w:rsidRPr="00ED70A5" w:rsidRDefault="00ED70A5" w:rsidP="00ED70A5">
      <w:pPr>
        <w:ind w:left="0"/>
      </w:pPr>
    </w:p>
    <w:p w14:paraId="42BC98F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ED70A5">
      <w:pPr>
        <w:ind w:left="0"/>
      </w:pPr>
      <w:r w:rsidRPr="00ED70A5">
        <w:t xml:space="preserve">DEQ appointed a fiscal advisory committee. </w:t>
      </w:r>
    </w:p>
    <w:p w14:paraId="0C45AF8D" w14:textId="77777777" w:rsidR="00ED70A5" w:rsidRPr="00ED70A5" w:rsidRDefault="00ED70A5" w:rsidP="00ED70A5">
      <w:pPr>
        <w:ind w:left="0"/>
      </w:pPr>
    </w:p>
    <w:p w14:paraId="686C6D64" w14:textId="77777777" w:rsidR="00ED70A5" w:rsidRPr="00ED70A5" w:rsidRDefault="00ED70A5" w:rsidP="00ED70A5">
      <w:pPr>
        <w:spacing w:after="120"/>
        <w:ind w:left="0" w:right="14"/>
      </w:pPr>
      <w:r w:rsidRPr="00ED70A5">
        <w:lastRenderedPageBreak/>
        <w:t>As ORS 183.33 requires, DEQ asked for the committee’s recommendations on:</w:t>
      </w:r>
    </w:p>
    <w:p w14:paraId="22AD85DF" w14:textId="77777777" w:rsidR="00ED70A5" w:rsidRPr="00ED70A5" w:rsidRDefault="00ED70A5" w:rsidP="00D30CC0">
      <w:pPr>
        <w:numPr>
          <w:ilvl w:val="0"/>
          <w:numId w:val="12"/>
        </w:numPr>
        <w:ind w:left="360" w:right="14"/>
        <w:rPr>
          <w:bCs/>
        </w:rPr>
      </w:pPr>
      <w:r w:rsidRPr="00ED70A5">
        <w:t xml:space="preserve">Whether the proposed rules would have a fiscal impact, </w:t>
      </w:r>
    </w:p>
    <w:p w14:paraId="75F58F1B" w14:textId="77777777" w:rsidR="00ED70A5" w:rsidRPr="00ED70A5" w:rsidRDefault="00ED70A5" w:rsidP="00D30CC0">
      <w:pPr>
        <w:numPr>
          <w:ilvl w:val="0"/>
          <w:numId w:val="12"/>
        </w:numPr>
        <w:ind w:left="360" w:right="14"/>
        <w:rPr>
          <w:bCs/>
        </w:rPr>
      </w:pPr>
      <w:r w:rsidRPr="00ED70A5">
        <w:t>The extent of the impact, and</w:t>
      </w:r>
    </w:p>
    <w:p w14:paraId="687FE981" w14:textId="77777777" w:rsidR="00ED70A5" w:rsidRPr="00ED70A5" w:rsidRDefault="00ED70A5" w:rsidP="00ED70A5">
      <w:pPr>
        <w:numPr>
          <w:ilvl w:val="0"/>
          <w:numId w:val="12"/>
        </w:numPr>
        <w:ind w:left="36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ED70A5">
      <w:pPr>
        <w:ind w:left="0" w:right="14"/>
        <w:rPr>
          <w:bCs/>
        </w:rPr>
      </w:pPr>
    </w:p>
    <w:p w14:paraId="12E5469D" w14:textId="77777777" w:rsidR="00ED70A5" w:rsidRPr="00ED70A5" w:rsidRDefault="00ED70A5" w:rsidP="00ED70A5">
      <w:pPr>
        <w:ind w:left="0"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ED70A5">
      <w:pPr>
        <w:ind w:left="0" w:right="14"/>
        <w:rPr>
          <w:bCs/>
        </w:rPr>
      </w:pPr>
    </w:p>
    <w:p w14:paraId="2BFC423F" w14:textId="77777777" w:rsidR="00ED70A5" w:rsidRPr="00ED70A5" w:rsidRDefault="00ED70A5" w:rsidP="00ED70A5">
      <w:pPr>
        <w:ind w:left="0"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ED70A5">
      <w:pPr>
        <w:ind w:left="0" w:right="14"/>
        <w:rPr>
          <w:bCs/>
        </w:rPr>
      </w:pPr>
    </w:p>
    <w:p w14:paraId="43D0FEB6" w14:textId="77777777" w:rsidR="00ED70A5" w:rsidRPr="00ED70A5" w:rsidRDefault="00ED70A5" w:rsidP="00ED70A5">
      <w:pPr>
        <w:ind w:left="0"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ED70A5">
      <w:pPr>
        <w:ind w:left="0" w:right="14"/>
        <w:rPr>
          <w:bCs/>
        </w:rPr>
      </w:pPr>
    </w:p>
    <w:p w14:paraId="79D28B96" w14:textId="77777777" w:rsidR="00ED70A5" w:rsidRPr="00ED70A5" w:rsidRDefault="00ED70A5" w:rsidP="00ED70A5">
      <w:pPr>
        <w:ind w:left="0"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ED70A5">
      <w:pPr>
        <w:ind w:left="0" w:right="14"/>
        <w:rPr>
          <w:bCs/>
        </w:rPr>
      </w:pPr>
    </w:p>
    <w:p w14:paraId="04FE4B78" w14:textId="77777777" w:rsidR="00ED70A5" w:rsidRPr="00ED70A5" w:rsidRDefault="00ED70A5" w:rsidP="00ED70A5">
      <w:pPr>
        <w:ind w:left="0"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ED70A5">
      <w:pPr>
        <w:ind w:left="0" w:right="14"/>
        <w:rPr>
          <w:bCs/>
        </w:rPr>
      </w:pPr>
    </w:p>
    <w:p w14:paraId="22145041" w14:textId="77777777" w:rsidR="00ED70A5" w:rsidRPr="00ED70A5" w:rsidRDefault="00ED70A5" w:rsidP="00ED70A5">
      <w:pPr>
        <w:numPr>
          <w:ilvl w:val="0"/>
          <w:numId w:val="13"/>
        </w:numPr>
        <w:ind w:left="27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ED70A5">
      <w:pPr>
        <w:numPr>
          <w:ilvl w:val="0"/>
          <w:numId w:val="13"/>
        </w:numPr>
        <w:ind w:left="27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ED70A5">
      <w:pPr>
        <w:numPr>
          <w:ilvl w:val="0"/>
          <w:numId w:val="13"/>
        </w:numPr>
        <w:ind w:left="270" w:right="14" w:hanging="270"/>
        <w:rPr>
          <w:bCs/>
        </w:rPr>
      </w:pPr>
      <w:r w:rsidRPr="00ED70A5">
        <w:rPr>
          <w:bCs/>
        </w:rPr>
        <w:t>Utilizing objective criteria for standards;</w:t>
      </w:r>
    </w:p>
    <w:p w14:paraId="0EF1B0D0" w14:textId="77777777" w:rsidR="00ED70A5" w:rsidRPr="00ED70A5" w:rsidRDefault="00ED70A5" w:rsidP="00ED70A5">
      <w:pPr>
        <w:numPr>
          <w:ilvl w:val="0"/>
          <w:numId w:val="13"/>
        </w:numPr>
        <w:ind w:left="270" w:right="14" w:hanging="270"/>
        <w:rPr>
          <w:bCs/>
        </w:rPr>
      </w:pPr>
      <w:r w:rsidRPr="00ED70A5">
        <w:rPr>
          <w:bCs/>
        </w:rPr>
        <w:t>Exempting small businesses from any or all requirements of the rule; or</w:t>
      </w:r>
    </w:p>
    <w:p w14:paraId="6918C1D9" w14:textId="77777777" w:rsidR="00ED70A5" w:rsidRPr="00ED70A5" w:rsidRDefault="00ED70A5" w:rsidP="00ED70A5">
      <w:pPr>
        <w:numPr>
          <w:ilvl w:val="0"/>
          <w:numId w:val="13"/>
        </w:numPr>
        <w:ind w:left="27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ED70A5">
      <w:pPr>
        <w:ind w:left="0" w:right="14"/>
        <w:rPr>
          <w:bCs/>
        </w:rPr>
      </w:pPr>
    </w:p>
    <w:p w14:paraId="0536B0F9" w14:textId="77777777" w:rsidR="00ED70A5" w:rsidRPr="00ED70A5" w:rsidRDefault="00ED70A5" w:rsidP="00ED70A5">
      <w:pPr>
        <w:ind w:left="0" w:right="14"/>
        <w:rPr>
          <w:bCs/>
        </w:rPr>
      </w:pPr>
      <w:r w:rsidRPr="00ED70A5">
        <w:rPr>
          <w:bCs/>
        </w:rPr>
        <w:t xml:space="preserve">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requirements for different tiers. </w:t>
      </w:r>
    </w:p>
    <w:p w14:paraId="1E2FF330" w14:textId="77777777" w:rsidR="00ED70A5" w:rsidRPr="00ED70A5" w:rsidRDefault="00ED70A5" w:rsidP="00ED70A5">
      <w:pPr>
        <w:ind w:left="0" w:right="14"/>
        <w:rPr>
          <w:bCs/>
        </w:rPr>
      </w:pPr>
    </w:p>
    <w:p w14:paraId="30912ACA" w14:textId="77777777" w:rsidR="00ED70A5" w:rsidRPr="00ED70A5" w:rsidRDefault="00ED70A5" w:rsidP="00ED70A5">
      <w:pPr>
        <w:ind w:left="0" w:right="14"/>
        <w:rPr>
          <w:bCs/>
        </w:rPr>
      </w:pPr>
      <w:r w:rsidRPr="00ED70A5">
        <w:rPr>
          <w:bCs/>
        </w:rPr>
        <w:t xml:space="preserve">Committee members also stated that the current limits of the rule (only affecting CAGM in the Portland AQMA that produce 10 or more tons per year) increase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 </w:t>
      </w:r>
    </w:p>
    <w:p w14:paraId="4C23639E" w14:textId="77777777" w:rsidR="00ED70A5" w:rsidRPr="00ED70A5" w:rsidRDefault="00ED70A5" w:rsidP="00ED70A5">
      <w:pPr>
        <w:ind w:left="0" w:right="14"/>
        <w:rPr>
          <w:bCs/>
        </w:rPr>
      </w:pPr>
    </w:p>
    <w:p w14:paraId="04B1953F"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ED70A5">
      <w:pPr>
        <w:ind w:left="0"/>
      </w:pPr>
      <w:r w:rsidRPr="00ED70A5">
        <w:t xml:space="preserve">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w:t>
      </w:r>
      <w:r w:rsidRPr="00ED70A5">
        <w:lastRenderedPageBreak/>
        <w:t>cost impact of these proposed changes appears to be infinitesimal because colored art glass represents an exceedingly small proportion of the development cost of a home.</w:t>
      </w:r>
    </w:p>
    <w:p w14:paraId="5472C530"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lang w:eastAsia="zh-CN"/>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3"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ED70A5">
      <w:pPr>
        <w:ind w:left="0"/>
      </w:pPr>
    </w:p>
    <w:p w14:paraId="1DB0BE7C" w14:textId="77777777" w:rsidR="00ED70A5" w:rsidRPr="00ED70A5" w:rsidRDefault="00ED70A5" w:rsidP="00ED70A5">
      <w:pPr>
        <w:ind w:left="0"/>
      </w:pPr>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ED70A5">
      <w:pPr>
        <w:ind w:left="0"/>
      </w:pPr>
    </w:p>
    <w:p w14:paraId="27DD407E" w14:textId="5128E35D" w:rsidR="00ED70A5" w:rsidRPr="00ED70A5" w:rsidRDefault="00ED70A5" w:rsidP="00ED70A5">
      <w:pPr>
        <w:ind w:left="0"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 xml:space="preserve">admium, hexavalent chromium </w:t>
      </w:r>
      <w:r w:rsidRPr="00ED70A5">
        <w:t>nickel</w:t>
      </w:r>
      <w:r w:rsidR="00D30CC0">
        <w:t xml:space="preserve"> </w:t>
      </w:r>
      <w:r w:rsidR="00D30CC0" w:rsidRPr="00D30CC0">
        <w:rPr>
          <w:highlight w:val="yellow"/>
        </w:rPr>
        <w:t>and selenium</w:t>
      </w:r>
      <w:r w:rsidRPr="00ED70A5">
        <w:t>. The permanent rules that DEQ proposes for EQC adoption are intended to protect the public health and the environment by ensuring the air emissions from colored art glass facilities do not cause unsafe levels of metals in the air nearby.</w:t>
      </w:r>
    </w:p>
    <w:p w14:paraId="6DFFE595" w14:textId="77777777" w:rsidR="00ED70A5" w:rsidRPr="00ED70A5" w:rsidRDefault="00ED70A5" w:rsidP="00ED70A5">
      <w:pPr>
        <w:ind w:left="0"/>
        <w:rPr>
          <w:rFonts w:ascii="Arial" w:hAnsi="Arial"/>
          <w:bCs/>
          <w:color w:val="C45911"/>
        </w:rPr>
      </w:pPr>
      <w:bookmarkStart w:id="4" w:name="AlternativesConsidered"/>
      <w:bookmarkStart w:id="5" w:name="RANGE!C35"/>
    </w:p>
    <w:p w14:paraId="0D176DBB" w14:textId="77777777" w:rsidR="00ED70A5" w:rsidRPr="00ED70A5" w:rsidRDefault="00ED70A5" w:rsidP="00ED70A5">
      <w:pPr>
        <w:ind w:left="0"/>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56D9684A" w14:textId="77777777" w:rsidR="00ED70A5" w:rsidRPr="00ED70A5" w:rsidRDefault="00ED70A5" w:rsidP="00ED70A5">
      <w:pPr>
        <w:ind w:left="0"/>
        <w:rPr>
          <w:szCs w:val="22"/>
        </w:rPr>
      </w:pPr>
    </w:p>
    <w:p w14:paraId="6D82B20D" w14:textId="77777777" w:rsidR="00ED70A5" w:rsidRPr="00ED70A5" w:rsidRDefault="00ED70A5" w:rsidP="00ED70A5">
      <w:pPr>
        <w:ind w:left="0"/>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ED70A5">
      <w:pPr>
        <w:ind w:left="0"/>
        <w:rPr>
          <w:color w:val="000000"/>
        </w:rPr>
      </w:pPr>
    </w:p>
    <w:p w14:paraId="6C645AEE" w14:textId="77777777" w:rsidR="00ED70A5" w:rsidRPr="00ED70A5" w:rsidRDefault="00ED70A5" w:rsidP="00ED70A5">
      <w:pPr>
        <w:ind w:left="0"/>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377FA3">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lang w:eastAsia="zh-CN"/>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0BFA3A5"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6231E2" w:rsidRPr="001A4DE1" w:rsidRDefault="006231E2"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6231E2" w:rsidRDefault="006231E2"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70BFA282" w14:textId="77777777" w:rsidR="00377FA3" w:rsidRDefault="00377FA3" w:rsidP="00377FA3"/>
    <w:p w14:paraId="262674B4"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Land-use considerations</w:t>
      </w:r>
    </w:p>
    <w:p w14:paraId="2C57D6F0" w14:textId="77777777" w:rsidR="00ED70A5" w:rsidRPr="00ED70A5" w:rsidRDefault="00ED70A5" w:rsidP="00ED70A5">
      <w:pPr>
        <w:ind w:left="0"/>
      </w:pPr>
      <w:r w:rsidRPr="00ED70A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ED70A5">
      <w:pPr>
        <w:ind w:left="0"/>
      </w:pPr>
      <w:r w:rsidRPr="00ED70A5">
        <w:t>Under OAR 660-030-0005 and OAR 340 Division 18, DEQ considers that rules affect land use if:</w:t>
      </w:r>
    </w:p>
    <w:p w14:paraId="6931205C" w14:textId="77777777" w:rsidR="00ED70A5" w:rsidRPr="00ED70A5" w:rsidRDefault="00ED70A5" w:rsidP="00ED70A5">
      <w:pPr>
        <w:numPr>
          <w:ilvl w:val="0"/>
          <w:numId w:val="14"/>
        </w:numPr>
        <w:ind w:left="360"/>
      </w:pPr>
      <w:r w:rsidRPr="00ED70A5">
        <w:t>The statewide land use planning goals specifically refer to the rule or program, or</w:t>
      </w:r>
    </w:p>
    <w:p w14:paraId="14B4D063" w14:textId="77777777" w:rsidR="00ED70A5" w:rsidRDefault="00ED70A5" w:rsidP="00ED70A5">
      <w:pPr>
        <w:numPr>
          <w:ilvl w:val="0"/>
          <w:numId w:val="14"/>
        </w:numPr>
        <w:ind w:left="360"/>
      </w:pPr>
      <w:r w:rsidRPr="00ED70A5">
        <w:t>The rule or program is reasonably expected to have significant effects on:</w:t>
      </w:r>
    </w:p>
    <w:p w14:paraId="3E01D1F7" w14:textId="77AB2520" w:rsidR="00ED70A5" w:rsidRDefault="00ED70A5" w:rsidP="001335D4">
      <w:pPr>
        <w:numPr>
          <w:ilvl w:val="1"/>
          <w:numId w:val="14"/>
        </w:numPr>
        <w:ind w:left="720"/>
      </w:pPr>
      <w:r w:rsidRPr="00ED70A5">
        <w:t>Resources, objectives or areas identified in the statewide planning goals, or</w:t>
      </w:r>
    </w:p>
    <w:p w14:paraId="37019A70" w14:textId="66E0C6AC" w:rsidR="00ED70A5" w:rsidRPr="00ED70A5" w:rsidRDefault="00ED70A5" w:rsidP="001335D4">
      <w:pPr>
        <w:numPr>
          <w:ilvl w:val="1"/>
          <w:numId w:val="14"/>
        </w:numPr>
        <w:ind w:left="72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ED70A5">
      <w:pPr>
        <w:ind w:left="0"/>
      </w:pPr>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ED70A5">
      <w:pPr>
        <w:ind w:left="0"/>
      </w:pPr>
    </w:p>
    <w:p w14:paraId="04F9D965"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1335D4">
      <w:pPr>
        <w:ind w:left="0"/>
      </w:pPr>
      <w:r w:rsidRPr="00ED70A5">
        <w:t xml:space="preserve">5 </w:t>
      </w:r>
      <w:r w:rsidRPr="00ED70A5">
        <w:tab/>
      </w:r>
      <w:r w:rsidRPr="00ED70A5">
        <w:tab/>
        <w:t>Open Spaces, Scenic and Historic Areas, and Natural Resources</w:t>
      </w:r>
    </w:p>
    <w:p w14:paraId="577A4324" w14:textId="77777777" w:rsidR="00ED70A5" w:rsidRPr="00ED70A5" w:rsidRDefault="00ED70A5" w:rsidP="001335D4">
      <w:pPr>
        <w:ind w:left="0"/>
      </w:pPr>
      <w:r w:rsidRPr="00ED70A5">
        <w:t xml:space="preserve">6 </w:t>
      </w:r>
      <w:r w:rsidRPr="00ED70A5">
        <w:tab/>
      </w:r>
      <w:r w:rsidRPr="00ED70A5">
        <w:tab/>
        <w:t>Air, Water and Land Resources Quality</w:t>
      </w:r>
    </w:p>
    <w:p w14:paraId="086EA06A" w14:textId="77777777" w:rsidR="00ED70A5" w:rsidRPr="00ED70A5" w:rsidRDefault="00ED70A5" w:rsidP="001335D4">
      <w:pPr>
        <w:ind w:left="0"/>
      </w:pPr>
      <w:r w:rsidRPr="00ED70A5">
        <w:t>9</w:t>
      </w:r>
      <w:r w:rsidRPr="00ED70A5">
        <w:tab/>
      </w:r>
      <w:r w:rsidRPr="00ED70A5">
        <w:tab/>
        <w:t>Ocean Resources</w:t>
      </w:r>
    </w:p>
    <w:p w14:paraId="170CA594" w14:textId="77777777" w:rsidR="00ED70A5" w:rsidRPr="00ED70A5" w:rsidRDefault="00ED70A5" w:rsidP="001335D4">
      <w:pPr>
        <w:ind w:left="0"/>
      </w:pPr>
      <w:r w:rsidRPr="00ED70A5">
        <w:t>11</w:t>
      </w:r>
      <w:r w:rsidRPr="00ED70A5">
        <w:tab/>
        <w:t xml:space="preserve"> </w:t>
      </w:r>
      <w:r w:rsidRPr="00ED70A5">
        <w:tab/>
        <w:t>Public Facilities and Services</w:t>
      </w:r>
    </w:p>
    <w:p w14:paraId="5B38D28A" w14:textId="77777777" w:rsidR="00ED70A5" w:rsidRPr="00ED70A5" w:rsidRDefault="00ED70A5" w:rsidP="001335D4">
      <w:pPr>
        <w:ind w:left="0"/>
      </w:pPr>
      <w:r w:rsidRPr="00ED70A5">
        <w:t>16</w:t>
      </w:r>
      <w:r w:rsidRPr="00ED70A5">
        <w:tab/>
      </w:r>
      <w:r w:rsidRPr="00ED70A5">
        <w:tab/>
        <w:t>Estuarial Resources</w:t>
      </w:r>
      <w:r w:rsidRPr="00ED70A5">
        <w:tab/>
      </w:r>
    </w:p>
    <w:p w14:paraId="2DF1E5AE" w14:textId="77777777" w:rsidR="00ED70A5" w:rsidRPr="00ED70A5" w:rsidRDefault="00ED70A5" w:rsidP="00ED70A5">
      <w:pPr>
        <w:ind w:left="0"/>
      </w:pPr>
    </w:p>
    <w:p w14:paraId="34050D1E" w14:textId="77777777" w:rsidR="00ED70A5" w:rsidRPr="00ED70A5" w:rsidRDefault="00ED70A5" w:rsidP="00ED70A5">
      <w:pPr>
        <w:ind w:left="0"/>
        <w:contextualSpacing/>
      </w:pPr>
      <w:r w:rsidRPr="00ED70A5">
        <w:t>Statewide goals also specifically reference the following DEQ programs:</w:t>
      </w:r>
    </w:p>
    <w:p w14:paraId="40D5079F" w14:textId="77777777" w:rsidR="00ED70A5" w:rsidRPr="00ED70A5" w:rsidRDefault="00ED70A5" w:rsidP="00ED70A5">
      <w:pPr>
        <w:ind w:left="0"/>
        <w:contextualSpacing/>
      </w:pPr>
    </w:p>
    <w:p w14:paraId="479242CA" w14:textId="77777777" w:rsidR="00ED70A5" w:rsidRPr="00ED70A5" w:rsidRDefault="00ED70A5" w:rsidP="00ED70A5">
      <w:pPr>
        <w:numPr>
          <w:ilvl w:val="0"/>
          <w:numId w:val="15"/>
        </w:numPr>
        <w:ind w:left="360"/>
        <w:contextualSpacing/>
      </w:pPr>
      <w:r w:rsidRPr="00ED70A5">
        <w:t>Nonpoint source discharge water quality program – Goal 16</w:t>
      </w:r>
    </w:p>
    <w:p w14:paraId="51192C07" w14:textId="77777777" w:rsidR="00ED70A5" w:rsidRPr="00ED70A5" w:rsidRDefault="00ED70A5" w:rsidP="00ED70A5">
      <w:pPr>
        <w:numPr>
          <w:ilvl w:val="0"/>
          <w:numId w:val="15"/>
        </w:numPr>
        <w:ind w:left="360"/>
        <w:contextualSpacing/>
      </w:pPr>
      <w:r w:rsidRPr="00ED70A5">
        <w:t>Water quality and sewage disposal systems – Goal 16</w:t>
      </w:r>
    </w:p>
    <w:p w14:paraId="4DBAF0EB" w14:textId="77777777" w:rsidR="00ED70A5" w:rsidRPr="00ED70A5" w:rsidRDefault="00ED70A5" w:rsidP="00ED70A5">
      <w:pPr>
        <w:numPr>
          <w:ilvl w:val="0"/>
          <w:numId w:val="15"/>
        </w:numPr>
        <w:ind w:left="36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ED70A5">
      <w:pPr>
        <w:keepNext/>
        <w:keepLines/>
        <w:spacing w:before="120" w:after="120"/>
        <w:ind w:left="0"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ED70A5">
      <w:pPr>
        <w:ind w:left="0"/>
      </w:pPr>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ED70A5">
      <w:pPr>
        <w:ind w:left="0"/>
      </w:pPr>
    </w:p>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3"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r w:rsidRPr="00ED70A5">
              <w:t>Northstar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Amanda Jarman</w:t>
            </w:r>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Eric Durrin</w:t>
            </w:r>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Mark Riskedahl</w:t>
            </w:r>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Paul Trautman</w:t>
            </w:r>
          </w:p>
        </w:tc>
        <w:tc>
          <w:tcPr>
            <w:tcW w:w="4242" w:type="dxa"/>
            <w:vAlign w:val="center"/>
          </w:tcPr>
          <w:p w14:paraId="7080D86D" w14:textId="77777777" w:rsidR="00ED70A5" w:rsidRPr="00ED70A5" w:rsidRDefault="00ED70A5" w:rsidP="00235774">
            <w:r w:rsidRPr="00ED70A5">
              <w:t>Trautman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Uroboros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4"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5"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6"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7"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A72D66" w:rsidRDefault="00377FA3" w:rsidP="003C489B">
      <w:pPr>
        <w:rPr>
          <w:rStyle w:val="Emphasis"/>
          <w:vanish w:val="0"/>
          <w:color w:val="000000" w:themeColor="text1"/>
          <w:sz w:val="24"/>
        </w:rPr>
      </w:pPr>
      <w:r w:rsidRPr="00A72D66">
        <w:rPr>
          <w:rStyle w:val="Emphasis"/>
          <w:vanish w:val="0"/>
          <w:color w:val="000000" w:themeColor="text1"/>
          <w:sz w:val="24"/>
        </w:rPr>
        <w:t>Meeting location:</w:t>
      </w:r>
      <w:r w:rsidR="00580EAA">
        <w:rPr>
          <w:rStyle w:val="Emphasis"/>
          <w:vanish w:val="0"/>
          <w:color w:val="000000" w:themeColor="text1"/>
          <w:sz w:val="24"/>
        </w:rPr>
        <w:t xml:space="preserve"> Conference room </w:t>
      </w:r>
      <w:r w:rsidR="00580EAA" w:rsidRPr="00580EAA">
        <w:rPr>
          <w:rStyle w:val="Emphasis"/>
          <w:vanish w:val="0"/>
          <w:color w:val="000000" w:themeColor="text1"/>
          <w:sz w:val="24"/>
        </w:rPr>
        <w:t>EQC-A</w:t>
      </w:r>
      <w:r w:rsidR="00580EAA">
        <w:rPr>
          <w:rStyle w:val="Emphasis"/>
          <w:vanish w:val="0"/>
          <w:color w:val="000000" w:themeColor="text1"/>
          <w:sz w:val="24"/>
        </w:rPr>
        <w:t xml:space="preserve">, </w:t>
      </w:r>
      <w:r w:rsidR="00580EAA" w:rsidRPr="00580EAA">
        <w:rPr>
          <w:rStyle w:val="Emphasis"/>
          <w:vanish w:val="0"/>
          <w:color w:val="000000" w:themeColor="text1"/>
          <w:sz w:val="24"/>
        </w:rPr>
        <w:t>10t</w:t>
      </w:r>
      <w:r w:rsidR="00580EAA">
        <w:rPr>
          <w:rStyle w:val="Emphasis"/>
          <w:vanish w:val="0"/>
          <w:color w:val="000000" w:themeColor="text1"/>
          <w:sz w:val="24"/>
        </w:rPr>
        <w:t xml:space="preserve">h floor of 811 SW 6th Avenue, </w:t>
      </w:r>
      <w:r w:rsidR="00580EAA" w:rsidRPr="00580EAA">
        <w:rPr>
          <w:rStyle w:val="Emphasis"/>
          <w:vanish w:val="0"/>
          <w:color w:val="000000" w:themeColor="text1"/>
          <w:sz w:val="24"/>
        </w:rPr>
        <w:t>Portland, Oregon</w:t>
      </w:r>
    </w:p>
    <w:p w14:paraId="70BFA29D" w14:textId="169B5066" w:rsidR="00377FA3" w:rsidRPr="00A72D66" w:rsidRDefault="00377FA3" w:rsidP="003C489B">
      <w:pPr>
        <w:rPr>
          <w:color w:val="000000" w:themeColor="text1"/>
        </w:rPr>
      </w:pPr>
      <w:r w:rsidRPr="00A72D66">
        <w:rPr>
          <w:rStyle w:val="Emphasis"/>
          <w:vanish w:val="0"/>
          <w:color w:val="000000" w:themeColor="text1"/>
          <w:sz w:val="24"/>
        </w:rPr>
        <w:t>Meeting date and time:</w:t>
      </w:r>
      <w:r w:rsidR="00580EAA">
        <w:rPr>
          <w:rStyle w:val="Emphasis"/>
          <w:vanish w:val="0"/>
          <w:color w:val="000000" w:themeColor="text1"/>
          <w:sz w:val="24"/>
        </w:rPr>
        <w:t xml:space="preserve"> 6:00 p</w:t>
      </w:r>
      <w:r w:rsidR="00427F57">
        <w:rPr>
          <w:rStyle w:val="Emphasis"/>
          <w:vanish w:val="0"/>
          <w:color w:val="000000" w:themeColor="text1"/>
          <w:sz w:val="24"/>
        </w:rPr>
        <w:t>.</w:t>
      </w:r>
      <w:r w:rsidR="00580EAA">
        <w:rPr>
          <w:rStyle w:val="Emphasis"/>
          <w:vanish w:val="0"/>
          <w:color w:val="000000" w:themeColor="text1"/>
          <w:sz w:val="24"/>
        </w:rPr>
        <w:t>m</w:t>
      </w:r>
      <w:r w:rsidR="00427F57">
        <w:rPr>
          <w:rStyle w:val="Emphasis"/>
          <w:vanish w:val="0"/>
          <w:color w:val="000000" w:themeColor="text1"/>
          <w:sz w:val="24"/>
        </w:rPr>
        <w:t>.</w:t>
      </w:r>
      <w:r w:rsidR="00580EAA">
        <w:rPr>
          <w:rStyle w:val="Emphasis"/>
          <w:vanish w:val="0"/>
          <w:color w:val="000000" w:themeColor="text1"/>
          <w:sz w:val="24"/>
        </w:rPr>
        <w:t xml:space="preserve"> on </w:t>
      </w:r>
      <w:r w:rsidR="00580EAA">
        <w:t>July 19</w:t>
      </w:r>
      <w:r w:rsidR="00580EAA" w:rsidRPr="00580EAA">
        <w:rPr>
          <w:vertAlign w:val="superscript"/>
        </w:rPr>
        <w:t>th</w:t>
      </w:r>
      <w:r w:rsidR="00580EAA">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1B48F5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320D6BE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121380">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0BFA2BA" w14:textId="70A55301"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ganizes comments into</w:t>
      </w:r>
      <w:r w:rsidRPr="003254B3">
        <w:rPr>
          <w:bCs/>
        </w:rPr>
        <w:t xml:space="preserve"> </w:t>
      </w:r>
      <w:r w:rsidR="003254B3" w:rsidRPr="003254B3">
        <w:rPr>
          <w:bCs/>
        </w:rPr>
        <w:t xml:space="preserve">60 </w:t>
      </w:r>
      <w:r w:rsidRPr="00377FA3">
        <w:rPr>
          <w:bCs/>
          <w:color w:val="000000" w:themeColor="text1"/>
        </w:rPr>
        <w:t>categories. DEQ’s response follows the summary. Original comments are on file with DEQ.</w:t>
      </w:r>
    </w:p>
    <w:p w14:paraId="70BFA2BE" w14:textId="77777777" w:rsidR="00377FA3" w:rsidRPr="00377FA3" w:rsidRDefault="00377FA3" w:rsidP="004646AA">
      <w:pPr>
        <w:ind w:right="828"/>
        <w:rPr>
          <w:color w:val="806000" w:themeColor="accent4" w:themeShade="80"/>
        </w:rPr>
      </w:pPr>
    </w:p>
    <w:p w14:paraId="70BFA2BF" w14:textId="77777777" w:rsidR="00377FA3" w:rsidRPr="003254B3" w:rsidRDefault="00377FA3" w:rsidP="004646AA">
      <w:pPr>
        <w:ind w:right="828"/>
      </w:pPr>
      <w:r w:rsidRPr="003254B3">
        <w:t>DEQ changed the proposed rules in response to comments described in the response sections below.</w:t>
      </w:r>
    </w:p>
    <w:p w14:paraId="01BA603E" w14:textId="77777777" w:rsidR="004078E5" w:rsidRPr="004078E5" w:rsidRDefault="004078E5" w:rsidP="004078E5">
      <w:pPr>
        <w:ind w:left="0" w:right="630"/>
        <w:rPr>
          <w:bCs/>
          <w:color w:val="000000" w:themeColor="text1"/>
        </w:rPr>
      </w:pPr>
    </w:p>
    <w:p w14:paraId="467C5464" w14:textId="4867AFBF" w:rsidR="002C3436" w:rsidRPr="00470178" w:rsidRDefault="002C3436"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77777777" w:rsidR="002C3436" w:rsidRPr="002C3436" w:rsidRDefault="002C3436" w:rsidP="002C3436">
      <w:pPr>
        <w:ind w:right="630"/>
        <w:rPr>
          <w:bCs/>
          <w:color w:val="000000" w:themeColor="text1"/>
        </w:rPr>
      </w:pPr>
      <w:r w:rsidRPr="002C3436">
        <w:rPr>
          <w:bCs/>
          <w:color w:val="000000" w:themeColor="text1"/>
        </w:rPr>
        <w:t>DEQ acknowledges that at this time there is no information available to quantify the metal 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It is not DEQ’s intent to regulate glassworking.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77777777" w:rsidR="002C3436" w:rsidRPr="002C3436" w:rsidRDefault="002C3436" w:rsidP="002C3436">
      <w:pPr>
        <w:ind w:right="630"/>
        <w:rPr>
          <w:bCs/>
          <w:color w:val="000000" w:themeColor="text1"/>
        </w:rPr>
      </w:pPr>
      <w:r w:rsidRPr="002C3436">
        <w:rPr>
          <w:bCs/>
          <w:color w:val="000000" w:themeColor="text1"/>
        </w:rPr>
        <w:t>This rule is specifically targeted to address CAGM emissions. The Cleaner Air Oregon rulemaking is underway and will 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7777777" w:rsidR="002C3436" w:rsidRPr="002C3436" w:rsidRDefault="002C3436" w:rsidP="002C3436">
      <w:pPr>
        <w:ind w:right="630"/>
        <w:rPr>
          <w:bCs/>
          <w:color w:val="000000" w:themeColor="text1"/>
        </w:rPr>
      </w:pPr>
      <w:r w:rsidRPr="002C3436">
        <w:rPr>
          <w:bCs/>
          <w:color w:val="000000" w:themeColor="text1"/>
        </w:rPr>
        <w:t>The proposed rule treats electrically heated and fuel-fired furnaces differently in the thresholds between Tier 1 and Tier 2. Are emissions really that different? The 100 tpy 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lastRenderedPageBreak/>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t>The proposed rule only applies to facilities that produce 5 or more tons per year (previously 10 tpy)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28ED4D3" w14:textId="21D7C07A" w:rsidR="002C3436" w:rsidRPr="00470178" w:rsidRDefault="0046361C"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E</w:t>
      </w:r>
      <w:r w:rsidR="002C3436" w:rsidRPr="00470178">
        <w:rPr>
          <w:b/>
          <w:bCs/>
          <w:color w:val="000000" w:themeColor="text1"/>
          <w:sz w:val="24"/>
          <w:bdr w:val="single" w:sz="4" w:space="0" w:color="auto"/>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 Chapter 340, Division 12. Fines are based on the amounts and procedures specified in these rules, and include provisions for increasing fines for repeated violations.</w:t>
      </w:r>
    </w:p>
    <w:p w14:paraId="7600171A" w14:textId="77777777" w:rsidR="002C3436" w:rsidRPr="002C3436" w:rsidRDefault="002C3436" w:rsidP="002C3436">
      <w:pPr>
        <w:ind w:right="630"/>
        <w:rPr>
          <w:bCs/>
          <w:color w:val="000000" w:themeColor="text1"/>
        </w:rPr>
      </w:pPr>
    </w:p>
    <w:p w14:paraId="7C8327C5"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470178" w:rsidRDefault="00A12394"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G</w:t>
      </w:r>
      <w:r w:rsidR="002C3436" w:rsidRPr="00470178">
        <w:rPr>
          <w:b/>
          <w:bCs/>
          <w:color w:val="000000" w:themeColor="text1"/>
          <w:sz w:val="24"/>
          <w:bdr w:val="single" w:sz="4" w:space="0" w:color="auto"/>
        </w:rPr>
        <w:t>eneral rulemaking</w:t>
      </w:r>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metal HAPs to surrounding communities. With the proposed change to </w:t>
      </w:r>
      <w:r w:rsidRPr="002C3436">
        <w:rPr>
          <w:bCs/>
          <w:color w:val="000000" w:themeColor="text1"/>
        </w:rPr>
        <w:lastRenderedPageBreak/>
        <w:t>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77777777" w:rsidR="002C3436" w:rsidRPr="002C3436" w:rsidRDefault="002C3436" w:rsidP="002C3436">
      <w:pPr>
        <w:ind w:right="630"/>
        <w:rPr>
          <w:bCs/>
          <w:color w:val="000000" w:themeColor="text1"/>
        </w:rPr>
      </w:pPr>
      <w:r w:rsidRPr="002C3436">
        <w:rPr>
          <w:bCs/>
          <w:color w:val="000000" w:themeColor="text1"/>
        </w:rPr>
        <w:t>The proposed rules include OAR 340-244-9090, which allows DEQ to set a limit on a CAGM’s use of a glassmaking HAP if that HAP is determined to pose an unacceptable risk to human health in the area of a CAGM. However, the rule would not allow DEQ to add materials to the list of glassmaking HAPs without going through a new rulemaking process. If new information comes to light DEQ could revisit the rule, or in an emergency the Governor's office could order DEQ to take action.</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77777777" w:rsidR="002C3436" w:rsidRPr="002C3436" w:rsidRDefault="002C3436" w:rsidP="002C3436">
      <w:pPr>
        <w:ind w:right="630"/>
        <w:rPr>
          <w:bCs/>
          <w:color w:val="000000" w:themeColor="text1"/>
        </w:rPr>
      </w:pPr>
      <w:r w:rsidRPr="002C3436">
        <w:rPr>
          <w:bCs/>
          <w:color w:val="000000" w:themeColor="text1"/>
        </w:rPr>
        <w:t xml:space="preserve">DEQ disagrees that the rules should apply to all heavy metals by September 1, 2016. When rules that require the installation of emission control devices are adopted, agencies must give the affected facilities time to design, obtain building permits, obtain the emission control device and install it. When the temporary rules were adopted, the Tier 2 CAGMs were given until September 1, 2016 to comply with the rules. The Tier 1 CAGMs were contacted sometime after the Tier 2 CAGMs, and had less warning that they would be regulated, so were given an extra month. If the rules become </w:t>
      </w:r>
      <w:r w:rsidRPr="002C3436">
        <w:rPr>
          <w:bCs/>
          <w:color w:val="000000" w:themeColor="text1"/>
        </w:rPr>
        <w:lastRenderedPageBreak/>
        <w:t>applicable statewide, as proposed, CAGMs outside the Portland AQMA will need time to comply and DEQ has proposed to give them until April 1, 2017.</w:t>
      </w:r>
    </w:p>
    <w:p w14:paraId="56FEF796" w14:textId="77777777" w:rsidR="002C3436" w:rsidRPr="002C3436" w:rsidRDefault="002C3436" w:rsidP="002C3436">
      <w:pPr>
        <w:ind w:right="630"/>
        <w:rPr>
          <w:bCs/>
          <w:color w:val="000000" w:themeColor="text1"/>
        </w:rPr>
      </w:pPr>
    </w:p>
    <w:p w14:paraId="0E6D26F0" w14:textId="7777777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 changes approved by the EQC would not take effect retroactively.</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470178" w:rsidRDefault="00A12394" w:rsidP="002C3436">
      <w:pPr>
        <w:ind w:right="630"/>
        <w:rPr>
          <w:b/>
          <w:bCs/>
          <w:color w:val="000000" w:themeColor="text1"/>
          <w:bdr w:val="single" w:sz="4" w:space="0" w:color="auto"/>
        </w:rPr>
      </w:pPr>
      <w:r w:rsidRPr="00470178">
        <w:rPr>
          <w:b/>
          <w:bCs/>
          <w:color w:val="000000" w:themeColor="text1"/>
          <w:bdr w:val="single" w:sz="4" w:space="0" w:color="auto"/>
        </w:rPr>
        <w:t>CATEGORY: H</w:t>
      </w:r>
      <w:r w:rsidR="002C3436" w:rsidRPr="00470178">
        <w:rPr>
          <w:b/>
          <w:bCs/>
          <w:color w:val="000000" w:themeColor="text1"/>
          <w:bdr w:val="single" w:sz="4" w:space="0" w:color="auto"/>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77777777" w:rsidR="002C3436" w:rsidRPr="002C3436" w:rsidRDefault="002C3436" w:rsidP="002C3436">
      <w:pPr>
        <w:ind w:right="630"/>
        <w:rPr>
          <w:bCs/>
          <w:color w:val="000000" w:themeColor="text1"/>
        </w:rPr>
      </w:pPr>
      <w:r w:rsidRPr="002C3436">
        <w:rPr>
          <w:bCs/>
          <w:color w:val="000000" w:themeColor="text1"/>
        </w:rPr>
        <w:t>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metals, which is a technology-based requirement. It also incorporates elements of a risk-based program by establishing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 if revised, DEQ could incorporate those changes in a future update to the art glass rule.</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lastRenderedPageBreak/>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470178" w:rsidRDefault="00A12394"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O</w:t>
      </w:r>
      <w:r w:rsidR="002C3436" w:rsidRPr="00470178">
        <w:rPr>
          <w:b/>
          <w:bCs/>
          <w:color w:val="000000" w:themeColor="text1"/>
          <w:sz w:val="24"/>
          <w:bdr w:val="single" w:sz="4" w:space="0" w:color="auto"/>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77777777" w:rsidR="002C3436" w:rsidRPr="002C3436" w:rsidRDefault="002C3436" w:rsidP="002C3436">
      <w:pPr>
        <w:ind w:right="630"/>
        <w:rPr>
          <w:bCs/>
          <w:color w:val="000000" w:themeColor="text1"/>
        </w:rPr>
      </w:pPr>
      <w:r w:rsidRPr="002C3436">
        <w:rPr>
          <w:bCs/>
          <w:color w:val="000000" w:themeColor="text1"/>
        </w:rPr>
        <w:t>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Bullseye was clearly the source of these significant elevation in air data.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which again was clearly attributable to Bullseye,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470178" w:rsidRDefault="00470178"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P</w:t>
      </w:r>
      <w:r w:rsidR="002C3436" w:rsidRPr="00470178">
        <w:rPr>
          <w:b/>
          <w:bCs/>
          <w:color w:val="000000" w:themeColor="text1"/>
          <w:sz w:val="24"/>
          <w:bdr w:val="single" w:sz="4" w:space="0" w:color="auto"/>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 Facilities do not have to wait until the permit is issued to begin 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permit 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470178" w:rsidRDefault="00470178"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P</w:t>
      </w:r>
      <w:r w:rsidR="002C3436" w:rsidRPr="00470178">
        <w:rPr>
          <w:b/>
          <w:bCs/>
          <w:color w:val="000000" w:themeColor="text1"/>
          <w:sz w:val="24"/>
          <w:bdr w:val="single" w:sz="4" w:space="0" w:color="auto"/>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Some glassmaking HAPs are newly added to the list in this proposal and have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lastRenderedPageBreak/>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therefore 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lastRenderedPageBreak/>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470178" w:rsidRDefault="00470178" w:rsidP="002C3436">
      <w:pPr>
        <w:ind w:right="630"/>
        <w:rPr>
          <w:b/>
          <w:bCs/>
          <w:color w:val="000000" w:themeColor="text1"/>
          <w:sz w:val="24"/>
          <w:bdr w:val="single" w:sz="4" w:space="0" w:color="auto"/>
        </w:rPr>
      </w:pPr>
      <w:r w:rsidRPr="00470178">
        <w:rPr>
          <w:b/>
          <w:bCs/>
          <w:color w:val="000000" w:themeColor="text1"/>
          <w:sz w:val="24"/>
          <w:bdr w:val="single" w:sz="4" w:space="0" w:color="auto"/>
        </w:rPr>
        <w:t>CATEGORY: P</w:t>
      </w:r>
      <w:r w:rsidR="002C3436" w:rsidRPr="00470178">
        <w:rPr>
          <w:b/>
          <w:bCs/>
          <w:color w:val="000000" w:themeColor="text1"/>
          <w:sz w:val="24"/>
          <w:bdr w:val="single" w:sz="4" w:space="0" w:color="auto"/>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lastRenderedPageBreak/>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77777777" w:rsidR="002C3436" w:rsidRPr="002C3436" w:rsidRDefault="002C3436" w:rsidP="002C3436">
      <w:pPr>
        <w:ind w:right="630"/>
        <w:rPr>
          <w:bCs/>
          <w:color w:val="000000" w:themeColor="text1"/>
        </w:rPr>
      </w:pPr>
      <w:r w:rsidRPr="002C3436">
        <w:rPr>
          <w:bCs/>
          <w:color w:val="000000" w:themeColor="text1"/>
        </w:rPr>
        <w:lastRenderedPageBreak/>
        <w:t>We have revised the rule to reduce source testing costs and uncertainties by replacing the 99% capture efficiency standard with a standard at the baghouse outlet. In addition, DEQ added a pathway for facilities to apply for an extension of time to comply in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if following 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77777777"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lastRenderedPageBreak/>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77777777" w:rsidR="002C3436" w:rsidRPr="002C3436" w:rsidRDefault="002C3436" w:rsidP="002C3436">
      <w:pPr>
        <w:ind w:right="630"/>
        <w:rPr>
          <w:bCs/>
          <w:color w:val="000000" w:themeColor="text1"/>
        </w:rPr>
      </w:pPr>
      <w:r w:rsidRPr="002C3436">
        <w:rPr>
          <w:bCs/>
          <w:color w:val="000000" w:themeColor="text1"/>
        </w:rPr>
        <w:t>This rule is in addition to and more stringent than the federal NESHAP Subpart SSSSSS.</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7777777" w:rsidR="002C3436" w:rsidRPr="002C3436" w:rsidRDefault="002C3436" w:rsidP="002C3436">
      <w:pPr>
        <w:ind w:right="630"/>
        <w:rPr>
          <w:bCs/>
          <w:color w:val="000000" w:themeColor="text1"/>
        </w:rPr>
      </w:pPr>
      <w:r w:rsidRPr="002C3436">
        <w:rPr>
          <w:bCs/>
          <w:color w:val="000000" w:themeColor="text1"/>
        </w:rPr>
        <w:t>EPA's current interpretation of NESHAP Subpart SSSSSS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lastRenderedPageBreak/>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77777777" w:rsidR="002C3436" w:rsidRPr="002C3436" w:rsidRDefault="002C3436" w:rsidP="002C3436">
      <w:pPr>
        <w:ind w:right="630"/>
        <w:rPr>
          <w:bCs/>
          <w:color w:val="000000" w:themeColor="text1"/>
        </w:rPr>
      </w:pPr>
      <w:r w:rsidRPr="002C3436">
        <w:rPr>
          <w:bCs/>
          <w:color w:val="000000" w:themeColor="text1"/>
        </w:rPr>
        <w:t xml:space="preserve">DEQ acknowledges that this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 emissions were found to still be posing an unacceptable risk to people near them. Such a determination would be made in consultation with the Oregon Health Authority but the details are otherwise not specified.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D771E0" w:rsidRDefault="00D771E0" w:rsidP="002C3436">
      <w:pPr>
        <w:ind w:right="630"/>
        <w:rPr>
          <w:b/>
          <w:bCs/>
          <w:color w:val="000000" w:themeColor="text1"/>
          <w:sz w:val="24"/>
          <w:bdr w:val="single" w:sz="4" w:space="0" w:color="auto"/>
        </w:rPr>
      </w:pPr>
      <w:r w:rsidRPr="00D771E0">
        <w:rPr>
          <w:b/>
          <w:bCs/>
          <w:color w:val="000000" w:themeColor="text1"/>
          <w:sz w:val="24"/>
          <w:bdr w:val="single" w:sz="4" w:space="0" w:color="auto"/>
        </w:rPr>
        <w:t>CATEGORY: S</w:t>
      </w:r>
      <w:r w:rsidR="002C3436" w:rsidRPr="00D771E0">
        <w:rPr>
          <w:b/>
          <w:bCs/>
          <w:color w:val="000000" w:themeColor="text1"/>
          <w:sz w:val="24"/>
          <w:bdr w:val="single" w:sz="4" w:space="0" w:color="auto"/>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$350k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Comment: 0.2 lb/ton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bookmarkStart w:id="7" w:name="_GoBack"/>
      <w:bookmarkEnd w:id="7"/>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C8493D">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7705D33"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2803E4B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2CA28F6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592F2F3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28974B5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2DEDAB4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391F42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5888AF5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4FA5A53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320F3C9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50FEE7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59C0B87"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5F1BE6E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16E47701"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87917F3"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5254D77F"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CF45DB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C8493D">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5F9F9593"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r w:rsidR="00D62AF2">
        <w:rPr>
          <w:color w:val="000000"/>
          <w:szCs w:val="22"/>
        </w:rPr>
        <w:t xml:space="preserve">or become </w:t>
      </w:r>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77777777" w:rsidR="00C65FFD" w:rsidRDefault="001E74CD" w:rsidP="00C65FFD">
      <w:pPr>
        <w:spacing w:before="120" w:after="120"/>
        <w:ind w:right="1008"/>
        <w:rPr>
          <w:color w:val="000000"/>
          <w:szCs w:val="22"/>
        </w:rPr>
      </w:pPr>
      <w:r w:rsidRPr="003D3320">
        <w:rPr>
          <w:color w:val="000000"/>
          <w:szCs w:val="22"/>
        </w:rPr>
        <w:t>DEQ staff: The permit writing team and enforcement staff would develop internal compliance and enforcement guidance on the proposed rules for permit writers and inspectors.</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30F9FC4D" w:rsidR="00C65FFD" w:rsidRDefault="00202460" w:rsidP="00C65FFD">
      <w:pPr>
        <w:spacing w:before="120" w:after="120"/>
        <w:ind w:right="1008"/>
        <w:rPr>
          <w:color w:val="000000"/>
          <w:szCs w:val="22"/>
        </w:rPr>
      </w:pPr>
      <w:r w:rsidRPr="00B07AF7">
        <w:rPr>
          <w:color w:val="000000"/>
          <w:szCs w:val="22"/>
        </w:rPr>
        <w:t xml:space="preserve">DEQ staff: </w:t>
      </w:r>
      <w:r w:rsidR="003D3320" w:rsidRPr="003D3320">
        <w:rPr>
          <w:color w:val="000000"/>
          <w:szCs w:val="22"/>
        </w:rPr>
        <w:t>DEQ staff would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28"/>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36"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5" w14:textId="77777777" w:rsidR="00377FA3" w:rsidRPr="00492CA9" w:rsidRDefault="00377FA3" w:rsidP="00492CA9">
      <w:pPr>
        <w:autoSpaceDE w:val="0"/>
        <w:autoSpaceDN w:val="0"/>
        <w:adjustRightInd w:val="0"/>
        <w:ind w:left="0" w:right="1008"/>
        <w:rPr>
          <w:color w:val="7B7B7B" w:themeColor="accent3" w:themeShade="BF"/>
        </w:rPr>
      </w:pPr>
    </w:p>
    <w:p w14:paraId="70BFA347" w14:textId="006CFA45" w:rsidR="00377FA3" w:rsidRPr="00492CA9" w:rsidRDefault="00377FA3" w:rsidP="00492CA9">
      <w:pPr>
        <w:pStyle w:val="ListParagraph"/>
        <w:autoSpaceDE w:val="0"/>
        <w:autoSpaceDN w:val="0"/>
        <w:adjustRightInd w:val="0"/>
        <w:ind w:right="1008"/>
        <w:rPr>
          <w:rStyle w:val="Emphasis"/>
          <w:bCs w:val="0"/>
          <w:vanish w:val="0"/>
          <w:color w:val="7B7B7B" w:themeColor="accent3" w:themeShade="BF"/>
          <w:sz w:val="22"/>
        </w:rPr>
      </w:pPr>
      <w:r w:rsidRPr="00377FA3">
        <w:t xml:space="preserve">None of these proposed rules are exempt from the five-year review under ORS 183.405(4) and 183.405 (5) of the Administrative Procedures Act.  </w:t>
      </w:r>
    </w:p>
    <w:p w14:paraId="70BFA348"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lang w:eastAsia="zh-CN"/>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6231E2" w:rsidRPr="007C0ACD" w:rsidRDefault="006231E2"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231E2" w:rsidRPr="007C0ACD" w:rsidRDefault="006231E2" w:rsidP="00377FA3">
                            <w:pPr>
                              <w:ind w:left="0"/>
                              <w:rPr>
                                <w:szCs w:val="22"/>
                              </w:rPr>
                            </w:pPr>
                            <w:r w:rsidRPr="007C0ACD">
                              <w:rPr>
                                <w:szCs w:val="22"/>
                              </w:rPr>
                              <w:t>The extra column on the right corrects a Word error that prevents vertical alignment in last column of a Word table.</w:t>
                            </w:r>
                          </w:p>
                          <w:p w14:paraId="70BFA3C6" w14:textId="77777777" w:rsidR="006231E2" w:rsidRPr="007C0ACD" w:rsidRDefault="006231E2"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FA3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6231E2" w:rsidRPr="007C0ACD" w:rsidRDefault="006231E2"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6231E2" w:rsidRPr="007C0ACD" w:rsidRDefault="006231E2" w:rsidP="00377FA3">
                      <w:pPr>
                        <w:ind w:left="0"/>
                        <w:rPr>
                          <w:szCs w:val="22"/>
                        </w:rPr>
                      </w:pPr>
                      <w:r w:rsidRPr="007C0ACD">
                        <w:rPr>
                          <w:szCs w:val="22"/>
                        </w:rPr>
                        <w:t>The extra column on the right corrects a Word error that prevents vertical alignment in last column of a Word table.</w:t>
                      </w:r>
                    </w:p>
                    <w:p w14:paraId="70BFA3C6" w14:textId="77777777" w:rsidR="006231E2" w:rsidRPr="007C0ACD" w:rsidRDefault="006231E2"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8-30T12:00:00Z" w:initials="WJ">
    <w:p w14:paraId="1100CD5B" w14:textId="7DB6063A" w:rsidR="006231E2" w:rsidRDefault="006231E2">
      <w:pPr>
        <w:pStyle w:val="CommentText"/>
      </w:pPr>
      <w:r>
        <w:rPr>
          <w:rStyle w:val="CommentReference"/>
        </w:rPr>
        <w:annotationRef/>
      </w:r>
      <w:r>
        <w:t>Revise per changes in the rule? BLDS / HEPA</w:t>
      </w:r>
    </w:p>
  </w:comment>
  <w:comment w:id="2" w:author="WESTERSUND Joe" w:date="2016-08-30T12:00:00Z" w:initials="WJ">
    <w:p w14:paraId="4B19C7BF" w14:textId="1F13487E" w:rsidR="006231E2" w:rsidRDefault="006231E2">
      <w:pPr>
        <w:pStyle w:val="CommentText"/>
      </w:pPr>
      <w:r>
        <w:rPr>
          <w:rStyle w:val="CommentReference"/>
        </w:rPr>
        <w:annotationRef/>
      </w:r>
      <w:r>
        <w:t>Revise per changes in the rule? BLDS / HEPA.</w:t>
      </w:r>
    </w:p>
  </w:comment>
  <w:comment w:id="3" w:author="WESTERSUND Joe" w:date="2016-08-30T12:01:00Z" w:initials="WJ">
    <w:p w14:paraId="41D0BE73" w14:textId="00A23EEE" w:rsidR="006231E2" w:rsidRDefault="006231E2">
      <w:pPr>
        <w:pStyle w:val="CommentText"/>
      </w:pPr>
      <w:r>
        <w:rPr>
          <w:rStyle w:val="CommentReference"/>
        </w:rPr>
        <w:annotationRef/>
      </w:r>
      <w:r>
        <w:t>Revise per changes in the rule BLDS / HEPA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0CD5B" w15:done="0"/>
  <w15:commentEx w15:paraId="4B19C7BF"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FA3AB" w14:textId="77777777" w:rsidR="006231E2" w:rsidRDefault="006231E2">
      <w:r>
        <w:separator/>
      </w:r>
    </w:p>
  </w:endnote>
  <w:endnote w:type="continuationSeparator" w:id="0">
    <w:p w14:paraId="70BFA3AC" w14:textId="77777777" w:rsidR="006231E2" w:rsidRDefault="0062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F" w14:textId="77777777" w:rsidR="006231E2" w:rsidRDefault="00623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0" w14:textId="77777777" w:rsidR="006231E2" w:rsidRDefault="006231E2" w:rsidP="00ED70A5">
    <w:pPr>
      <w:pStyle w:val="Footer"/>
    </w:pPr>
  </w:p>
  <w:p w14:paraId="70BFA3B1" w14:textId="77777777" w:rsidR="006231E2" w:rsidRPr="002B4E71" w:rsidRDefault="006231E2" w:rsidP="00ED70A5">
    <w:pPr>
      <w:pStyle w:val="Footer"/>
    </w:pPr>
    <w:r>
      <w:t>Staff Report</w:t>
    </w:r>
    <w:r w:rsidRPr="002B4E71">
      <w:t xml:space="preserve"> page | </w:t>
    </w:r>
    <w:r>
      <w:fldChar w:fldCharType="begin"/>
    </w:r>
    <w:r>
      <w:instrText xml:space="preserve"> PAGE   \* MERGEFORMAT </w:instrText>
    </w:r>
    <w:r>
      <w:fldChar w:fldCharType="separate"/>
    </w:r>
    <w:r w:rsidR="00F430A0">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3" w14:textId="77777777" w:rsidR="006231E2" w:rsidRDefault="006231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FEB1" w14:textId="77777777" w:rsidR="006231E2" w:rsidRDefault="006231E2" w:rsidP="00ED70A5">
    <w:pPr>
      <w:pStyle w:val="Footer"/>
    </w:pPr>
  </w:p>
  <w:p w14:paraId="6E188984" w14:textId="77777777" w:rsidR="006231E2" w:rsidRPr="002B4E71" w:rsidRDefault="006231E2" w:rsidP="00ED70A5">
    <w:pPr>
      <w:pStyle w:val="Footer"/>
    </w:pPr>
    <w:r w:rsidRPr="002B4E71">
      <w:t xml:space="preserve">Notice page | </w:t>
    </w:r>
    <w:r>
      <w:fldChar w:fldCharType="begin"/>
    </w:r>
    <w:r>
      <w:instrText xml:space="preserve"> PAGE   \* MERGEFORMAT </w:instrText>
    </w:r>
    <w:r>
      <w:fldChar w:fldCharType="separate"/>
    </w:r>
    <w:r w:rsidR="00267402">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4" w14:textId="77777777" w:rsidR="006231E2" w:rsidRDefault="006231E2" w:rsidP="00ED70A5">
    <w:pPr>
      <w:pStyle w:val="Footer"/>
    </w:pPr>
  </w:p>
  <w:p w14:paraId="70BFA3B5" w14:textId="77777777" w:rsidR="006231E2" w:rsidRPr="002B4E71" w:rsidRDefault="006231E2" w:rsidP="00ED70A5">
    <w:pPr>
      <w:pStyle w:val="Footer"/>
    </w:pPr>
    <w:r w:rsidRPr="002B4E71">
      <w:t xml:space="preserve">Notice page | </w:t>
    </w:r>
    <w:r>
      <w:fldChar w:fldCharType="begin"/>
    </w:r>
    <w:r>
      <w:instrText xml:space="preserve"> PAGE   \* MERGEFORMAT </w:instrText>
    </w:r>
    <w:r>
      <w:fldChar w:fldCharType="separate"/>
    </w:r>
    <w:r w:rsidR="00267402">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FA3A9" w14:textId="77777777" w:rsidR="006231E2" w:rsidRDefault="006231E2">
      <w:r>
        <w:separator/>
      </w:r>
    </w:p>
  </w:footnote>
  <w:footnote w:type="continuationSeparator" w:id="0">
    <w:p w14:paraId="70BFA3AA" w14:textId="77777777" w:rsidR="006231E2" w:rsidRDefault="006231E2">
      <w:r>
        <w:continuationSeparator/>
      </w:r>
    </w:p>
  </w:footnote>
  <w:footnote w:id="1">
    <w:p w14:paraId="733192D7" w14:textId="77777777" w:rsidR="006231E2" w:rsidRDefault="006231E2" w:rsidP="00ED70A5">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4FDB3FFC" w14:textId="77777777" w:rsidR="006231E2" w:rsidRDefault="006231E2"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6231E2" w:rsidRDefault="006231E2"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6231E2" w:rsidRDefault="006231E2"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6231E2" w:rsidRDefault="006231E2"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6">
    <w:p w14:paraId="23531B70" w14:textId="58945248" w:rsidR="006231E2" w:rsidRDefault="006231E2"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3F111E">
        <w:rPr>
          <w:highlight w:val="yellow"/>
        </w:rPr>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D" w14:textId="77777777" w:rsidR="006231E2" w:rsidRDefault="00623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AE" w14:textId="77777777" w:rsidR="006231E2" w:rsidRDefault="00623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FA3B2" w14:textId="77777777" w:rsidR="006231E2" w:rsidRDefault="006231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6"/>
  </w:num>
  <w:num w:numId="2">
    <w:abstractNumId w:val="3"/>
  </w:num>
  <w:num w:numId="3">
    <w:abstractNumId w:val="15"/>
  </w:num>
  <w:num w:numId="4">
    <w:abstractNumId w:val="5"/>
  </w:num>
  <w:num w:numId="5">
    <w:abstractNumId w:val="11"/>
  </w:num>
  <w:num w:numId="6">
    <w:abstractNumId w:val="4"/>
  </w:num>
  <w:num w:numId="7">
    <w:abstractNumId w:val="1"/>
  </w:num>
  <w:num w:numId="8">
    <w:abstractNumId w:val="13"/>
  </w:num>
  <w:num w:numId="9">
    <w:abstractNumId w:val="17"/>
  </w:num>
  <w:num w:numId="10">
    <w:abstractNumId w:val="6"/>
  </w:num>
  <w:num w:numId="11">
    <w:abstractNumId w:val="10"/>
  </w:num>
  <w:num w:numId="12">
    <w:abstractNumId w:val="19"/>
  </w:num>
  <w:num w:numId="13">
    <w:abstractNumId w:val="2"/>
  </w:num>
  <w:num w:numId="14">
    <w:abstractNumId w:val="0"/>
  </w:num>
  <w:num w:numId="15">
    <w:abstractNumId w:val="8"/>
  </w:num>
  <w:num w:numId="16">
    <w:abstractNumId w:val="14"/>
  </w:num>
  <w:num w:numId="17">
    <w:abstractNumId w:val="9"/>
  </w:num>
  <w:num w:numId="18">
    <w:abstractNumId w:val="12"/>
  </w:num>
  <w:num w:numId="19">
    <w:abstractNumId w:val="18"/>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1406D"/>
    <w:rsid w:val="00121380"/>
    <w:rsid w:val="001335D4"/>
    <w:rsid w:val="001B0B23"/>
    <w:rsid w:val="001B2C7D"/>
    <w:rsid w:val="001B7270"/>
    <w:rsid w:val="001E74CD"/>
    <w:rsid w:val="00202460"/>
    <w:rsid w:val="00214C8D"/>
    <w:rsid w:val="00235774"/>
    <w:rsid w:val="00264F32"/>
    <w:rsid w:val="00267402"/>
    <w:rsid w:val="00276752"/>
    <w:rsid w:val="00295F77"/>
    <w:rsid w:val="002B207D"/>
    <w:rsid w:val="002B287F"/>
    <w:rsid w:val="002C2E35"/>
    <w:rsid w:val="002C3436"/>
    <w:rsid w:val="002C5CE3"/>
    <w:rsid w:val="00300BAB"/>
    <w:rsid w:val="00301053"/>
    <w:rsid w:val="0030544D"/>
    <w:rsid w:val="00307730"/>
    <w:rsid w:val="003254B3"/>
    <w:rsid w:val="00351D97"/>
    <w:rsid w:val="00360F45"/>
    <w:rsid w:val="00377FA3"/>
    <w:rsid w:val="003939C0"/>
    <w:rsid w:val="00396EFA"/>
    <w:rsid w:val="003B4C60"/>
    <w:rsid w:val="003C489B"/>
    <w:rsid w:val="003D3320"/>
    <w:rsid w:val="003D3F4F"/>
    <w:rsid w:val="003E40CF"/>
    <w:rsid w:val="003F111E"/>
    <w:rsid w:val="004078E5"/>
    <w:rsid w:val="004160B1"/>
    <w:rsid w:val="00427F57"/>
    <w:rsid w:val="0046361C"/>
    <w:rsid w:val="004646AA"/>
    <w:rsid w:val="00470178"/>
    <w:rsid w:val="00492CA9"/>
    <w:rsid w:val="00523FC7"/>
    <w:rsid w:val="005668E9"/>
    <w:rsid w:val="00567FC7"/>
    <w:rsid w:val="00573943"/>
    <w:rsid w:val="00580EAA"/>
    <w:rsid w:val="005B2457"/>
    <w:rsid w:val="005C6DB3"/>
    <w:rsid w:val="005D3153"/>
    <w:rsid w:val="006231E2"/>
    <w:rsid w:val="006950BD"/>
    <w:rsid w:val="006E13F2"/>
    <w:rsid w:val="006E5165"/>
    <w:rsid w:val="007038EB"/>
    <w:rsid w:val="00724AEE"/>
    <w:rsid w:val="00746C81"/>
    <w:rsid w:val="007A0ACD"/>
    <w:rsid w:val="007B77B1"/>
    <w:rsid w:val="00851587"/>
    <w:rsid w:val="00894B4C"/>
    <w:rsid w:val="008A10FC"/>
    <w:rsid w:val="008E2A1B"/>
    <w:rsid w:val="00945AC8"/>
    <w:rsid w:val="009A06A3"/>
    <w:rsid w:val="009B6D76"/>
    <w:rsid w:val="00A12394"/>
    <w:rsid w:val="00A72D66"/>
    <w:rsid w:val="00AE696D"/>
    <w:rsid w:val="00AF7293"/>
    <w:rsid w:val="00B07AF7"/>
    <w:rsid w:val="00B83057"/>
    <w:rsid w:val="00BA0A3C"/>
    <w:rsid w:val="00BE547D"/>
    <w:rsid w:val="00C34EF5"/>
    <w:rsid w:val="00C40F43"/>
    <w:rsid w:val="00C46BB1"/>
    <w:rsid w:val="00C65FFD"/>
    <w:rsid w:val="00CF33D7"/>
    <w:rsid w:val="00D2135A"/>
    <w:rsid w:val="00D30CC0"/>
    <w:rsid w:val="00D37B58"/>
    <w:rsid w:val="00D56D2A"/>
    <w:rsid w:val="00D62AF2"/>
    <w:rsid w:val="00D771E0"/>
    <w:rsid w:val="00D8597B"/>
    <w:rsid w:val="00DD45B4"/>
    <w:rsid w:val="00DE2E14"/>
    <w:rsid w:val="00E30322"/>
    <w:rsid w:val="00E372D7"/>
    <w:rsid w:val="00E818C5"/>
    <w:rsid w:val="00EB5242"/>
    <w:rsid w:val="00ED70A5"/>
    <w:rsid w:val="00EE393A"/>
    <w:rsid w:val="00F27046"/>
    <w:rsid w:val="00F333EA"/>
    <w:rsid w:val="00F406EC"/>
    <w:rsid w:val="00F430A0"/>
    <w:rsid w:val="00F552BB"/>
    <w:rsid w:val="00FA7B76"/>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semiHidden/>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oregon.gov/deq/RulesandRegulations/Documents/ToxicsStaff0416.pdf"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s://www.epa.gov/clean-air-act-overview/benefits-and-costs-clean-air-act-1990-2020-second-prospective-stud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oregon.gov/deq/RulesandRegulations/Pages/2016/Rartglass2016.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oregon.gov/deq/Pages/Events.aspx"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oregon.gov/deq/RulesandRegulations/Pages/Advisory/Aartglass2016.aspx" TargetMode="External"/><Relationship Id="rId28"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ortlandmercury.com/blogtown/2016/06/08/18194644/bullseye-glass-is-raising-prices-to-pay-for-air-filters" TargetMode="External"/><Relationship Id="rId27" Type="http://schemas.openxmlformats.org/officeDocument/2006/relationships/hyperlink" Target="http://oregon.gov/deq/Pages/Events.aspx"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purl.org/dc/elements/1.1/"/>
    <ds:schemaRef ds:uri="http://schemas.microsoft.com/office/2006/metadata/properties"/>
    <ds:schemaRef ds:uri="http://purl.org/dc/terms/"/>
    <ds:schemaRef ds:uri="http://www.w3.org/XML/1998/namespace"/>
    <ds:schemaRef ds:uri="http://purl.org/dc/dcmitype/"/>
    <ds:schemaRef ds:uri="$ListId:doc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44</Pages>
  <Words>13688</Words>
  <Characters>78026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77</cp:revision>
  <dcterms:created xsi:type="dcterms:W3CDTF">2015-11-04T16:15:00Z</dcterms:created>
  <dcterms:modified xsi:type="dcterms:W3CDTF">2016-09-01T00:37:00Z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