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bookmarkStart w:id="0" w:name="_GoBack"/>
      <w:bookmarkEnd w:id="0"/>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9CC4EF8"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the 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71214B3B" w:rsidR="00ED70A5" w:rsidRPr="00ED70A5" w:rsidRDefault="00ED70A5" w:rsidP="00CB6D54">
      <w:pPr>
        <w:ind w:left="630"/>
      </w:pPr>
      <w:r w:rsidRPr="00ED70A5">
        <w:t xml:space="preserve">The 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652C7482" w:rsidR="00ED70A5" w:rsidRPr="00ED70A5" w:rsidRDefault="00ED70A5" w:rsidP="00CB6D54">
      <w:pPr>
        <w:ind w:left="630"/>
      </w:pPr>
      <w:r w:rsidRPr="00ED70A5">
        <w:t xml:space="preserve">Benchmarks are Oregon’s protective “clean air” goals that DEQ developed to address toxic air pollutants. </w:t>
      </w:r>
      <w:r w:rsidR="00A12073" w:rsidRPr="00ED70A5">
        <w:t>DEQ's air toxics benchmarks are designed to be very protective 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658973CD" w:rsidR="00ED70A5" w:rsidRPr="00ED70A5" w:rsidRDefault="00ED70A5" w:rsidP="00CB6D54">
      <w:pPr>
        <w:ind w:left="630"/>
      </w:pPr>
      <w:r w:rsidRPr="00ED70A5">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6EEB4103" w:rsidR="00ED70A5" w:rsidRPr="00ED70A5" w:rsidRDefault="00ED70A5" w:rsidP="00CB6D54">
      <w:pPr>
        <w:ind w:left="630"/>
      </w:pPr>
      <w:r w:rsidRPr="00ED70A5">
        <w:t xml:space="preserve">Air toxics emissions from certain types of industrial businesses like colored art glass manufacturers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p>
    <w:p w14:paraId="3FF5C806" w14:textId="77777777" w:rsidR="00B42B67" w:rsidRDefault="000C6E7C" w:rsidP="000C6E7C">
      <w:pPr>
        <w:pStyle w:val="ListParagraph"/>
        <w:numPr>
          <w:ilvl w:val="0"/>
          <w:numId w:val="23"/>
        </w:numPr>
      </w:pPr>
      <w:r>
        <w:t xml:space="preserve">Adding to the requirements for control devices.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p>
    <w:p w14:paraId="0C7889FB" w14:textId="3256551A" w:rsidR="009226B8" w:rsidRDefault="009226B8" w:rsidP="009226B8">
      <w:pPr>
        <w:pStyle w:val="ListParagraph"/>
        <w:numPr>
          <w:ilvl w:val="0"/>
          <w:numId w:val="23"/>
        </w:numPr>
      </w:pPr>
      <w:r>
        <w:t>Changing the way that Tier 2 facilities set maximum usage limits for 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or to test for total chromium and assume all of it is hexavalent chromium.</w:t>
      </w:r>
    </w:p>
    <w:p w14:paraId="0D8A6BEE" w14:textId="368CCD8F" w:rsidR="00B42B67" w:rsidRDefault="00B42B67" w:rsidP="00B42B67">
      <w:pPr>
        <w:ind w:left="0"/>
      </w:pPr>
    </w:p>
    <w:p w14:paraId="4875F3FC" w14:textId="4E70333F" w:rsidR="00B42B67" w:rsidRDefault="00B42B67" w:rsidP="00CB6D54">
      <w:pPr>
        <w:ind w:left="630"/>
      </w:pPr>
      <w:r>
        <w:t xml:space="preserve">The rule includes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1"/>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w:t>
      </w:r>
      <w:r w:rsidR="00A60F6D">
        <w:t>glassmaking</w:t>
      </w:r>
      <w:r w:rsidRPr="00ED70A5">
        <w:t xml:space="preserve"> </w:t>
      </w:r>
      <w:r w:rsidRPr="00ED70A5">
        <w:lastRenderedPageBreak/>
        <w:t xml:space="preserve">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2" w:name="SupportingDocuments"/>
      <w:r w:rsidRPr="00ED70A5">
        <w:rPr>
          <w:rFonts w:ascii="Arial" w:hAnsi="Arial"/>
          <w:b/>
          <w:bCs/>
          <w:szCs w:val="26"/>
        </w:rPr>
        <w:t xml:space="preserve">Documents relied on for rulemaking </w:t>
      </w:r>
      <w:bookmarkEnd w:id="2"/>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CB6D54">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635216"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3"/>
      <w:r w:rsidR="008E7F9D">
        <w:rPr>
          <w:bCs/>
          <w:color w:val="000000"/>
        </w:rPr>
        <w:t>$598,000 to $99</w:t>
      </w:r>
      <w:r w:rsidRPr="00ED70A5">
        <w:rPr>
          <w:bCs/>
          <w:color w:val="000000"/>
        </w:rPr>
        <w:t xml:space="preserve">0,000 </w:t>
      </w:r>
      <w:commentRangeEnd w:id="3"/>
      <w:r w:rsidR="008E7F9D">
        <w:rPr>
          <w:rStyle w:val="CommentReference"/>
        </w:rPr>
        <w:commentReference w:id="3"/>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4"/>
      <w:r w:rsidR="001B30D6">
        <w:rPr>
          <w:bCs/>
          <w:color w:val="000000"/>
        </w:rPr>
        <w:t>$431,000 to $72</w:t>
      </w:r>
      <w:r w:rsidRPr="00ED70A5">
        <w:rPr>
          <w:bCs/>
          <w:color w:val="000000"/>
        </w:rPr>
        <w:t>9,000</w:t>
      </w:r>
      <w:commentRangeEnd w:id="4"/>
      <w:r w:rsidR="001B30D6">
        <w:rPr>
          <w:rStyle w:val="CommentReference"/>
        </w:rPr>
        <w:commentReference w:id="4"/>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5"/>
      <w:r w:rsidRPr="00ED70A5">
        <w:rPr>
          <w:bCs/>
          <w:color w:val="000000"/>
        </w:rPr>
        <w:t xml:space="preserve">261,000 to $422,000 </w:t>
      </w:r>
      <w:commentRangeEnd w:id="5"/>
      <w:r w:rsidR="003F111E">
        <w:rPr>
          <w:rStyle w:val="CommentReference"/>
        </w:rPr>
        <w:commentReference w:id="5"/>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6634E8">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635216"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635216"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6" w:name="AlternativesConsidered"/>
      <w:bookmarkStart w:id="7"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6"/>
      <w:r w:rsidRPr="00ED70A5">
        <w:rPr>
          <w:szCs w:val="22"/>
        </w:rPr>
        <w:t xml:space="preserve"> if any?</w:t>
      </w:r>
      <w:bookmarkEnd w:id="7"/>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8" w:name="AdvisoryCommittee"/>
      <w:r w:rsidRPr="00ED70A5">
        <w:rPr>
          <w:rFonts w:ascii="Arial" w:hAnsi="Arial"/>
          <w:b/>
          <w:bCs/>
          <w:szCs w:val="26"/>
        </w:rPr>
        <w:t>Advisory committee</w:t>
      </w:r>
      <w:bookmarkEnd w:id="8"/>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a smaller amount)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DEQ acknowledges that at this time there is no information available to quantify the metal 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proofErr w:type="spellStart"/>
      <w:r w:rsidRPr="002C3436">
        <w:rPr>
          <w:bCs/>
          <w:color w:val="000000" w:themeColor="text1"/>
        </w:rPr>
        <w:t>glassworking</w:t>
      </w:r>
      <w:proofErr w:type="spellEnd"/>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This rule is specifically targeted to address CAGM emissions. The Cleaner Air Oregon rulemaking is underway and will 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lastRenderedPageBreak/>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77777777" w:rsidR="002C3436" w:rsidRPr="002C3436" w:rsidRDefault="002C3436" w:rsidP="002C3436">
      <w:pPr>
        <w:ind w:right="630"/>
        <w:rPr>
          <w:bCs/>
          <w:color w:val="000000" w:themeColor="text1"/>
        </w:rPr>
      </w:pPr>
      <w:r w:rsidRPr="002C3436">
        <w:rPr>
          <w:bCs/>
          <w:color w:val="000000" w:themeColor="text1"/>
        </w:rPr>
        <w:t xml:space="preserve">The proposed rule only applies 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77777777" w:rsidR="002C3436" w:rsidRPr="002C3436" w:rsidRDefault="002C3436" w:rsidP="002C3436">
      <w:pPr>
        <w:ind w:right="630"/>
        <w:rPr>
          <w:bCs/>
          <w:color w:val="000000" w:themeColor="text1"/>
        </w:rPr>
      </w:pPr>
      <w:r w:rsidRPr="002C3436">
        <w:rPr>
          <w:bCs/>
          <w:color w:val="000000" w:themeColor="text1"/>
        </w:rPr>
        <w:t>There should be heavy fines for violations, a plan for repeat offenders, and the ability to shut 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 Chapter 340, Division 12. Fines are based on the amounts and procedures specified in these rules, and include provisions for increasing fines for repeated violations.</w:t>
      </w:r>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metal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The proposed rules include OAR 340-244-9090, which allows DEQ to set a limit on a CAGM’s use of a glassmaking HAP if that HAP is determined to pose an unacceptable risk to human health in the area of a CAGM. However, the rule would not allow DEQ to add materials to the list of glassmaking HAPs without going through a new rulemaking process. If new information comes to light DEQ could revisit the rule, or in an emergency the Governor's office could order DEQ to take action.</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lastRenderedPageBreak/>
        <w:t>Response</w:t>
      </w:r>
    </w:p>
    <w:p w14:paraId="785A0D3A" w14:textId="77777777" w:rsidR="002C3436" w:rsidRPr="002C3436" w:rsidRDefault="002C3436" w:rsidP="002C3436">
      <w:pPr>
        <w:ind w:right="630"/>
        <w:rPr>
          <w:bCs/>
          <w:color w:val="000000" w:themeColor="text1"/>
        </w:rPr>
      </w:pPr>
    </w:p>
    <w:p w14:paraId="31BA669A" w14:textId="77777777" w:rsidR="002C3436" w:rsidRPr="002C3436" w:rsidRDefault="002C3436" w:rsidP="002C3436">
      <w:pPr>
        <w:ind w:right="630"/>
        <w:rPr>
          <w:bCs/>
          <w:color w:val="000000" w:themeColor="text1"/>
        </w:rPr>
      </w:pPr>
      <w:r w:rsidRPr="002C3436">
        <w:rPr>
          <w:bCs/>
          <w:color w:val="000000" w:themeColor="text1"/>
        </w:rPr>
        <w:t>DEQ disagrees that the rules should apply to all heavy metals by September 1, 2016. When rules that require the installation of emission control devices are adopted, agencies must give the affected facilities time to design, obtain building permits, obtain the emission control device and install it.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In addition to the above considerations, only the Environmental Quality Commission has the authority to approve new rules. The EQC will meet on September 29th to consider DEQ's proposal and changes approved by the EQC would not take effect retroactively.</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77777777" w:rsidR="002C3436" w:rsidRPr="002C3436" w:rsidRDefault="002C3436" w:rsidP="002C3436">
      <w:pPr>
        <w:ind w:right="630"/>
        <w:rPr>
          <w:bCs/>
          <w:color w:val="000000" w:themeColor="text1"/>
        </w:rPr>
      </w:pPr>
      <w:r w:rsidRPr="002C3436">
        <w:rPr>
          <w:bCs/>
          <w:color w:val="000000" w:themeColor="text1"/>
        </w:rPr>
        <w:t>The current, temporary rules on art glass manufacturers will expire on October 18th, 2016, and cannot be extended. DEQ is moving to regulate colored art glass manufacturers (CAGMs) in response to data that showed residents near CAGMs were exposed to unhealthy air, in some cases exceeding acute (24-hr) health benchmarks. DEQ feels that these permanent rules are needed now.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 xml:space="preserve">DEQ is proposing to change the 36 ng/m3 limit based on new information submitted by OHA. OHA recommended that DEQ revise the 24 hour health benchmark for hexavalent chromium to 5 ng/m3. 5 </w:t>
      </w:r>
      <w:r w:rsidRPr="002C3436">
        <w:rPr>
          <w:bCs/>
          <w:color w:val="000000" w:themeColor="text1"/>
        </w:rPr>
        <w:lastRenderedPageBreak/>
        <w:t>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metals, which is a technology-based requirement. It also incorporates elements of a risk-based program by establishing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 availability of emission control technology and its ability to control emissions must also be taken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77777777" w:rsidR="002C3436" w:rsidRPr="002C3436" w:rsidRDefault="002C3436" w:rsidP="002C3436">
      <w:pPr>
        <w:ind w:right="630"/>
        <w:rPr>
          <w:bCs/>
          <w:color w:val="000000" w:themeColor="text1"/>
        </w:rPr>
      </w:pPr>
      <w:r w:rsidRPr="002C3436">
        <w:rPr>
          <w:bCs/>
          <w:color w:val="000000" w:themeColor="text1"/>
        </w:rPr>
        <w:lastRenderedPageBreak/>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77777777" w:rsidR="002C3436" w:rsidRPr="002C3436" w:rsidRDefault="002C3436" w:rsidP="002C3436">
      <w:pPr>
        <w:ind w:right="630"/>
        <w:rPr>
          <w:bCs/>
          <w:color w:val="000000" w:themeColor="text1"/>
        </w:rPr>
      </w:pPr>
      <w:r w:rsidRPr="002C3436">
        <w:rPr>
          <w:bCs/>
          <w:color w:val="000000" w:themeColor="text1"/>
        </w:rPr>
        <w: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t>
      </w:r>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77777777" w:rsidR="002C3436" w:rsidRPr="002C3436" w:rsidRDefault="002C3436" w:rsidP="002C3436">
      <w:pPr>
        <w:ind w:right="630"/>
        <w:rPr>
          <w:bCs/>
          <w:color w:val="000000" w:themeColor="text1"/>
        </w:rPr>
      </w:pPr>
      <w:r w:rsidRPr="002C3436">
        <w:rPr>
          <w:bCs/>
          <w:color w:val="000000" w:themeColor="text1"/>
        </w:rPr>
        <w:lastRenderedPageBreak/>
        <w:t>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Bullseye was clearly the source of these significant elevation in air data.  DEQ’s work to identify and control remaining sources of air toxics around the Bullseye facility is ongoing.  Both the Bullseye and Lehigh facility are completing new controls and management practices to address residual elevated hexavalent chromium detections in recent monitoring events.</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which again was clearly attributable to Bullseye,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 Facilities do not have to wait until the permit is issued to begin operating.</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permit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Some glassmaking HAPs are newly added to the list in this proposal and have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77777777" w:rsidR="002C3436" w:rsidRPr="002C3436" w:rsidRDefault="002C3436" w:rsidP="002C3436">
      <w:pPr>
        <w:ind w:right="630"/>
        <w:rPr>
          <w:bCs/>
          <w:color w:val="000000" w:themeColor="text1"/>
        </w:rPr>
      </w:pPr>
      <w:r w:rsidRPr="002C3436">
        <w:rPr>
          <w:bCs/>
          <w:color w:val="000000" w:themeColor="text1"/>
        </w:rPr>
        <w:lastRenderedPageBreak/>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therefore 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77777777" w:rsidR="002C3436" w:rsidRPr="002C3436" w:rsidRDefault="002C3436" w:rsidP="002C3436">
      <w:pPr>
        <w:ind w:right="630"/>
        <w:rPr>
          <w:bCs/>
          <w:color w:val="000000" w:themeColor="text1"/>
        </w:rPr>
      </w:pPr>
      <w:r w:rsidRPr="002C3436">
        <w:rPr>
          <w:bCs/>
          <w:color w:val="000000" w:themeColor="text1"/>
        </w:rPr>
        <w:t>DEQ believes that existing technology can reduce CAGM emissions to levels below health benchmarks. If improved technologies are developed in the future, DEQ could revisit this rule in a future rulemaking.</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lastRenderedPageBreak/>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lastRenderedPageBreak/>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lastRenderedPageBreak/>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77777777" w:rsidR="002C3436" w:rsidRPr="002C3436" w:rsidRDefault="002C3436" w:rsidP="002C3436">
      <w:pPr>
        <w:ind w:right="630"/>
        <w:rPr>
          <w:bCs/>
          <w:color w:val="000000" w:themeColor="text1"/>
        </w:rPr>
      </w:pPr>
      <w:r w:rsidRPr="002C3436">
        <w:rPr>
          <w:bCs/>
          <w:color w:val="000000" w:themeColor="text1"/>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72E1745E" w14:textId="77777777" w:rsidR="002C3436" w:rsidRPr="002C3436" w:rsidRDefault="002C3436" w:rsidP="002C3436">
      <w:pPr>
        <w:ind w:right="630"/>
        <w:rPr>
          <w:bCs/>
          <w:color w:val="000000" w:themeColor="text1"/>
        </w:rPr>
      </w:pPr>
    </w:p>
    <w:p w14:paraId="4E3A2AD7" w14:textId="77777777" w:rsidR="002C3436" w:rsidRPr="002C3436" w:rsidRDefault="002C3436" w:rsidP="002C3436">
      <w:pPr>
        <w:ind w:right="630"/>
        <w:rPr>
          <w:bCs/>
          <w:color w:val="000000" w:themeColor="text1"/>
        </w:rPr>
      </w:pPr>
      <w:r w:rsidRPr="002C3436">
        <w:rPr>
          <w:bCs/>
          <w:color w:val="000000" w:themeColor="text1"/>
        </w:rPr>
        <w:t>We have revised the rule to reduce source testing costs and uncertainties by replacing the 99% capture efficiency standard with a standard at the baghouse outlet. In addition, DEQ added a pathway for facilities to apply for an extension of time to comply in 340-244-9005.</w:t>
      </w:r>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if following 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lastRenderedPageBreak/>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77777777" w:rsidR="002C3436" w:rsidRPr="002C3436" w:rsidRDefault="002C3436" w:rsidP="002C3436">
      <w:pPr>
        <w:ind w:right="630"/>
        <w:rPr>
          <w:bCs/>
          <w:color w:val="000000" w:themeColor="text1"/>
        </w:rPr>
      </w:pPr>
      <w:r w:rsidRPr="002C3436">
        <w:rPr>
          <w:bCs/>
          <w:color w:val="000000" w:themeColor="text1"/>
        </w:rPr>
        <w:t>DEQ does not agree that this type of monitoring should be required. DEQ believes the testing required by the rule is sufficient to demonstrate the performance of the emission control devices</w:t>
      </w:r>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77777777" w:rsidR="002C3436" w:rsidRPr="002C3436" w:rsidRDefault="002C3436" w:rsidP="002C3436">
      <w:pPr>
        <w:ind w:right="630"/>
        <w:rPr>
          <w:bCs/>
          <w:color w:val="000000" w:themeColor="text1"/>
        </w:rPr>
      </w:pPr>
      <w:r w:rsidRPr="002C3436">
        <w:rPr>
          <w:bCs/>
          <w:color w:val="000000" w:themeColor="text1"/>
        </w:rPr>
        <w:t>This rule is in addition to and more stringent than the federal NESHAP Subpart SSSSSS.</w:t>
      </w:r>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SSSSSS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w:t>
      </w:r>
      <w:r w:rsidRPr="002C3436">
        <w:rPr>
          <w:bCs/>
          <w:color w:val="000000" w:themeColor="text1"/>
        </w:rPr>
        <w:lastRenderedPageBreak/>
        <w:t>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77777777" w:rsidR="002C3436" w:rsidRPr="002C3436" w:rsidRDefault="002C3436" w:rsidP="002C3436">
      <w:pPr>
        <w:ind w:right="630"/>
        <w:rPr>
          <w:bCs/>
          <w:color w:val="000000" w:themeColor="text1"/>
        </w:rPr>
      </w:pPr>
      <w:r w:rsidRPr="002C3436">
        <w:rPr>
          <w:bCs/>
          <w:color w:val="000000" w:themeColor="text1"/>
        </w:rPr>
        <w:t xml:space="preserve">DEQ acknowledges that this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 emissions were found to still be posing an unacceptable risk to people near them. Such a determination would be made in consultation with the Oregon Health Authority but the details are otherwise not specified.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w:t>
      </w:r>
      <w:r w:rsidRPr="002C3436">
        <w:rPr>
          <w:bCs/>
          <w:color w:val="000000" w:themeColor="text1"/>
        </w:rPr>
        <w:lastRenderedPageBreak/>
        <w:t>efficiency standard. This is a standard type of emissions testing for other facility types and will reduce source testing costs.</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w:t>
      </w:r>
      <w:r w:rsidRPr="002C3436">
        <w:rPr>
          <w:bCs/>
          <w:color w:val="000000" w:themeColor="text1"/>
        </w:rPr>
        <w:lastRenderedPageBreak/>
        <w:t xml:space="preserve">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5E74D5">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lastRenderedPageBreak/>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lastRenderedPageBreak/>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lastRenderedPageBreak/>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46C7A2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w:t>
      </w:r>
      <w:r w:rsidR="00301053">
        <w:rPr>
          <w:color w:val="000000" w:themeColor="text1"/>
        </w:rPr>
        <w:lastRenderedPageBreak/>
        <w:t>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5F9F9593"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r w:rsidR="00D62AF2">
        <w:rPr>
          <w:color w:val="000000"/>
          <w:szCs w:val="22"/>
        </w:rPr>
        <w:t xml:space="preserve">or become </w:t>
      </w:r>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DEQ staff: The permit writing team and enforcement staff would develop internal compliance and enforcement guidance on the proposed rules for permit writers and inspectors.</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30F9FC4D" w:rsidR="00C65FFD" w:rsidRDefault="00202460" w:rsidP="00C65FFD">
      <w:pPr>
        <w:spacing w:before="120" w:after="120"/>
        <w:ind w:right="1008"/>
        <w:rPr>
          <w:color w:val="000000"/>
          <w:szCs w:val="22"/>
        </w:rPr>
      </w:pPr>
      <w:r w:rsidRPr="00B07AF7">
        <w:rPr>
          <w:color w:val="000000"/>
          <w:szCs w:val="22"/>
        </w:rPr>
        <w:t xml:space="preserve">DEQ staff: </w:t>
      </w:r>
      <w:r w:rsidR="003D3320" w:rsidRPr="003D3320">
        <w:rPr>
          <w:color w:val="000000"/>
          <w:szCs w:val="22"/>
        </w:rPr>
        <w:t>DEQ staff would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635216" w:rsidRPr="007C0ACD" w:rsidRDefault="0063521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635216" w:rsidRPr="007C0ACD" w:rsidRDefault="00635216" w:rsidP="00377FA3">
                            <w:pPr>
                              <w:ind w:left="0"/>
                              <w:rPr>
                                <w:szCs w:val="22"/>
                              </w:rPr>
                            </w:pPr>
                            <w:r w:rsidRPr="007C0ACD">
                              <w:rPr>
                                <w:szCs w:val="22"/>
                              </w:rPr>
                              <w:t>The extra column on the right corrects a Word error that prevents vertical alignment in last column of a Word table.</w:t>
                            </w:r>
                          </w:p>
                          <w:p w14:paraId="70BFA3C6" w14:textId="77777777" w:rsidR="00635216" w:rsidRPr="007C0ACD" w:rsidRDefault="0063521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635216" w:rsidRPr="007C0ACD" w:rsidRDefault="0063521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635216" w:rsidRPr="007C0ACD" w:rsidRDefault="00635216" w:rsidP="00377FA3">
                      <w:pPr>
                        <w:ind w:left="0"/>
                        <w:rPr>
                          <w:szCs w:val="22"/>
                        </w:rPr>
                      </w:pPr>
                      <w:r w:rsidRPr="007C0ACD">
                        <w:rPr>
                          <w:szCs w:val="22"/>
                        </w:rPr>
                        <w:t>The extra column on the right corrects a Word error that prevents vertical alignment in last column of a Word table.</w:t>
                      </w:r>
                    </w:p>
                    <w:p w14:paraId="70BFA3C6" w14:textId="77777777" w:rsidR="00635216" w:rsidRPr="007C0ACD" w:rsidRDefault="0063521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01T17:15:00Z" w:initials="WJ">
    <w:p w14:paraId="46398234" w14:textId="4DA3A02D" w:rsidR="00D90D8F" w:rsidRDefault="00D90D8F">
      <w:pPr>
        <w:pStyle w:val="CommentText"/>
      </w:pPr>
      <w:r>
        <w:rPr>
          <w:rStyle w:val="CommentReference"/>
        </w:rPr>
        <w:annotationRef/>
      </w:r>
      <w:r>
        <w:t>Fiscal analysis tables</w:t>
      </w:r>
    </w:p>
  </w:comment>
  <w:comment w:id="3" w:author="WESTERSUND Joe" w:date="2016-09-01T15:20:00Z" w:initials="WJ">
    <w:p w14:paraId="6D26D05B" w14:textId="4EF1F31A" w:rsidR="00635216" w:rsidRDefault="00635216">
      <w:pPr>
        <w:pStyle w:val="CommentText"/>
      </w:pPr>
      <w:r>
        <w:rPr>
          <w:rStyle w:val="CommentReference"/>
        </w:rPr>
        <w:annotationRef/>
      </w:r>
      <w:r>
        <w:t>Updated to reflect new BLDS / HEPA requirement</w:t>
      </w:r>
    </w:p>
  </w:comment>
  <w:comment w:id="4" w:author="WESTERSUND Joe" w:date="2016-09-01T15:23:00Z" w:initials="WJ">
    <w:p w14:paraId="31412971" w14:textId="2A1CEFE6" w:rsidR="00635216" w:rsidRDefault="00635216">
      <w:pPr>
        <w:pStyle w:val="CommentText"/>
      </w:pPr>
      <w:r>
        <w:rPr>
          <w:rStyle w:val="CommentReference"/>
        </w:rPr>
        <w:annotationRef/>
      </w:r>
      <w:r>
        <w:t>Updated to reflect new BLDS / HEPA requirement</w:t>
      </w:r>
    </w:p>
  </w:comment>
  <w:comment w:id="5" w:author="WESTERSUND Joe" w:date="2016-08-30T12:01:00Z" w:initials="WJ">
    <w:p w14:paraId="6E2C058C" w14:textId="77777777" w:rsidR="00635216" w:rsidRDefault="00635216">
      <w:pPr>
        <w:pStyle w:val="CommentText"/>
      </w:pPr>
      <w:r>
        <w:rPr>
          <w:rStyle w:val="CommentReference"/>
        </w:rPr>
        <w:annotationRef/>
      </w:r>
      <w:r>
        <w:t xml:space="preserve"> No change from draft fiscal analysis. </w:t>
      </w:r>
    </w:p>
    <w:p w14:paraId="3CCAB4E8" w14:textId="77777777" w:rsidR="00635216" w:rsidRDefault="00635216">
      <w:pPr>
        <w:pStyle w:val="CommentText"/>
      </w:pPr>
    </w:p>
    <w:p w14:paraId="41D0BE73" w14:textId="4C9916B3" w:rsidR="00635216" w:rsidRDefault="00635216">
      <w:pPr>
        <w:pStyle w:val="CommentText"/>
      </w:pPr>
      <w:r>
        <w:t>Facility can choose grain loading test or BLDS / HEPA. Source test was already included in draft fiscal.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D26D05B" w15:done="0"/>
  <w15:commentEx w15:paraId="31412971"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635216" w:rsidRDefault="00635216">
      <w:r>
        <w:separator/>
      </w:r>
    </w:p>
  </w:endnote>
  <w:endnote w:type="continuationSeparator" w:id="0">
    <w:p w14:paraId="70BFA3AC" w14:textId="77777777" w:rsidR="00635216" w:rsidRDefault="0063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635216" w:rsidRDefault="00635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635216" w:rsidRDefault="00635216" w:rsidP="00ED70A5">
    <w:pPr>
      <w:pStyle w:val="Footer"/>
    </w:pPr>
  </w:p>
  <w:p w14:paraId="70BFA3B1" w14:textId="77777777" w:rsidR="00635216" w:rsidRPr="002B4E71" w:rsidRDefault="00635216" w:rsidP="00ED70A5">
    <w:pPr>
      <w:pStyle w:val="Footer"/>
    </w:pPr>
    <w:r>
      <w:t>Staff Report</w:t>
    </w:r>
    <w:r w:rsidRPr="002B4E71">
      <w:t xml:space="preserve"> page | </w:t>
    </w:r>
    <w:r>
      <w:fldChar w:fldCharType="begin"/>
    </w:r>
    <w:r>
      <w:instrText xml:space="preserve"> PAGE   \* MERGEFORMAT </w:instrText>
    </w:r>
    <w:r>
      <w:fldChar w:fldCharType="separate"/>
    </w:r>
    <w:r w:rsidR="00D90D8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635216" w:rsidRDefault="006352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635216" w:rsidRDefault="00635216" w:rsidP="00ED70A5">
    <w:pPr>
      <w:pStyle w:val="Footer"/>
    </w:pPr>
  </w:p>
  <w:p w14:paraId="6E188984" w14:textId="77777777" w:rsidR="00635216" w:rsidRPr="002B4E71" w:rsidRDefault="00635216" w:rsidP="00ED70A5">
    <w:pPr>
      <w:pStyle w:val="Footer"/>
    </w:pPr>
    <w:r w:rsidRPr="002B4E71">
      <w:t xml:space="preserve">Notice page | </w:t>
    </w:r>
    <w:r>
      <w:fldChar w:fldCharType="begin"/>
    </w:r>
    <w:r>
      <w:instrText xml:space="preserve"> PAGE   \* MERGEFORMAT </w:instrText>
    </w:r>
    <w:r>
      <w:fldChar w:fldCharType="separate"/>
    </w:r>
    <w:r w:rsidR="00D90D8F">
      <w:rPr>
        <w:noProof/>
      </w:rPr>
      <w:t>21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635216" w:rsidRDefault="00635216" w:rsidP="00ED70A5">
    <w:pPr>
      <w:pStyle w:val="Footer"/>
    </w:pPr>
  </w:p>
  <w:p w14:paraId="70BFA3B5" w14:textId="77777777" w:rsidR="00635216" w:rsidRPr="002B4E71" w:rsidRDefault="00635216" w:rsidP="00ED70A5">
    <w:pPr>
      <w:pStyle w:val="Footer"/>
    </w:pPr>
    <w:r w:rsidRPr="002B4E71">
      <w:t xml:space="preserve">Notice page | </w:t>
    </w:r>
    <w:r>
      <w:fldChar w:fldCharType="begin"/>
    </w:r>
    <w:r>
      <w:instrText xml:space="preserve"> PAGE   \* MERGEFORMAT </w:instrText>
    </w:r>
    <w:r>
      <w:fldChar w:fldCharType="separate"/>
    </w:r>
    <w:r w:rsidR="00D90D8F">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635216" w:rsidRDefault="00635216">
      <w:r>
        <w:separator/>
      </w:r>
    </w:p>
  </w:footnote>
  <w:footnote w:type="continuationSeparator" w:id="0">
    <w:p w14:paraId="70BFA3AA" w14:textId="77777777" w:rsidR="00635216" w:rsidRDefault="00635216">
      <w:r>
        <w:continuationSeparator/>
      </w:r>
    </w:p>
  </w:footnote>
  <w:footnote w:id="1">
    <w:p w14:paraId="733192D7" w14:textId="0A39F8B2" w:rsidR="00635216" w:rsidRDefault="00635216" w:rsidP="00ED70A5">
      <w:pPr>
        <w:pStyle w:val="FootnoteText"/>
      </w:pPr>
      <w:r>
        <w:rPr>
          <w:rStyle w:val="FootnoteReference"/>
        </w:rPr>
        <w:footnoteRef/>
      </w:r>
      <w:r>
        <w:t xml:space="preserve"> The glassmaking HAP</w:t>
      </w:r>
      <w:r w:rsidR="00633FB8">
        <w:t>s</w:t>
      </w:r>
      <w:r>
        <w:t xml:space="preserve"> governed by the proposed rule include </w:t>
      </w:r>
      <w:r w:rsidRPr="00C5304C">
        <w:t>arsenic, cadmium, chromium, lead</w:t>
      </w:r>
      <w:r>
        <w:t>, manganese</w:t>
      </w:r>
      <w:r w:rsidRPr="00C5304C">
        <w:t xml:space="preserve"> and nickel</w:t>
      </w:r>
      <w:r w:rsidR="00633FB8">
        <w:t xml:space="preserve"> and selenium</w:t>
      </w:r>
      <w:r>
        <w:t>.</w:t>
      </w:r>
    </w:p>
  </w:footnote>
  <w:footnote w:id="2">
    <w:p w14:paraId="4FDB3FFC" w14:textId="77777777" w:rsidR="00635216" w:rsidRDefault="0063521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635216" w:rsidRDefault="0063521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635216" w:rsidRDefault="0063521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635216" w:rsidRDefault="00635216"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3531B70" w14:textId="58945248" w:rsidR="00635216" w:rsidRDefault="0063521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635216" w:rsidRDefault="00635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635216" w:rsidRDefault="00635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635216" w:rsidRDefault="00635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C6E7C"/>
    <w:rsid w:val="000D03CC"/>
    <w:rsid w:val="000F26C9"/>
    <w:rsid w:val="0011406D"/>
    <w:rsid w:val="00121380"/>
    <w:rsid w:val="001335D4"/>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E085B"/>
    <w:rsid w:val="00300BAB"/>
    <w:rsid w:val="00301053"/>
    <w:rsid w:val="0030544D"/>
    <w:rsid w:val="00307730"/>
    <w:rsid w:val="003254B3"/>
    <w:rsid w:val="00351D97"/>
    <w:rsid w:val="00360F45"/>
    <w:rsid w:val="00377FA3"/>
    <w:rsid w:val="0038431F"/>
    <w:rsid w:val="003939C0"/>
    <w:rsid w:val="00396EFA"/>
    <w:rsid w:val="003B4C60"/>
    <w:rsid w:val="003C489B"/>
    <w:rsid w:val="003D3320"/>
    <w:rsid w:val="003D3F4F"/>
    <w:rsid w:val="003E0FAA"/>
    <w:rsid w:val="003E40CF"/>
    <w:rsid w:val="003F111E"/>
    <w:rsid w:val="004078E5"/>
    <w:rsid w:val="004160B1"/>
    <w:rsid w:val="00427F57"/>
    <w:rsid w:val="0046361C"/>
    <w:rsid w:val="004646AA"/>
    <w:rsid w:val="00470178"/>
    <w:rsid w:val="00492CA9"/>
    <w:rsid w:val="004A663C"/>
    <w:rsid w:val="004F1A92"/>
    <w:rsid w:val="00505C36"/>
    <w:rsid w:val="0051708F"/>
    <w:rsid w:val="00517518"/>
    <w:rsid w:val="005201AA"/>
    <w:rsid w:val="00523FC7"/>
    <w:rsid w:val="00527929"/>
    <w:rsid w:val="00541CD2"/>
    <w:rsid w:val="005668E9"/>
    <w:rsid w:val="00567FC7"/>
    <w:rsid w:val="00573943"/>
    <w:rsid w:val="00580EAA"/>
    <w:rsid w:val="005B2457"/>
    <w:rsid w:val="005C6DB3"/>
    <w:rsid w:val="005D3153"/>
    <w:rsid w:val="005E74D5"/>
    <w:rsid w:val="006231E2"/>
    <w:rsid w:val="00633FB8"/>
    <w:rsid w:val="00635216"/>
    <w:rsid w:val="00643271"/>
    <w:rsid w:val="006634E8"/>
    <w:rsid w:val="006950BD"/>
    <w:rsid w:val="006E13F2"/>
    <w:rsid w:val="006E5165"/>
    <w:rsid w:val="007038EB"/>
    <w:rsid w:val="00724AEE"/>
    <w:rsid w:val="00746C81"/>
    <w:rsid w:val="0075317D"/>
    <w:rsid w:val="00760A41"/>
    <w:rsid w:val="00790539"/>
    <w:rsid w:val="007A0ACD"/>
    <w:rsid w:val="007B77B1"/>
    <w:rsid w:val="007C00C1"/>
    <w:rsid w:val="0082386E"/>
    <w:rsid w:val="00851587"/>
    <w:rsid w:val="00866A7F"/>
    <w:rsid w:val="008910CF"/>
    <w:rsid w:val="0089255D"/>
    <w:rsid w:val="00894B4C"/>
    <w:rsid w:val="008A10FC"/>
    <w:rsid w:val="008A7AB3"/>
    <w:rsid w:val="008C3366"/>
    <w:rsid w:val="008E2A1B"/>
    <w:rsid w:val="008E7F9D"/>
    <w:rsid w:val="00915371"/>
    <w:rsid w:val="009226B8"/>
    <w:rsid w:val="00945AC8"/>
    <w:rsid w:val="009A06A3"/>
    <w:rsid w:val="009B6D76"/>
    <w:rsid w:val="009D7F97"/>
    <w:rsid w:val="009E4928"/>
    <w:rsid w:val="00A12073"/>
    <w:rsid w:val="00A12394"/>
    <w:rsid w:val="00A16333"/>
    <w:rsid w:val="00A60F6D"/>
    <w:rsid w:val="00A72D66"/>
    <w:rsid w:val="00AB6DAD"/>
    <w:rsid w:val="00AE696D"/>
    <w:rsid w:val="00AF7293"/>
    <w:rsid w:val="00B07AF7"/>
    <w:rsid w:val="00B34A14"/>
    <w:rsid w:val="00B42B67"/>
    <w:rsid w:val="00B83057"/>
    <w:rsid w:val="00BA0A3C"/>
    <w:rsid w:val="00BE547D"/>
    <w:rsid w:val="00C34EF5"/>
    <w:rsid w:val="00C40F43"/>
    <w:rsid w:val="00C46BB1"/>
    <w:rsid w:val="00C65FFD"/>
    <w:rsid w:val="00CB6D54"/>
    <w:rsid w:val="00CE24D2"/>
    <w:rsid w:val="00CF2306"/>
    <w:rsid w:val="00CF33D7"/>
    <w:rsid w:val="00D02E6E"/>
    <w:rsid w:val="00D103A3"/>
    <w:rsid w:val="00D2135A"/>
    <w:rsid w:val="00D30CC0"/>
    <w:rsid w:val="00D37B58"/>
    <w:rsid w:val="00D56D2A"/>
    <w:rsid w:val="00D62AF2"/>
    <w:rsid w:val="00D66430"/>
    <w:rsid w:val="00D771E0"/>
    <w:rsid w:val="00D81DEE"/>
    <w:rsid w:val="00D8597B"/>
    <w:rsid w:val="00D90D8F"/>
    <w:rsid w:val="00DD45B4"/>
    <w:rsid w:val="00DE2E14"/>
    <w:rsid w:val="00DE3598"/>
    <w:rsid w:val="00DF7465"/>
    <w:rsid w:val="00E04CDB"/>
    <w:rsid w:val="00E05874"/>
    <w:rsid w:val="00E30322"/>
    <w:rsid w:val="00E372D7"/>
    <w:rsid w:val="00E72111"/>
    <w:rsid w:val="00E818C5"/>
    <w:rsid w:val="00EB5242"/>
    <w:rsid w:val="00ED70A5"/>
    <w:rsid w:val="00EE393A"/>
    <w:rsid w:val="00F142D8"/>
    <w:rsid w:val="00F27046"/>
    <w:rsid w:val="00F333EA"/>
    <w:rsid w:val="00F406EC"/>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C030-85B4-4894-BE39-3704A1045E6A}">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0B2A1F90-AADE-4794-96A0-9389C97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44</Pages>
  <Words>14110</Words>
  <Characters>80427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126</cp:revision>
  <dcterms:created xsi:type="dcterms:W3CDTF">2015-11-04T16:15:00Z</dcterms:created>
  <dcterms:modified xsi:type="dcterms:W3CDTF">2016-09-02T00:15:00Z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