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45" w:rsidRDefault="0058223E" w:rsidP="00CA6F57">
      <w:r>
        <w:t>Bullseye</w:t>
      </w:r>
      <w:bookmarkStart w:id="0" w:name="_GoBack"/>
      <w:bookmarkEnd w:id="0"/>
    </w:p>
    <w:p w:rsidR="00931698" w:rsidRDefault="00931698" w:rsidP="00931698">
      <w:pPr>
        <w:ind w:left="360"/>
      </w:pPr>
    </w:p>
    <w:p w:rsidR="00920545" w:rsidRPr="00220600" w:rsidRDefault="00BF4F81" w:rsidP="00605ECD">
      <w:pPr>
        <w:pStyle w:val="ListParagraph"/>
        <w:numPr>
          <w:ilvl w:val="0"/>
          <w:numId w:val="12"/>
        </w:numPr>
      </w:pPr>
      <w:r w:rsidRPr="00220600">
        <w:t>For the purpose of this agreement, the following terms wi</w:t>
      </w:r>
      <w:r w:rsidR="00083311" w:rsidRPr="00220600">
        <w:t xml:space="preserve">ll have the </w:t>
      </w:r>
      <w:r w:rsidR="00A11106" w:rsidRPr="00220600">
        <w:t>given meanings</w:t>
      </w:r>
      <w:r w:rsidRPr="00220600">
        <w:t>:</w:t>
      </w:r>
    </w:p>
    <w:p w:rsidR="00BF4F81" w:rsidRPr="00220600" w:rsidRDefault="00C13056" w:rsidP="00605ECD">
      <w:pPr>
        <w:pStyle w:val="ListParagraph"/>
        <w:numPr>
          <w:ilvl w:val="1"/>
          <w:numId w:val="12"/>
        </w:numPr>
      </w:pPr>
      <w:r>
        <w:t>“</w:t>
      </w:r>
      <w:r w:rsidR="00BF4F81" w:rsidRPr="00220600">
        <w:t>Chromium III</w:t>
      </w:r>
      <w:r>
        <w:t>”</w:t>
      </w:r>
      <w:r w:rsidR="00BF4F81" w:rsidRPr="00220600">
        <w:t xml:space="preserve"> means chromium in the +3 oxidation state, also known as trivalent chromium;</w:t>
      </w:r>
    </w:p>
    <w:p w:rsidR="00BF4F81" w:rsidRPr="00220600" w:rsidRDefault="00C13056" w:rsidP="00605ECD">
      <w:pPr>
        <w:pStyle w:val="ListParagraph"/>
        <w:numPr>
          <w:ilvl w:val="1"/>
          <w:numId w:val="12"/>
        </w:numPr>
      </w:pPr>
      <w:r>
        <w:t>“</w:t>
      </w:r>
      <w:r w:rsidR="00BF4F81" w:rsidRPr="00220600">
        <w:t>Chromium VI</w:t>
      </w:r>
      <w:r>
        <w:t>”</w:t>
      </w:r>
      <w:r w:rsidR="00BF4F81" w:rsidRPr="00220600">
        <w:t xml:space="preserve"> means chromium in the +6 oxidation state, also known as hexavalent chromium;</w:t>
      </w:r>
    </w:p>
    <w:p w:rsidR="00BF4F81" w:rsidRPr="00220600" w:rsidRDefault="00C13056" w:rsidP="00605ECD">
      <w:pPr>
        <w:pStyle w:val="ListParagraph"/>
        <w:numPr>
          <w:ilvl w:val="1"/>
          <w:numId w:val="12"/>
        </w:numPr>
      </w:pPr>
      <w:r>
        <w:t>“</w:t>
      </w:r>
      <w:r w:rsidR="00BF4F81" w:rsidRPr="00220600">
        <w:t>Chromium</w:t>
      </w:r>
      <w:r>
        <w:t>”</w:t>
      </w:r>
      <w:r w:rsidR="00BF4F81" w:rsidRPr="00220600">
        <w:t xml:space="preserve">, without a following roman numeral, means </w:t>
      </w:r>
      <w:r w:rsidR="00725E25" w:rsidRPr="00220600">
        <w:t>chromium in any oxidation state; and</w:t>
      </w:r>
    </w:p>
    <w:p w:rsidR="00725E25" w:rsidRPr="00605ECD" w:rsidRDefault="00C13056" w:rsidP="00605ECD">
      <w:pPr>
        <w:pStyle w:val="ListParagraph"/>
        <w:numPr>
          <w:ilvl w:val="1"/>
          <w:numId w:val="12"/>
        </w:numPr>
      </w:pPr>
      <w:r>
        <w:t>“</w:t>
      </w:r>
      <w:r w:rsidR="00725E25" w:rsidRPr="00605ECD">
        <w:t>Calendar week</w:t>
      </w:r>
      <w:r>
        <w:t>”</w:t>
      </w:r>
      <w:r w:rsidR="00725E25" w:rsidRPr="00605ECD">
        <w:t xml:space="preserve"> means Sunday through Saturday.</w:t>
      </w:r>
    </w:p>
    <w:p w:rsidR="00AE0FDE" w:rsidRDefault="00C211E2" w:rsidP="00605ECD">
      <w:pPr>
        <w:pStyle w:val="ListParagraph"/>
        <w:numPr>
          <w:ilvl w:val="0"/>
          <w:numId w:val="12"/>
        </w:numPr>
      </w:pPr>
      <w:r>
        <w:t>No later than</w:t>
      </w:r>
      <w:r w:rsidRPr="002D2327">
        <w:t xml:space="preserve"> </w:t>
      </w:r>
      <w:r>
        <w:t>September</w:t>
      </w:r>
      <w:r w:rsidRPr="002D2327">
        <w:t xml:space="preserve"> 1, 2016</w:t>
      </w:r>
      <w:r>
        <w:t xml:space="preserve">, </w:t>
      </w:r>
      <w:r w:rsidR="00F079DE" w:rsidRPr="002D2327">
        <w:t>Respondent must i</w:t>
      </w:r>
      <w:r w:rsidR="00BB1DB4" w:rsidRPr="002D2327">
        <w:t xml:space="preserve">nstall one or more baghouses to control all furnaces that </w:t>
      </w:r>
      <w:r w:rsidR="00AE0FDE">
        <w:t xml:space="preserve">are intended to </w:t>
      </w:r>
      <w:r w:rsidR="00BB1DB4" w:rsidRPr="002D2327">
        <w:t xml:space="preserve">use </w:t>
      </w:r>
      <w:r w:rsidR="00804D14" w:rsidRPr="002D2327">
        <w:t>cadmium</w:t>
      </w:r>
      <w:r w:rsidR="00BD064F">
        <w:t xml:space="preserve">, </w:t>
      </w:r>
      <w:r w:rsidR="00804D14" w:rsidRPr="002D2327">
        <w:t>chromium</w:t>
      </w:r>
      <w:r w:rsidR="00BD064F">
        <w:t xml:space="preserve"> or lead</w:t>
      </w:r>
      <w:r w:rsidR="00BB1DB4" w:rsidRPr="002D2327">
        <w:t>.</w:t>
      </w:r>
    </w:p>
    <w:p w:rsidR="00EF0885" w:rsidRPr="004D2FA8" w:rsidRDefault="00EF0885" w:rsidP="00605ECD">
      <w:pPr>
        <w:pStyle w:val="ListParagraph"/>
        <w:numPr>
          <w:ilvl w:val="0"/>
          <w:numId w:val="12"/>
        </w:numPr>
      </w:pPr>
      <w:r w:rsidRPr="004D2FA8">
        <w:t>R</w:t>
      </w:r>
      <w:r>
        <w:t xml:space="preserve">espondent </w:t>
      </w:r>
      <w:r w:rsidR="00667044">
        <w:t>must</w:t>
      </w:r>
      <w:r>
        <w:t xml:space="preserve"> not use </w:t>
      </w:r>
      <w:r w:rsidRPr="004938E9">
        <w:rPr>
          <w:highlight w:val="yellow"/>
        </w:rPr>
        <w:t>cadmium</w:t>
      </w:r>
      <w:r w:rsidR="009D71F4">
        <w:t xml:space="preserve"> or</w:t>
      </w:r>
      <w:r>
        <w:t xml:space="preserve"> </w:t>
      </w:r>
      <w:r w:rsidRPr="004D2FA8">
        <w:t>chromium VI</w:t>
      </w:r>
      <w:r w:rsidR="009D71F4">
        <w:t xml:space="preserve"> </w:t>
      </w:r>
      <w:r w:rsidR="00667044">
        <w:t>in any</w:t>
      </w:r>
      <w:r>
        <w:t xml:space="preserve"> </w:t>
      </w:r>
      <w:r w:rsidRPr="004D2FA8">
        <w:t>glass-making furnace</w:t>
      </w:r>
      <w:r w:rsidR="00667044">
        <w:t xml:space="preserve"> that is not controlled by a baghouse approved by DEQ.</w:t>
      </w:r>
    </w:p>
    <w:p w:rsidR="00FB3B2F" w:rsidRDefault="00EF0885" w:rsidP="00605ECD">
      <w:pPr>
        <w:pStyle w:val="ListParagraph"/>
        <w:numPr>
          <w:ilvl w:val="0"/>
          <w:numId w:val="12"/>
        </w:numPr>
      </w:pPr>
      <w:r>
        <w:t xml:space="preserve">Respondent </w:t>
      </w:r>
      <w:r w:rsidR="00667044">
        <w:t>must</w:t>
      </w:r>
      <w:r>
        <w:t xml:space="preserve"> limit the use of the Metals Used listed in Table 1</w:t>
      </w:r>
      <w:r w:rsidR="00FB3B2F">
        <w:t xml:space="preserve"> as follows:</w:t>
      </w:r>
    </w:p>
    <w:p w:rsidR="006205DF" w:rsidRPr="00605ECD" w:rsidRDefault="006205DF" w:rsidP="00605ECD">
      <w:pPr>
        <w:pStyle w:val="ListParagraph"/>
        <w:numPr>
          <w:ilvl w:val="1"/>
          <w:numId w:val="12"/>
        </w:numPr>
      </w:pPr>
      <w:r w:rsidRPr="00605ECD">
        <w:t>This limitation applies to all furnaces that are not controlled by a baghouse approved by DEQ;</w:t>
      </w:r>
    </w:p>
    <w:p w:rsidR="006255F6" w:rsidRPr="00605ECD" w:rsidRDefault="003C79A0" w:rsidP="00605ECD">
      <w:pPr>
        <w:pStyle w:val="ListParagraph"/>
        <w:numPr>
          <w:ilvl w:val="1"/>
          <w:numId w:val="12"/>
        </w:numPr>
      </w:pPr>
      <w:r w:rsidRPr="00605ECD">
        <w:t>In any calendar week, respondent</w:t>
      </w:r>
      <w:r w:rsidR="00FB3B2F" w:rsidRPr="00605ECD">
        <w:t xml:space="preserve"> must use n</w:t>
      </w:r>
      <w:r w:rsidR="00EF0885" w:rsidRPr="00605ECD">
        <w:t>o more than the</w:t>
      </w:r>
      <w:r w:rsidR="00FB3B2F" w:rsidRPr="00605ECD">
        <w:t xml:space="preserve"> listed</w:t>
      </w:r>
      <w:r w:rsidR="00EF0885" w:rsidRPr="00605ECD">
        <w:t xml:space="preserve"> Maximum Weekly Usage for that metal</w:t>
      </w:r>
      <w:r w:rsidR="00667044" w:rsidRPr="00605ECD">
        <w:t>;</w:t>
      </w:r>
    </w:p>
    <w:p w:rsidR="00A05FA1" w:rsidRDefault="006255F6" w:rsidP="00605ECD">
      <w:pPr>
        <w:pStyle w:val="ListParagraph"/>
        <w:numPr>
          <w:ilvl w:val="1"/>
          <w:numId w:val="12"/>
        </w:numPr>
      </w:pPr>
      <w:r>
        <w:t>T</w:t>
      </w:r>
      <w:r w:rsidR="00667044">
        <w:t>his limitation applies to</w:t>
      </w:r>
      <w:r w:rsidR="00830E7B">
        <w:t xml:space="preserve"> the total usage of that metal in</w:t>
      </w:r>
      <w:r w:rsidR="00667044">
        <w:t xml:space="preserve"> all glass-making f</w:t>
      </w:r>
      <w:r w:rsidR="003C79A0">
        <w:t>u</w:t>
      </w:r>
      <w:r w:rsidR="00667044">
        <w:t>rnaces that are not controlled by a baghouse approved by DEQ</w:t>
      </w:r>
      <w:r w:rsidR="00FB3B2F">
        <w:t>;</w:t>
      </w:r>
      <w:r w:rsidR="00FE3094">
        <w:t xml:space="preserve"> </w:t>
      </w:r>
      <w:r>
        <w:t>a</w:t>
      </w:r>
      <w:r w:rsidR="00FE3094">
        <w:t>nd</w:t>
      </w:r>
    </w:p>
    <w:p w:rsidR="006255F6" w:rsidRPr="006255F6" w:rsidRDefault="006255F6" w:rsidP="00605ECD">
      <w:pPr>
        <w:pStyle w:val="ListParagraph"/>
        <w:numPr>
          <w:ilvl w:val="1"/>
          <w:numId w:val="12"/>
        </w:numPr>
      </w:pPr>
      <w:r>
        <w:t>This limitation applies to the amount of the metal itself, not the weight of the compounds that contain the metal</w:t>
      </w:r>
      <w:r w:rsidRPr="006255F6">
        <w:t>.</w:t>
      </w:r>
    </w:p>
    <w:p w:rsidR="00FB3B2F" w:rsidRPr="00FB3B2F" w:rsidRDefault="00FB3B2F" w:rsidP="00605ECD">
      <w:pPr>
        <w:pStyle w:val="ListParagraph"/>
        <w:numPr>
          <w:ilvl w:val="1"/>
          <w:numId w:val="12"/>
        </w:numPr>
      </w:pPr>
      <w:r>
        <w:t xml:space="preserve">Respondent must </w:t>
      </w:r>
      <w:r w:rsidR="00934A0C">
        <w:t>red</w:t>
      </w:r>
      <w:r w:rsidR="006255F6">
        <w:t>uce or cease use of the M</w:t>
      </w:r>
      <w:r w:rsidR="00934A0C">
        <w:t>etal</w:t>
      </w:r>
      <w:r w:rsidR="00FB4A94">
        <w:t>s</w:t>
      </w:r>
      <w:r w:rsidR="006255F6">
        <w:t xml:space="preserve"> Used</w:t>
      </w:r>
      <w:r w:rsidR="00FB4A94">
        <w:t xml:space="preserve"> as provided in paragraph</w:t>
      </w:r>
      <w:r w:rsidR="00AE6BDD">
        <w:t xml:space="preserve"> 6</w:t>
      </w:r>
      <w:r w:rsidR="00934A0C">
        <w:t>.</w:t>
      </w:r>
    </w:p>
    <w:p w:rsidR="0052182A" w:rsidRPr="00A05FA1" w:rsidRDefault="0052182A" w:rsidP="00605ECD">
      <w:pPr>
        <w:pStyle w:val="ListParagraph"/>
        <w:numPr>
          <w:ilvl w:val="0"/>
          <w:numId w:val="12"/>
        </w:numPr>
      </w:pPr>
      <w:r>
        <w:t>There are no restrictions on the raw materials that may be used in a glass-making furnace that is controlled by a baghouse approved by DEQ.</w:t>
      </w:r>
    </w:p>
    <w:p w:rsidR="0052182A" w:rsidRDefault="0052182A" w:rsidP="00605ECD">
      <w:pPr>
        <w:pStyle w:val="ListParagraph"/>
        <w:numPr>
          <w:ilvl w:val="0"/>
          <w:numId w:val="12"/>
        </w:numPr>
      </w:pPr>
      <w:r>
        <w:br w:type="page"/>
      </w:r>
    </w:p>
    <w:p w:rsidR="00A05FA1" w:rsidRPr="00A05FA1" w:rsidRDefault="00A05FA1"/>
    <w:p w:rsidR="00A05FA1" w:rsidRDefault="00A05FA1">
      <w:pPr>
        <w:ind w:left="360"/>
      </w:pPr>
      <w:r>
        <w:t>Table 1</w:t>
      </w:r>
    </w:p>
    <w:tbl>
      <w:tblPr>
        <w:tblStyle w:val="TableGrid"/>
        <w:tblW w:w="0" w:type="auto"/>
        <w:jc w:val="center"/>
        <w:tblLayout w:type="fixed"/>
        <w:tblLook w:val="04A0"/>
      </w:tblPr>
      <w:tblGrid>
        <w:gridCol w:w="1512"/>
        <w:gridCol w:w="1542"/>
        <w:gridCol w:w="1542"/>
        <w:gridCol w:w="1246"/>
        <w:gridCol w:w="1245"/>
        <w:gridCol w:w="1244"/>
        <w:gridCol w:w="1245"/>
      </w:tblGrid>
      <w:tr w:rsidR="009B631C" w:rsidRPr="00F3367B" w:rsidTr="00F3367B">
        <w:trPr>
          <w:trHeight w:val="332"/>
          <w:tblHeader/>
          <w:jc w:val="center"/>
        </w:trPr>
        <w:tc>
          <w:tcPr>
            <w:tcW w:w="1512" w:type="dxa"/>
            <w:vAlign w:val="center"/>
          </w:tcPr>
          <w:p w:rsidR="009B631C" w:rsidRPr="009B631C" w:rsidRDefault="009B631C" w:rsidP="00F3367B">
            <w:pPr>
              <w:spacing w:before="100" w:beforeAutospacing="1" w:after="100" w:afterAutospacing="1"/>
              <w:contextualSpacing/>
              <w:jc w:val="center"/>
              <w:rPr>
                <w:b/>
              </w:rPr>
            </w:pPr>
          </w:p>
        </w:tc>
        <w:tc>
          <w:tcPr>
            <w:tcW w:w="3084" w:type="dxa"/>
            <w:gridSpan w:val="2"/>
            <w:vAlign w:val="center"/>
          </w:tcPr>
          <w:p w:rsidR="009B631C" w:rsidRPr="009B631C" w:rsidRDefault="009B631C" w:rsidP="00F3367B">
            <w:pPr>
              <w:spacing w:before="100" w:beforeAutospacing="1" w:after="100" w:afterAutospacing="1"/>
              <w:contextualSpacing/>
              <w:jc w:val="center"/>
              <w:rPr>
                <w:b/>
              </w:rPr>
            </w:pPr>
            <w:r w:rsidRPr="009B631C">
              <w:rPr>
                <w:b/>
              </w:rPr>
              <w:t>Action Levels *</w:t>
            </w:r>
          </w:p>
        </w:tc>
        <w:tc>
          <w:tcPr>
            <w:tcW w:w="1246" w:type="dxa"/>
            <w:vAlign w:val="center"/>
          </w:tcPr>
          <w:p w:rsidR="009B631C" w:rsidRPr="009B631C" w:rsidRDefault="009B631C" w:rsidP="00F3367B">
            <w:pPr>
              <w:spacing w:before="100" w:beforeAutospacing="1" w:after="100" w:afterAutospacing="1"/>
              <w:contextualSpacing/>
              <w:jc w:val="center"/>
              <w:rPr>
                <w:b/>
              </w:rPr>
            </w:pPr>
          </w:p>
        </w:tc>
        <w:tc>
          <w:tcPr>
            <w:tcW w:w="1245" w:type="dxa"/>
            <w:vAlign w:val="center"/>
          </w:tcPr>
          <w:p w:rsidR="009B631C" w:rsidRPr="009B631C" w:rsidRDefault="009B631C" w:rsidP="00F3367B">
            <w:pPr>
              <w:spacing w:before="100" w:beforeAutospacing="1" w:after="100" w:afterAutospacing="1"/>
              <w:contextualSpacing/>
              <w:jc w:val="center"/>
              <w:rPr>
                <w:b/>
              </w:rPr>
            </w:pPr>
            <w:r w:rsidRPr="009B631C">
              <w:rPr>
                <w:b/>
              </w:rPr>
              <w:t>80%</w:t>
            </w:r>
          </w:p>
        </w:tc>
        <w:tc>
          <w:tcPr>
            <w:tcW w:w="1244" w:type="dxa"/>
            <w:vAlign w:val="center"/>
          </w:tcPr>
          <w:p w:rsidR="009B631C" w:rsidRPr="009B631C" w:rsidRDefault="009B631C" w:rsidP="00F3367B">
            <w:pPr>
              <w:spacing w:before="100" w:beforeAutospacing="1" w:after="100" w:afterAutospacing="1"/>
              <w:contextualSpacing/>
              <w:jc w:val="center"/>
              <w:rPr>
                <w:b/>
              </w:rPr>
            </w:pPr>
            <w:r w:rsidRPr="009B631C">
              <w:rPr>
                <w:b/>
              </w:rPr>
              <w:t>60%</w:t>
            </w:r>
          </w:p>
        </w:tc>
        <w:tc>
          <w:tcPr>
            <w:tcW w:w="1245" w:type="dxa"/>
            <w:vAlign w:val="center"/>
          </w:tcPr>
          <w:p w:rsidR="009B631C" w:rsidRPr="009B631C" w:rsidRDefault="009B631C" w:rsidP="00F3367B">
            <w:pPr>
              <w:spacing w:before="100" w:beforeAutospacing="1" w:after="100" w:afterAutospacing="1"/>
              <w:contextualSpacing/>
              <w:jc w:val="center"/>
              <w:rPr>
                <w:b/>
              </w:rPr>
            </w:pPr>
            <w:r w:rsidRPr="009B631C">
              <w:rPr>
                <w:b/>
              </w:rPr>
              <w:t>40%</w:t>
            </w:r>
          </w:p>
        </w:tc>
      </w:tr>
      <w:tr w:rsidR="009B631C" w:rsidRPr="00F3367B" w:rsidTr="00F3367B">
        <w:trPr>
          <w:trHeight w:val="350"/>
          <w:tblHeader/>
          <w:jc w:val="center"/>
        </w:trPr>
        <w:tc>
          <w:tcPr>
            <w:tcW w:w="1512" w:type="dxa"/>
            <w:vAlign w:val="center"/>
          </w:tcPr>
          <w:p w:rsidR="009B631C" w:rsidRPr="009B631C" w:rsidRDefault="009B631C" w:rsidP="00F3367B">
            <w:pPr>
              <w:spacing w:before="100" w:beforeAutospacing="1" w:after="100" w:afterAutospacing="1"/>
              <w:contextualSpacing/>
              <w:jc w:val="center"/>
              <w:rPr>
                <w:b/>
              </w:rPr>
            </w:pPr>
            <w:r w:rsidRPr="009B631C">
              <w:rPr>
                <w:b/>
              </w:rPr>
              <w:t>Metal</w:t>
            </w:r>
          </w:p>
        </w:tc>
        <w:tc>
          <w:tcPr>
            <w:tcW w:w="1542" w:type="dxa"/>
            <w:vAlign w:val="center"/>
          </w:tcPr>
          <w:p w:rsidR="009B631C" w:rsidRPr="009B631C" w:rsidRDefault="009B631C" w:rsidP="00F3367B">
            <w:pPr>
              <w:spacing w:before="100" w:beforeAutospacing="1" w:after="100" w:afterAutospacing="1"/>
              <w:contextualSpacing/>
              <w:jc w:val="center"/>
              <w:rPr>
                <w:b/>
              </w:rPr>
            </w:pPr>
            <w:r w:rsidRPr="009B631C">
              <w:rPr>
                <w:b/>
              </w:rPr>
              <w:t>Reduce Use</w:t>
            </w:r>
          </w:p>
          <w:p w:rsidR="009B631C" w:rsidRPr="009B631C" w:rsidRDefault="009B631C" w:rsidP="00F3367B">
            <w:pPr>
              <w:spacing w:before="100" w:beforeAutospacing="1" w:after="100" w:afterAutospacing="1"/>
              <w:contextualSpacing/>
              <w:jc w:val="center"/>
              <w:rPr>
                <w:b/>
              </w:rPr>
            </w:pPr>
            <w:r w:rsidRPr="009B631C">
              <w:rPr>
                <w:b/>
              </w:rPr>
              <w:t>Level</w:t>
            </w:r>
          </w:p>
          <w:p w:rsidR="009B631C" w:rsidRPr="009B631C" w:rsidRDefault="009B631C" w:rsidP="00F3367B">
            <w:pPr>
              <w:spacing w:before="100" w:beforeAutospacing="1" w:after="100" w:afterAutospacing="1"/>
              <w:contextualSpacing/>
              <w:jc w:val="center"/>
              <w:rPr>
                <w:b/>
              </w:rPr>
            </w:pPr>
            <w:r w:rsidRPr="009B631C">
              <w:rPr>
                <w:b/>
              </w:rPr>
              <w:t>(</w:t>
            </w:r>
            <w:proofErr w:type="spellStart"/>
            <w:r w:rsidRPr="009B631C">
              <w:rPr>
                <w:b/>
              </w:rPr>
              <w:t>ng</w:t>
            </w:r>
            <w:proofErr w:type="spellEnd"/>
            <w:r w:rsidRPr="009B631C">
              <w:rPr>
                <w:b/>
              </w:rPr>
              <w:t>/m</w:t>
            </w:r>
            <w:r w:rsidRPr="00F3367B">
              <w:rPr>
                <w:b/>
              </w:rPr>
              <w:t>3</w:t>
            </w:r>
            <w:r w:rsidRPr="009B631C">
              <w:rPr>
                <w:b/>
              </w:rPr>
              <w:t>)</w:t>
            </w:r>
          </w:p>
        </w:tc>
        <w:tc>
          <w:tcPr>
            <w:tcW w:w="1542" w:type="dxa"/>
            <w:vAlign w:val="center"/>
          </w:tcPr>
          <w:p w:rsidR="009B631C" w:rsidRPr="009B631C" w:rsidRDefault="009B631C" w:rsidP="00F3367B">
            <w:pPr>
              <w:spacing w:before="100" w:beforeAutospacing="1" w:after="100" w:afterAutospacing="1"/>
              <w:contextualSpacing/>
              <w:jc w:val="center"/>
              <w:rPr>
                <w:b/>
              </w:rPr>
            </w:pPr>
            <w:r w:rsidRPr="009B631C">
              <w:rPr>
                <w:b/>
              </w:rPr>
              <w:t>Stop Use</w:t>
            </w:r>
          </w:p>
          <w:p w:rsidR="009B631C" w:rsidRPr="009B631C" w:rsidRDefault="009B631C" w:rsidP="00F3367B">
            <w:pPr>
              <w:spacing w:before="100" w:beforeAutospacing="1" w:after="100" w:afterAutospacing="1"/>
              <w:contextualSpacing/>
              <w:jc w:val="center"/>
              <w:rPr>
                <w:b/>
              </w:rPr>
            </w:pPr>
            <w:r w:rsidRPr="009B631C">
              <w:rPr>
                <w:b/>
              </w:rPr>
              <w:t>Level</w:t>
            </w:r>
          </w:p>
          <w:p w:rsidR="009B631C" w:rsidRPr="009B631C" w:rsidRDefault="009B631C" w:rsidP="00F3367B">
            <w:pPr>
              <w:spacing w:before="100" w:beforeAutospacing="1" w:after="100" w:afterAutospacing="1"/>
              <w:contextualSpacing/>
              <w:jc w:val="center"/>
              <w:rPr>
                <w:b/>
              </w:rPr>
            </w:pPr>
            <w:r w:rsidRPr="009B631C">
              <w:rPr>
                <w:b/>
              </w:rPr>
              <w:t>(</w:t>
            </w:r>
            <w:proofErr w:type="spellStart"/>
            <w:r w:rsidRPr="009B631C">
              <w:rPr>
                <w:b/>
              </w:rPr>
              <w:t>ng</w:t>
            </w:r>
            <w:proofErr w:type="spellEnd"/>
            <w:r w:rsidRPr="009B631C">
              <w:rPr>
                <w:b/>
              </w:rPr>
              <w:t>/m</w:t>
            </w:r>
            <w:r w:rsidRPr="00F3367B">
              <w:rPr>
                <w:b/>
              </w:rPr>
              <w:t>3</w:t>
            </w:r>
            <w:r w:rsidRPr="009B631C">
              <w:rPr>
                <w:b/>
              </w:rPr>
              <w:t>)</w:t>
            </w:r>
          </w:p>
        </w:tc>
        <w:tc>
          <w:tcPr>
            <w:tcW w:w="1246" w:type="dxa"/>
            <w:vAlign w:val="center"/>
          </w:tcPr>
          <w:p w:rsidR="009B631C" w:rsidRPr="009B631C" w:rsidRDefault="009B631C" w:rsidP="00F3367B">
            <w:pPr>
              <w:spacing w:before="100" w:beforeAutospacing="1" w:after="100" w:afterAutospacing="1"/>
              <w:contextualSpacing/>
              <w:jc w:val="center"/>
              <w:rPr>
                <w:b/>
              </w:rPr>
            </w:pPr>
            <w:r w:rsidRPr="009B631C">
              <w:rPr>
                <w:b/>
              </w:rPr>
              <w:t>Maximum Weekly Usage, pounds per week</w:t>
            </w:r>
          </w:p>
        </w:tc>
        <w:tc>
          <w:tcPr>
            <w:tcW w:w="1245" w:type="dxa"/>
            <w:vAlign w:val="center"/>
          </w:tcPr>
          <w:p w:rsidR="009B631C" w:rsidRPr="009B631C" w:rsidRDefault="009B631C" w:rsidP="00F3367B">
            <w:pPr>
              <w:spacing w:before="100" w:beforeAutospacing="1" w:after="100" w:afterAutospacing="1"/>
              <w:contextualSpacing/>
              <w:jc w:val="center"/>
              <w:rPr>
                <w:b/>
              </w:rPr>
            </w:pPr>
            <w:r w:rsidRPr="009B631C">
              <w:rPr>
                <w:b/>
              </w:rPr>
              <w:t>Reduction Step 1, pounds per week</w:t>
            </w:r>
          </w:p>
        </w:tc>
        <w:tc>
          <w:tcPr>
            <w:tcW w:w="1244" w:type="dxa"/>
            <w:vAlign w:val="center"/>
          </w:tcPr>
          <w:p w:rsidR="009B631C" w:rsidRPr="009B631C" w:rsidRDefault="009B631C" w:rsidP="00F3367B">
            <w:pPr>
              <w:spacing w:before="100" w:beforeAutospacing="1" w:after="100" w:afterAutospacing="1"/>
              <w:contextualSpacing/>
              <w:jc w:val="center"/>
              <w:rPr>
                <w:b/>
              </w:rPr>
            </w:pPr>
            <w:r w:rsidRPr="009B631C">
              <w:rPr>
                <w:b/>
              </w:rPr>
              <w:t>Reduction Step 2, pounds per week</w:t>
            </w:r>
          </w:p>
        </w:tc>
        <w:tc>
          <w:tcPr>
            <w:tcW w:w="1245" w:type="dxa"/>
            <w:vAlign w:val="center"/>
          </w:tcPr>
          <w:p w:rsidR="009B631C" w:rsidRPr="009B631C" w:rsidRDefault="009B631C" w:rsidP="00F3367B">
            <w:pPr>
              <w:spacing w:before="100" w:beforeAutospacing="1" w:after="100" w:afterAutospacing="1"/>
              <w:contextualSpacing/>
              <w:jc w:val="center"/>
              <w:rPr>
                <w:b/>
              </w:rPr>
            </w:pPr>
            <w:r w:rsidRPr="009B631C">
              <w:rPr>
                <w:b/>
              </w:rPr>
              <w:t>Reduction Step 3, pounds per week</w:t>
            </w:r>
          </w:p>
        </w:tc>
      </w:tr>
      <w:tr w:rsidR="009B631C" w:rsidRPr="009B631C" w:rsidTr="00F3367B">
        <w:trPr>
          <w:trHeight w:val="350"/>
          <w:jc w:val="center"/>
        </w:trPr>
        <w:tc>
          <w:tcPr>
            <w:tcW w:w="1512" w:type="dxa"/>
            <w:vAlign w:val="center"/>
          </w:tcPr>
          <w:p w:rsidR="009B631C" w:rsidRPr="009B631C" w:rsidRDefault="009B631C" w:rsidP="00F3367B">
            <w:pPr>
              <w:spacing w:before="100" w:beforeAutospacing="1" w:after="100" w:afterAutospacing="1"/>
              <w:contextualSpacing/>
              <w:jc w:val="center"/>
            </w:pPr>
            <w:r w:rsidRPr="009B631C">
              <w:t>Chromium III</w:t>
            </w:r>
          </w:p>
        </w:tc>
        <w:tc>
          <w:tcPr>
            <w:tcW w:w="1542" w:type="dxa"/>
            <w:vAlign w:val="center"/>
          </w:tcPr>
          <w:p w:rsidR="009B631C" w:rsidRPr="009B631C" w:rsidRDefault="009B631C" w:rsidP="00F3367B">
            <w:pPr>
              <w:spacing w:before="100" w:beforeAutospacing="1" w:after="100" w:afterAutospacing="1"/>
              <w:contextualSpacing/>
              <w:jc w:val="center"/>
            </w:pPr>
            <w:r w:rsidRPr="009B631C">
              <w:t>1.6</w:t>
            </w:r>
          </w:p>
        </w:tc>
        <w:tc>
          <w:tcPr>
            <w:tcW w:w="1542" w:type="dxa"/>
            <w:vAlign w:val="center"/>
          </w:tcPr>
          <w:p w:rsidR="009B631C" w:rsidRPr="009B631C" w:rsidRDefault="009B631C" w:rsidP="00F3367B">
            <w:pPr>
              <w:spacing w:before="100" w:beforeAutospacing="1" w:after="100" w:afterAutospacing="1"/>
              <w:contextualSpacing/>
              <w:jc w:val="center"/>
            </w:pPr>
            <w:r w:rsidRPr="009B631C">
              <w:t>3.2</w:t>
            </w:r>
          </w:p>
        </w:tc>
        <w:tc>
          <w:tcPr>
            <w:tcW w:w="1246"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c>
          <w:tcPr>
            <w:tcW w:w="1244"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r>
      <w:tr w:rsidR="009B631C" w:rsidRPr="009B631C" w:rsidTr="00F3367B">
        <w:trPr>
          <w:trHeight w:val="341"/>
          <w:jc w:val="center"/>
        </w:trPr>
        <w:tc>
          <w:tcPr>
            <w:tcW w:w="1512" w:type="dxa"/>
            <w:vAlign w:val="center"/>
          </w:tcPr>
          <w:p w:rsidR="009B631C" w:rsidRPr="009B631C" w:rsidRDefault="009B631C" w:rsidP="00F3367B">
            <w:pPr>
              <w:spacing w:before="100" w:beforeAutospacing="1" w:after="100" w:afterAutospacing="1"/>
              <w:contextualSpacing/>
              <w:jc w:val="center"/>
            </w:pPr>
            <w:r w:rsidRPr="009B631C">
              <w:t>Lead</w:t>
            </w:r>
          </w:p>
        </w:tc>
        <w:tc>
          <w:tcPr>
            <w:tcW w:w="1542" w:type="dxa"/>
            <w:vAlign w:val="center"/>
          </w:tcPr>
          <w:p w:rsidR="009B631C" w:rsidRPr="009B631C" w:rsidRDefault="009B631C" w:rsidP="00F3367B">
            <w:pPr>
              <w:spacing w:before="100" w:beforeAutospacing="1" w:after="100" w:afterAutospacing="1"/>
              <w:contextualSpacing/>
              <w:jc w:val="center"/>
            </w:pPr>
            <w:r w:rsidRPr="009B631C">
              <w:t>150</w:t>
            </w:r>
          </w:p>
        </w:tc>
        <w:tc>
          <w:tcPr>
            <w:tcW w:w="1542" w:type="dxa"/>
            <w:vAlign w:val="center"/>
          </w:tcPr>
          <w:p w:rsidR="009B631C" w:rsidRPr="009B631C" w:rsidRDefault="009B631C" w:rsidP="00F3367B">
            <w:pPr>
              <w:spacing w:before="100" w:beforeAutospacing="1" w:after="100" w:afterAutospacing="1"/>
              <w:contextualSpacing/>
              <w:jc w:val="center"/>
            </w:pPr>
            <w:r w:rsidRPr="009B631C">
              <w:t>150</w:t>
            </w:r>
          </w:p>
        </w:tc>
        <w:tc>
          <w:tcPr>
            <w:tcW w:w="1246"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c>
          <w:tcPr>
            <w:tcW w:w="1244"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r>
      <w:tr w:rsidR="009B631C" w:rsidRPr="009B631C" w:rsidTr="00F3367B">
        <w:trPr>
          <w:trHeight w:val="350"/>
          <w:jc w:val="center"/>
        </w:trPr>
        <w:tc>
          <w:tcPr>
            <w:tcW w:w="1512" w:type="dxa"/>
            <w:vAlign w:val="center"/>
          </w:tcPr>
          <w:p w:rsidR="009B631C" w:rsidRPr="009B631C" w:rsidRDefault="009B631C" w:rsidP="00F3367B">
            <w:pPr>
              <w:spacing w:before="100" w:beforeAutospacing="1" w:after="100" w:afterAutospacing="1"/>
              <w:contextualSpacing/>
              <w:jc w:val="center"/>
            </w:pPr>
            <w:r w:rsidRPr="009B631C">
              <w:t>Cobalt</w:t>
            </w:r>
          </w:p>
        </w:tc>
        <w:tc>
          <w:tcPr>
            <w:tcW w:w="1542" w:type="dxa"/>
            <w:vAlign w:val="center"/>
          </w:tcPr>
          <w:p w:rsidR="009B631C" w:rsidRPr="009B631C" w:rsidRDefault="009B631C" w:rsidP="00F3367B">
            <w:pPr>
              <w:spacing w:before="100" w:beforeAutospacing="1" w:after="100" w:afterAutospacing="1"/>
              <w:contextualSpacing/>
              <w:jc w:val="center"/>
            </w:pPr>
            <w:r w:rsidRPr="009B631C">
              <w:t>2,000</w:t>
            </w:r>
          </w:p>
        </w:tc>
        <w:tc>
          <w:tcPr>
            <w:tcW w:w="1542" w:type="dxa"/>
            <w:vAlign w:val="center"/>
          </w:tcPr>
          <w:p w:rsidR="009B631C" w:rsidRPr="009B631C" w:rsidRDefault="009B631C" w:rsidP="00F3367B">
            <w:pPr>
              <w:spacing w:before="100" w:beforeAutospacing="1" w:after="100" w:afterAutospacing="1"/>
              <w:contextualSpacing/>
              <w:jc w:val="center"/>
            </w:pPr>
            <w:r w:rsidRPr="009B631C">
              <w:t>4,000</w:t>
            </w:r>
          </w:p>
        </w:tc>
        <w:tc>
          <w:tcPr>
            <w:tcW w:w="1246"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c>
          <w:tcPr>
            <w:tcW w:w="1244"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r>
      <w:tr w:rsidR="009B631C" w:rsidRPr="009B631C" w:rsidTr="00F3367B">
        <w:trPr>
          <w:trHeight w:val="350"/>
          <w:jc w:val="center"/>
        </w:trPr>
        <w:tc>
          <w:tcPr>
            <w:tcW w:w="1512" w:type="dxa"/>
            <w:vAlign w:val="center"/>
          </w:tcPr>
          <w:p w:rsidR="009B631C" w:rsidRPr="009B631C" w:rsidRDefault="009B631C" w:rsidP="00F3367B">
            <w:pPr>
              <w:spacing w:before="100" w:beforeAutospacing="1" w:after="100" w:afterAutospacing="1"/>
              <w:contextualSpacing/>
              <w:jc w:val="center"/>
            </w:pPr>
            <w:r w:rsidRPr="009B631C">
              <w:t>Nickel</w:t>
            </w:r>
          </w:p>
        </w:tc>
        <w:tc>
          <w:tcPr>
            <w:tcW w:w="1542" w:type="dxa"/>
            <w:vAlign w:val="center"/>
          </w:tcPr>
          <w:p w:rsidR="009B631C" w:rsidRPr="009B631C" w:rsidRDefault="009B631C" w:rsidP="00F3367B">
            <w:pPr>
              <w:spacing w:before="100" w:beforeAutospacing="1" w:after="100" w:afterAutospacing="1"/>
              <w:contextualSpacing/>
              <w:jc w:val="center"/>
            </w:pPr>
            <w:r w:rsidRPr="009B631C">
              <w:t>40</w:t>
            </w:r>
          </w:p>
        </w:tc>
        <w:tc>
          <w:tcPr>
            <w:tcW w:w="1542" w:type="dxa"/>
            <w:vAlign w:val="center"/>
          </w:tcPr>
          <w:p w:rsidR="009B631C" w:rsidRPr="009B631C" w:rsidRDefault="009B631C" w:rsidP="00F3367B">
            <w:pPr>
              <w:spacing w:before="100" w:beforeAutospacing="1" w:after="100" w:afterAutospacing="1"/>
              <w:contextualSpacing/>
              <w:jc w:val="center"/>
            </w:pPr>
            <w:r w:rsidRPr="009B631C">
              <w:t>80</w:t>
            </w:r>
          </w:p>
        </w:tc>
        <w:tc>
          <w:tcPr>
            <w:tcW w:w="1246"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c>
          <w:tcPr>
            <w:tcW w:w="1244"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r>
      <w:tr w:rsidR="009B631C" w:rsidRPr="009B631C" w:rsidTr="00F3367B">
        <w:trPr>
          <w:trHeight w:val="296"/>
          <w:jc w:val="center"/>
        </w:trPr>
        <w:tc>
          <w:tcPr>
            <w:tcW w:w="1512" w:type="dxa"/>
            <w:vAlign w:val="center"/>
          </w:tcPr>
          <w:p w:rsidR="009B631C" w:rsidRPr="009B631C" w:rsidRDefault="009B631C" w:rsidP="00F3367B">
            <w:pPr>
              <w:spacing w:before="100" w:beforeAutospacing="1" w:after="100" w:afterAutospacing="1"/>
              <w:contextualSpacing/>
              <w:jc w:val="center"/>
            </w:pPr>
            <w:r w:rsidRPr="009B631C">
              <w:t>Manganese</w:t>
            </w:r>
          </w:p>
        </w:tc>
        <w:tc>
          <w:tcPr>
            <w:tcW w:w="1542" w:type="dxa"/>
            <w:vAlign w:val="center"/>
          </w:tcPr>
          <w:p w:rsidR="009B631C" w:rsidRPr="009B631C" w:rsidRDefault="009B631C" w:rsidP="00F3367B">
            <w:pPr>
              <w:spacing w:before="100" w:beforeAutospacing="1" w:after="100" w:afterAutospacing="1"/>
              <w:contextualSpacing/>
              <w:jc w:val="center"/>
            </w:pPr>
            <w:r w:rsidRPr="009B631C">
              <w:t>1,800</w:t>
            </w:r>
          </w:p>
        </w:tc>
        <w:tc>
          <w:tcPr>
            <w:tcW w:w="1542" w:type="dxa"/>
            <w:vAlign w:val="center"/>
          </w:tcPr>
          <w:p w:rsidR="009B631C" w:rsidRPr="009B631C" w:rsidRDefault="009B631C" w:rsidP="00F3367B">
            <w:pPr>
              <w:spacing w:before="100" w:beforeAutospacing="1" w:after="100" w:afterAutospacing="1"/>
              <w:contextualSpacing/>
              <w:jc w:val="center"/>
            </w:pPr>
            <w:r w:rsidRPr="009B631C">
              <w:t>3,600</w:t>
            </w:r>
          </w:p>
        </w:tc>
        <w:tc>
          <w:tcPr>
            <w:tcW w:w="1246"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c>
          <w:tcPr>
            <w:tcW w:w="1244"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r>
      <w:tr w:rsidR="009B631C" w:rsidRPr="009B631C" w:rsidTr="00F3367B">
        <w:trPr>
          <w:trHeight w:val="296"/>
          <w:jc w:val="center"/>
        </w:trPr>
        <w:tc>
          <w:tcPr>
            <w:tcW w:w="1512" w:type="dxa"/>
            <w:vAlign w:val="center"/>
          </w:tcPr>
          <w:p w:rsidR="009B631C" w:rsidRPr="004938E9" w:rsidRDefault="009B631C" w:rsidP="00F3367B">
            <w:pPr>
              <w:spacing w:before="100" w:beforeAutospacing="1" w:after="100" w:afterAutospacing="1"/>
              <w:contextualSpacing/>
              <w:jc w:val="center"/>
              <w:rPr>
                <w:highlight w:val="yellow"/>
              </w:rPr>
            </w:pPr>
            <w:r w:rsidRPr="004938E9">
              <w:rPr>
                <w:highlight w:val="yellow"/>
              </w:rPr>
              <w:t>Cadmium</w:t>
            </w:r>
          </w:p>
        </w:tc>
        <w:tc>
          <w:tcPr>
            <w:tcW w:w="1542" w:type="dxa"/>
            <w:vAlign w:val="center"/>
          </w:tcPr>
          <w:p w:rsidR="009B631C" w:rsidRPr="004938E9" w:rsidRDefault="009B631C" w:rsidP="00F3367B">
            <w:pPr>
              <w:spacing w:before="100" w:beforeAutospacing="1" w:after="100" w:afterAutospacing="1"/>
              <w:contextualSpacing/>
              <w:jc w:val="center"/>
              <w:rPr>
                <w:highlight w:val="yellow"/>
              </w:rPr>
            </w:pPr>
            <w:r w:rsidRPr="004938E9">
              <w:rPr>
                <w:highlight w:val="yellow"/>
              </w:rPr>
              <w:t>12</w:t>
            </w:r>
          </w:p>
        </w:tc>
        <w:tc>
          <w:tcPr>
            <w:tcW w:w="1542" w:type="dxa"/>
            <w:vAlign w:val="center"/>
          </w:tcPr>
          <w:p w:rsidR="009B631C" w:rsidRPr="004938E9" w:rsidRDefault="009B631C" w:rsidP="00F3367B">
            <w:pPr>
              <w:spacing w:before="100" w:beforeAutospacing="1" w:after="100" w:afterAutospacing="1"/>
              <w:contextualSpacing/>
              <w:jc w:val="center"/>
              <w:rPr>
                <w:highlight w:val="yellow"/>
              </w:rPr>
            </w:pPr>
            <w:r w:rsidRPr="004938E9">
              <w:rPr>
                <w:highlight w:val="yellow"/>
              </w:rPr>
              <w:t>24</w:t>
            </w:r>
          </w:p>
        </w:tc>
        <w:tc>
          <w:tcPr>
            <w:tcW w:w="1246"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c>
          <w:tcPr>
            <w:tcW w:w="1244" w:type="dxa"/>
            <w:vAlign w:val="center"/>
          </w:tcPr>
          <w:p w:rsidR="009B631C" w:rsidRPr="009B631C" w:rsidRDefault="009B631C" w:rsidP="00F3367B">
            <w:pPr>
              <w:spacing w:before="100" w:beforeAutospacing="1" w:after="100" w:afterAutospacing="1"/>
              <w:contextualSpacing/>
              <w:jc w:val="center"/>
            </w:pPr>
          </w:p>
        </w:tc>
        <w:tc>
          <w:tcPr>
            <w:tcW w:w="1245" w:type="dxa"/>
            <w:vAlign w:val="center"/>
          </w:tcPr>
          <w:p w:rsidR="009B631C" w:rsidRPr="009B631C" w:rsidRDefault="009B631C" w:rsidP="00F3367B">
            <w:pPr>
              <w:spacing w:before="100" w:beforeAutospacing="1" w:after="100" w:afterAutospacing="1"/>
              <w:contextualSpacing/>
              <w:jc w:val="center"/>
            </w:pPr>
          </w:p>
        </w:tc>
      </w:tr>
    </w:tbl>
    <w:p w:rsidR="009B631C" w:rsidRPr="009B631C" w:rsidRDefault="009B631C" w:rsidP="009B631C">
      <w:r w:rsidRPr="009B631C">
        <w:t>*Based on bi weekly rolling average</w:t>
      </w:r>
    </w:p>
    <w:p w:rsidR="009B631C" w:rsidRPr="009B631C" w:rsidRDefault="009B631C" w:rsidP="009B631C">
      <w:r w:rsidRPr="009B631C">
        <w:t>Reduce Use Level = 20 x DEQ Ambient Benchmarks Concentration except lead, which is the National Ambient Air Quality Standard</w:t>
      </w:r>
    </w:p>
    <w:p w:rsidR="009B631C" w:rsidRPr="009B631C" w:rsidRDefault="009B631C" w:rsidP="009B631C">
      <w:r w:rsidRPr="009B631C">
        <w:t>Stop Use Level = 40 x DEQ Ambient Benchmarks Concentration except lead, which is the National Ambient Air Quality Standard</w:t>
      </w:r>
    </w:p>
    <w:p w:rsidR="009B631C" w:rsidRPr="009B631C" w:rsidRDefault="009B631C" w:rsidP="009B631C">
      <w:r w:rsidRPr="009B631C">
        <w:t>In the range of 20-50 times benchmarks for these pollutants is lower than any acute health levels, therefore acceptable to OHA as protective action levels.</w:t>
      </w:r>
    </w:p>
    <w:p w:rsidR="00A05FA1" w:rsidRDefault="00A05FA1"/>
    <w:p w:rsidR="009B631C" w:rsidRDefault="009B631C"/>
    <w:p w:rsidR="002172F5" w:rsidRDefault="002172F5" w:rsidP="002172F5">
      <w:pPr>
        <w:pStyle w:val="ListParagraph"/>
        <w:numPr>
          <w:ilvl w:val="0"/>
          <w:numId w:val="14"/>
        </w:numPr>
      </w:pPr>
      <w:r>
        <w:t>In the event that bi-</w:t>
      </w:r>
      <w:r w:rsidRPr="008D5A32">
        <w:t>weekly average</w:t>
      </w:r>
      <w:r>
        <w:t>s of ambient monitoring data exceed an Action Level listed in Table 1, Respondent must reduce or stop usage of each metal for which an Action Level was exceeded as specified below:</w:t>
      </w:r>
    </w:p>
    <w:p w:rsidR="00C72B83" w:rsidRDefault="00BB1821" w:rsidP="002172F5">
      <w:pPr>
        <w:pStyle w:val="ListParagraph"/>
        <w:numPr>
          <w:ilvl w:val="1"/>
          <w:numId w:val="14"/>
        </w:numPr>
      </w:pPr>
      <w:r>
        <w:t>For the purpose of</w:t>
      </w:r>
      <w:r w:rsidR="00C72B83">
        <w:t xml:space="preserve"> this paragraph</w:t>
      </w:r>
      <w:r>
        <w:t>,</w:t>
      </w:r>
      <w:r w:rsidR="00C72B83">
        <w:t xml:space="preserve"> the following apply:</w:t>
      </w:r>
    </w:p>
    <w:p w:rsidR="00BB1821" w:rsidRDefault="00C72B83" w:rsidP="002172F5">
      <w:pPr>
        <w:pStyle w:val="ListParagraph"/>
        <w:numPr>
          <w:ilvl w:val="2"/>
          <w:numId w:val="14"/>
        </w:numPr>
      </w:pPr>
      <w:r>
        <w:t>T</w:t>
      </w:r>
      <w:r w:rsidR="00245CC9">
        <w:t>he ter</w:t>
      </w:r>
      <w:r w:rsidR="00245CC9" w:rsidRPr="00C13056">
        <w:t xml:space="preserve">m </w:t>
      </w:r>
      <w:r w:rsidR="00C13056">
        <w:t>“</w:t>
      </w:r>
      <w:r w:rsidR="00BB1821" w:rsidRPr="00C13056">
        <w:t>monitored level</w:t>
      </w:r>
      <w:r w:rsidR="00C13056">
        <w:t>”</w:t>
      </w:r>
      <w:r w:rsidR="00BB1821" w:rsidRPr="00C13056">
        <w:t xml:space="preserve"> </w:t>
      </w:r>
      <w:r w:rsidR="00BB1821">
        <w:t>means the bi-weekly average</w:t>
      </w:r>
      <w:r w:rsidR="00BB1821" w:rsidRPr="00403C54">
        <w:t xml:space="preserve"> of the am</w:t>
      </w:r>
      <w:r w:rsidR="00245CC9">
        <w:t xml:space="preserve">bient monitoring data of </w:t>
      </w:r>
      <w:r w:rsidR="006B5DD4">
        <w:t>the Monitored M</w:t>
      </w:r>
      <w:r w:rsidR="00BB1821" w:rsidRPr="00403C54">
        <w:t xml:space="preserve">etals in </w:t>
      </w:r>
      <w:r w:rsidR="00BB1821">
        <w:t>Table 1</w:t>
      </w:r>
      <w:r w:rsidR="00245CC9">
        <w:t>,</w:t>
      </w:r>
      <w:r w:rsidR="00BB1821" w:rsidRPr="00BB1821">
        <w:t xml:space="preserve"> </w:t>
      </w:r>
      <w:r w:rsidR="00BB1821" w:rsidRPr="00403C54">
        <w:t>based on the most recent two weeks of monitoring</w:t>
      </w:r>
      <w:r w:rsidR="00245CC9">
        <w:t xml:space="preserve"> </w:t>
      </w:r>
      <w:r w:rsidR="00245CC9" w:rsidRPr="00245CC9">
        <w:t>that pertains to the Respondent’s location</w:t>
      </w:r>
      <w:r>
        <w:t>; and</w:t>
      </w:r>
    </w:p>
    <w:p w:rsidR="00C72B83" w:rsidRDefault="00C72B83" w:rsidP="002172F5">
      <w:pPr>
        <w:pStyle w:val="ListParagraph"/>
        <w:numPr>
          <w:ilvl w:val="2"/>
          <w:numId w:val="14"/>
        </w:numPr>
      </w:pPr>
      <w:r>
        <w:t>The monitored level of chromium VI will apply to the usage of chromium III.</w:t>
      </w:r>
    </w:p>
    <w:p w:rsidR="00F900BF" w:rsidRDefault="00F900BF" w:rsidP="002172F5">
      <w:pPr>
        <w:pStyle w:val="ListParagraph"/>
        <w:numPr>
          <w:ilvl w:val="1"/>
          <w:numId w:val="14"/>
        </w:numPr>
      </w:pPr>
      <w:r>
        <w:t>The requirements in this paragraph apply to each metal listed in Table 1 on an individual metal basis. A requirement to reduce or stop usage of one metal does not apply to the other metals; however, the requirement to reduce or stop usage may apply individually to multiple metals.</w:t>
      </w:r>
    </w:p>
    <w:p w:rsidR="009B1C47" w:rsidRPr="00605ECD" w:rsidRDefault="009B1C47" w:rsidP="002172F5">
      <w:pPr>
        <w:pStyle w:val="ListParagraph"/>
        <w:numPr>
          <w:ilvl w:val="1"/>
          <w:numId w:val="14"/>
        </w:numPr>
      </w:pPr>
      <w:r w:rsidRPr="00605ECD">
        <w:t xml:space="preserve">If </w:t>
      </w:r>
      <w:r>
        <w:t>the monitored level</w:t>
      </w:r>
      <w:r w:rsidRPr="00605ECD">
        <w:t xml:space="preserve"> of any of the metals in </w:t>
      </w:r>
      <w:r>
        <w:t>Table 1</w:t>
      </w:r>
      <w:r w:rsidRPr="00605ECD">
        <w:t xml:space="preserve"> exceeds</w:t>
      </w:r>
      <w:r>
        <w:t xml:space="preserve"> the</w:t>
      </w:r>
      <w:r w:rsidRPr="00605ECD">
        <w:t xml:space="preserve"> </w:t>
      </w:r>
      <w:r>
        <w:t>Reduce Use Level</w:t>
      </w:r>
      <w:r w:rsidRPr="00605ECD">
        <w:t xml:space="preserve">, Respondent must reduce the use of the identified metal in uncontrolled furnaces to Reduction Step 1 upon being notified to do so by DEQ. </w:t>
      </w:r>
      <w:r>
        <w:t xml:space="preserve">The requirement to reduce usage </w:t>
      </w:r>
      <w:r>
        <w:lastRenderedPageBreak/>
        <w:t>applies to the calendar week following the calendar week in which notification was given.</w:t>
      </w:r>
    </w:p>
    <w:p w:rsidR="00904945" w:rsidRPr="006828FA" w:rsidRDefault="00904945" w:rsidP="002172F5">
      <w:pPr>
        <w:pStyle w:val="ListParagraph"/>
        <w:numPr>
          <w:ilvl w:val="1"/>
          <w:numId w:val="14"/>
        </w:numPr>
      </w:pPr>
      <w:r w:rsidRPr="006828FA">
        <w:t xml:space="preserve">If a second consecutive </w:t>
      </w:r>
      <w:r>
        <w:t xml:space="preserve">monitored level of any of the metals in Table 1 </w:t>
      </w:r>
      <w:r w:rsidRPr="006828FA">
        <w:t>exceeds</w:t>
      </w:r>
      <w:r>
        <w:t xml:space="preserve"> the</w:t>
      </w:r>
      <w:r w:rsidRPr="006828FA">
        <w:t xml:space="preserve"> </w:t>
      </w:r>
      <w:r>
        <w:t>Reduce Use Level</w:t>
      </w:r>
      <w:r w:rsidRPr="006828FA">
        <w:t xml:space="preserve">, Respondent must reduce the use of the identified metal in uncontrolled furnaces to Reduction Step 2 upon being notified to do so by DEQ. </w:t>
      </w:r>
      <w:r>
        <w:t>The requirement to reduce usage</w:t>
      </w:r>
      <w:r w:rsidRPr="009E6EF3">
        <w:t xml:space="preserve"> applies to the calendar week following the calendar week in which notification was given</w:t>
      </w:r>
      <w:r w:rsidRPr="00245CC9">
        <w:t>.</w:t>
      </w:r>
    </w:p>
    <w:p w:rsidR="001F2754" w:rsidRPr="006828FA" w:rsidRDefault="001F2754" w:rsidP="002172F5">
      <w:pPr>
        <w:pStyle w:val="ListParagraph"/>
        <w:numPr>
          <w:ilvl w:val="1"/>
          <w:numId w:val="14"/>
        </w:numPr>
      </w:pPr>
      <w:r>
        <w:t>If a third</w:t>
      </w:r>
      <w:r w:rsidRPr="006828FA">
        <w:t xml:space="preserve"> consecutive </w:t>
      </w:r>
      <w:r>
        <w:t xml:space="preserve">monitored level of any of the metals in Table 1 </w:t>
      </w:r>
      <w:r w:rsidRPr="006828FA">
        <w:t>exceeds</w:t>
      </w:r>
      <w:r>
        <w:t xml:space="preserve"> the</w:t>
      </w:r>
      <w:r w:rsidRPr="006828FA">
        <w:t xml:space="preserve"> </w:t>
      </w:r>
      <w:r>
        <w:t>Reduce Use Level</w:t>
      </w:r>
      <w:r w:rsidRPr="006828FA">
        <w:t>, Respondent must reduce the use of the identified metal</w:t>
      </w:r>
      <w:r>
        <w:t xml:space="preserve"> in </w:t>
      </w:r>
      <w:r w:rsidRPr="006828FA">
        <w:t>uncontrol</w:t>
      </w:r>
      <w:r>
        <w:t>led furnaces to Reduction Step 3</w:t>
      </w:r>
      <w:r w:rsidRPr="006828FA">
        <w:t xml:space="preserve"> upon being notified to do so by DEQ. </w:t>
      </w:r>
      <w:r>
        <w:t>The requirement to reduce usage</w:t>
      </w:r>
      <w:r w:rsidRPr="009E6EF3">
        <w:t xml:space="preserve"> applies to the calendar week following the calendar week in which notification was given</w:t>
      </w:r>
      <w:r>
        <w:t xml:space="preserve"> and all following calendar weeks until DEQ provides notification that the monitored level is again below the Reduce Use Level per subparagraph (g.).</w:t>
      </w:r>
    </w:p>
    <w:p w:rsidR="00245968" w:rsidRPr="00FB4A94" w:rsidRDefault="00245968" w:rsidP="002172F5">
      <w:pPr>
        <w:pStyle w:val="ListParagraph"/>
        <w:numPr>
          <w:ilvl w:val="1"/>
          <w:numId w:val="14"/>
        </w:numPr>
      </w:pPr>
      <w:r w:rsidRPr="00FB4A94">
        <w:t xml:space="preserve">If </w:t>
      </w:r>
      <w:r>
        <w:t>t</w:t>
      </w:r>
      <w:r w:rsidRPr="00245CC9">
        <w:t>he monitored level of any of the metals in Table 1</w:t>
      </w:r>
      <w:r>
        <w:t xml:space="preserve"> exceeds the Stop Use Level, Respondent must stop using</w:t>
      </w:r>
      <w:r w:rsidRPr="00FB4A94">
        <w:t xml:space="preserve"> the identified metal in uncontrolled furnaces upon being notified to do so by DEQ.</w:t>
      </w:r>
      <w:r>
        <w:t xml:space="preserve"> The requirement to stop usage</w:t>
      </w:r>
      <w:r w:rsidRPr="00D6551F">
        <w:t xml:space="preserve"> applies to the calendar week following the calendar week in which notification was given and all following calendar weeks until</w:t>
      </w:r>
      <w:r>
        <w:t xml:space="preserve"> DEQ provides notification that</w:t>
      </w:r>
      <w:r w:rsidRPr="00D6551F">
        <w:t xml:space="preserve"> the monitored level is again below</w:t>
      </w:r>
      <w:r>
        <w:t xml:space="preserve"> the</w:t>
      </w:r>
      <w:r w:rsidRPr="00D6551F">
        <w:t xml:space="preserve"> </w:t>
      </w:r>
      <w:r>
        <w:t>Reduce Use Level</w:t>
      </w:r>
      <w:r w:rsidRPr="00D6551F">
        <w:t xml:space="preserve"> per subparagraph (g.)</w:t>
      </w:r>
      <w:r w:rsidRPr="00245CC9">
        <w:t>.</w:t>
      </w:r>
    </w:p>
    <w:p w:rsidR="00245968" w:rsidRDefault="00245968" w:rsidP="002172F5">
      <w:pPr>
        <w:pStyle w:val="ListParagraph"/>
        <w:numPr>
          <w:ilvl w:val="1"/>
          <w:numId w:val="14"/>
        </w:numPr>
      </w:pPr>
      <w:r>
        <w:t>Following any requirement to reduce or stop usage of a metal, Respondent may resume usage of that metal at the Maximum Weekly Usage level of that metal after DEQ provides notification that the monitored level of that metal is again below the Reduce Use Level. Respondent may resume usage in</w:t>
      </w:r>
      <w:r w:rsidRPr="00D6551F">
        <w:t xml:space="preserve"> the calendar week following the calend</w:t>
      </w:r>
      <w:r>
        <w:t>ar week in which notification i</w:t>
      </w:r>
      <w:r w:rsidRPr="00D6551F">
        <w:t>s given and all</w:t>
      </w:r>
      <w:r>
        <w:t xml:space="preserve"> following calendar weeks until Respondent is required to reduce or stop usage again. </w:t>
      </w:r>
    </w:p>
    <w:p w:rsidR="00EF0885" w:rsidRDefault="00EF0885" w:rsidP="002172F5">
      <w:pPr>
        <w:pStyle w:val="ListParagraph"/>
        <w:numPr>
          <w:ilvl w:val="1"/>
          <w:numId w:val="14"/>
        </w:numPr>
      </w:pPr>
      <w:r>
        <w:t>Bi-weekly averages will be calculated using all available ambient monitoring data that pertains to the Respondent’s location, and will be calculated as a rolling two-</w:t>
      </w:r>
      <w:r w:rsidR="006C6F88">
        <w:t xml:space="preserve">calendar </w:t>
      </w:r>
      <w:r>
        <w:t>week average.</w:t>
      </w:r>
    </w:p>
    <w:p w:rsidR="00C2491F" w:rsidRPr="00C2491F" w:rsidRDefault="00C2491F" w:rsidP="002172F5">
      <w:pPr>
        <w:pStyle w:val="ListParagraph"/>
        <w:numPr>
          <w:ilvl w:val="0"/>
          <w:numId w:val="14"/>
        </w:numPr>
      </w:pPr>
      <w:r>
        <w:t>Baghouse requirements:</w:t>
      </w:r>
    </w:p>
    <w:p w:rsidR="003C79A0" w:rsidRPr="00A11106" w:rsidRDefault="003C79A0" w:rsidP="002172F5">
      <w:pPr>
        <w:pStyle w:val="ListParagraph"/>
        <w:numPr>
          <w:ilvl w:val="1"/>
          <w:numId w:val="14"/>
        </w:numPr>
      </w:pPr>
      <w:r w:rsidRPr="00A11106">
        <w:t>The design of all baghouses must be approved by DEQ before installation.</w:t>
      </w:r>
    </w:p>
    <w:p w:rsidR="003C79A0" w:rsidRDefault="00666EF9" w:rsidP="002172F5">
      <w:pPr>
        <w:pStyle w:val="ListParagraph"/>
        <w:numPr>
          <w:ilvl w:val="1"/>
          <w:numId w:val="14"/>
        </w:numPr>
      </w:pPr>
      <w:r>
        <w:t>R</w:t>
      </w:r>
      <w:r w:rsidR="003C79A0">
        <w:t xml:space="preserve">espondent must submit a Notice of Intent to Construct in </w:t>
      </w:r>
      <w:r w:rsidR="00B6689D">
        <w:t>accordance with OAR 340-210-0205 through -0250</w:t>
      </w:r>
      <w:r w:rsidR="003C79A0">
        <w:t xml:space="preserve"> no later than 15 da</w:t>
      </w:r>
      <w:r>
        <w:t xml:space="preserve">ys prior to the date </w:t>
      </w:r>
      <w:r w:rsidR="003C79A0">
        <w:t>installation</w:t>
      </w:r>
      <w:r>
        <w:t xml:space="preserve"> begins</w:t>
      </w:r>
      <w:r w:rsidR="003C79A0">
        <w:t>. If DEQ does not deny or approve the Notice of Intent to</w:t>
      </w:r>
      <w:r>
        <w:t xml:space="preserve"> Construct within 10</w:t>
      </w:r>
      <w:r w:rsidR="003C79A0">
        <w:t xml:space="preserve"> days of receipt of the Notice, the Notice will be deemed to be approved.</w:t>
      </w:r>
    </w:p>
    <w:p w:rsidR="00BB1DB4" w:rsidRDefault="00BB1DB4" w:rsidP="002172F5">
      <w:pPr>
        <w:pStyle w:val="ListParagraph"/>
        <w:numPr>
          <w:ilvl w:val="1"/>
          <w:numId w:val="14"/>
        </w:numPr>
      </w:pPr>
      <w:r w:rsidRPr="004D2FA8">
        <w:t>Baghouses may control emissions from more than one furnace</w:t>
      </w:r>
    </w:p>
    <w:p w:rsidR="00666EF9" w:rsidRDefault="005E0FB9" w:rsidP="002172F5">
      <w:pPr>
        <w:pStyle w:val="ListParagraph"/>
        <w:numPr>
          <w:ilvl w:val="1"/>
          <w:numId w:val="14"/>
        </w:numPr>
      </w:pPr>
      <w:r>
        <w:t>Each baghouse must be equipped with</w:t>
      </w:r>
      <w:r w:rsidR="00666EF9">
        <w:t xml:space="preserve"> the following:</w:t>
      </w:r>
    </w:p>
    <w:p w:rsidR="00666EF9" w:rsidRDefault="00666EF9" w:rsidP="002172F5">
      <w:pPr>
        <w:pStyle w:val="ListParagraph"/>
        <w:numPr>
          <w:ilvl w:val="2"/>
          <w:numId w:val="14"/>
        </w:numPr>
      </w:pPr>
      <w:r>
        <w:t>A</w:t>
      </w:r>
      <w:r w:rsidR="005E0FB9">
        <w:t xml:space="preserve"> differential pressure gauge to monitor pressure drop across the baghouse</w:t>
      </w:r>
      <w:r>
        <w:t>, and</w:t>
      </w:r>
    </w:p>
    <w:p w:rsidR="009801EE" w:rsidRDefault="00666EF9" w:rsidP="002172F5">
      <w:pPr>
        <w:pStyle w:val="ListParagraph"/>
        <w:numPr>
          <w:ilvl w:val="2"/>
          <w:numId w:val="14"/>
        </w:numPr>
      </w:pPr>
      <w:r>
        <w:t>A</w:t>
      </w:r>
      <w:r w:rsidR="006C6F88">
        <w:t>n inlet temperature gauge</w:t>
      </w:r>
      <w:r w:rsidR="00232DE8">
        <w:t>.</w:t>
      </w:r>
    </w:p>
    <w:p w:rsidR="006C6F88" w:rsidRPr="006C6F88" w:rsidRDefault="006C6F88" w:rsidP="002172F5">
      <w:pPr>
        <w:pStyle w:val="ListParagraph"/>
        <w:numPr>
          <w:ilvl w:val="1"/>
          <w:numId w:val="14"/>
        </w:numPr>
      </w:pPr>
      <w:r w:rsidRPr="006C6F88">
        <w:t>Each baghouse must be equipped with inlet ducting that provides the following:</w:t>
      </w:r>
    </w:p>
    <w:p w:rsidR="006C6F88" w:rsidRDefault="006C6F88" w:rsidP="002172F5">
      <w:pPr>
        <w:pStyle w:val="ListParagraph"/>
        <w:numPr>
          <w:ilvl w:val="2"/>
          <w:numId w:val="14"/>
        </w:numPr>
      </w:pPr>
      <w:r>
        <w:t>Sufficient cooling of exhaust gases to no more than the maximum design inlet temperature under worst-case conditions; and</w:t>
      </w:r>
    </w:p>
    <w:p w:rsidR="006C6F88" w:rsidRPr="006C6F88" w:rsidRDefault="006C6F88" w:rsidP="002172F5">
      <w:pPr>
        <w:pStyle w:val="ListParagraph"/>
        <w:numPr>
          <w:ilvl w:val="2"/>
          <w:numId w:val="14"/>
        </w:numPr>
      </w:pPr>
      <w:r>
        <w:t xml:space="preserve">Provision for inlet emissions testing, including </w:t>
      </w:r>
      <w:r w:rsidR="003E4CD2" w:rsidRPr="003E4CD2">
        <w:t>sufficient duct diameter, sample ports, undisturbed flow conditions, and access for testing</w:t>
      </w:r>
      <w:r>
        <w:t>.</w:t>
      </w:r>
    </w:p>
    <w:p w:rsidR="0052182A" w:rsidRPr="006C6F88" w:rsidRDefault="0052182A" w:rsidP="002172F5">
      <w:pPr>
        <w:pStyle w:val="ListParagraph"/>
        <w:numPr>
          <w:ilvl w:val="1"/>
          <w:numId w:val="14"/>
        </w:numPr>
      </w:pPr>
      <w:r w:rsidRPr="006C6F88">
        <w:lastRenderedPageBreak/>
        <w:t>Each b</w:t>
      </w:r>
      <w:r>
        <w:t>aghouse must be equipped with out</w:t>
      </w:r>
      <w:r w:rsidRPr="006C6F88">
        <w:t xml:space="preserve">let ducting that provides </w:t>
      </w:r>
      <w:r>
        <w:t xml:space="preserve">for outlet emissions testing, including </w:t>
      </w:r>
      <w:r w:rsidR="003E4CD2" w:rsidRPr="003E4CD2">
        <w:t>sufficient duct diameter, sample ports, undisturbed flow conditions, and access for testing</w:t>
      </w:r>
      <w:r>
        <w:t>.</w:t>
      </w:r>
    </w:p>
    <w:p w:rsidR="005137D5" w:rsidRDefault="002D2327" w:rsidP="002172F5">
      <w:pPr>
        <w:pStyle w:val="ListParagraph"/>
        <w:numPr>
          <w:ilvl w:val="1"/>
          <w:numId w:val="14"/>
        </w:numPr>
      </w:pPr>
      <w:r>
        <w:t>After commencing operation of any baghouse, Respondent must</w:t>
      </w:r>
      <w:r w:rsidR="005137D5">
        <w:t xml:space="preserve"> observe and</w:t>
      </w:r>
      <w:r>
        <w:t xml:space="preserve"> record the</w:t>
      </w:r>
      <w:r w:rsidR="005137D5">
        <w:t xml:space="preserve"> following at least once per day of operation for each baghouse:</w:t>
      </w:r>
    </w:p>
    <w:p w:rsidR="005137D5" w:rsidRDefault="005137D5" w:rsidP="002172F5">
      <w:pPr>
        <w:pStyle w:val="ListParagraph"/>
        <w:numPr>
          <w:ilvl w:val="2"/>
          <w:numId w:val="14"/>
        </w:numPr>
      </w:pPr>
      <w:r>
        <w:t>D</w:t>
      </w:r>
      <w:r w:rsidR="002D2327">
        <w:t>ifferential pressure</w:t>
      </w:r>
      <w:r>
        <w:t>;</w:t>
      </w:r>
    </w:p>
    <w:p w:rsidR="00EF0885" w:rsidRDefault="005137D5" w:rsidP="002172F5">
      <w:pPr>
        <w:pStyle w:val="ListParagraph"/>
        <w:numPr>
          <w:ilvl w:val="2"/>
          <w:numId w:val="14"/>
        </w:numPr>
      </w:pPr>
      <w:r>
        <w:t>I</w:t>
      </w:r>
      <w:r w:rsidR="006C6F88">
        <w:t>nlet temperature</w:t>
      </w:r>
      <w:r>
        <w:t>; and</w:t>
      </w:r>
    </w:p>
    <w:p w:rsidR="005137D5" w:rsidRDefault="005137D5" w:rsidP="002172F5">
      <w:pPr>
        <w:pStyle w:val="ListParagraph"/>
        <w:numPr>
          <w:ilvl w:val="2"/>
          <w:numId w:val="14"/>
        </w:numPr>
      </w:pPr>
      <w:r>
        <w:t>If multiple furnaces are controlled</w:t>
      </w:r>
      <w:r w:rsidR="001F071E">
        <w:t xml:space="preserve"> by a baghouse, </w:t>
      </w:r>
      <w:r>
        <w:t>the number of furnaces in operation at the time observations are made.</w:t>
      </w:r>
    </w:p>
    <w:p w:rsidR="00F27F5C" w:rsidRPr="000A40AC" w:rsidRDefault="000A40AC" w:rsidP="002172F5">
      <w:pPr>
        <w:pStyle w:val="ListParagraph"/>
        <w:numPr>
          <w:ilvl w:val="0"/>
          <w:numId w:val="14"/>
        </w:numPr>
      </w:pPr>
      <w:r w:rsidRPr="000A40AC">
        <w:t>Requiring Respondent, upon receipt of a written Penalty Demand Notice from DEQ, to pay the following civil penalties…</w:t>
      </w:r>
    </w:p>
    <w:p w:rsidR="00D03C86" w:rsidRPr="007813D4" w:rsidRDefault="00CD067A" w:rsidP="002172F5">
      <w:pPr>
        <w:pStyle w:val="ListParagraph"/>
        <w:numPr>
          <w:ilvl w:val="0"/>
          <w:numId w:val="14"/>
        </w:numPr>
      </w:pPr>
      <w:r w:rsidRPr="007813D4">
        <w:t>Not</w:t>
      </w:r>
      <w:r w:rsidR="004A0FF6" w:rsidRPr="007813D4">
        <w:t>withstanding this agreement, R</w:t>
      </w:r>
      <w:r w:rsidR="00D03C86" w:rsidRPr="007813D4">
        <w:t xml:space="preserve">espondent will be subject to any rules adopted by </w:t>
      </w:r>
      <w:r w:rsidR="00FF32A5" w:rsidRPr="007813D4">
        <w:t>the Environmental Quality Commission</w:t>
      </w:r>
      <w:r w:rsidR="004A0FF6" w:rsidRPr="007813D4">
        <w:t>.</w:t>
      </w:r>
    </w:p>
    <w:p w:rsidR="005722F8" w:rsidRPr="007813D4" w:rsidRDefault="005722F8" w:rsidP="002172F5">
      <w:pPr>
        <w:pStyle w:val="ListParagraph"/>
        <w:numPr>
          <w:ilvl w:val="0"/>
          <w:numId w:val="14"/>
        </w:numPr>
      </w:pPr>
      <w:r w:rsidRPr="007813D4">
        <w:t xml:space="preserve">This agreement shall terminate upon mutual agreement by the parties or five years after it becomes effective, whichever comes first. </w:t>
      </w:r>
    </w:p>
    <w:p w:rsidR="00BB1DB4" w:rsidRDefault="00BB1DB4" w:rsidP="001C0D36"/>
    <w:p w:rsidR="004D1E4B" w:rsidRDefault="004D1E4B" w:rsidP="001C0D36"/>
    <w:p w:rsidR="00CD067A" w:rsidRDefault="00CD067A" w:rsidP="001C0D36"/>
    <w:sectPr w:rsidR="00CD067A" w:rsidSect="00AE00C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FA1" w:rsidRDefault="00A05FA1" w:rsidP="000A40AC">
      <w:pPr>
        <w:spacing w:after="0" w:line="240" w:lineRule="auto"/>
      </w:pPr>
      <w:r>
        <w:separator/>
      </w:r>
    </w:p>
  </w:endnote>
  <w:endnote w:type="continuationSeparator" w:id="0">
    <w:p w:rsidR="00A05FA1" w:rsidRDefault="00A05FA1" w:rsidP="000A4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739446"/>
      <w:docPartObj>
        <w:docPartGallery w:val="Page Numbers (Bottom of Page)"/>
        <w:docPartUnique/>
      </w:docPartObj>
    </w:sdtPr>
    <w:sdtContent>
      <w:p w:rsidR="00A05FA1" w:rsidRDefault="0051543C">
        <w:pPr>
          <w:pStyle w:val="Footer"/>
          <w:jc w:val="right"/>
        </w:pPr>
        <w:r>
          <w:fldChar w:fldCharType="begin"/>
        </w:r>
        <w:r w:rsidR="00083311">
          <w:instrText xml:space="preserve"> PAGE   \* MERGEFORMAT </w:instrText>
        </w:r>
        <w:r>
          <w:fldChar w:fldCharType="separate"/>
        </w:r>
        <w:r w:rsidR="004938E9">
          <w:rPr>
            <w:noProof/>
          </w:rPr>
          <w:t>1</w:t>
        </w:r>
        <w:r>
          <w:rPr>
            <w:noProof/>
          </w:rPr>
          <w:fldChar w:fldCharType="end"/>
        </w:r>
      </w:p>
    </w:sdtContent>
  </w:sdt>
  <w:p w:rsidR="00A05FA1" w:rsidRDefault="00A05F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FA1" w:rsidRDefault="00A05FA1" w:rsidP="000A40AC">
      <w:pPr>
        <w:spacing w:after="0" w:line="240" w:lineRule="auto"/>
      </w:pPr>
      <w:r>
        <w:separator/>
      </w:r>
    </w:p>
  </w:footnote>
  <w:footnote w:type="continuationSeparator" w:id="0">
    <w:p w:rsidR="00A05FA1" w:rsidRDefault="00A05FA1" w:rsidP="000A4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4525F"/>
    <w:multiLevelType w:val="hybridMultilevel"/>
    <w:tmpl w:val="743A60F0"/>
    <w:lvl w:ilvl="0" w:tplc="3D0C868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93D41"/>
    <w:multiLevelType w:val="hybridMultilevel"/>
    <w:tmpl w:val="DEF4C9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72715E"/>
    <w:multiLevelType w:val="hybridMultilevel"/>
    <w:tmpl w:val="1114A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90C1E"/>
    <w:multiLevelType w:val="hybridMultilevel"/>
    <w:tmpl w:val="FB9EA8AC"/>
    <w:lvl w:ilvl="0" w:tplc="0409000F">
      <w:start w:val="1"/>
      <w:numFmt w:val="decimal"/>
      <w:lvlText w:val="%1."/>
      <w:lvlJc w:val="left"/>
      <w:pPr>
        <w:ind w:left="720" w:hanging="360"/>
      </w:pPr>
    </w:lvl>
    <w:lvl w:ilvl="1" w:tplc="522A87A8">
      <w:start w:val="1"/>
      <w:numFmt w:val="lowerLetter"/>
      <w:pStyle w:val="Heading2"/>
      <w:lvlText w:val="%2."/>
      <w:lvlJc w:val="left"/>
      <w:pPr>
        <w:ind w:left="1440" w:hanging="360"/>
      </w:pPr>
    </w:lvl>
    <w:lvl w:ilvl="2" w:tplc="5514663C">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ED710B"/>
    <w:multiLevelType w:val="hybridMultilevel"/>
    <w:tmpl w:val="11E02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E43459"/>
    <w:multiLevelType w:val="hybridMultilevel"/>
    <w:tmpl w:val="608E8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532B1A"/>
    <w:multiLevelType w:val="hybridMultilevel"/>
    <w:tmpl w:val="11E02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4038AF"/>
    <w:multiLevelType w:val="hybridMultilevel"/>
    <w:tmpl w:val="11E02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C0544B"/>
    <w:multiLevelType w:val="hybridMultilevel"/>
    <w:tmpl w:val="C3460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D56886"/>
    <w:multiLevelType w:val="hybridMultilevel"/>
    <w:tmpl w:val="C3460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0"/>
  </w:num>
  <w:num w:numId="6">
    <w:abstractNumId w:val="8"/>
  </w:num>
  <w:num w:numId="7">
    <w:abstractNumId w:val="3"/>
  </w:num>
  <w:num w:numId="8">
    <w:abstractNumId w:val="0"/>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4"/>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00E17"/>
    <w:rsid w:val="000103CC"/>
    <w:rsid w:val="00010824"/>
    <w:rsid w:val="00011603"/>
    <w:rsid w:val="0001165B"/>
    <w:rsid w:val="000140E2"/>
    <w:rsid w:val="000144FE"/>
    <w:rsid w:val="00023E69"/>
    <w:rsid w:val="00024383"/>
    <w:rsid w:val="00025F41"/>
    <w:rsid w:val="000277F4"/>
    <w:rsid w:val="0003082A"/>
    <w:rsid w:val="0003131D"/>
    <w:rsid w:val="00031459"/>
    <w:rsid w:val="000334D5"/>
    <w:rsid w:val="00034E80"/>
    <w:rsid w:val="00041043"/>
    <w:rsid w:val="00042E25"/>
    <w:rsid w:val="00052422"/>
    <w:rsid w:val="000525C3"/>
    <w:rsid w:val="0005472B"/>
    <w:rsid w:val="0005498A"/>
    <w:rsid w:val="000549AC"/>
    <w:rsid w:val="000557A2"/>
    <w:rsid w:val="00056D8C"/>
    <w:rsid w:val="00057DC2"/>
    <w:rsid w:val="000600AB"/>
    <w:rsid w:val="000625F8"/>
    <w:rsid w:val="00062D85"/>
    <w:rsid w:val="00064473"/>
    <w:rsid w:val="0006681F"/>
    <w:rsid w:val="00070110"/>
    <w:rsid w:val="000708E9"/>
    <w:rsid w:val="00072244"/>
    <w:rsid w:val="00072386"/>
    <w:rsid w:val="00072CDF"/>
    <w:rsid w:val="000774BB"/>
    <w:rsid w:val="00080595"/>
    <w:rsid w:val="0008155F"/>
    <w:rsid w:val="00081F84"/>
    <w:rsid w:val="00082F7C"/>
    <w:rsid w:val="00083311"/>
    <w:rsid w:val="00084629"/>
    <w:rsid w:val="00090F5B"/>
    <w:rsid w:val="000938DE"/>
    <w:rsid w:val="00094D47"/>
    <w:rsid w:val="000A0066"/>
    <w:rsid w:val="000A2675"/>
    <w:rsid w:val="000A2820"/>
    <w:rsid w:val="000A40AC"/>
    <w:rsid w:val="000A4323"/>
    <w:rsid w:val="000A6470"/>
    <w:rsid w:val="000A6A7F"/>
    <w:rsid w:val="000A6E69"/>
    <w:rsid w:val="000B2610"/>
    <w:rsid w:val="000B532F"/>
    <w:rsid w:val="000B5D29"/>
    <w:rsid w:val="000B76DF"/>
    <w:rsid w:val="000C1341"/>
    <w:rsid w:val="000C195D"/>
    <w:rsid w:val="000C3982"/>
    <w:rsid w:val="000C56A0"/>
    <w:rsid w:val="000C5EAD"/>
    <w:rsid w:val="000D085F"/>
    <w:rsid w:val="000D0ABD"/>
    <w:rsid w:val="000D14FD"/>
    <w:rsid w:val="000D27B8"/>
    <w:rsid w:val="000D6149"/>
    <w:rsid w:val="000E001E"/>
    <w:rsid w:val="000E3E09"/>
    <w:rsid w:val="000F3A6C"/>
    <w:rsid w:val="000F3B49"/>
    <w:rsid w:val="000F3C9E"/>
    <w:rsid w:val="000F4E3F"/>
    <w:rsid w:val="00101808"/>
    <w:rsid w:val="00103103"/>
    <w:rsid w:val="00104A5E"/>
    <w:rsid w:val="00107107"/>
    <w:rsid w:val="0011558D"/>
    <w:rsid w:val="00115FA2"/>
    <w:rsid w:val="001203A9"/>
    <w:rsid w:val="00121599"/>
    <w:rsid w:val="00122803"/>
    <w:rsid w:val="00123599"/>
    <w:rsid w:val="00123BC7"/>
    <w:rsid w:val="00124E83"/>
    <w:rsid w:val="00124F94"/>
    <w:rsid w:val="001260A2"/>
    <w:rsid w:val="00133606"/>
    <w:rsid w:val="0014260E"/>
    <w:rsid w:val="00144328"/>
    <w:rsid w:val="001458E9"/>
    <w:rsid w:val="001475C0"/>
    <w:rsid w:val="00150009"/>
    <w:rsid w:val="0015030E"/>
    <w:rsid w:val="0015058A"/>
    <w:rsid w:val="00153689"/>
    <w:rsid w:val="0015436F"/>
    <w:rsid w:val="0015446C"/>
    <w:rsid w:val="00154A9D"/>
    <w:rsid w:val="0015613F"/>
    <w:rsid w:val="00157D71"/>
    <w:rsid w:val="0016157F"/>
    <w:rsid w:val="00161A52"/>
    <w:rsid w:val="00161D97"/>
    <w:rsid w:val="00161FF7"/>
    <w:rsid w:val="0016509D"/>
    <w:rsid w:val="00167632"/>
    <w:rsid w:val="001744ED"/>
    <w:rsid w:val="00174AA8"/>
    <w:rsid w:val="001778BD"/>
    <w:rsid w:val="00181514"/>
    <w:rsid w:val="00183183"/>
    <w:rsid w:val="00190437"/>
    <w:rsid w:val="00193ED1"/>
    <w:rsid w:val="00195277"/>
    <w:rsid w:val="00195F76"/>
    <w:rsid w:val="00196B1E"/>
    <w:rsid w:val="001A329B"/>
    <w:rsid w:val="001A4D07"/>
    <w:rsid w:val="001B26D1"/>
    <w:rsid w:val="001B496B"/>
    <w:rsid w:val="001C0D36"/>
    <w:rsid w:val="001C0DF6"/>
    <w:rsid w:val="001C1062"/>
    <w:rsid w:val="001C3600"/>
    <w:rsid w:val="001C632C"/>
    <w:rsid w:val="001C6BF8"/>
    <w:rsid w:val="001D070C"/>
    <w:rsid w:val="001D185B"/>
    <w:rsid w:val="001D2BBF"/>
    <w:rsid w:val="001D32E9"/>
    <w:rsid w:val="001D48F0"/>
    <w:rsid w:val="001E278C"/>
    <w:rsid w:val="001E5B23"/>
    <w:rsid w:val="001F0038"/>
    <w:rsid w:val="001F071E"/>
    <w:rsid w:val="001F077C"/>
    <w:rsid w:val="001F2754"/>
    <w:rsid w:val="00200CF5"/>
    <w:rsid w:val="002018D9"/>
    <w:rsid w:val="00202656"/>
    <w:rsid w:val="00203EBD"/>
    <w:rsid w:val="00205DB5"/>
    <w:rsid w:val="00210329"/>
    <w:rsid w:val="002114CC"/>
    <w:rsid w:val="00214D9B"/>
    <w:rsid w:val="002172F5"/>
    <w:rsid w:val="00220600"/>
    <w:rsid w:val="002212FC"/>
    <w:rsid w:val="002239D2"/>
    <w:rsid w:val="002240D9"/>
    <w:rsid w:val="00224A8D"/>
    <w:rsid w:val="0022545B"/>
    <w:rsid w:val="00232DE8"/>
    <w:rsid w:val="00233152"/>
    <w:rsid w:val="002332F3"/>
    <w:rsid w:val="00235961"/>
    <w:rsid w:val="00235D65"/>
    <w:rsid w:val="0023689C"/>
    <w:rsid w:val="00245968"/>
    <w:rsid w:val="00245CC9"/>
    <w:rsid w:val="00246BDC"/>
    <w:rsid w:val="00254FFA"/>
    <w:rsid w:val="00261064"/>
    <w:rsid w:val="00264DDF"/>
    <w:rsid w:val="00266327"/>
    <w:rsid w:val="0026783E"/>
    <w:rsid w:val="0026799D"/>
    <w:rsid w:val="0027315F"/>
    <w:rsid w:val="0027373F"/>
    <w:rsid w:val="002763DA"/>
    <w:rsid w:val="00277169"/>
    <w:rsid w:val="00281001"/>
    <w:rsid w:val="00286358"/>
    <w:rsid w:val="0029318C"/>
    <w:rsid w:val="00293315"/>
    <w:rsid w:val="00295E77"/>
    <w:rsid w:val="002A3B3F"/>
    <w:rsid w:val="002A5060"/>
    <w:rsid w:val="002A62EA"/>
    <w:rsid w:val="002B0865"/>
    <w:rsid w:val="002B2775"/>
    <w:rsid w:val="002B31A0"/>
    <w:rsid w:val="002B45C7"/>
    <w:rsid w:val="002B541A"/>
    <w:rsid w:val="002C055A"/>
    <w:rsid w:val="002C417A"/>
    <w:rsid w:val="002C41C1"/>
    <w:rsid w:val="002C5000"/>
    <w:rsid w:val="002C7280"/>
    <w:rsid w:val="002D0919"/>
    <w:rsid w:val="002D0CB5"/>
    <w:rsid w:val="002D2327"/>
    <w:rsid w:val="002D6DB8"/>
    <w:rsid w:val="002E1EBC"/>
    <w:rsid w:val="002E2AC4"/>
    <w:rsid w:val="002E5272"/>
    <w:rsid w:val="002E584F"/>
    <w:rsid w:val="002E627A"/>
    <w:rsid w:val="002E646E"/>
    <w:rsid w:val="002E6684"/>
    <w:rsid w:val="002F0D09"/>
    <w:rsid w:val="002F1739"/>
    <w:rsid w:val="002F1F28"/>
    <w:rsid w:val="002F22D4"/>
    <w:rsid w:val="002F6EE1"/>
    <w:rsid w:val="002F7F2B"/>
    <w:rsid w:val="00302906"/>
    <w:rsid w:val="00307D31"/>
    <w:rsid w:val="003165F6"/>
    <w:rsid w:val="00316E22"/>
    <w:rsid w:val="0032259A"/>
    <w:rsid w:val="003233EA"/>
    <w:rsid w:val="00327DFF"/>
    <w:rsid w:val="003314B4"/>
    <w:rsid w:val="00332AED"/>
    <w:rsid w:val="00333285"/>
    <w:rsid w:val="00334D6B"/>
    <w:rsid w:val="003364A4"/>
    <w:rsid w:val="003439A1"/>
    <w:rsid w:val="003440F7"/>
    <w:rsid w:val="003469E7"/>
    <w:rsid w:val="003505CC"/>
    <w:rsid w:val="003553D8"/>
    <w:rsid w:val="003558A7"/>
    <w:rsid w:val="00360022"/>
    <w:rsid w:val="003614EE"/>
    <w:rsid w:val="003650F3"/>
    <w:rsid w:val="00365120"/>
    <w:rsid w:val="003664EA"/>
    <w:rsid w:val="00367869"/>
    <w:rsid w:val="003720AB"/>
    <w:rsid w:val="0037613F"/>
    <w:rsid w:val="00380414"/>
    <w:rsid w:val="003806E9"/>
    <w:rsid w:val="00381807"/>
    <w:rsid w:val="003818AA"/>
    <w:rsid w:val="00394E94"/>
    <w:rsid w:val="00397270"/>
    <w:rsid w:val="003C393E"/>
    <w:rsid w:val="003C6947"/>
    <w:rsid w:val="003C79A0"/>
    <w:rsid w:val="003C79DF"/>
    <w:rsid w:val="003D14FF"/>
    <w:rsid w:val="003D2350"/>
    <w:rsid w:val="003D335F"/>
    <w:rsid w:val="003D557B"/>
    <w:rsid w:val="003D5E7C"/>
    <w:rsid w:val="003D67BA"/>
    <w:rsid w:val="003D74A3"/>
    <w:rsid w:val="003D760D"/>
    <w:rsid w:val="003E09E8"/>
    <w:rsid w:val="003E1D81"/>
    <w:rsid w:val="003E4CD2"/>
    <w:rsid w:val="003E68F1"/>
    <w:rsid w:val="003E75D7"/>
    <w:rsid w:val="003F2347"/>
    <w:rsid w:val="003F31B7"/>
    <w:rsid w:val="003F6E7F"/>
    <w:rsid w:val="00401FC9"/>
    <w:rsid w:val="00405C5A"/>
    <w:rsid w:val="00406B85"/>
    <w:rsid w:val="004077BE"/>
    <w:rsid w:val="00411441"/>
    <w:rsid w:val="00411EB0"/>
    <w:rsid w:val="00412047"/>
    <w:rsid w:val="0041485A"/>
    <w:rsid w:val="00414A68"/>
    <w:rsid w:val="004202B6"/>
    <w:rsid w:val="00420DC6"/>
    <w:rsid w:val="00422A24"/>
    <w:rsid w:val="00422E14"/>
    <w:rsid w:val="0042376D"/>
    <w:rsid w:val="00425227"/>
    <w:rsid w:val="00426FA6"/>
    <w:rsid w:val="00427BA0"/>
    <w:rsid w:val="00431CDF"/>
    <w:rsid w:val="004375CD"/>
    <w:rsid w:val="004436A9"/>
    <w:rsid w:val="00445708"/>
    <w:rsid w:val="00446203"/>
    <w:rsid w:val="00446947"/>
    <w:rsid w:val="004477D3"/>
    <w:rsid w:val="004532CD"/>
    <w:rsid w:val="00454DA2"/>
    <w:rsid w:val="00456D2E"/>
    <w:rsid w:val="00462808"/>
    <w:rsid w:val="00462C28"/>
    <w:rsid w:val="00465C15"/>
    <w:rsid w:val="00470171"/>
    <w:rsid w:val="00470609"/>
    <w:rsid w:val="00471D3F"/>
    <w:rsid w:val="004733CE"/>
    <w:rsid w:val="0047602F"/>
    <w:rsid w:val="0047625A"/>
    <w:rsid w:val="004773AF"/>
    <w:rsid w:val="00481105"/>
    <w:rsid w:val="00482B17"/>
    <w:rsid w:val="00486AE9"/>
    <w:rsid w:val="00487512"/>
    <w:rsid w:val="004938E9"/>
    <w:rsid w:val="00493A27"/>
    <w:rsid w:val="00496E74"/>
    <w:rsid w:val="004A02D4"/>
    <w:rsid w:val="004A048A"/>
    <w:rsid w:val="004A059B"/>
    <w:rsid w:val="004A09B2"/>
    <w:rsid w:val="004A0A21"/>
    <w:rsid w:val="004A0FF6"/>
    <w:rsid w:val="004A1908"/>
    <w:rsid w:val="004A66C2"/>
    <w:rsid w:val="004A6942"/>
    <w:rsid w:val="004B0931"/>
    <w:rsid w:val="004B33FC"/>
    <w:rsid w:val="004B3823"/>
    <w:rsid w:val="004B6EDE"/>
    <w:rsid w:val="004B7A46"/>
    <w:rsid w:val="004C4420"/>
    <w:rsid w:val="004D15FE"/>
    <w:rsid w:val="004D1E4B"/>
    <w:rsid w:val="004D2FA8"/>
    <w:rsid w:val="004E07A2"/>
    <w:rsid w:val="004F1323"/>
    <w:rsid w:val="004F2F77"/>
    <w:rsid w:val="004F33F9"/>
    <w:rsid w:val="004F46F0"/>
    <w:rsid w:val="004F4CEB"/>
    <w:rsid w:val="004F6975"/>
    <w:rsid w:val="004F6D2B"/>
    <w:rsid w:val="004F70C7"/>
    <w:rsid w:val="004F7ADC"/>
    <w:rsid w:val="0050121B"/>
    <w:rsid w:val="00504147"/>
    <w:rsid w:val="005079C2"/>
    <w:rsid w:val="005101A4"/>
    <w:rsid w:val="005111A1"/>
    <w:rsid w:val="00513213"/>
    <w:rsid w:val="005137D5"/>
    <w:rsid w:val="0051543C"/>
    <w:rsid w:val="0051592F"/>
    <w:rsid w:val="005172FF"/>
    <w:rsid w:val="005179A4"/>
    <w:rsid w:val="0052182A"/>
    <w:rsid w:val="00523984"/>
    <w:rsid w:val="005240E0"/>
    <w:rsid w:val="0053020E"/>
    <w:rsid w:val="005325C6"/>
    <w:rsid w:val="00534C57"/>
    <w:rsid w:val="00551E9C"/>
    <w:rsid w:val="00553D8F"/>
    <w:rsid w:val="00555E6D"/>
    <w:rsid w:val="00557266"/>
    <w:rsid w:val="005573AF"/>
    <w:rsid w:val="00561ED0"/>
    <w:rsid w:val="005622C2"/>
    <w:rsid w:val="00562F82"/>
    <w:rsid w:val="00564094"/>
    <w:rsid w:val="00564130"/>
    <w:rsid w:val="0056632F"/>
    <w:rsid w:val="00567274"/>
    <w:rsid w:val="00567A0B"/>
    <w:rsid w:val="005721A7"/>
    <w:rsid w:val="005722F8"/>
    <w:rsid w:val="00573EC8"/>
    <w:rsid w:val="005757EB"/>
    <w:rsid w:val="00577006"/>
    <w:rsid w:val="00580017"/>
    <w:rsid w:val="0058029A"/>
    <w:rsid w:val="0058223E"/>
    <w:rsid w:val="00586389"/>
    <w:rsid w:val="00593DCE"/>
    <w:rsid w:val="00595C37"/>
    <w:rsid w:val="005A13CA"/>
    <w:rsid w:val="005A2B1A"/>
    <w:rsid w:val="005A37EF"/>
    <w:rsid w:val="005A3CAC"/>
    <w:rsid w:val="005A4540"/>
    <w:rsid w:val="005A5DE6"/>
    <w:rsid w:val="005A6F55"/>
    <w:rsid w:val="005B1D4E"/>
    <w:rsid w:val="005B30CD"/>
    <w:rsid w:val="005B7476"/>
    <w:rsid w:val="005C21B2"/>
    <w:rsid w:val="005C7FE5"/>
    <w:rsid w:val="005D342B"/>
    <w:rsid w:val="005D5D16"/>
    <w:rsid w:val="005E0921"/>
    <w:rsid w:val="005E0FB9"/>
    <w:rsid w:val="005E299C"/>
    <w:rsid w:val="005E6599"/>
    <w:rsid w:val="005E6E06"/>
    <w:rsid w:val="005F1EC1"/>
    <w:rsid w:val="005F2FBA"/>
    <w:rsid w:val="005F375C"/>
    <w:rsid w:val="005F4083"/>
    <w:rsid w:val="005F4A54"/>
    <w:rsid w:val="005F66A1"/>
    <w:rsid w:val="005F66E0"/>
    <w:rsid w:val="005F78EB"/>
    <w:rsid w:val="00602A0B"/>
    <w:rsid w:val="00603C42"/>
    <w:rsid w:val="00603CB3"/>
    <w:rsid w:val="00605ECD"/>
    <w:rsid w:val="00606BF2"/>
    <w:rsid w:val="006205DF"/>
    <w:rsid w:val="00620CDF"/>
    <w:rsid w:val="00620E45"/>
    <w:rsid w:val="00623F76"/>
    <w:rsid w:val="00625513"/>
    <w:rsid w:val="006255F6"/>
    <w:rsid w:val="00625C8A"/>
    <w:rsid w:val="00625D08"/>
    <w:rsid w:val="006264C1"/>
    <w:rsid w:val="00627F16"/>
    <w:rsid w:val="00630EBE"/>
    <w:rsid w:val="00636A88"/>
    <w:rsid w:val="00637274"/>
    <w:rsid w:val="00640586"/>
    <w:rsid w:val="006426E9"/>
    <w:rsid w:val="00643321"/>
    <w:rsid w:val="00645BD2"/>
    <w:rsid w:val="0065047D"/>
    <w:rsid w:val="006519C1"/>
    <w:rsid w:val="006617D9"/>
    <w:rsid w:val="00661C35"/>
    <w:rsid w:val="00662B65"/>
    <w:rsid w:val="00666EF9"/>
    <w:rsid w:val="00667044"/>
    <w:rsid w:val="00672C0B"/>
    <w:rsid w:val="00675F11"/>
    <w:rsid w:val="006821A1"/>
    <w:rsid w:val="006828FA"/>
    <w:rsid w:val="00682AD1"/>
    <w:rsid w:val="006831E2"/>
    <w:rsid w:val="006840C9"/>
    <w:rsid w:val="00684268"/>
    <w:rsid w:val="006854B7"/>
    <w:rsid w:val="00690461"/>
    <w:rsid w:val="006905F0"/>
    <w:rsid w:val="006906EA"/>
    <w:rsid w:val="00692C98"/>
    <w:rsid w:val="00692F8F"/>
    <w:rsid w:val="00693157"/>
    <w:rsid w:val="00697ED6"/>
    <w:rsid w:val="006A10CA"/>
    <w:rsid w:val="006A10E6"/>
    <w:rsid w:val="006A20DD"/>
    <w:rsid w:val="006A28F1"/>
    <w:rsid w:val="006A32BE"/>
    <w:rsid w:val="006A54B2"/>
    <w:rsid w:val="006B0379"/>
    <w:rsid w:val="006B1DE3"/>
    <w:rsid w:val="006B34B6"/>
    <w:rsid w:val="006B46B3"/>
    <w:rsid w:val="006B4BE8"/>
    <w:rsid w:val="006B5182"/>
    <w:rsid w:val="006B52F0"/>
    <w:rsid w:val="006B5DD4"/>
    <w:rsid w:val="006B6366"/>
    <w:rsid w:val="006B6AE8"/>
    <w:rsid w:val="006C1A9C"/>
    <w:rsid w:val="006C28DC"/>
    <w:rsid w:val="006C30A1"/>
    <w:rsid w:val="006C3576"/>
    <w:rsid w:val="006C38A0"/>
    <w:rsid w:val="006C476F"/>
    <w:rsid w:val="006C5641"/>
    <w:rsid w:val="006C67B3"/>
    <w:rsid w:val="006C6F88"/>
    <w:rsid w:val="006C774A"/>
    <w:rsid w:val="006D0366"/>
    <w:rsid w:val="006D0C91"/>
    <w:rsid w:val="006D2261"/>
    <w:rsid w:val="006D3404"/>
    <w:rsid w:val="006E105F"/>
    <w:rsid w:val="006E116A"/>
    <w:rsid w:val="006E2BD5"/>
    <w:rsid w:val="006F0027"/>
    <w:rsid w:val="006F081A"/>
    <w:rsid w:val="006F093C"/>
    <w:rsid w:val="006F37F4"/>
    <w:rsid w:val="006F5233"/>
    <w:rsid w:val="006F5CDB"/>
    <w:rsid w:val="007008CF"/>
    <w:rsid w:val="00700E17"/>
    <w:rsid w:val="0070118B"/>
    <w:rsid w:val="00702A25"/>
    <w:rsid w:val="00704EE1"/>
    <w:rsid w:val="0070742A"/>
    <w:rsid w:val="00711D43"/>
    <w:rsid w:val="007123EB"/>
    <w:rsid w:val="0071673C"/>
    <w:rsid w:val="007177F8"/>
    <w:rsid w:val="0072009A"/>
    <w:rsid w:val="00725658"/>
    <w:rsid w:val="00725E25"/>
    <w:rsid w:val="00727E86"/>
    <w:rsid w:val="00730786"/>
    <w:rsid w:val="00734670"/>
    <w:rsid w:val="00737F6E"/>
    <w:rsid w:val="00743591"/>
    <w:rsid w:val="007454AE"/>
    <w:rsid w:val="00746600"/>
    <w:rsid w:val="00757B8C"/>
    <w:rsid w:val="00760677"/>
    <w:rsid w:val="007614F6"/>
    <w:rsid w:val="00761A7F"/>
    <w:rsid w:val="00762291"/>
    <w:rsid w:val="00763161"/>
    <w:rsid w:val="00770A3F"/>
    <w:rsid w:val="007721E7"/>
    <w:rsid w:val="00773EF3"/>
    <w:rsid w:val="00773FEC"/>
    <w:rsid w:val="0077628F"/>
    <w:rsid w:val="00776E99"/>
    <w:rsid w:val="00776EDD"/>
    <w:rsid w:val="007778F2"/>
    <w:rsid w:val="00780224"/>
    <w:rsid w:val="0078132C"/>
    <w:rsid w:val="007813D4"/>
    <w:rsid w:val="00781492"/>
    <w:rsid w:val="0078329D"/>
    <w:rsid w:val="00783DF7"/>
    <w:rsid w:val="007844B0"/>
    <w:rsid w:val="00784D80"/>
    <w:rsid w:val="0079142A"/>
    <w:rsid w:val="0079411B"/>
    <w:rsid w:val="00795CF7"/>
    <w:rsid w:val="00795FEB"/>
    <w:rsid w:val="007A4726"/>
    <w:rsid w:val="007A5ED4"/>
    <w:rsid w:val="007A6EB7"/>
    <w:rsid w:val="007A73C1"/>
    <w:rsid w:val="007B0FCC"/>
    <w:rsid w:val="007B1C65"/>
    <w:rsid w:val="007B428F"/>
    <w:rsid w:val="007B74E4"/>
    <w:rsid w:val="007B7673"/>
    <w:rsid w:val="007C1255"/>
    <w:rsid w:val="007C2C2E"/>
    <w:rsid w:val="007C5D1D"/>
    <w:rsid w:val="007C6C12"/>
    <w:rsid w:val="007D0BCF"/>
    <w:rsid w:val="007D24E8"/>
    <w:rsid w:val="007D381D"/>
    <w:rsid w:val="007D46A9"/>
    <w:rsid w:val="007D6A0D"/>
    <w:rsid w:val="007E00C0"/>
    <w:rsid w:val="007E2E53"/>
    <w:rsid w:val="007E2E80"/>
    <w:rsid w:val="007E7A74"/>
    <w:rsid w:val="007E7DAB"/>
    <w:rsid w:val="007F1662"/>
    <w:rsid w:val="007F2844"/>
    <w:rsid w:val="007F4C02"/>
    <w:rsid w:val="007F66EC"/>
    <w:rsid w:val="007F7414"/>
    <w:rsid w:val="007F7E08"/>
    <w:rsid w:val="008030BC"/>
    <w:rsid w:val="00804D14"/>
    <w:rsid w:val="00805071"/>
    <w:rsid w:val="00805397"/>
    <w:rsid w:val="008058D1"/>
    <w:rsid w:val="0080599D"/>
    <w:rsid w:val="00806516"/>
    <w:rsid w:val="0080654D"/>
    <w:rsid w:val="008122AD"/>
    <w:rsid w:val="00816B9E"/>
    <w:rsid w:val="008177D0"/>
    <w:rsid w:val="00820504"/>
    <w:rsid w:val="00820CB7"/>
    <w:rsid w:val="00821042"/>
    <w:rsid w:val="00824E8C"/>
    <w:rsid w:val="00825437"/>
    <w:rsid w:val="00830E7B"/>
    <w:rsid w:val="00831D17"/>
    <w:rsid w:val="008341D0"/>
    <w:rsid w:val="00835E19"/>
    <w:rsid w:val="00837EA1"/>
    <w:rsid w:val="00843A28"/>
    <w:rsid w:val="008446B8"/>
    <w:rsid w:val="00851D80"/>
    <w:rsid w:val="00851E3F"/>
    <w:rsid w:val="00851F0D"/>
    <w:rsid w:val="00853332"/>
    <w:rsid w:val="008544D6"/>
    <w:rsid w:val="00854861"/>
    <w:rsid w:val="00855464"/>
    <w:rsid w:val="00857044"/>
    <w:rsid w:val="00860C95"/>
    <w:rsid w:val="00861C7E"/>
    <w:rsid w:val="00864AC5"/>
    <w:rsid w:val="008654FF"/>
    <w:rsid w:val="00866D10"/>
    <w:rsid w:val="00867943"/>
    <w:rsid w:val="0087009D"/>
    <w:rsid w:val="00871354"/>
    <w:rsid w:val="0087549A"/>
    <w:rsid w:val="008779C7"/>
    <w:rsid w:val="00882784"/>
    <w:rsid w:val="008865F0"/>
    <w:rsid w:val="0089345E"/>
    <w:rsid w:val="0089437C"/>
    <w:rsid w:val="00895F72"/>
    <w:rsid w:val="008965C8"/>
    <w:rsid w:val="008A0303"/>
    <w:rsid w:val="008A4275"/>
    <w:rsid w:val="008A5678"/>
    <w:rsid w:val="008A5A18"/>
    <w:rsid w:val="008A6EC1"/>
    <w:rsid w:val="008A703A"/>
    <w:rsid w:val="008B0FA8"/>
    <w:rsid w:val="008B22D9"/>
    <w:rsid w:val="008B40A5"/>
    <w:rsid w:val="008C278A"/>
    <w:rsid w:val="008C36B3"/>
    <w:rsid w:val="008C75EE"/>
    <w:rsid w:val="008D05BE"/>
    <w:rsid w:val="008D3A64"/>
    <w:rsid w:val="008D4810"/>
    <w:rsid w:val="008D5A32"/>
    <w:rsid w:val="008D5E7A"/>
    <w:rsid w:val="008E2354"/>
    <w:rsid w:val="008F16E4"/>
    <w:rsid w:val="008F4AC7"/>
    <w:rsid w:val="008F6207"/>
    <w:rsid w:val="008F6B18"/>
    <w:rsid w:val="008F7088"/>
    <w:rsid w:val="00901861"/>
    <w:rsid w:val="009019F9"/>
    <w:rsid w:val="00901C4C"/>
    <w:rsid w:val="0090362D"/>
    <w:rsid w:val="00904945"/>
    <w:rsid w:val="00907D84"/>
    <w:rsid w:val="00914C22"/>
    <w:rsid w:val="00914E12"/>
    <w:rsid w:val="00915A7D"/>
    <w:rsid w:val="009163E6"/>
    <w:rsid w:val="0092044D"/>
    <w:rsid w:val="00920545"/>
    <w:rsid w:val="009213CA"/>
    <w:rsid w:val="00921AD1"/>
    <w:rsid w:val="00923CEA"/>
    <w:rsid w:val="009266DB"/>
    <w:rsid w:val="00927A03"/>
    <w:rsid w:val="00931698"/>
    <w:rsid w:val="00934A0C"/>
    <w:rsid w:val="00935309"/>
    <w:rsid w:val="009373C5"/>
    <w:rsid w:val="009375C2"/>
    <w:rsid w:val="00937BFA"/>
    <w:rsid w:val="0094149F"/>
    <w:rsid w:val="00942059"/>
    <w:rsid w:val="00942983"/>
    <w:rsid w:val="009465C0"/>
    <w:rsid w:val="00947D17"/>
    <w:rsid w:val="00950128"/>
    <w:rsid w:val="009501F7"/>
    <w:rsid w:val="00954FB2"/>
    <w:rsid w:val="00957049"/>
    <w:rsid w:val="00961E25"/>
    <w:rsid w:val="00964BD3"/>
    <w:rsid w:val="00965887"/>
    <w:rsid w:val="00965CA4"/>
    <w:rsid w:val="009704A2"/>
    <w:rsid w:val="00971AAC"/>
    <w:rsid w:val="00974986"/>
    <w:rsid w:val="00976DA0"/>
    <w:rsid w:val="009801EE"/>
    <w:rsid w:val="0098623D"/>
    <w:rsid w:val="00990ADC"/>
    <w:rsid w:val="009A1148"/>
    <w:rsid w:val="009A155B"/>
    <w:rsid w:val="009A3201"/>
    <w:rsid w:val="009A5CA5"/>
    <w:rsid w:val="009A7FA4"/>
    <w:rsid w:val="009B0E82"/>
    <w:rsid w:val="009B1C47"/>
    <w:rsid w:val="009B3517"/>
    <w:rsid w:val="009B37C6"/>
    <w:rsid w:val="009B47C4"/>
    <w:rsid w:val="009B577F"/>
    <w:rsid w:val="009B631C"/>
    <w:rsid w:val="009B7DAE"/>
    <w:rsid w:val="009B7F75"/>
    <w:rsid w:val="009C1E0C"/>
    <w:rsid w:val="009D1C22"/>
    <w:rsid w:val="009D71F4"/>
    <w:rsid w:val="009E13C8"/>
    <w:rsid w:val="009E1409"/>
    <w:rsid w:val="009E1C11"/>
    <w:rsid w:val="009E2784"/>
    <w:rsid w:val="009E3783"/>
    <w:rsid w:val="009E6EF3"/>
    <w:rsid w:val="009E750B"/>
    <w:rsid w:val="009F018C"/>
    <w:rsid w:val="009F2539"/>
    <w:rsid w:val="009F335B"/>
    <w:rsid w:val="009F377E"/>
    <w:rsid w:val="009F4ADE"/>
    <w:rsid w:val="009F7560"/>
    <w:rsid w:val="009F763A"/>
    <w:rsid w:val="00A005EC"/>
    <w:rsid w:val="00A00FFB"/>
    <w:rsid w:val="00A01479"/>
    <w:rsid w:val="00A01E8E"/>
    <w:rsid w:val="00A05FA1"/>
    <w:rsid w:val="00A11106"/>
    <w:rsid w:val="00A129BA"/>
    <w:rsid w:val="00A13920"/>
    <w:rsid w:val="00A143AC"/>
    <w:rsid w:val="00A1759C"/>
    <w:rsid w:val="00A20DE9"/>
    <w:rsid w:val="00A23326"/>
    <w:rsid w:val="00A23D67"/>
    <w:rsid w:val="00A317FA"/>
    <w:rsid w:val="00A329F3"/>
    <w:rsid w:val="00A349E3"/>
    <w:rsid w:val="00A34DF5"/>
    <w:rsid w:val="00A35DB1"/>
    <w:rsid w:val="00A37E50"/>
    <w:rsid w:val="00A47AF8"/>
    <w:rsid w:val="00A5101A"/>
    <w:rsid w:val="00A52E32"/>
    <w:rsid w:val="00A549B9"/>
    <w:rsid w:val="00A61213"/>
    <w:rsid w:val="00A66D97"/>
    <w:rsid w:val="00A67321"/>
    <w:rsid w:val="00A67A21"/>
    <w:rsid w:val="00A803EC"/>
    <w:rsid w:val="00A84362"/>
    <w:rsid w:val="00A84D7F"/>
    <w:rsid w:val="00A92B5D"/>
    <w:rsid w:val="00A9672D"/>
    <w:rsid w:val="00A97EE1"/>
    <w:rsid w:val="00AA1B49"/>
    <w:rsid w:val="00AA2748"/>
    <w:rsid w:val="00AB08C6"/>
    <w:rsid w:val="00AB4EE3"/>
    <w:rsid w:val="00AC12F9"/>
    <w:rsid w:val="00AC50CE"/>
    <w:rsid w:val="00AC653A"/>
    <w:rsid w:val="00AD3E60"/>
    <w:rsid w:val="00AD5EBF"/>
    <w:rsid w:val="00AE00C4"/>
    <w:rsid w:val="00AE0FDE"/>
    <w:rsid w:val="00AE3F2D"/>
    <w:rsid w:val="00AE3F70"/>
    <w:rsid w:val="00AE6BDD"/>
    <w:rsid w:val="00AE6EBE"/>
    <w:rsid w:val="00AE7FDD"/>
    <w:rsid w:val="00AF0DCA"/>
    <w:rsid w:val="00AF1D64"/>
    <w:rsid w:val="00AF576C"/>
    <w:rsid w:val="00AF5DE1"/>
    <w:rsid w:val="00B01C45"/>
    <w:rsid w:val="00B02BF3"/>
    <w:rsid w:val="00B0702B"/>
    <w:rsid w:val="00B20EFC"/>
    <w:rsid w:val="00B2365F"/>
    <w:rsid w:val="00B25E08"/>
    <w:rsid w:val="00B2622F"/>
    <w:rsid w:val="00B26991"/>
    <w:rsid w:val="00B27665"/>
    <w:rsid w:val="00B33E46"/>
    <w:rsid w:val="00B42045"/>
    <w:rsid w:val="00B42B99"/>
    <w:rsid w:val="00B43189"/>
    <w:rsid w:val="00B46AC1"/>
    <w:rsid w:val="00B557B1"/>
    <w:rsid w:val="00B566BC"/>
    <w:rsid w:val="00B62BAB"/>
    <w:rsid w:val="00B64211"/>
    <w:rsid w:val="00B64CF4"/>
    <w:rsid w:val="00B6689D"/>
    <w:rsid w:val="00B714FC"/>
    <w:rsid w:val="00B722E8"/>
    <w:rsid w:val="00B73219"/>
    <w:rsid w:val="00B75B9F"/>
    <w:rsid w:val="00B765AE"/>
    <w:rsid w:val="00B835A9"/>
    <w:rsid w:val="00B84734"/>
    <w:rsid w:val="00B86103"/>
    <w:rsid w:val="00B907B4"/>
    <w:rsid w:val="00B908AF"/>
    <w:rsid w:val="00B91FDD"/>
    <w:rsid w:val="00B92206"/>
    <w:rsid w:val="00B922A5"/>
    <w:rsid w:val="00B9386F"/>
    <w:rsid w:val="00B942B1"/>
    <w:rsid w:val="00B95E9A"/>
    <w:rsid w:val="00B969E3"/>
    <w:rsid w:val="00B97AAB"/>
    <w:rsid w:val="00BA007D"/>
    <w:rsid w:val="00BA3633"/>
    <w:rsid w:val="00BA3FC1"/>
    <w:rsid w:val="00BA4790"/>
    <w:rsid w:val="00BA53B6"/>
    <w:rsid w:val="00BA590F"/>
    <w:rsid w:val="00BB0AD2"/>
    <w:rsid w:val="00BB1821"/>
    <w:rsid w:val="00BB1DB4"/>
    <w:rsid w:val="00BB23BC"/>
    <w:rsid w:val="00BB567E"/>
    <w:rsid w:val="00BB5DCE"/>
    <w:rsid w:val="00BB634A"/>
    <w:rsid w:val="00BB79FB"/>
    <w:rsid w:val="00BC2542"/>
    <w:rsid w:val="00BC46A1"/>
    <w:rsid w:val="00BC4A6C"/>
    <w:rsid w:val="00BC4C1C"/>
    <w:rsid w:val="00BD064F"/>
    <w:rsid w:val="00BD0F23"/>
    <w:rsid w:val="00BD101A"/>
    <w:rsid w:val="00BD2FA8"/>
    <w:rsid w:val="00BE176A"/>
    <w:rsid w:val="00BE422C"/>
    <w:rsid w:val="00BE6C4F"/>
    <w:rsid w:val="00BF1C95"/>
    <w:rsid w:val="00BF4F81"/>
    <w:rsid w:val="00C01F9C"/>
    <w:rsid w:val="00C0268A"/>
    <w:rsid w:val="00C061B8"/>
    <w:rsid w:val="00C10594"/>
    <w:rsid w:val="00C119D6"/>
    <w:rsid w:val="00C11F37"/>
    <w:rsid w:val="00C127E3"/>
    <w:rsid w:val="00C13056"/>
    <w:rsid w:val="00C17EA3"/>
    <w:rsid w:val="00C2085C"/>
    <w:rsid w:val="00C211E2"/>
    <w:rsid w:val="00C21E76"/>
    <w:rsid w:val="00C23A55"/>
    <w:rsid w:val="00C23B21"/>
    <w:rsid w:val="00C2491F"/>
    <w:rsid w:val="00C25A57"/>
    <w:rsid w:val="00C31D35"/>
    <w:rsid w:val="00C34C3D"/>
    <w:rsid w:val="00C35877"/>
    <w:rsid w:val="00C36621"/>
    <w:rsid w:val="00C40575"/>
    <w:rsid w:val="00C41B7A"/>
    <w:rsid w:val="00C42973"/>
    <w:rsid w:val="00C5392E"/>
    <w:rsid w:val="00C54B40"/>
    <w:rsid w:val="00C60B2E"/>
    <w:rsid w:val="00C631A4"/>
    <w:rsid w:val="00C645EA"/>
    <w:rsid w:val="00C6525E"/>
    <w:rsid w:val="00C70F5D"/>
    <w:rsid w:val="00C72B83"/>
    <w:rsid w:val="00C75766"/>
    <w:rsid w:val="00C75D56"/>
    <w:rsid w:val="00C825FF"/>
    <w:rsid w:val="00C837F8"/>
    <w:rsid w:val="00C8504F"/>
    <w:rsid w:val="00C8679B"/>
    <w:rsid w:val="00C878F6"/>
    <w:rsid w:val="00C87CC6"/>
    <w:rsid w:val="00C9099D"/>
    <w:rsid w:val="00C9497C"/>
    <w:rsid w:val="00C9613A"/>
    <w:rsid w:val="00CA13FA"/>
    <w:rsid w:val="00CA4F4B"/>
    <w:rsid w:val="00CA6229"/>
    <w:rsid w:val="00CA6429"/>
    <w:rsid w:val="00CA6F57"/>
    <w:rsid w:val="00CA7D55"/>
    <w:rsid w:val="00CB08A3"/>
    <w:rsid w:val="00CB1EA2"/>
    <w:rsid w:val="00CB2506"/>
    <w:rsid w:val="00CC076E"/>
    <w:rsid w:val="00CC0D65"/>
    <w:rsid w:val="00CC4311"/>
    <w:rsid w:val="00CC6DF2"/>
    <w:rsid w:val="00CD067A"/>
    <w:rsid w:val="00CD0914"/>
    <w:rsid w:val="00CD5380"/>
    <w:rsid w:val="00CE016F"/>
    <w:rsid w:val="00CE2936"/>
    <w:rsid w:val="00CF1BF5"/>
    <w:rsid w:val="00CF26BA"/>
    <w:rsid w:val="00CF68D7"/>
    <w:rsid w:val="00D02AB7"/>
    <w:rsid w:val="00D03C86"/>
    <w:rsid w:val="00D060B0"/>
    <w:rsid w:val="00D11D45"/>
    <w:rsid w:val="00D124C7"/>
    <w:rsid w:val="00D131F3"/>
    <w:rsid w:val="00D14919"/>
    <w:rsid w:val="00D14B70"/>
    <w:rsid w:val="00D15A57"/>
    <w:rsid w:val="00D16EB5"/>
    <w:rsid w:val="00D21822"/>
    <w:rsid w:val="00D30635"/>
    <w:rsid w:val="00D31928"/>
    <w:rsid w:val="00D33FCA"/>
    <w:rsid w:val="00D34DD0"/>
    <w:rsid w:val="00D35A0F"/>
    <w:rsid w:val="00D4245D"/>
    <w:rsid w:val="00D42B31"/>
    <w:rsid w:val="00D4341A"/>
    <w:rsid w:val="00D54AC4"/>
    <w:rsid w:val="00D56320"/>
    <w:rsid w:val="00D57852"/>
    <w:rsid w:val="00D5797E"/>
    <w:rsid w:val="00D62D61"/>
    <w:rsid w:val="00D63AD0"/>
    <w:rsid w:val="00D63F44"/>
    <w:rsid w:val="00D6474E"/>
    <w:rsid w:val="00D6551F"/>
    <w:rsid w:val="00D66991"/>
    <w:rsid w:val="00D67A9B"/>
    <w:rsid w:val="00D72E20"/>
    <w:rsid w:val="00D7416A"/>
    <w:rsid w:val="00D77AFF"/>
    <w:rsid w:val="00D825A9"/>
    <w:rsid w:val="00D83EFE"/>
    <w:rsid w:val="00D86ABF"/>
    <w:rsid w:val="00D87D73"/>
    <w:rsid w:val="00D87E4F"/>
    <w:rsid w:val="00D903D8"/>
    <w:rsid w:val="00D90505"/>
    <w:rsid w:val="00D92562"/>
    <w:rsid w:val="00D93487"/>
    <w:rsid w:val="00D94613"/>
    <w:rsid w:val="00D97BE4"/>
    <w:rsid w:val="00DA2014"/>
    <w:rsid w:val="00DA245C"/>
    <w:rsid w:val="00DA592B"/>
    <w:rsid w:val="00DA71E0"/>
    <w:rsid w:val="00DA782B"/>
    <w:rsid w:val="00DA7AE0"/>
    <w:rsid w:val="00DB1D2E"/>
    <w:rsid w:val="00DB3235"/>
    <w:rsid w:val="00DB3CFE"/>
    <w:rsid w:val="00DB57D0"/>
    <w:rsid w:val="00DB628F"/>
    <w:rsid w:val="00DB6434"/>
    <w:rsid w:val="00DB6B73"/>
    <w:rsid w:val="00DB6CC6"/>
    <w:rsid w:val="00DC2143"/>
    <w:rsid w:val="00DD3326"/>
    <w:rsid w:val="00DD536E"/>
    <w:rsid w:val="00DE0D93"/>
    <w:rsid w:val="00DE0EC1"/>
    <w:rsid w:val="00DE18A5"/>
    <w:rsid w:val="00DE4D75"/>
    <w:rsid w:val="00DE6271"/>
    <w:rsid w:val="00DF03D1"/>
    <w:rsid w:val="00DF0645"/>
    <w:rsid w:val="00DF09C3"/>
    <w:rsid w:val="00DF142B"/>
    <w:rsid w:val="00DF3611"/>
    <w:rsid w:val="00DF5E44"/>
    <w:rsid w:val="00DF75D9"/>
    <w:rsid w:val="00E00730"/>
    <w:rsid w:val="00E01DA0"/>
    <w:rsid w:val="00E0272C"/>
    <w:rsid w:val="00E03B6D"/>
    <w:rsid w:val="00E03D74"/>
    <w:rsid w:val="00E07799"/>
    <w:rsid w:val="00E137F6"/>
    <w:rsid w:val="00E145EB"/>
    <w:rsid w:val="00E16DB5"/>
    <w:rsid w:val="00E2102C"/>
    <w:rsid w:val="00E21F62"/>
    <w:rsid w:val="00E22B49"/>
    <w:rsid w:val="00E24F72"/>
    <w:rsid w:val="00E27941"/>
    <w:rsid w:val="00E30CDD"/>
    <w:rsid w:val="00E30EEE"/>
    <w:rsid w:val="00E322E7"/>
    <w:rsid w:val="00E360A4"/>
    <w:rsid w:val="00E40C46"/>
    <w:rsid w:val="00E42B20"/>
    <w:rsid w:val="00E43E04"/>
    <w:rsid w:val="00E45FD7"/>
    <w:rsid w:val="00E46B39"/>
    <w:rsid w:val="00E508C5"/>
    <w:rsid w:val="00E52EF0"/>
    <w:rsid w:val="00E55E0D"/>
    <w:rsid w:val="00E56316"/>
    <w:rsid w:val="00E574FE"/>
    <w:rsid w:val="00E579C7"/>
    <w:rsid w:val="00E61842"/>
    <w:rsid w:val="00E62D45"/>
    <w:rsid w:val="00E63FA5"/>
    <w:rsid w:val="00E6711F"/>
    <w:rsid w:val="00E731F2"/>
    <w:rsid w:val="00E73DED"/>
    <w:rsid w:val="00E75669"/>
    <w:rsid w:val="00E76753"/>
    <w:rsid w:val="00E77A1F"/>
    <w:rsid w:val="00E8040C"/>
    <w:rsid w:val="00E81D8D"/>
    <w:rsid w:val="00E8329B"/>
    <w:rsid w:val="00E83B90"/>
    <w:rsid w:val="00E87006"/>
    <w:rsid w:val="00E8724F"/>
    <w:rsid w:val="00E90E92"/>
    <w:rsid w:val="00E91CC6"/>
    <w:rsid w:val="00EA0375"/>
    <w:rsid w:val="00EA1973"/>
    <w:rsid w:val="00EA1BF2"/>
    <w:rsid w:val="00EA4EA7"/>
    <w:rsid w:val="00EA6B5C"/>
    <w:rsid w:val="00EA73BA"/>
    <w:rsid w:val="00EB309C"/>
    <w:rsid w:val="00EB4736"/>
    <w:rsid w:val="00EB619C"/>
    <w:rsid w:val="00EB63F5"/>
    <w:rsid w:val="00EC037D"/>
    <w:rsid w:val="00EC084A"/>
    <w:rsid w:val="00EC0DE8"/>
    <w:rsid w:val="00EC113C"/>
    <w:rsid w:val="00EC215B"/>
    <w:rsid w:val="00EC37A5"/>
    <w:rsid w:val="00EC7445"/>
    <w:rsid w:val="00ED0EB8"/>
    <w:rsid w:val="00ED5EC3"/>
    <w:rsid w:val="00EE55DC"/>
    <w:rsid w:val="00EF0885"/>
    <w:rsid w:val="00EF39FF"/>
    <w:rsid w:val="00EF779A"/>
    <w:rsid w:val="00F04B9C"/>
    <w:rsid w:val="00F05DD7"/>
    <w:rsid w:val="00F079DE"/>
    <w:rsid w:val="00F11A66"/>
    <w:rsid w:val="00F12080"/>
    <w:rsid w:val="00F12811"/>
    <w:rsid w:val="00F22D0D"/>
    <w:rsid w:val="00F22D7C"/>
    <w:rsid w:val="00F22E7E"/>
    <w:rsid w:val="00F23218"/>
    <w:rsid w:val="00F2521F"/>
    <w:rsid w:val="00F26985"/>
    <w:rsid w:val="00F27A8C"/>
    <w:rsid w:val="00F27F5C"/>
    <w:rsid w:val="00F31F63"/>
    <w:rsid w:val="00F3367B"/>
    <w:rsid w:val="00F3403D"/>
    <w:rsid w:val="00F34BC9"/>
    <w:rsid w:val="00F34D41"/>
    <w:rsid w:val="00F407F4"/>
    <w:rsid w:val="00F42AAE"/>
    <w:rsid w:val="00F44513"/>
    <w:rsid w:val="00F50647"/>
    <w:rsid w:val="00F50764"/>
    <w:rsid w:val="00F54985"/>
    <w:rsid w:val="00F602B0"/>
    <w:rsid w:val="00F6348F"/>
    <w:rsid w:val="00F65557"/>
    <w:rsid w:val="00F66796"/>
    <w:rsid w:val="00F71A9A"/>
    <w:rsid w:val="00F75FC8"/>
    <w:rsid w:val="00F80A0B"/>
    <w:rsid w:val="00F816F0"/>
    <w:rsid w:val="00F830F8"/>
    <w:rsid w:val="00F86AA1"/>
    <w:rsid w:val="00F900BF"/>
    <w:rsid w:val="00F941C3"/>
    <w:rsid w:val="00F97A60"/>
    <w:rsid w:val="00FA03C5"/>
    <w:rsid w:val="00FA63FA"/>
    <w:rsid w:val="00FB16E5"/>
    <w:rsid w:val="00FB3B2F"/>
    <w:rsid w:val="00FB4878"/>
    <w:rsid w:val="00FB4A94"/>
    <w:rsid w:val="00FB50EA"/>
    <w:rsid w:val="00FB5F2F"/>
    <w:rsid w:val="00FB6446"/>
    <w:rsid w:val="00FC09B6"/>
    <w:rsid w:val="00FC2F04"/>
    <w:rsid w:val="00FC30B9"/>
    <w:rsid w:val="00FC3E29"/>
    <w:rsid w:val="00FC77C0"/>
    <w:rsid w:val="00FD06D0"/>
    <w:rsid w:val="00FD0D59"/>
    <w:rsid w:val="00FD368E"/>
    <w:rsid w:val="00FD41BF"/>
    <w:rsid w:val="00FD62D6"/>
    <w:rsid w:val="00FD66EE"/>
    <w:rsid w:val="00FE02E0"/>
    <w:rsid w:val="00FE1E90"/>
    <w:rsid w:val="00FE2713"/>
    <w:rsid w:val="00FE3094"/>
    <w:rsid w:val="00FE7F38"/>
    <w:rsid w:val="00FF0E74"/>
    <w:rsid w:val="00FF32A5"/>
    <w:rsid w:val="00FF3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C4"/>
  </w:style>
  <w:style w:type="paragraph" w:styleId="Heading1">
    <w:name w:val="heading 1"/>
    <w:basedOn w:val="ListParagraph"/>
    <w:next w:val="Normal"/>
    <w:link w:val="Heading1Char"/>
    <w:uiPriority w:val="9"/>
    <w:qFormat/>
    <w:rsid w:val="00220600"/>
    <w:pPr>
      <w:numPr>
        <w:numId w:val="5"/>
      </w:numPr>
      <w:outlineLvl w:val="0"/>
    </w:pPr>
    <w:rPr>
      <w:sz w:val="24"/>
      <w:szCs w:val="24"/>
    </w:rPr>
  </w:style>
  <w:style w:type="paragraph" w:styleId="Heading2">
    <w:name w:val="heading 2"/>
    <w:basedOn w:val="ListParagraph"/>
    <w:next w:val="Normal"/>
    <w:link w:val="Heading2Char"/>
    <w:uiPriority w:val="9"/>
    <w:unhideWhenUsed/>
    <w:qFormat/>
    <w:rsid w:val="00220600"/>
    <w:pPr>
      <w:numPr>
        <w:ilvl w:val="1"/>
        <w:numId w:val="7"/>
      </w:numPr>
      <w:outlineLvl w:val="1"/>
    </w:pPr>
    <w:rPr>
      <w:sz w:val="24"/>
      <w:szCs w:val="24"/>
    </w:rPr>
  </w:style>
  <w:style w:type="paragraph" w:styleId="Heading3">
    <w:name w:val="heading 3"/>
    <w:basedOn w:val="Heading2"/>
    <w:next w:val="Normal"/>
    <w:link w:val="Heading3Char"/>
    <w:uiPriority w:val="9"/>
    <w:unhideWhenUsed/>
    <w:qFormat/>
    <w:rsid w:val="006C6F88"/>
    <w:pPr>
      <w:numPr>
        <w:ilvl w:val="2"/>
      </w:num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807"/>
    <w:pPr>
      <w:ind w:left="720"/>
      <w:contextualSpacing/>
    </w:pPr>
  </w:style>
  <w:style w:type="table" w:styleId="TableGrid">
    <w:name w:val="Table Grid"/>
    <w:basedOn w:val="TableNormal"/>
    <w:uiPriority w:val="39"/>
    <w:rsid w:val="00D77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A40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0AC"/>
  </w:style>
  <w:style w:type="paragraph" w:styleId="Footer">
    <w:name w:val="footer"/>
    <w:basedOn w:val="Normal"/>
    <w:link w:val="FooterChar"/>
    <w:uiPriority w:val="99"/>
    <w:unhideWhenUsed/>
    <w:rsid w:val="000A4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0AC"/>
  </w:style>
  <w:style w:type="character" w:customStyle="1" w:styleId="Heading1Char">
    <w:name w:val="Heading 1 Char"/>
    <w:basedOn w:val="DefaultParagraphFont"/>
    <w:link w:val="Heading1"/>
    <w:uiPriority w:val="9"/>
    <w:rsid w:val="00220600"/>
    <w:rPr>
      <w:sz w:val="24"/>
      <w:szCs w:val="24"/>
    </w:rPr>
  </w:style>
  <w:style w:type="character" w:customStyle="1" w:styleId="Heading2Char">
    <w:name w:val="Heading 2 Char"/>
    <w:basedOn w:val="DefaultParagraphFont"/>
    <w:link w:val="Heading2"/>
    <w:uiPriority w:val="9"/>
    <w:rsid w:val="00220600"/>
    <w:rPr>
      <w:sz w:val="24"/>
      <w:szCs w:val="24"/>
    </w:rPr>
  </w:style>
  <w:style w:type="paragraph" w:styleId="BalloonText">
    <w:name w:val="Balloon Text"/>
    <w:basedOn w:val="Normal"/>
    <w:link w:val="BalloonTextChar"/>
    <w:uiPriority w:val="99"/>
    <w:semiHidden/>
    <w:unhideWhenUsed/>
    <w:rsid w:val="00B64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11"/>
    <w:rPr>
      <w:rFonts w:ascii="Tahoma" w:hAnsi="Tahoma" w:cs="Tahoma"/>
      <w:sz w:val="16"/>
      <w:szCs w:val="16"/>
    </w:rPr>
  </w:style>
  <w:style w:type="character" w:customStyle="1" w:styleId="Heading3Char">
    <w:name w:val="Heading 3 Char"/>
    <w:basedOn w:val="DefaultParagraphFont"/>
    <w:link w:val="Heading3"/>
    <w:uiPriority w:val="9"/>
    <w:rsid w:val="006C6F88"/>
    <w:rPr>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A2599862-8F2B-49B9-B5F5-980343142A40}"/>
</file>

<file path=customXml/itemProps2.xml><?xml version="1.0" encoding="utf-8"?>
<ds:datastoreItem xmlns:ds="http://schemas.openxmlformats.org/officeDocument/2006/customXml" ds:itemID="{E92E0BB1-FBB1-4E99-B946-ACFC46DC9403}"/>
</file>

<file path=customXml/itemProps3.xml><?xml version="1.0" encoding="utf-8"?>
<ds:datastoreItem xmlns:ds="http://schemas.openxmlformats.org/officeDocument/2006/customXml" ds:itemID="{8EF83F08-FD71-4F4A-82A3-50173D77AE87}"/>
</file>

<file path=customXml/itemProps4.xml><?xml version="1.0" encoding="utf-8"?>
<ds:datastoreItem xmlns:ds="http://schemas.openxmlformats.org/officeDocument/2006/customXml" ds:itemID="{8E4A8242-7854-4FA6-99B4-F8FA93E0FBDF}"/>
</file>

<file path=docProps/app.xml><?xml version="1.0" encoding="utf-8"?>
<Properties xmlns="http://schemas.openxmlformats.org/officeDocument/2006/extended-properties" xmlns:vt="http://schemas.openxmlformats.org/officeDocument/2006/docPropsVTypes">
  <Template>Normal.dotm</Template>
  <TotalTime>30</TotalTime>
  <Pages>4</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dc:creator>
  <cp:lastModifiedBy>gdavis</cp:lastModifiedBy>
  <cp:revision>26</cp:revision>
  <dcterms:created xsi:type="dcterms:W3CDTF">2016-02-28T21:06:00Z</dcterms:created>
  <dcterms:modified xsi:type="dcterms:W3CDTF">2016-02-29T17:21:00Z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