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AAC0" w14:textId="12BB4017" w:rsidR="007F4831" w:rsidRDefault="007F4831" w:rsidP="007F4831">
      <w:pPr>
        <w:shd w:val="clear" w:color="auto" w:fill="F5F5F5"/>
        <w:ind w:left="0" w:right="0"/>
        <w:outlineLvl w:val="1"/>
        <w:rPr>
          <w:b/>
        </w:rPr>
      </w:pPr>
      <w:bookmarkStart w:id="0" w:name="_GoBack"/>
      <w:bookmarkEnd w:id="0"/>
      <w:r w:rsidRPr="0083329C">
        <w:rPr>
          <w:b/>
        </w:rPr>
        <w:t>Note: DEQ is proposing to make the current</w:t>
      </w:r>
      <w:r>
        <w:rPr>
          <w:b/>
        </w:rPr>
        <w:t>,</w:t>
      </w:r>
      <w:r w:rsidRPr="0083329C">
        <w:rPr>
          <w:b/>
        </w:rPr>
        <w:t xml:space="preserve"> temporary rules (inclu</w:t>
      </w:r>
      <w:r>
        <w:rPr>
          <w:b/>
        </w:rPr>
        <w:t>ded below) permanent. Therefore, no rule changes are indicated</w:t>
      </w:r>
      <w:r w:rsidRPr="0083329C">
        <w:rPr>
          <w:b/>
        </w:rPr>
        <w:t>.</w:t>
      </w:r>
    </w:p>
    <w:p w14:paraId="34966D53" w14:textId="77777777" w:rsidR="007F4831" w:rsidRDefault="007F4831" w:rsidP="007F4831">
      <w:pPr>
        <w:shd w:val="clear" w:color="auto" w:fill="F5F5F5"/>
        <w:ind w:left="0" w:right="0"/>
        <w:outlineLvl w:val="1"/>
        <w:rPr>
          <w:b/>
        </w:rPr>
      </w:pPr>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474B4E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2F05AC0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07A5EC1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035F6D9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2021</w:t>
            </w:r>
          </w:p>
        </w:tc>
        <w:tc>
          <w:tcPr>
            <w:tcW w:w="3711" w:type="dxa"/>
            <w:vAlign w:val="center"/>
          </w:tcPr>
          <w:p w14:paraId="26AC7491" w14:textId="7EFB68D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711" w:type="dxa"/>
            <w:vAlign w:val="center"/>
          </w:tcPr>
          <w:p w14:paraId="26AC7495" w14:textId="0DF28C3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2CF9571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711" w:type="dxa"/>
            <w:vAlign w:val="center"/>
          </w:tcPr>
          <w:p w14:paraId="26AC749D" w14:textId="748E1F8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0043E2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88.76</w:t>
            </w:r>
          </w:p>
        </w:tc>
        <w:tc>
          <w:tcPr>
            <w:tcW w:w="3489" w:type="dxa"/>
            <w:vAlign w:val="center"/>
          </w:tcPr>
          <w:p w14:paraId="26AC74A2" w14:textId="6457BEAE" w:rsidR="002A632C" w:rsidRPr="00C660E7" w:rsidRDefault="002A632C" w:rsidP="00C660E7">
            <w:pPr>
              <w:pStyle w:val="ListParagraph"/>
              <w:numPr>
                <w:ilvl w:val="0"/>
                <w:numId w:val="3"/>
              </w:numPr>
              <w:spacing w:before="120" w:after="120"/>
              <w:ind w:right="101"/>
              <w:jc w:val="center"/>
              <w:rPr>
                <w:rFonts w:ascii="Arial" w:hAnsi="Arial" w:cs="Arial"/>
                <w:color w:val="000000"/>
              </w:rPr>
            </w:pPr>
            <w:proofErr w:type="spellStart"/>
            <w:r w:rsidRPr="00C660E7">
              <w:rPr>
                <w:rFonts w:ascii="Arial" w:hAnsi="Arial" w:cs="Arial"/>
              </w:rPr>
              <w:t>ercent</w:t>
            </w:r>
            <w:proofErr w:type="spellEnd"/>
          </w:p>
        </w:tc>
      </w:tr>
    </w:tbl>
    <w:p w14:paraId="26AC74A4" w14:textId="690757C1" w:rsidR="006D7147" w:rsidRDefault="00C660E7" w:rsidP="00516B13">
      <w:pPr>
        <w:ind w:right="144"/>
      </w:pPr>
      <w:r>
        <w:t>*Initial compliance period is a two-year period for 2016 and 2017. The 2016 standard is to be used only to calculate deficits and credits in 2016 under OAR 340-253-2010.</w:t>
      </w:r>
    </w:p>
    <w:p w14:paraId="1CAE6659" w14:textId="77777777" w:rsidR="00516B13" w:rsidRPr="0043662F" w:rsidRDefault="00516B13" w:rsidP="00516B13">
      <w:pPr>
        <w:ind w:right="144"/>
      </w:pPr>
    </w:p>
    <w:p w14:paraId="26AC74A5" w14:textId="77777777" w:rsidR="0043662F" w:rsidRDefault="0043662F" w:rsidP="00516B13">
      <w:pPr>
        <w:ind w:right="144"/>
      </w:pPr>
      <w:r w:rsidRPr="0043662F">
        <w:t xml:space="preserve">[ED. NOTE: Tables referenced are not included in rule text. </w:t>
      </w:r>
      <w:hyperlink r:id="rId10" w:history="1">
        <w:r w:rsidRPr="0043662F">
          <w:rPr>
            <w:rStyle w:val="Hyperlink"/>
          </w:rPr>
          <w:t>Click here for PDF copy of table(s)</w:t>
        </w:r>
      </w:hyperlink>
      <w:r w:rsidRPr="0043662F">
        <w:t>.]</w:t>
      </w:r>
    </w:p>
    <w:p w14:paraId="4B8BE91C" w14:textId="77777777" w:rsidR="00516B13" w:rsidRPr="0043662F" w:rsidRDefault="00516B13" w:rsidP="00516B13">
      <w:pPr>
        <w:ind w:right="144"/>
      </w:pPr>
    </w:p>
    <w:p w14:paraId="26AC74A7" w14:textId="5D010BF3" w:rsidR="004608CC" w:rsidRDefault="00516B13" w:rsidP="00516B13">
      <w:pPr>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516B13">
      <w:pPr>
        <w:ind w:right="144"/>
      </w:pPr>
    </w:p>
    <w:p w14:paraId="26AC74A8" w14:textId="77777777" w:rsidR="0043662F" w:rsidRDefault="0043662F" w:rsidP="00516B13">
      <w:pPr>
        <w:ind w:right="144"/>
        <w:rPr>
          <w:b/>
          <w:bCs/>
        </w:rPr>
      </w:pPr>
      <w:r w:rsidRPr="0043662F">
        <w:rPr>
          <w:b/>
          <w:bCs/>
        </w:rPr>
        <w:t>340-253-8020</w:t>
      </w:r>
    </w:p>
    <w:p w14:paraId="3ED7DE8E" w14:textId="77777777" w:rsidR="00516B13" w:rsidRPr="0043662F" w:rsidRDefault="00516B13" w:rsidP="00516B13">
      <w:pPr>
        <w:ind w:right="144"/>
      </w:pP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516B13">
        <w:trPr>
          <w:trHeight w:val="1408"/>
          <w:tblHeader/>
        </w:trPr>
        <w:tc>
          <w:tcPr>
            <w:tcW w:w="9360" w:type="dxa"/>
            <w:gridSpan w:val="3"/>
            <w:shd w:val="clear" w:color="auto" w:fill="008272"/>
            <w:vAlign w:val="center"/>
          </w:tcPr>
          <w:p w14:paraId="26AC74AB" w14:textId="77777777" w:rsidR="006D7147" w:rsidRDefault="006D7147" w:rsidP="00516B13">
            <w:pPr>
              <w:ind w:left="76" w:right="76"/>
              <w:jc w:val="center"/>
              <w:rPr>
                <w:rFonts w:ascii="Arial" w:hAnsi="Arial" w:cs="Arial"/>
                <w:color w:val="FFFFFF"/>
              </w:rPr>
            </w:pPr>
            <w:r w:rsidRPr="006D7147">
              <w:rPr>
                <w:rFonts w:ascii="Arial" w:hAnsi="Arial" w:cs="Arial"/>
                <w:color w:val="FFFFFF"/>
              </w:rPr>
              <w:lastRenderedPageBreak/>
              <w:t>State of Oregon Department of Environmental Quality</w:t>
            </w:r>
          </w:p>
          <w:p w14:paraId="26B4382C" w14:textId="77777777" w:rsidR="00516B13" w:rsidRPr="006D7147" w:rsidRDefault="00516B13" w:rsidP="00516B13">
            <w:pPr>
              <w:ind w:left="76" w:right="76"/>
              <w:jc w:val="center"/>
              <w:rPr>
                <w:rFonts w:ascii="Arial" w:hAnsi="Arial" w:cs="Arial"/>
                <w:color w:val="FFFFFF"/>
              </w:rPr>
            </w:pPr>
          </w:p>
          <w:p w14:paraId="26AC74AC" w14:textId="77777777" w:rsidR="006D7147" w:rsidRDefault="006D7147" w:rsidP="00516B13">
            <w:pPr>
              <w:ind w:left="76" w:right="76"/>
              <w:jc w:val="center"/>
              <w:rPr>
                <w:rFonts w:ascii="Arial" w:hAnsi="Arial" w:cs="Arial"/>
                <w:color w:val="FFFFFF"/>
              </w:rPr>
            </w:pPr>
            <w:r w:rsidRPr="006D7147">
              <w:rPr>
                <w:rFonts w:ascii="Arial" w:hAnsi="Arial" w:cs="Arial"/>
                <w:color w:val="FFFFFF"/>
              </w:rPr>
              <w:t>Table 2 – 340-253-8020</w:t>
            </w:r>
          </w:p>
          <w:p w14:paraId="7AC746FA" w14:textId="77777777" w:rsidR="00516B13" w:rsidRPr="006D7147" w:rsidRDefault="00516B13" w:rsidP="00516B13">
            <w:pPr>
              <w:ind w:left="76" w:right="76"/>
              <w:jc w:val="center"/>
              <w:rPr>
                <w:rFonts w:ascii="Arial" w:hAnsi="Arial" w:cs="Arial"/>
                <w:color w:val="FFFFFF"/>
              </w:rPr>
            </w:pPr>
          </w:p>
          <w:p w14:paraId="26AC74AE" w14:textId="6BABE0A4" w:rsidR="006D7147" w:rsidRPr="006D7147" w:rsidRDefault="006D7147" w:rsidP="00516B13">
            <w:pPr>
              <w:spacing w:after="120"/>
              <w:ind w:left="76" w:right="76"/>
              <w:jc w:val="center"/>
              <w:rPr>
                <w:rFonts w:ascii="Arial" w:hAnsi="Arial" w:cs="Arial"/>
                <w:color w:val="FFFFFF"/>
              </w:rPr>
            </w:pPr>
            <w:r w:rsidRPr="006D7147">
              <w:rPr>
                <w:rFonts w:ascii="Arial" w:hAnsi="Arial" w:cs="Arial"/>
                <w:b/>
                <w:color w:val="FFFFFF"/>
              </w:rPr>
              <w:t>Oregon Clean Fuel Standard for Diesel Fuel and Diesel Substitutes</w:t>
            </w: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420FBA48" w:rsidR="002A632C" w:rsidRPr="006D7147" w:rsidRDefault="00FA47C9" w:rsidP="00FA47C9">
            <w:pPr>
              <w:spacing w:before="120" w:after="120"/>
              <w:ind w:left="76" w:right="101"/>
              <w:jc w:val="center"/>
              <w:rPr>
                <w:rFonts w:ascii="Arial" w:hAnsi="Arial" w:cs="Arial"/>
                <w:color w:val="000000"/>
              </w:rPr>
            </w:pPr>
            <w:r>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06A305F" w:rsidR="002A632C" w:rsidRPr="006D7147" w:rsidRDefault="00FA47C9" w:rsidP="00FA47C9">
            <w:pPr>
              <w:spacing w:before="120" w:after="120"/>
              <w:ind w:left="76" w:right="101"/>
              <w:jc w:val="center"/>
              <w:rPr>
                <w:rFonts w:ascii="Arial" w:hAnsi="Arial" w:cs="Arial"/>
                <w:color w:val="000000"/>
              </w:rPr>
            </w:pPr>
            <w:r>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34CEB302" w:rsidR="002A632C" w:rsidRPr="006D7147" w:rsidRDefault="00FA47C9" w:rsidP="00FA47C9">
            <w:pPr>
              <w:spacing w:before="120" w:after="120"/>
              <w:ind w:left="76" w:right="101"/>
              <w:jc w:val="center"/>
              <w:rPr>
                <w:rFonts w:ascii="Arial" w:hAnsi="Arial" w:cs="Arial"/>
                <w:color w:val="000000"/>
              </w:rPr>
            </w:pPr>
            <w:r>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691" w:type="dxa"/>
            <w:vAlign w:val="center"/>
          </w:tcPr>
          <w:p w14:paraId="26AC74C9" w14:textId="78B62F5C" w:rsidR="002A632C" w:rsidRPr="006D7147" w:rsidRDefault="00FA47C9" w:rsidP="00FA47C9">
            <w:pPr>
              <w:spacing w:before="120" w:after="120"/>
              <w:ind w:left="76" w:right="101"/>
              <w:jc w:val="center"/>
              <w:rPr>
                <w:rFonts w:ascii="Arial" w:hAnsi="Arial" w:cs="Arial"/>
                <w:color w:val="000000"/>
              </w:rPr>
            </w:pPr>
            <w:r>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184FBA5" w:rsidR="002A632C" w:rsidRPr="006D7147" w:rsidRDefault="00FA47C9" w:rsidP="00FA47C9">
            <w:pPr>
              <w:spacing w:before="120" w:after="120"/>
              <w:ind w:left="76" w:right="101"/>
              <w:jc w:val="center"/>
              <w:rPr>
                <w:rFonts w:ascii="Arial" w:hAnsi="Arial" w:cs="Arial"/>
                <w:color w:val="000000"/>
              </w:rPr>
            </w:pPr>
            <w:r>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28C9118" w:rsidR="002A632C" w:rsidRPr="006D7147" w:rsidRDefault="00FA47C9" w:rsidP="00FA47C9">
            <w:pPr>
              <w:spacing w:before="120" w:after="120"/>
              <w:ind w:left="76" w:right="101"/>
              <w:jc w:val="center"/>
              <w:rPr>
                <w:rFonts w:ascii="Arial" w:hAnsi="Arial" w:cs="Arial"/>
                <w:color w:val="000000"/>
              </w:rPr>
            </w:pPr>
            <w:r>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15A72D46" w:rsidR="002A632C" w:rsidRPr="006D7147" w:rsidRDefault="00FA47C9" w:rsidP="00FA47C9">
            <w:pPr>
              <w:spacing w:before="120" w:after="120"/>
              <w:ind w:left="76" w:right="101"/>
              <w:jc w:val="center"/>
              <w:rPr>
                <w:rFonts w:ascii="Arial" w:hAnsi="Arial" w:cs="Arial"/>
                <w:color w:val="000000"/>
              </w:rPr>
            </w:pPr>
            <w:r>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691" w:type="dxa"/>
            <w:vAlign w:val="center"/>
          </w:tcPr>
          <w:p w14:paraId="26AC74D9" w14:textId="49808B1B" w:rsidR="002A632C" w:rsidRPr="006D7147" w:rsidRDefault="00FA47C9" w:rsidP="00FA47C9">
            <w:pPr>
              <w:spacing w:before="120" w:after="120"/>
              <w:ind w:left="76" w:right="101"/>
              <w:jc w:val="center"/>
              <w:rPr>
                <w:rFonts w:ascii="Arial" w:hAnsi="Arial" w:cs="Arial"/>
                <w:color w:val="000000"/>
              </w:rPr>
            </w:pPr>
            <w:r>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636558E2" w:rsidR="002A632C" w:rsidRPr="006D7147" w:rsidRDefault="00FA47C9" w:rsidP="00FA47C9">
            <w:pPr>
              <w:spacing w:before="120" w:after="120"/>
              <w:ind w:left="76" w:right="101"/>
              <w:jc w:val="center"/>
              <w:rPr>
                <w:rFonts w:ascii="Arial" w:hAnsi="Arial" w:cs="Arial"/>
                <w:color w:val="000000"/>
              </w:rPr>
            </w:pPr>
            <w:r>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p>
    <w:p w14:paraId="26AC74E1" w14:textId="77777777" w:rsidR="0043662F" w:rsidRPr="0043662F" w:rsidRDefault="0043662F" w:rsidP="0043662F">
      <w:pPr>
        <w:spacing w:after="100" w:afterAutospacing="1"/>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6AC74E3" w14:textId="321D2ED9" w:rsidR="00AF4FBA" w:rsidRDefault="00516B13" w:rsidP="00516B13">
      <w:pPr>
        <w:ind w:right="144"/>
      </w:pPr>
      <w:r w:rsidRPr="00516B13">
        <w:lastRenderedPageBreak/>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516B13">
      <w:pPr>
        <w:ind w:right="144"/>
      </w:pPr>
    </w:p>
    <w:p w14:paraId="26AC74E4" w14:textId="77777777" w:rsidR="00AF4FBA" w:rsidRDefault="00AF4FBA" w:rsidP="00516B13">
      <w:pPr>
        <w:ind w:right="144"/>
        <w:rPr>
          <w:b/>
          <w:bCs/>
        </w:rPr>
      </w:pPr>
      <w:r w:rsidRPr="00AF4FBA">
        <w:rPr>
          <w:b/>
          <w:bCs/>
        </w:rPr>
        <w:t>340-253-8030</w:t>
      </w:r>
    </w:p>
    <w:p w14:paraId="01B968C5" w14:textId="77777777" w:rsidR="00516B13" w:rsidRPr="00AF4FBA" w:rsidRDefault="00516B13" w:rsidP="00516B13">
      <w:pPr>
        <w:ind w:right="144"/>
      </w:pP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516B13">
        <w:trPr>
          <w:trHeight w:val="1498"/>
          <w:tblHeader/>
        </w:trPr>
        <w:tc>
          <w:tcPr>
            <w:tcW w:w="9450" w:type="dxa"/>
            <w:gridSpan w:val="6"/>
            <w:shd w:val="clear" w:color="auto" w:fill="008272"/>
            <w:vAlign w:val="center"/>
          </w:tcPr>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11CE5954" w:rsidR="002A632C" w:rsidRPr="002A632C" w:rsidRDefault="00516B13" w:rsidP="002A632C">
            <w:pPr>
              <w:ind w:left="76"/>
              <w:jc w:val="center"/>
              <w:rPr>
                <w:rFonts w:ascii="Arial" w:hAnsi="Arial" w:cs="Arial"/>
                <w:color w:val="FFFFFF"/>
                <w:lang w:bidi="en-US"/>
              </w:rPr>
            </w:pPr>
            <w:r>
              <w:rPr>
                <w:rFonts w:ascii="Arial" w:hAnsi="Arial" w:cs="Arial"/>
                <w:color w:val="FFFFFF"/>
              </w:rPr>
              <w:t>Table 3 – 340-253-8030</w:t>
            </w:r>
            <w:r w:rsidR="002A632C" w:rsidRPr="002A632C">
              <w:rPr>
                <w:rFonts w:ascii="Arial" w:hAnsi="Arial" w:cs="Arial"/>
                <w:color w:val="FFFFFF"/>
              </w:rPr>
              <w:t xml:space="preserve"> </w:t>
            </w:r>
          </w:p>
          <w:p w14:paraId="26AC74EA" w14:textId="77777777" w:rsidR="002A632C" w:rsidRPr="002A632C" w:rsidRDefault="002A632C" w:rsidP="002A632C">
            <w:pPr>
              <w:ind w:left="76"/>
              <w:jc w:val="center"/>
              <w:rPr>
                <w:rFonts w:ascii="Arial" w:hAnsi="Arial" w:cs="Arial"/>
                <w:color w:val="FFFFFF"/>
                <w:lang w:bidi="en-US"/>
              </w:rPr>
            </w:pPr>
          </w:p>
          <w:p w14:paraId="26AC74EB" w14:textId="2D7F3CB9" w:rsidR="00516B13" w:rsidRPr="00516B13" w:rsidRDefault="002A632C" w:rsidP="00516B13">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10DEE0BB" w:rsidR="002A632C" w:rsidRPr="002A632C" w:rsidRDefault="006F24F6" w:rsidP="002A632C">
            <w:pPr>
              <w:ind w:left="76"/>
              <w:jc w:val="center"/>
              <w:rPr>
                <w:rFonts w:ascii="Arial" w:hAnsi="Arial" w:cs="Arial"/>
                <w:color w:val="000000"/>
              </w:rPr>
            </w:pPr>
            <w:r>
              <w:rPr>
                <w:rFonts w:ascii="Arial" w:hAnsi="Arial" w:cs="Arial"/>
              </w:rPr>
              <w:t>ETHCOR001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51600D1F" w:rsidR="002A632C" w:rsidRPr="002A632C" w:rsidRDefault="006F24F6" w:rsidP="002A632C">
            <w:pPr>
              <w:ind w:left="76"/>
              <w:jc w:val="center"/>
              <w:rPr>
                <w:rFonts w:ascii="Arial" w:hAnsi="Arial" w:cs="Arial"/>
                <w:color w:val="000000"/>
              </w:rPr>
            </w:pPr>
            <w:r>
              <w:rPr>
                <w:rFonts w:ascii="Arial" w:hAnsi="Arial" w:cs="Arial"/>
              </w:rPr>
              <w:t>ETHCOR002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530" w:type="dxa"/>
            <w:shd w:val="clear" w:color="auto" w:fill="auto"/>
            <w:vAlign w:val="center"/>
          </w:tcPr>
          <w:p w14:paraId="26AC7516" w14:textId="6CE43806" w:rsidR="002A632C" w:rsidRPr="002A632C" w:rsidRDefault="006F24F6" w:rsidP="002A632C">
            <w:pPr>
              <w:ind w:left="76"/>
              <w:jc w:val="center"/>
              <w:rPr>
                <w:rFonts w:ascii="Arial" w:hAnsi="Arial" w:cs="Arial"/>
                <w:color w:val="000000"/>
              </w:rPr>
            </w:pPr>
            <w:r>
              <w:rPr>
                <w:rFonts w:ascii="Arial" w:hAnsi="Arial" w:cs="Arial"/>
              </w:rPr>
              <w:t>ETHSOR001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0A462F40" w:rsidR="002A632C" w:rsidRPr="002A632C" w:rsidRDefault="006F24F6" w:rsidP="002A632C">
            <w:pPr>
              <w:ind w:left="76"/>
              <w:jc w:val="center"/>
              <w:rPr>
                <w:rFonts w:ascii="Arial" w:hAnsi="Arial" w:cs="Arial"/>
              </w:rPr>
            </w:pPr>
            <w:r>
              <w:rPr>
                <w:rFonts w:ascii="Arial" w:hAnsi="Arial" w:cs="Arial"/>
              </w:rPr>
              <w:t>ETHGOR001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418F6179" w:rsidR="002A632C" w:rsidRPr="002A632C" w:rsidRDefault="006F24F6" w:rsidP="002A632C">
            <w:pPr>
              <w:ind w:left="76"/>
              <w:jc w:val="center"/>
              <w:rPr>
                <w:rFonts w:ascii="Arial" w:hAnsi="Arial" w:cs="Arial"/>
              </w:rPr>
            </w:pPr>
            <w:r>
              <w:rPr>
                <w:rFonts w:ascii="Arial" w:hAnsi="Arial" w:cs="Arial"/>
              </w:rPr>
              <w:t>ETHMOR001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lastRenderedPageBreak/>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516B13">
      <w:pPr>
        <w:ind w:right="144"/>
      </w:pPr>
      <w:r w:rsidRPr="00AF4FBA">
        <w:t xml:space="preserve">[ED. NOTE: Tables referenced are not included in rule text. </w:t>
      </w:r>
      <w:hyperlink r:id="rId12" w:history="1">
        <w:r w:rsidRPr="00AF4FBA">
          <w:rPr>
            <w:rStyle w:val="Hyperlink"/>
          </w:rPr>
          <w:t>Click here for PDF copy of table(s)</w:t>
        </w:r>
      </w:hyperlink>
      <w:r w:rsidRPr="00AF4FBA">
        <w:t>.]</w:t>
      </w:r>
    </w:p>
    <w:p w14:paraId="32D66723" w14:textId="77777777" w:rsidR="00516B13" w:rsidRPr="00AF4FBA" w:rsidRDefault="00516B13" w:rsidP="00516B13">
      <w:pPr>
        <w:ind w:right="144"/>
      </w:pPr>
    </w:p>
    <w:p w14:paraId="26AC7557" w14:textId="25C3BFC8" w:rsidR="00AF4FBA" w:rsidRP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516B13">
      <w:pPr>
        <w:ind w:right="144"/>
      </w:pPr>
    </w:p>
    <w:p w14:paraId="26AC7559" w14:textId="77777777" w:rsidR="0043662F" w:rsidRDefault="0043662F" w:rsidP="00516B13">
      <w:pPr>
        <w:ind w:right="144"/>
        <w:rPr>
          <w:b/>
          <w:bCs/>
        </w:rPr>
      </w:pPr>
      <w:r w:rsidRPr="0043662F">
        <w:rPr>
          <w:b/>
          <w:bCs/>
        </w:rPr>
        <w:t>340-253-8040</w:t>
      </w:r>
    </w:p>
    <w:p w14:paraId="295B4553" w14:textId="77777777" w:rsidR="00516B13" w:rsidRPr="0043662F" w:rsidRDefault="00516B13" w:rsidP="00516B13">
      <w:pPr>
        <w:ind w:right="144"/>
      </w:pP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7F4831">
        <w:trPr>
          <w:cantSplit/>
          <w:trHeight w:val="1408"/>
          <w:tblHeader/>
        </w:trPr>
        <w:tc>
          <w:tcPr>
            <w:tcW w:w="9360" w:type="dxa"/>
            <w:gridSpan w:val="6"/>
            <w:shd w:val="clear" w:color="auto" w:fill="008272"/>
            <w:vAlign w:val="center"/>
          </w:tcPr>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37AA7CCB" w:rsidR="00516B13" w:rsidRPr="006D7147" w:rsidRDefault="006D7147" w:rsidP="007F4831">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 xml:space="preserve">Clear diesel, based on a weighted average of diesel fuel </w:t>
            </w:r>
            <w:r w:rsidRPr="006D7147">
              <w:rPr>
                <w:rFonts w:ascii="Arial" w:hAnsi="Arial" w:cs="Arial"/>
              </w:rPr>
              <w:lastRenderedPageBreak/>
              <w:t>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lastRenderedPageBreak/>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0D30FA90" w14:textId="349B33C7" w:rsidR="006F24F6" w:rsidRDefault="006F24F6" w:rsidP="00AC195A">
            <w:pPr>
              <w:spacing w:after="120"/>
              <w:ind w:left="76" w:right="13"/>
              <w:jc w:val="center"/>
              <w:rPr>
                <w:rFonts w:ascii="Arial" w:hAnsi="Arial" w:cs="Arial"/>
              </w:rPr>
            </w:pPr>
          </w:p>
          <w:p w14:paraId="26AC757D" w14:textId="2B09179E" w:rsidR="006D7147" w:rsidRPr="006D7147" w:rsidRDefault="006F24F6" w:rsidP="00AC195A">
            <w:pPr>
              <w:spacing w:after="120"/>
              <w:ind w:left="76" w:right="13"/>
              <w:jc w:val="center"/>
              <w:rPr>
                <w:rFonts w:ascii="Arial" w:hAnsi="Arial" w:cs="Arial"/>
                <w:color w:val="000000"/>
              </w:rPr>
            </w:pPr>
            <w:r>
              <w:rPr>
                <w:rFonts w:ascii="Arial" w:hAnsi="Arial" w:cs="Arial"/>
              </w:rPr>
              <w:t>BIODOR001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D92CBE9" w14:textId="411E2472" w:rsidR="006F24F6" w:rsidRDefault="006F24F6" w:rsidP="00AC195A">
            <w:pPr>
              <w:spacing w:after="120"/>
              <w:ind w:left="76" w:right="13"/>
              <w:jc w:val="center"/>
              <w:rPr>
                <w:rFonts w:ascii="Arial" w:hAnsi="Arial" w:cs="Arial"/>
              </w:rPr>
            </w:pPr>
          </w:p>
          <w:p w14:paraId="26AC7584" w14:textId="53A572C6" w:rsidR="006D7147" w:rsidRPr="006D7147" w:rsidRDefault="006F24F6" w:rsidP="00AC195A">
            <w:pPr>
              <w:spacing w:after="120"/>
              <w:ind w:left="76" w:right="13"/>
              <w:jc w:val="center"/>
              <w:rPr>
                <w:rFonts w:ascii="Arial" w:hAnsi="Arial" w:cs="Arial"/>
                <w:color w:val="000000"/>
              </w:rPr>
            </w:pPr>
            <w:r>
              <w:rPr>
                <w:rFonts w:ascii="Arial" w:hAnsi="Arial" w:cs="Arial"/>
              </w:rPr>
              <w:t>BIODOR002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8083D9" w14:textId="3C690A5F" w:rsidR="006F24F6" w:rsidRDefault="006F24F6" w:rsidP="00AC195A">
            <w:pPr>
              <w:spacing w:after="120"/>
              <w:ind w:left="76" w:right="13"/>
              <w:jc w:val="center"/>
              <w:rPr>
                <w:rFonts w:ascii="Arial" w:hAnsi="Arial" w:cs="Arial"/>
              </w:rPr>
            </w:pPr>
          </w:p>
          <w:p w14:paraId="26AC758B" w14:textId="2B4EEACF" w:rsidR="006D7147" w:rsidRPr="006D7147" w:rsidRDefault="006F24F6" w:rsidP="00AC195A">
            <w:pPr>
              <w:spacing w:after="120"/>
              <w:ind w:left="76" w:right="13"/>
              <w:jc w:val="center"/>
              <w:rPr>
                <w:rFonts w:ascii="Arial" w:hAnsi="Arial" w:cs="Arial"/>
                <w:color w:val="000000"/>
              </w:rPr>
            </w:pPr>
            <w:r>
              <w:rPr>
                <w:rFonts w:ascii="Arial" w:hAnsi="Arial" w:cs="Arial"/>
              </w:rPr>
              <w:t>BIODOR003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1C02986" w14:textId="24BFBA00" w:rsidR="006F24F6" w:rsidRDefault="006F24F6" w:rsidP="00AC195A">
            <w:pPr>
              <w:spacing w:after="120"/>
              <w:ind w:left="76" w:right="13"/>
              <w:jc w:val="center"/>
              <w:rPr>
                <w:rFonts w:ascii="Arial" w:hAnsi="Arial" w:cs="Arial"/>
              </w:rPr>
            </w:pPr>
          </w:p>
          <w:p w14:paraId="26AC7592" w14:textId="44059DB8" w:rsidR="006D7147" w:rsidRPr="006D7147" w:rsidRDefault="006F24F6" w:rsidP="00AC195A">
            <w:pPr>
              <w:spacing w:after="120"/>
              <w:ind w:left="76" w:right="13"/>
              <w:jc w:val="center"/>
              <w:rPr>
                <w:rFonts w:ascii="Arial" w:hAnsi="Arial" w:cs="Arial"/>
              </w:rPr>
            </w:pPr>
            <w:r>
              <w:rPr>
                <w:rFonts w:ascii="Arial" w:hAnsi="Arial" w:cs="Arial"/>
              </w:rPr>
              <w:t>BIODOR004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B3275AA" w14:textId="6A4F6385" w:rsidR="006F24F6" w:rsidRDefault="006F24F6" w:rsidP="00AC195A">
            <w:pPr>
              <w:spacing w:after="120"/>
              <w:ind w:left="76" w:right="13"/>
              <w:jc w:val="center"/>
              <w:rPr>
                <w:rFonts w:ascii="Arial" w:hAnsi="Arial" w:cs="Arial"/>
              </w:rPr>
            </w:pPr>
          </w:p>
          <w:p w14:paraId="26AC7599" w14:textId="29D8C16B" w:rsidR="006D7147" w:rsidRPr="006D7147" w:rsidRDefault="006F24F6" w:rsidP="00AC195A">
            <w:pPr>
              <w:spacing w:after="120"/>
              <w:ind w:left="76" w:right="13"/>
              <w:jc w:val="center"/>
              <w:rPr>
                <w:rFonts w:ascii="Arial" w:hAnsi="Arial" w:cs="Arial"/>
                <w:color w:val="000000"/>
              </w:rPr>
            </w:pPr>
            <w:r>
              <w:rPr>
                <w:rFonts w:ascii="Arial" w:hAnsi="Arial" w:cs="Arial"/>
              </w:rPr>
              <w:t>BIODOR005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Renewable Diesel</w:t>
            </w:r>
          </w:p>
        </w:tc>
        <w:tc>
          <w:tcPr>
            <w:tcW w:w="1668" w:type="dxa"/>
            <w:shd w:val="clear" w:color="auto" w:fill="auto"/>
            <w:vAlign w:val="center"/>
          </w:tcPr>
          <w:p w14:paraId="26AC75A0" w14:textId="02A9D723" w:rsidR="006D7147" w:rsidRPr="006D7147" w:rsidRDefault="006F24F6" w:rsidP="00AC195A">
            <w:pPr>
              <w:spacing w:after="120"/>
              <w:ind w:left="76" w:right="13"/>
              <w:jc w:val="center"/>
              <w:rPr>
                <w:rFonts w:ascii="Arial" w:hAnsi="Arial" w:cs="Arial"/>
                <w:color w:val="000000"/>
              </w:rPr>
            </w:pPr>
            <w:r>
              <w:rPr>
                <w:rFonts w:ascii="Arial" w:hAnsi="Arial" w:cs="Arial"/>
              </w:rPr>
              <w:t>RNWDOR001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48AF09D2" w:rsidR="006D7147" w:rsidRPr="006D7147" w:rsidRDefault="006F24F6" w:rsidP="00AC195A">
            <w:pPr>
              <w:spacing w:after="120"/>
              <w:ind w:left="76" w:right="13"/>
              <w:jc w:val="center"/>
              <w:rPr>
                <w:rFonts w:ascii="Arial" w:hAnsi="Arial" w:cs="Arial"/>
                <w:color w:val="000000"/>
              </w:rPr>
            </w:pPr>
            <w:r>
              <w:rPr>
                <w:rFonts w:ascii="Arial" w:hAnsi="Arial" w:cs="Arial"/>
              </w:rPr>
              <w:t>RNWDOR002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E18884B" w:rsidR="006D7147" w:rsidRPr="006D7147" w:rsidRDefault="006F24F6" w:rsidP="00AC195A">
            <w:pPr>
              <w:spacing w:after="120"/>
              <w:ind w:left="76" w:right="13"/>
              <w:jc w:val="center"/>
              <w:rPr>
                <w:rFonts w:ascii="Arial" w:hAnsi="Arial" w:cs="Arial"/>
                <w:color w:val="000000"/>
              </w:rPr>
            </w:pPr>
            <w:r>
              <w:rPr>
                <w:rFonts w:ascii="Arial" w:hAnsi="Arial" w:cs="Arial"/>
              </w:rPr>
              <w:t>RNWDOR003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0E318F46" w:rsidR="006D7147" w:rsidRPr="006D7147" w:rsidRDefault="006F24F6" w:rsidP="00AC195A">
            <w:pPr>
              <w:spacing w:after="120"/>
              <w:ind w:left="76" w:right="13"/>
              <w:jc w:val="center"/>
              <w:rPr>
                <w:rFonts w:ascii="Arial" w:hAnsi="Arial" w:cs="Arial"/>
              </w:rPr>
            </w:pPr>
            <w:r>
              <w:rPr>
                <w:rFonts w:ascii="Arial" w:hAnsi="Arial" w:cs="Arial"/>
              </w:rPr>
              <w:t>RNWDOR004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1E5224CF" w:rsidR="006D7147" w:rsidRPr="006D7147" w:rsidRDefault="006F24F6" w:rsidP="00AC195A">
            <w:pPr>
              <w:spacing w:after="120"/>
              <w:ind w:left="76" w:right="13"/>
              <w:jc w:val="center"/>
              <w:rPr>
                <w:rFonts w:ascii="Arial" w:hAnsi="Arial" w:cs="Arial"/>
              </w:rPr>
            </w:pPr>
            <w:r>
              <w:rPr>
                <w:rFonts w:ascii="Arial" w:hAnsi="Arial" w:cs="Arial"/>
              </w:rPr>
              <w:t>RNWDOR005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Landfill gas (biomethane) cleaned up to pipeline quality 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 xml:space="preserve">North American NG delivered via </w:t>
            </w:r>
            <w:r w:rsidRPr="006D7147">
              <w:rPr>
                <w:rFonts w:ascii="Arial" w:hAnsi="Arial" w:cs="Arial"/>
              </w:rPr>
              <w:lastRenderedPageBreak/>
              <w:t>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lastRenderedPageBreak/>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Default="0043662F" w:rsidP="00516B13">
      <w:pPr>
        <w:ind w:right="144"/>
      </w:pPr>
      <w:r w:rsidRPr="0043662F">
        <w:t xml:space="preserve">[ED. NOTE: Tables referenced are not included in rule text. </w:t>
      </w:r>
      <w:hyperlink r:id="rId13" w:history="1">
        <w:r w:rsidRPr="0043662F">
          <w:rPr>
            <w:rStyle w:val="Hyperlink"/>
          </w:rPr>
          <w:t>Click here for PDF copy of table(s)</w:t>
        </w:r>
      </w:hyperlink>
      <w:r w:rsidRPr="0043662F">
        <w:t>.]</w:t>
      </w:r>
    </w:p>
    <w:p w14:paraId="232EC949" w14:textId="77777777" w:rsidR="00516B13" w:rsidRPr="0043662F" w:rsidRDefault="00516B13" w:rsidP="00516B13">
      <w:pPr>
        <w:ind w:right="144"/>
      </w:pPr>
    </w:p>
    <w:p w14:paraId="26AC75E7" w14:textId="57430546" w:rsidR="0043662F" w:rsidRPr="0043662F" w:rsidRDefault="00516B13" w:rsidP="0043662F">
      <w:pPr>
        <w:spacing w:after="100" w:afterAutospacing="1"/>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sectPr w:rsidR="0043662F" w:rsidRPr="0043662F" w:rsidSect="0023411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31099" w14:textId="77777777" w:rsidR="00304FA9" w:rsidRDefault="00304FA9" w:rsidP="00304FA9">
      <w:r>
        <w:separator/>
      </w:r>
    </w:p>
  </w:endnote>
  <w:endnote w:type="continuationSeparator" w:id="0">
    <w:p w14:paraId="4EEA4538" w14:textId="77777777" w:rsidR="00304FA9" w:rsidRDefault="00304FA9" w:rsidP="0030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6ECCF" w14:textId="77777777" w:rsidR="00304FA9" w:rsidRDefault="00304F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136BD" w14:textId="77777777" w:rsidR="00304FA9" w:rsidRDefault="00304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24B6" w14:textId="77777777" w:rsidR="00304FA9" w:rsidRDefault="00304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3971" w14:textId="77777777" w:rsidR="00304FA9" w:rsidRDefault="00304FA9" w:rsidP="00304FA9">
      <w:r>
        <w:separator/>
      </w:r>
    </w:p>
  </w:footnote>
  <w:footnote w:type="continuationSeparator" w:id="0">
    <w:p w14:paraId="4FE6768E" w14:textId="77777777" w:rsidR="00304FA9" w:rsidRDefault="00304FA9" w:rsidP="0030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478ED" w14:textId="77777777" w:rsidR="00304FA9" w:rsidRDefault="00304F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HNIDEY Emil" w:date="2016-08-03T14:39:00Z"/>
  <w:sdt>
    <w:sdtPr>
      <w:id w:val="-1229848693"/>
      <w:docPartObj>
        <w:docPartGallery w:val="Watermarks"/>
        <w:docPartUnique/>
      </w:docPartObj>
    </w:sdtPr>
    <w:sdtContent>
      <w:customXmlInsRangeEnd w:id="1"/>
      <w:p w14:paraId="4FC44145" w14:textId="755F1702" w:rsidR="00304FA9" w:rsidRDefault="00304FA9">
        <w:pPr>
          <w:pStyle w:val="Header"/>
        </w:pPr>
        <w:ins w:id="2" w:author="HNIDEY Emil" w:date="2016-08-03T14:39:00Z">
          <w:r>
            <w:rPr>
              <w:noProof/>
            </w:rPr>
            <w:pict w14:anchorId="74180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HNIDEY Emil" w:date="2016-08-03T14:39:00Z"/>
    </w:sdtContent>
  </w:sdt>
  <w:customXmlInsRange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3DD9" w14:textId="77777777" w:rsidR="00304FA9" w:rsidRDefault="00304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4FA9"/>
    <w:rsid w:val="0030544D"/>
    <w:rsid w:val="00340466"/>
    <w:rsid w:val="003D1B7E"/>
    <w:rsid w:val="0043662F"/>
    <w:rsid w:val="004608CC"/>
    <w:rsid w:val="00516B13"/>
    <w:rsid w:val="005A4639"/>
    <w:rsid w:val="006D7147"/>
    <w:rsid w:val="006F24F6"/>
    <w:rsid w:val="007E1D88"/>
    <w:rsid w:val="007F4831"/>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FA9"/>
    <w:pPr>
      <w:tabs>
        <w:tab w:val="center" w:pos="4680"/>
        <w:tab w:val="right" w:pos="9360"/>
      </w:tabs>
    </w:pPr>
  </w:style>
  <w:style w:type="character" w:customStyle="1" w:styleId="HeaderChar">
    <w:name w:val="Header Char"/>
    <w:basedOn w:val="DefaultParagraphFont"/>
    <w:link w:val="Header"/>
    <w:uiPriority w:val="99"/>
    <w:rsid w:val="00304FA9"/>
    <w:rPr>
      <w:rFonts w:eastAsia="Times New Roman"/>
    </w:rPr>
  </w:style>
  <w:style w:type="paragraph" w:styleId="Footer">
    <w:name w:val="footer"/>
    <w:basedOn w:val="Normal"/>
    <w:link w:val="FooterChar"/>
    <w:uiPriority w:val="99"/>
    <w:unhideWhenUsed/>
    <w:rsid w:val="00304FA9"/>
    <w:pPr>
      <w:tabs>
        <w:tab w:val="center" w:pos="4680"/>
        <w:tab w:val="right" w:pos="9360"/>
      </w:tabs>
    </w:pPr>
  </w:style>
  <w:style w:type="character" w:customStyle="1" w:styleId="FooterChar">
    <w:name w:val="Footer Char"/>
    <w:basedOn w:val="DefaultParagraphFont"/>
    <w:link w:val="Footer"/>
    <w:uiPriority w:val="99"/>
    <w:rsid w:val="00304FA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web.sos.state.or.us/pages/rules/oars_300/oar_340/_340_tables/340-253-8040_12-10-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arcweb.sos.state.or.us/pages/rules/oars_300/oar_340/_340_tables/340-253-8030_12-10-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20_12-10-15.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arcweb.sos.state.or.us/pages/rules/oars_300/oar_340/_340_tables/340-253-8010_12-10-15.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D7355-DAB4-4488-A6AF-B148852786A0}">
  <ds:schemaRef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ListId:doc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DA80A4-52AC-47A3-BFF8-8AE5CAB3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F5F6-987F-456B-8CE4-1B1B26EE0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Permanet Rules (Clean)</vt:lpstr>
    </vt:vector>
  </TitlesOfParts>
  <Company>DEQ</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Permanet Rules (Clean)</dc:title>
  <dc:creator>GOLDSTEIN Meyer</dc:creator>
  <cp:lastModifiedBy>HNIDEY Emil</cp:lastModifiedBy>
  <cp:revision>2</cp:revision>
  <dcterms:created xsi:type="dcterms:W3CDTF">2016-08-03T21:39:00Z</dcterms:created>
  <dcterms:modified xsi:type="dcterms:W3CDTF">2016-08-03T21:39:00Z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