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11" w:rsidRDefault="005D4B41">
      <w:r w:rsidRPr="006D57D6">
        <w:rPr>
          <w:noProof/>
          <w:color w:val="000000" w:themeColor="text1"/>
          <w:sz w:val="32"/>
          <w:szCs w:val="32"/>
        </w:rPr>
        <w:drawing>
          <wp:anchor distT="0" distB="0" distL="114300" distR="114300" simplePos="0" relativeHeight="251659264" behindDoc="0" locked="0" layoutInCell="1" allowOverlap="1" wp14:anchorId="2866F259" wp14:editId="106BFADB">
            <wp:simplePos x="0" y="0"/>
            <wp:positionH relativeFrom="column">
              <wp:posOffset>-596900</wp:posOffset>
            </wp:positionH>
            <wp:positionV relativeFrom="paragraph">
              <wp:posOffset>75777</wp:posOffset>
            </wp:positionV>
            <wp:extent cx="586851" cy="1359673"/>
            <wp:effectExtent l="19050" t="0" r="3699"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5" cstate="print"/>
                    <a:srcRect/>
                    <a:stretch>
                      <a:fillRect/>
                    </a:stretch>
                  </pic:blipFill>
                  <pic:spPr bwMode="auto">
                    <a:xfrm>
                      <a:off x="0" y="0"/>
                      <a:ext cx="586851" cy="1359673"/>
                    </a:xfrm>
                    <a:prstGeom prst="rect">
                      <a:avLst/>
                    </a:prstGeom>
                    <a:noFill/>
                    <a:ln w="9525">
                      <a:noFill/>
                      <a:miter lim="800000"/>
                      <a:headEnd/>
                      <a:tailEnd/>
                    </a:ln>
                  </pic:spPr>
                </pic:pic>
              </a:graphicData>
            </a:graphic>
          </wp:anchor>
        </w:drawing>
      </w:r>
    </w:p>
    <w:p w:rsidR="00330083" w:rsidRPr="006D57D6" w:rsidRDefault="00330083" w:rsidP="00330083">
      <w:pPr>
        <w:tabs>
          <w:tab w:val="left" w:pos="16582"/>
        </w:tabs>
        <w:ind w:left="0"/>
        <w:jc w:val="center"/>
        <w:rPr>
          <w:rFonts w:ascii="Times New Roman" w:eastAsia="Times New Roman" w:hAnsi="Times New Roman"/>
          <w:b/>
          <w:color w:val="000000" w:themeColor="text1"/>
        </w:rPr>
      </w:pPr>
      <w:r w:rsidRPr="006D57D6">
        <w:rPr>
          <w:rFonts w:eastAsia="Times New Roman"/>
          <w:bCs/>
          <w:color w:val="000000" w:themeColor="text1"/>
          <w:sz w:val="36"/>
          <w:szCs w:val="36"/>
        </w:rPr>
        <w:t>Oregon Department of Environmental Quality</w:t>
      </w:r>
    </w:p>
    <w:p w:rsidR="00330083" w:rsidRPr="00C74D58" w:rsidRDefault="00330083" w:rsidP="00330083">
      <w:pPr>
        <w:tabs>
          <w:tab w:val="left" w:pos="908"/>
          <w:tab w:val="left" w:pos="16582"/>
        </w:tabs>
        <w:ind w:left="108"/>
        <w:jc w:val="center"/>
        <w:rPr>
          <w:rFonts w:ascii="Times New Roman" w:eastAsia="Times New Roman" w:hAnsi="Times New Roman"/>
          <w:b/>
          <w:color w:val="000000"/>
        </w:rPr>
      </w:pPr>
    </w:p>
    <w:p w:rsidR="00330083" w:rsidRPr="006D57D6" w:rsidRDefault="00330083">
      <w:pPr>
        <w:rPr>
          <w:color w:val="000000" w:themeColor="text1"/>
          <w:sz w:val="32"/>
          <w:szCs w:val="32"/>
        </w:rPr>
      </w:pPr>
      <w:r w:rsidRPr="006D57D6">
        <w:rPr>
          <w:color w:val="000000" w:themeColor="text1"/>
          <w:sz w:val="32"/>
          <w:szCs w:val="32"/>
        </w:rPr>
        <w:t>Housing Cost</w:t>
      </w:r>
      <w:r w:rsidR="006D57D6">
        <w:rPr>
          <w:color w:val="000000" w:themeColor="text1"/>
          <w:sz w:val="32"/>
          <w:szCs w:val="32"/>
        </w:rPr>
        <w:t xml:space="preserve"> Impact Statement</w:t>
      </w:r>
    </w:p>
    <w:p w:rsidR="00330083" w:rsidRPr="00C45B78" w:rsidRDefault="00C45B78">
      <w:pPr>
        <w:rPr>
          <w:color w:val="000000" w:themeColor="text1"/>
          <w:sz w:val="32"/>
          <w:szCs w:val="32"/>
        </w:rPr>
      </w:pPr>
      <w:r w:rsidRPr="00C45B78">
        <w:rPr>
          <w:color w:val="000000" w:themeColor="text1"/>
          <w:sz w:val="32"/>
          <w:szCs w:val="32"/>
        </w:rPr>
        <w:t>Clean Fuels Program Corrections</w:t>
      </w:r>
    </w:p>
    <w:p w:rsidR="00330083" w:rsidRDefault="00330083">
      <w:pPr>
        <w:rPr>
          <w:color w:val="415B5C" w:themeColor="accent3" w:themeShade="80"/>
          <w:sz w:val="32"/>
          <w:szCs w:val="32"/>
        </w:rPr>
      </w:pPr>
    </w:p>
    <w:p w:rsidR="00330083" w:rsidRDefault="00330083">
      <w:pPr>
        <w:rPr>
          <w:color w:val="415B5C" w:themeColor="accent3" w:themeShade="80"/>
          <w:sz w:val="32"/>
          <w:szCs w:val="32"/>
        </w:rPr>
      </w:pPr>
    </w:p>
    <w:p w:rsidR="006D57D6" w:rsidRDefault="006D57D6" w:rsidP="006D57D6">
      <w:pPr>
        <w:ind w:left="0"/>
        <w:rPr>
          <w:rFonts w:ascii="Times New Roman" w:eastAsia="Calibri" w:hAnsi="Times New Roman" w:cs="Times New Roman"/>
          <w:sz w:val="22"/>
          <w:szCs w:val="22"/>
        </w:rPr>
      </w:pPr>
      <w:r>
        <w:rPr>
          <w:rFonts w:ascii="Times New Roman" w:hAnsi="Times New Roman"/>
        </w:rPr>
        <w:t xml:space="preserve">A housing cost impact statement is an estimate of the effect of a proposed rule or ordinance on the cost of development of a 6,000 square foot parcel and the construction of a 1,200 square foot detached single family dwelling on that parcel. </w:t>
      </w:r>
    </w:p>
    <w:p w:rsidR="006D57D6" w:rsidRPr="006D57D6" w:rsidRDefault="006D57D6" w:rsidP="006D57D6">
      <w:pPr>
        <w:ind w:left="0"/>
        <w:rPr>
          <w:rFonts w:ascii="Times New Roman" w:eastAsia="Calibri" w:hAnsi="Times New Roman" w:cs="Times New Roman"/>
          <w:sz w:val="22"/>
          <w:szCs w:val="22"/>
        </w:rPr>
      </w:pPr>
    </w:p>
    <w:tbl>
      <w:tblPr>
        <w:tblStyle w:val="TableGrid1"/>
        <w:tblW w:w="9090" w:type="dxa"/>
        <w:tblInd w:w="108" w:type="dxa"/>
        <w:tblLook w:val="04A0" w:firstRow="1" w:lastRow="0" w:firstColumn="1" w:lastColumn="0" w:noHBand="0" w:noVBand="1"/>
      </w:tblPr>
      <w:tblGrid>
        <w:gridCol w:w="2340"/>
        <w:gridCol w:w="6750"/>
      </w:tblGrid>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HEARING DATES</w:t>
            </w:r>
          </w:p>
        </w:tc>
        <w:tc>
          <w:tcPr>
            <w:tcW w:w="6750" w:type="dxa"/>
            <w:vAlign w:val="bottom"/>
          </w:tcPr>
          <w:p w:rsidR="006D57D6" w:rsidRPr="006D57D6" w:rsidRDefault="00E62E99" w:rsidP="006D57D6">
            <w:pPr>
              <w:ind w:left="0"/>
              <w:rPr>
                <w:rFonts w:ascii="Times New Roman" w:eastAsia="Calibri" w:hAnsi="Times New Roman" w:cs="Times New Roman"/>
              </w:rPr>
            </w:pPr>
            <w:r>
              <w:rPr>
                <w:rFonts w:ascii="Times New Roman" w:eastAsia="Calibri" w:hAnsi="Times New Roman" w:cs="Times New Roman"/>
              </w:rPr>
              <w:t>1:00 p.m., July 20, 2016</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ADDRESS</w:t>
            </w:r>
          </w:p>
        </w:tc>
        <w:tc>
          <w:tcPr>
            <w:tcW w:w="6750" w:type="dxa"/>
            <w:vAlign w:val="bottom"/>
          </w:tcPr>
          <w:p w:rsidR="006D57D6" w:rsidRPr="00E62E99" w:rsidRDefault="00E62E99" w:rsidP="006D57D6">
            <w:pPr>
              <w:ind w:left="0"/>
              <w:rPr>
                <w:rFonts w:ascii="Times New Roman" w:eastAsia="Calibri" w:hAnsi="Times New Roman" w:cs="Times New Roman"/>
              </w:rPr>
            </w:pPr>
            <w:r>
              <w:rPr>
                <w:rFonts w:ascii="Times New Roman" w:hAnsi="Times New Roman" w:cs="Times New Roman"/>
              </w:rPr>
              <w:t xml:space="preserve">DEQ Headquarters, </w:t>
            </w:r>
            <w:r w:rsidRPr="00E62E99">
              <w:rPr>
                <w:rFonts w:ascii="Times New Roman" w:hAnsi="Times New Roman" w:cs="Times New Roman"/>
              </w:rPr>
              <w:t>811 SW 6</w:t>
            </w:r>
            <w:r w:rsidRPr="00E62E99">
              <w:rPr>
                <w:rFonts w:ascii="Times New Roman" w:hAnsi="Times New Roman" w:cs="Times New Roman"/>
                <w:vertAlign w:val="superscript"/>
              </w:rPr>
              <w:t>th</w:t>
            </w:r>
            <w:r w:rsidRPr="00E62E99">
              <w:rPr>
                <w:rFonts w:ascii="Times New Roman" w:hAnsi="Times New Roman" w:cs="Times New Roman"/>
              </w:rPr>
              <w:t xml:space="preserve"> Avenue</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CITY/STATE</w:t>
            </w:r>
          </w:p>
        </w:tc>
        <w:tc>
          <w:tcPr>
            <w:tcW w:w="6750" w:type="dxa"/>
            <w:vAlign w:val="bottom"/>
          </w:tcPr>
          <w:p w:rsidR="006D57D6" w:rsidRPr="006D57D6" w:rsidRDefault="00E62E99" w:rsidP="006D57D6">
            <w:pPr>
              <w:ind w:left="0"/>
              <w:rPr>
                <w:rFonts w:ascii="Times New Roman" w:eastAsia="Calibri" w:hAnsi="Times New Roman" w:cs="Times New Roman"/>
              </w:rPr>
            </w:pPr>
            <w:r>
              <w:rPr>
                <w:rFonts w:ascii="Times New Roman" w:eastAsia="Calibri" w:hAnsi="Times New Roman" w:cs="Times New Roman"/>
              </w:rPr>
              <w:t>Portland OR, 97204</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PHONE</w:t>
            </w:r>
          </w:p>
        </w:tc>
        <w:tc>
          <w:tcPr>
            <w:tcW w:w="6750" w:type="dxa"/>
            <w:vAlign w:val="bottom"/>
          </w:tcPr>
          <w:p w:rsidR="006D57D6" w:rsidRPr="006D57D6" w:rsidRDefault="006D57D6" w:rsidP="006D57D6">
            <w:pPr>
              <w:ind w:left="0"/>
              <w:rPr>
                <w:rFonts w:ascii="Times New Roman" w:eastAsia="Calibri" w:hAnsi="Times New Roman" w:cs="Times New Roman"/>
              </w:rPr>
            </w:pPr>
            <w:r>
              <w:rPr>
                <w:rFonts w:ascii="Times New Roman" w:eastAsia="Calibri" w:hAnsi="Times New Roman" w:cs="Times New Roman"/>
              </w:rPr>
              <w:t>503-229-5696</w:t>
            </w:r>
          </w:p>
        </w:tc>
      </w:tr>
      <w:tr w:rsidR="00E62E99" w:rsidRPr="006D57D6" w:rsidTr="00E62E99">
        <w:trPr>
          <w:trHeight w:val="432"/>
        </w:trPr>
        <w:tc>
          <w:tcPr>
            <w:tcW w:w="9090" w:type="dxa"/>
            <w:gridSpan w:val="2"/>
            <w:vAlign w:val="bottom"/>
          </w:tcPr>
          <w:p w:rsidR="00E62E99" w:rsidRPr="006D57D6" w:rsidRDefault="00E62E99" w:rsidP="006D57D6">
            <w:pPr>
              <w:ind w:left="0"/>
              <w:rPr>
                <w:rFonts w:ascii="Times New Roman" w:eastAsia="Calibri" w:hAnsi="Times New Roman" w:cs="Times New Roman"/>
              </w:rPr>
            </w:pPr>
            <w:r w:rsidRPr="006D57D6">
              <w:rPr>
                <w:rFonts w:ascii="Times New Roman" w:eastAsia="Calibri" w:hAnsi="Times New Roman" w:cs="Times New Roman"/>
              </w:rPr>
              <w:t>PERMANENT RULE</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EFFECTIVE DATE</w:t>
            </w:r>
          </w:p>
        </w:tc>
        <w:tc>
          <w:tcPr>
            <w:tcW w:w="6750" w:type="dxa"/>
            <w:vAlign w:val="bottom"/>
          </w:tcPr>
          <w:p w:rsidR="006D57D6" w:rsidRPr="006D57D6" w:rsidRDefault="00E62E99" w:rsidP="00DF5D04">
            <w:pPr>
              <w:ind w:left="0"/>
              <w:rPr>
                <w:rFonts w:ascii="Times New Roman" w:eastAsia="Calibri" w:hAnsi="Times New Roman" w:cs="Times New Roman"/>
              </w:rPr>
            </w:pPr>
            <w:r>
              <w:rPr>
                <w:rFonts w:ascii="Times New Roman" w:eastAsia="Calibri" w:hAnsi="Times New Roman" w:cs="Times New Roman"/>
              </w:rPr>
              <w:t xml:space="preserve">On filing, </w:t>
            </w:r>
            <w:r w:rsidR="00DF5D04">
              <w:rPr>
                <w:rFonts w:ascii="Times New Roman" w:eastAsia="Calibri" w:hAnsi="Times New Roman" w:cs="Times New Roman"/>
              </w:rPr>
              <w:t>June 15</w:t>
            </w:r>
            <w:bookmarkStart w:id="0" w:name="_GoBack"/>
            <w:bookmarkEnd w:id="0"/>
            <w:r>
              <w:rPr>
                <w:rFonts w:ascii="Times New Roman" w:eastAsia="Calibri" w:hAnsi="Times New Roman" w:cs="Times New Roman"/>
              </w:rPr>
              <w:t>, 2016</w:t>
            </w:r>
          </w:p>
        </w:tc>
      </w:tr>
    </w:tbl>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b/>
          <w:sz w:val="22"/>
          <w:szCs w:val="22"/>
        </w:rPr>
      </w:pPr>
      <w:r w:rsidRPr="006D57D6">
        <w:rPr>
          <w:rFonts w:ascii="Times New Roman" w:eastAsia="Calibri" w:hAnsi="Times New Roman" w:cs="Times New Roman"/>
          <w:b/>
          <w:sz w:val="22"/>
          <w:szCs w:val="22"/>
        </w:rPr>
        <w:t>Below please provide a description of the estimated savings or additional costs that will result from this proposed change. Provide a brief explanation of how the cost or savings estimate was determined. Identify how change impacts costs in categories specified:</w:t>
      </w: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E62E99" w:rsidRDefault="006D57D6" w:rsidP="006D57D6">
      <w:pPr>
        <w:ind w:left="0"/>
        <w:rPr>
          <w:rFonts w:ascii="Times New Roman" w:eastAsia="Calibri" w:hAnsi="Times New Roman" w:cs="Times New Roman"/>
          <w:b/>
          <w:sz w:val="28"/>
          <w:szCs w:val="28"/>
        </w:rPr>
      </w:pPr>
      <w:r w:rsidRPr="00E62E99">
        <w:rPr>
          <w:rFonts w:ascii="Times New Roman" w:eastAsia="Calibri" w:hAnsi="Times New Roman" w:cs="Times New Roman"/>
          <w:b/>
          <w:sz w:val="28"/>
          <w:szCs w:val="28"/>
        </w:rPr>
        <w:t xml:space="preserve">Description of proposed change: </w:t>
      </w:r>
    </w:p>
    <w:p w:rsidR="00E62E99" w:rsidRDefault="00E62E99" w:rsidP="00E62E99">
      <w:pPr>
        <w:ind w:left="0"/>
        <w:rPr>
          <w:rFonts w:asciiTheme="minorHAnsi" w:hAnsiTheme="minorHAnsi" w:cstheme="minorHAnsi"/>
          <w:iCs/>
          <w:color w:val="000000"/>
        </w:rPr>
      </w:pPr>
    </w:p>
    <w:p w:rsidR="00E62E99" w:rsidRPr="0012073A" w:rsidRDefault="00E62E99" w:rsidP="00E62E99">
      <w:pPr>
        <w:ind w:left="0"/>
        <w:rPr>
          <w:rFonts w:asciiTheme="minorHAnsi" w:hAnsiTheme="minorHAnsi" w:cstheme="minorHAnsi"/>
          <w:color w:val="000000"/>
        </w:rPr>
      </w:pPr>
      <w:r w:rsidRPr="0012073A">
        <w:rPr>
          <w:rFonts w:asciiTheme="minorHAnsi" w:hAnsiTheme="minorHAnsi" w:cstheme="minorHAnsi"/>
          <w:iCs/>
          <w:color w:val="000000"/>
        </w:rPr>
        <w:t xml:space="preserve">DEQ </w:t>
      </w:r>
      <w:r w:rsidRPr="0012073A">
        <w:rPr>
          <w:rFonts w:asciiTheme="minorHAnsi" w:hAnsiTheme="minorHAnsi" w:cstheme="minorHAnsi"/>
          <w:color w:val="000000"/>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p>
    <w:p w:rsidR="006D57D6" w:rsidRDefault="006D57D6" w:rsidP="006D57D6">
      <w:pPr>
        <w:ind w:left="0"/>
        <w:rPr>
          <w:rFonts w:ascii="Times New Roman" w:eastAsia="Calibri" w:hAnsi="Times New Roman" w:cs="Times New Roman"/>
          <w:sz w:val="22"/>
          <w:szCs w:val="22"/>
        </w:rPr>
      </w:pPr>
    </w:p>
    <w:p w:rsidR="00E62E99" w:rsidRPr="00E62E99" w:rsidRDefault="00E62E99" w:rsidP="00E62E99">
      <w:pPr>
        <w:ind w:left="0"/>
        <w:rPr>
          <w:rFonts w:ascii="Times New Roman" w:eastAsia="Calibri" w:hAnsi="Times New Roman" w:cs="Times New Roman"/>
          <w:bCs/>
          <w:sz w:val="22"/>
          <w:szCs w:val="22"/>
        </w:rPr>
      </w:pPr>
      <w:r w:rsidRPr="00E62E99">
        <w:rPr>
          <w:rFonts w:ascii="Times New Roman" w:eastAsia="Calibri" w:hAnsi="Times New Roman" w:cs="Times New Roman"/>
          <w:bCs/>
          <w:sz w:val="22"/>
          <w:szCs w:val="22"/>
        </w:rPr>
        <w:t>The EQC adopted temporary rules on April 21, 2016</w:t>
      </w:r>
      <w:r w:rsidRPr="00E62E99">
        <w:rPr>
          <w:rFonts w:ascii="Times New Roman" w:eastAsia="Calibri" w:hAnsi="Times New Roman" w:cs="Times New Roman"/>
          <w:sz w:val="22"/>
          <w:szCs w:val="22"/>
        </w:rPr>
        <w:t xml:space="preserve"> to correct the miscalculation described above; this rulemaking will make those corrections permanent.</w:t>
      </w:r>
    </w:p>
    <w:p w:rsidR="006D57D6" w:rsidRPr="006D57D6" w:rsidRDefault="006D57D6" w:rsidP="006D57D6">
      <w:pPr>
        <w:ind w:left="0"/>
        <w:rPr>
          <w:rFonts w:ascii="Times New Roman" w:eastAsia="Calibri" w:hAnsi="Times New Roman" w:cs="Times New Roman"/>
          <w:sz w:val="22"/>
          <w:szCs w:val="22"/>
        </w:rPr>
      </w:pPr>
    </w:p>
    <w:p w:rsidR="006D57D6" w:rsidRPr="00E62E99" w:rsidRDefault="006D57D6" w:rsidP="006D57D6">
      <w:pPr>
        <w:ind w:left="0"/>
        <w:rPr>
          <w:rFonts w:ascii="Times New Roman" w:eastAsia="Calibri" w:hAnsi="Times New Roman" w:cs="Times New Roman"/>
          <w:b/>
          <w:sz w:val="28"/>
          <w:szCs w:val="28"/>
        </w:rPr>
      </w:pPr>
      <w:r w:rsidRPr="00E62E99">
        <w:rPr>
          <w:rFonts w:ascii="Times New Roman" w:eastAsia="Calibri" w:hAnsi="Times New Roman" w:cs="Times New Roman"/>
          <w:b/>
          <w:sz w:val="28"/>
          <w:szCs w:val="28"/>
        </w:rPr>
        <w:t>Description of the need for, and objectives of the rule:</w:t>
      </w:r>
    </w:p>
    <w:p w:rsidR="006D57D6" w:rsidRDefault="006D57D6" w:rsidP="006D57D6">
      <w:pPr>
        <w:ind w:left="0"/>
        <w:rPr>
          <w:rFonts w:ascii="Times New Roman" w:eastAsia="Calibri" w:hAnsi="Times New Roman" w:cs="Times New Roman"/>
          <w:sz w:val="22"/>
          <w:szCs w:val="22"/>
        </w:rPr>
      </w:pPr>
    </w:p>
    <w:p w:rsidR="00E62E99" w:rsidRPr="00E62E99" w:rsidRDefault="00E62E99" w:rsidP="00E62E99">
      <w:pPr>
        <w:keepNext/>
        <w:keepLines/>
        <w:spacing w:before="120" w:after="120"/>
        <w:ind w:left="720"/>
        <w:outlineLvl w:val="1"/>
        <w:rPr>
          <w:rFonts w:eastAsia="Times New Roman" w:cs="Times New Roman"/>
          <w:b/>
          <w:bCs/>
          <w:color w:val="3B3838"/>
          <w:sz w:val="22"/>
          <w:szCs w:val="26"/>
        </w:rPr>
      </w:pPr>
      <w:r w:rsidRPr="00E62E99">
        <w:rPr>
          <w:rFonts w:eastAsia="Times New Roman" w:cs="Times New Roman"/>
          <w:b/>
          <w:bCs/>
          <w:color w:val="3B3838"/>
          <w:sz w:val="22"/>
          <w:szCs w:val="26"/>
        </w:rPr>
        <w:t>What need would the proposed rule address?</w:t>
      </w:r>
    </w:p>
    <w:p w:rsidR="00E62E99" w:rsidRPr="00E62E99" w:rsidRDefault="00E62E99" w:rsidP="00E62E99">
      <w:pPr>
        <w:ind w:left="720" w:right="18"/>
        <w:outlineLvl w:val="0"/>
        <w:rPr>
          <w:rFonts w:ascii="Times New Roman" w:eastAsia="Times New Roman" w:hAnsi="Times New Roman" w:cs="Times New Roman"/>
          <w:sz w:val="22"/>
        </w:rPr>
      </w:pPr>
    </w:p>
    <w:p w:rsidR="00E62E99" w:rsidRPr="00E62E99" w:rsidRDefault="00E62E99" w:rsidP="00E62E99">
      <w:pPr>
        <w:ind w:left="720" w:right="18"/>
        <w:outlineLvl w:val="0"/>
        <w:rPr>
          <w:rFonts w:ascii="Times New Roman" w:eastAsia="Times New Roman" w:hAnsi="Times New Roman" w:cs="Times New Roman"/>
          <w:color w:val="000000"/>
          <w:sz w:val="22"/>
        </w:rPr>
      </w:pPr>
      <w:r w:rsidRPr="00E62E99">
        <w:rPr>
          <w:rFonts w:ascii="Times New Roman" w:eastAsia="Times New Roman" w:hAnsi="Times New Roman" w:cs="Times New Roman"/>
          <w:color w:val="000000"/>
          <w:sz w:val="22"/>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w:t>
      </w:r>
      <w:proofErr w:type="gramStart"/>
      <w:r w:rsidRPr="00E62E99">
        <w:rPr>
          <w:rFonts w:ascii="Times New Roman" w:eastAsia="Times New Roman" w:hAnsi="Times New Roman" w:cs="Times New Roman"/>
          <w:color w:val="000000"/>
          <w:sz w:val="22"/>
        </w:rPr>
        <w:lastRenderedPageBreak/>
        <w:t>a</w:t>
      </w:r>
      <w:proofErr w:type="gramEnd"/>
      <w:r w:rsidRPr="00E62E99">
        <w:rPr>
          <w:rFonts w:ascii="Times New Roman" w:eastAsia="Times New Roman" w:hAnsi="Times New Roman" w:cs="Times New Roman"/>
          <w:color w:val="000000"/>
          <w:sz w:val="22"/>
        </w:rPr>
        <w:t xml:space="preserve"> necessary adjustment for the energy density of ethanol and biodiesel relative to the energy density of gasoline and diesel fuel. </w:t>
      </w:r>
    </w:p>
    <w:p w:rsidR="00E62E99" w:rsidRPr="00E62E99" w:rsidRDefault="00E62E99" w:rsidP="00E62E99">
      <w:pPr>
        <w:ind w:left="720" w:right="18"/>
        <w:outlineLvl w:val="0"/>
        <w:rPr>
          <w:rFonts w:ascii="Times New Roman" w:eastAsia="Times New Roman" w:hAnsi="Times New Roman" w:cs="Times New Roman"/>
          <w:color w:val="000000"/>
          <w:sz w:val="22"/>
        </w:rPr>
      </w:pPr>
    </w:p>
    <w:p w:rsidR="00E62E99" w:rsidRPr="00E62E99" w:rsidRDefault="00E62E99" w:rsidP="00E62E99">
      <w:pPr>
        <w:numPr>
          <w:ilvl w:val="0"/>
          <w:numId w:val="1"/>
        </w:numPr>
        <w:ind w:right="18"/>
        <w:outlineLvl w:val="0"/>
        <w:rPr>
          <w:rFonts w:ascii="Times New Roman" w:eastAsia="Times New Roman" w:hAnsi="Times New Roman" w:cs="Times New Roman"/>
          <w:color w:val="000000"/>
          <w:sz w:val="22"/>
        </w:rPr>
      </w:pPr>
      <w:r w:rsidRPr="00E62E99">
        <w:rPr>
          <w:rFonts w:ascii="Times New Roman" w:eastAsia="Times New Roman" w:hAnsi="Times New Roman" w:cs="Times New Roman"/>
          <w:color w:val="000000"/>
          <w:sz w:val="22"/>
        </w:rPr>
        <w:t>The miscalculation results in the clean fuel standards being lower than they should be. Table 1 shows the current and proposed clean fuel standards after the miscalculation is corrected.</w:t>
      </w:r>
    </w:p>
    <w:p w:rsidR="00E62E99" w:rsidRPr="00E62E99" w:rsidRDefault="00E62E99" w:rsidP="00E62E99">
      <w:pPr>
        <w:ind w:left="720" w:right="18"/>
        <w:outlineLvl w:val="0"/>
        <w:rPr>
          <w:rFonts w:ascii="Times New Roman" w:eastAsia="Times New Roman" w:hAnsi="Times New Roman" w:cs="Times New Roman"/>
          <w:color w:val="000000"/>
          <w:sz w:val="22"/>
        </w:rPr>
      </w:pPr>
    </w:p>
    <w:tbl>
      <w:tblPr>
        <w:tblStyle w:val="TableGrid2"/>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230"/>
        <w:gridCol w:w="1620"/>
        <w:gridCol w:w="1440"/>
        <w:gridCol w:w="1350"/>
        <w:gridCol w:w="1530"/>
        <w:gridCol w:w="1443"/>
      </w:tblGrid>
      <w:tr w:rsidR="00E62E99" w:rsidRPr="00E62E99" w:rsidTr="00A90842">
        <w:trPr>
          <w:tblHeader/>
        </w:trPr>
        <w:tc>
          <w:tcPr>
            <w:tcW w:w="8613" w:type="dxa"/>
            <w:gridSpan w:val="6"/>
            <w:shd w:val="clear" w:color="auto" w:fill="008272"/>
            <w:vAlign w:val="center"/>
          </w:tcPr>
          <w:p w:rsidR="00E62E99" w:rsidRPr="00E62E99" w:rsidRDefault="00E62E99" w:rsidP="00E62E99">
            <w:pPr>
              <w:ind w:left="0" w:right="634"/>
              <w:jc w:val="center"/>
              <w:outlineLvl w:val="0"/>
              <w:rPr>
                <w:rFonts w:eastAsia="Times New Roman"/>
                <w:color w:val="FFFFFF"/>
                <w:sz w:val="26"/>
                <w:szCs w:val="26"/>
              </w:rPr>
            </w:pPr>
          </w:p>
          <w:p w:rsidR="00E62E99" w:rsidRPr="00E62E99" w:rsidRDefault="00E62E99" w:rsidP="00E62E99">
            <w:pPr>
              <w:spacing w:after="120"/>
              <w:ind w:left="0" w:right="634"/>
              <w:jc w:val="center"/>
              <w:outlineLvl w:val="0"/>
              <w:rPr>
                <w:rFonts w:eastAsia="Times New Roman"/>
                <w:color w:val="FFFFFF"/>
                <w:sz w:val="26"/>
                <w:szCs w:val="26"/>
              </w:rPr>
            </w:pPr>
            <w:r w:rsidRPr="00E62E99">
              <w:rPr>
                <w:rFonts w:eastAsia="Times New Roman"/>
                <w:color w:val="FFFFFF"/>
                <w:sz w:val="26"/>
                <w:szCs w:val="26"/>
              </w:rPr>
              <w:t>Table 1</w:t>
            </w:r>
          </w:p>
          <w:p w:rsidR="00E62E99" w:rsidRPr="00E62E99" w:rsidRDefault="00E62E99" w:rsidP="00E62E99">
            <w:pPr>
              <w:spacing w:after="120"/>
              <w:ind w:left="0" w:right="634"/>
              <w:contextualSpacing/>
              <w:jc w:val="center"/>
              <w:outlineLvl w:val="0"/>
              <w:rPr>
                <w:rFonts w:eastAsia="Times New Roman"/>
                <w:color w:val="FFFFFF"/>
                <w:sz w:val="22"/>
              </w:rPr>
            </w:pPr>
            <w:r w:rsidRPr="00E62E99">
              <w:rPr>
                <w:rFonts w:eastAsia="Times New Roman"/>
                <w:b/>
                <w:color w:val="FFFFFF"/>
                <w:sz w:val="26"/>
                <w:szCs w:val="26"/>
              </w:rPr>
              <w:t>Current and proposed clean fuel standards</w:t>
            </w:r>
          </w:p>
        </w:tc>
      </w:tr>
      <w:tr w:rsidR="00E62E99" w:rsidRPr="00E62E99" w:rsidTr="00A90842">
        <w:tc>
          <w:tcPr>
            <w:tcW w:w="1230" w:type="dxa"/>
            <w:vMerge w:val="restart"/>
            <w:shd w:val="clear" w:color="auto" w:fill="B1DDCD"/>
            <w:vAlign w:val="center"/>
          </w:tcPr>
          <w:p w:rsidR="00E62E99" w:rsidRPr="00E62E99" w:rsidRDefault="00E62E99" w:rsidP="00E62E99">
            <w:pPr>
              <w:spacing w:after="120"/>
              <w:ind w:left="0" w:right="13"/>
              <w:contextualSpacing/>
              <w:jc w:val="center"/>
              <w:outlineLvl w:val="0"/>
              <w:rPr>
                <w:rFonts w:eastAsia="Times New Roman"/>
                <w:color w:val="000000"/>
                <w:sz w:val="22"/>
              </w:rPr>
            </w:pPr>
            <w:r w:rsidRPr="00E62E99">
              <w:rPr>
                <w:rFonts w:eastAsia="Times New Roman"/>
                <w:color w:val="000000"/>
                <w:sz w:val="22"/>
              </w:rPr>
              <w:t>Year</w:t>
            </w:r>
          </w:p>
        </w:tc>
        <w:tc>
          <w:tcPr>
            <w:tcW w:w="1620" w:type="dxa"/>
            <w:vMerge w:val="restart"/>
            <w:shd w:val="clear" w:color="auto" w:fill="B1DDCD"/>
            <w:vAlign w:val="center"/>
          </w:tcPr>
          <w:p w:rsidR="00E62E99" w:rsidRPr="00E62E99" w:rsidRDefault="00E62E99" w:rsidP="00E62E99">
            <w:pPr>
              <w:spacing w:after="120"/>
              <w:ind w:left="0" w:right="13"/>
              <w:contextualSpacing/>
              <w:jc w:val="center"/>
              <w:outlineLvl w:val="0"/>
              <w:rPr>
                <w:rFonts w:eastAsia="Times New Roman"/>
                <w:color w:val="000000"/>
                <w:sz w:val="22"/>
              </w:rPr>
            </w:pPr>
            <w:r w:rsidRPr="00E62E99">
              <w:rPr>
                <w:rFonts w:eastAsia="Times New Roman"/>
                <w:color w:val="000000"/>
                <w:sz w:val="22"/>
              </w:rPr>
              <w:t>Reduction</w:t>
            </w:r>
          </w:p>
        </w:tc>
        <w:tc>
          <w:tcPr>
            <w:tcW w:w="2790" w:type="dxa"/>
            <w:gridSpan w:val="2"/>
            <w:shd w:val="clear" w:color="auto" w:fill="B1DDCD"/>
            <w:vAlign w:val="center"/>
          </w:tcPr>
          <w:p w:rsidR="00E62E99" w:rsidRPr="00E62E99" w:rsidRDefault="00E62E99" w:rsidP="00E62E99">
            <w:pPr>
              <w:spacing w:after="120"/>
              <w:ind w:left="0"/>
              <w:contextualSpacing/>
              <w:jc w:val="center"/>
              <w:outlineLvl w:val="0"/>
              <w:rPr>
                <w:rFonts w:eastAsia="Times New Roman"/>
                <w:color w:val="000000"/>
                <w:sz w:val="22"/>
              </w:rPr>
            </w:pPr>
            <w:r w:rsidRPr="00E62E99">
              <w:rPr>
                <w:rFonts w:eastAsia="Times New Roman"/>
                <w:color w:val="000000"/>
                <w:sz w:val="22"/>
              </w:rPr>
              <w:t>Current Standards</w:t>
            </w:r>
          </w:p>
        </w:tc>
        <w:tc>
          <w:tcPr>
            <w:tcW w:w="2973" w:type="dxa"/>
            <w:gridSpan w:val="2"/>
            <w:shd w:val="clear" w:color="auto" w:fill="B1DDCD"/>
            <w:vAlign w:val="center"/>
          </w:tcPr>
          <w:p w:rsidR="00E62E99" w:rsidRPr="00E62E99" w:rsidRDefault="00E62E99" w:rsidP="00E62E99">
            <w:pPr>
              <w:ind w:left="0"/>
              <w:contextualSpacing/>
              <w:jc w:val="center"/>
              <w:outlineLvl w:val="0"/>
              <w:rPr>
                <w:rFonts w:eastAsia="Times New Roman"/>
                <w:color w:val="000000"/>
                <w:sz w:val="22"/>
              </w:rPr>
            </w:pPr>
            <w:r w:rsidRPr="00E62E99">
              <w:rPr>
                <w:rFonts w:eastAsia="Times New Roman"/>
                <w:color w:val="000000"/>
                <w:sz w:val="22"/>
              </w:rPr>
              <w:t>Proposed Standards</w:t>
            </w:r>
          </w:p>
        </w:tc>
      </w:tr>
      <w:tr w:rsidR="00E62E99" w:rsidRPr="00E62E99" w:rsidTr="00A90842">
        <w:trPr>
          <w:trHeight w:val="350"/>
        </w:trPr>
        <w:tc>
          <w:tcPr>
            <w:tcW w:w="1230" w:type="dxa"/>
            <w:vMerge/>
            <w:shd w:val="clear" w:color="auto" w:fill="DFF1EB"/>
            <w:vAlign w:val="center"/>
          </w:tcPr>
          <w:p w:rsidR="00E62E99" w:rsidRPr="00E62E99" w:rsidRDefault="00E62E99" w:rsidP="00E62E99">
            <w:pPr>
              <w:spacing w:after="120"/>
              <w:ind w:left="0" w:right="13"/>
              <w:contextualSpacing/>
              <w:jc w:val="center"/>
              <w:outlineLvl w:val="0"/>
              <w:rPr>
                <w:rFonts w:ascii="Times New Roman" w:eastAsia="Times New Roman" w:hAnsi="Times New Roman" w:cs="Times New Roman"/>
                <w:color w:val="000000"/>
                <w:sz w:val="20"/>
                <w:szCs w:val="20"/>
              </w:rPr>
            </w:pPr>
          </w:p>
        </w:tc>
        <w:tc>
          <w:tcPr>
            <w:tcW w:w="1620" w:type="dxa"/>
            <w:vMerge/>
            <w:shd w:val="clear" w:color="auto" w:fill="DFF1EB"/>
            <w:vAlign w:val="center"/>
          </w:tcPr>
          <w:p w:rsidR="00E62E99" w:rsidRPr="00E62E99" w:rsidRDefault="00E62E99" w:rsidP="00E62E99">
            <w:pPr>
              <w:spacing w:after="120"/>
              <w:ind w:left="0" w:right="13"/>
              <w:contextualSpacing/>
              <w:jc w:val="center"/>
              <w:outlineLvl w:val="0"/>
              <w:rPr>
                <w:rFonts w:ascii="Times New Roman" w:eastAsia="Times New Roman" w:hAnsi="Times New Roman" w:cs="Times New Roman"/>
                <w:sz w:val="20"/>
                <w:szCs w:val="20"/>
              </w:rPr>
            </w:pPr>
          </w:p>
        </w:tc>
        <w:tc>
          <w:tcPr>
            <w:tcW w:w="1440" w:type="dxa"/>
            <w:shd w:val="clear" w:color="auto" w:fill="DFF1EB"/>
            <w:vAlign w:val="center"/>
          </w:tcPr>
          <w:p w:rsidR="00E62E99" w:rsidRPr="00E62E99" w:rsidRDefault="00E62E99" w:rsidP="00E62E99">
            <w:pPr>
              <w:spacing w:after="120"/>
              <w:ind w:left="0" w:right="12"/>
              <w:contextualSpacing/>
              <w:jc w:val="center"/>
              <w:outlineLvl w:val="0"/>
              <w:rPr>
                <w:rFonts w:eastAsia="Times New Roman"/>
                <w:color w:val="000000"/>
                <w:sz w:val="20"/>
                <w:szCs w:val="20"/>
              </w:rPr>
            </w:pPr>
            <w:r w:rsidRPr="00E62E99">
              <w:rPr>
                <w:rFonts w:eastAsia="Times New Roman"/>
                <w:sz w:val="20"/>
                <w:szCs w:val="20"/>
              </w:rPr>
              <w:t>Gasoline</w:t>
            </w:r>
          </w:p>
        </w:tc>
        <w:tc>
          <w:tcPr>
            <w:tcW w:w="1350" w:type="dxa"/>
            <w:shd w:val="clear" w:color="auto" w:fill="DFF1EB"/>
            <w:vAlign w:val="center"/>
          </w:tcPr>
          <w:p w:rsidR="00E62E99" w:rsidRPr="00E62E99" w:rsidRDefault="00E62E99" w:rsidP="00E62E99">
            <w:pPr>
              <w:spacing w:after="120"/>
              <w:ind w:left="0" w:right="12"/>
              <w:contextualSpacing/>
              <w:jc w:val="center"/>
              <w:outlineLvl w:val="0"/>
              <w:rPr>
                <w:rFonts w:eastAsia="Times New Roman"/>
                <w:color w:val="000000"/>
                <w:sz w:val="20"/>
                <w:szCs w:val="20"/>
              </w:rPr>
            </w:pPr>
            <w:r w:rsidRPr="00E62E99">
              <w:rPr>
                <w:rFonts w:eastAsia="Times New Roman"/>
                <w:color w:val="000000"/>
                <w:sz w:val="20"/>
                <w:szCs w:val="20"/>
              </w:rPr>
              <w:t>Diesel</w:t>
            </w:r>
          </w:p>
        </w:tc>
        <w:tc>
          <w:tcPr>
            <w:tcW w:w="1530" w:type="dxa"/>
            <w:shd w:val="clear" w:color="auto" w:fill="DFF1EB"/>
            <w:vAlign w:val="center"/>
          </w:tcPr>
          <w:p w:rsidR="00E62E99" w:rsidRPr="00E62E99" w:rsidRDefault="00E62E99" w:rsidP="00E62E99">
            <w:pPr>
              <w:spacing w:after="120"/>
              <w:ind w:left="0" w:right="18"/>
              <w:contextualSpacing/>
              <w:jc w:val="center"/>
              <w:outlineLvl w:val="0"/>
              <w:rPr>
                <w:rFonts w:eastAsia="Times New Roman"/>
                <w:color w:val="000000"/>
                <w:sz w:val="20"/>
                <w:szCs w:val="20"/>
              </w:rPr>
            </w:pPr>
            <w:r w:rsidRPr="00E62E99">
              <w:rPr>
                <w:rFonts w:eastAsia="Times New Roman"/>
                <w:sz w:val="20"/>
                <w:szCs w:val="20"/>
              </w:rPr>
              <w:t>Gasoline</w:t>
            </w:r>
          </w:p>
        </w:tc>
        <w:tc>
          <w:tcPr>
            <w:tcW w:w="1443" w:type="dxa"/>
            <w:shd w:val="clear" w:color="auto" w:fill="DFF1EB"/>
            <w:vAlign w:val="center"/>
          </w:tcPr>
          <w:p w:rsidR="00E62E99" w:rsidRPr="00E62E99" w:rsidRDefault="00E62E99" w:rsidP="00E62E99">
            <w:pPr>
              <w:ind w:left="0" w:right="18"/>
              <w:contextualSpacing/>
              <w:jc w:val="center"/>
              <w:outlineLvl w:val="0"/>
              <w:rPr>
                <w:rFonts w:eastAsia="Times New Roman"/>
                <w:color w:val="000000"/>
                <w:sz w:val="20"/>
                <w:szCs w:val="20"/>
              </w:rPr>
            </w:pPr>
            <w:r w:rsidRPr="00E62E99">
              <w:rPr>
                <w:rFonts w:eastAsia="Times New Roman"/>
                <w:color w:val="000000"/>
                <w:sz w:val="20"/>
                <w:szCs w:val="20"/>
              </w:rPr>
              <w:t>Diesel</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2015</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(baseline)</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97.80</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99.48</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98.62</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99.64</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2016</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0.25%</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97.56</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99.23</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98.37</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99.39</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2017</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0.50%</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97.31</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98.98</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98.13</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99.14</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2018</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1.00%</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96.82</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98.49</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97.63</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98.64</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2019</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1.50%</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96.33</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97.99</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97.14</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98.15</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2020</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2.50%</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95.36</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96.99</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96.15</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97.15</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2021</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3.50%</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94.38</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96.00</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95.17</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96.15</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2022</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5.00%</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92.91</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94.51</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93.69</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94.66</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2023</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6.50%</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91.44</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93.01</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92.21</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93.16</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2024</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8.00%</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89.98</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91.52</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90.73</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91.67</w:t>
            </w:r>
          </w:p>
        </w:tc>
      </w:tr>
      <w:tr w:rsidR="00E62E99" w:rsidRPr="00E62E99" w:rsidTr="00A90842">
        <w:trPr>
          <w:trHeight w:val="350"/>
        </w:trPr>
        <w:tc>
          <w:tcPr>
            <w:tcW w:w="12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2025</w:t>
            </w:r>
          </w:p>
        </w:tc>
        <w:tc>
          <w:tcPr>
            <w:tcW w:w="162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10.00%</w:t>
            </w:r>
          </w:p>
        </w:tc>
        <w:tc>
          <w:tcPr>
            <w:tcW w:w="144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88.02</w:t>
            </w:r>
          </w:p>
        </w:tc>
        <w:tc>
          <w:tcPr>
            <w:tcW w:w="135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89.53</w:t>
            </w:r>
          </w:p>
        </w:tc>
        <w:tc>
          <w:tcPr>
            <w:tcW w:w="1530"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88.76</w:t>
            </w:r>
          </w:p>
        </w:tc>
        <w:tc>
          <w:tcPr>
            <w:tcW w:w="1443" w:type="dxa"/>
            <w:vAlign w:val="center"/>
          </w:tcPr>
          <w:p w:rsidR="00E62E99" w:rsidRPr="00E62E99" w:rsidRDefault="00E62E99" w:rsidP="00E62E99">
            <w:pPr>
              <w:ind w:left="46" w:right="18"/>
              <w:jc w:val="center"/>
              <w:outlineLvl w:val="0"/>
              <w:rPr>
                <w:rFonts w:ascii="Times New Roman" w:eastAsia="Times New Roman" w:hAnsi="Times New Roman" w:cs="Times New Roman"/>
              </w:rPr>
            </w:pPr>
            <w:r w:rsidRPr="00E62E99">
              <w:rPr>
                <w:rFonts w:ascii="Times New Roman" w:eastAsia="Times New Roman" w:hAnsi="Times New Roman" w:cs="Times New Roman"/>
              </w:rPr>
              <w:t>89.68</w:t>
            </w:r>
          </w:p>
        </w:tc>
      </w:tr>
    </w:tbl>
    <w:p w:rsidR="00E62E99" w:rsidRPr="00E62E99" w:rsidRDefault="00E62E99" w:rsidP="00E62E99">
      <w:pPr>
        <w:ind w:left="720" w:right="18"/>
        <w:outlineLvl w:val="0"/>
        <w:rPr>
          <w:rFonts w:ascii="Times New Roman" w:eastAsia="Times New Roman" w:hAnsi="Times New Roman" w:cs="Times New Roman"/>
          <w:color w:val="000000"/>
          <w:sz w:val="22"/>
        </w:rPr>
      </w:pPr>
    </w:p>
    <w:p w:rsidR="00E62E99" w:rsidRPr="00E62E99" w:rsidRDefault="00E62E99" w:rsidP="00E62E99">
      <w:pPr>
        <w:numPr>
          <w:ilvl w:val="0"/>
          <w:numId w:val="1"/>
        </w:numPr>
        <w:ind w:right="18"/>
        <w:outlineLvl w:val="0"/>
        <w:rPr>
          <w:rFonts w:ascii="Times New Roman" w:eastAsia="Times New Roman" w:hAnsi="Times New Roman" w:cs="Times New Roman"/>
          <w:sz w:val="22"/>
        </w:rPr>
      </w:pPr>
      <w:r w:rsidRPr="00E62E99">
        <w:rPr>
          <w:rFonts w:ascii="Times New Roman" w:eastAsia="Times New Roman" w:hAnsi="Times New Roman" w:cs="Times New Roman"/>
          <w:sz w:val="22"/>
        </w:rPr>
        <w:t>The miscalculation also results in the carbon intensity values for E10 (gasoline blended with 10 percent ethanol) and B5 (diesel blended with 5 percent biodiesel) being lower than they should be. Table 2 shows the current and proposed carbon intensity values.</w:t>
      </w:r>
    </w:p>
    <w:p w:rsidR="00E62E99" w:rsidRPr="00E62E99" w:rsidRDefault="00E62E99" w:rsidP="00E62E99">
      <w:pPr>
        <w:ind w:left="720" w:right="18"/>
        <w:outlineLvl w:val="0"/>
        <w:rPr>
          <w:rFonts w:ascii="Times New Roman" w:eastAsia="Times New Roman" w:hAnsi="Times New Roman" w:cs="Times New Roman"/>
          <w:sz w:val="22"/>
        </w:rPr>
      </w:pPr>
    </w:p>
    <w:tbl>
      <w:tblPr>
        <w:tblStyle w:val="TableGrid2"/>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850"/>
        <w:gridCol w:w="2790"/>
        <w:gridCol w:w="2973"/>
      </w:tblGrid>
      <w:tr w:rsidR="00E62E99" w:rsidRPr="00E62E99" w:rsidTr="00A90842">
        <w:trPr>
          <w:tblHeader/>
        </w:trPr>
        <w:tc>
          <w:tcPr>
            <w:tcW w:w="8613" w:type="dxa"/>
            <w:gridSpan w:val="3"/>
            <w:shd w:val="clear" w:color="auto" w:fill="008272"/>
            <w:vAlign w:val="center"/>
          </w:tcPr>
          <w:p w:rsidR="00E62E99" w:rsidRPr="00E62E99" w:rsidRDefault="00E62E99" w:rsidP="00E62E99">
            <w:pPr>
              <w:ind w:left="0" w:right="634"/>
              <w:jc w:val="center"/>
              <w:outlineLvl w:val="0"/>
              <w:rPr>
                <w:rFonts w:eastAsia="Times New Roman"/>
                <w:color w:val="FFFFFF"/>
                <w:sz w:val="26"/>
                <w:szCs w:val="26"/>
              </w:rPr>
            </w:pPr>
          </w:p>
          <w:p w:rsidR="00E62E99" w:rsidRPr="00E62E99" w:rsidRDefault="00E62E99" w:rsidP="00E62E99">
            <w:pPr>
              <w:spacing w:after="120"/>
              <w:ind w:left="0" w:right="634"/>
              <w:jc w:val="center"/>
              <w:outlineLvl w:val="0"/>
              <w:rPr>
                <w:rFonts w:eastAsia="Times New Roman"/>
                <w:color w:val="FFFFFF"/>
                <w:sz w:val="26"/>
                <w:szCs w:val="26"/>
              </w:rPr>
            </w:pPr>
            <w:r w:rsidRPr="00E62E99">
              <w:rPr>
                <w:rFonts w:eastAsia="Times New Roman"/>
                <w:color w:val="FFFFFF"/>
                <w:sz w:val="26"/>
                <w:szCs w:val="26"/>
              </w:rPr>
              <w:t>Table 2</w:t>
            </w:r>
          </w:p>
          <w:p w:rsidR="00E62E99" w:rsidRPr="00E62E99" w:rsidRDefault="00E62E99" w:rsidP="00E62E99">
            <w:pPr>
              <w:spacing w:after="120"/>
              <w:ind w:left="0" w:right="634"/>
              <w:contextualSpacing/>
              <w:jc w:val="center"/>
              <w:outlineLvl w:val="0"/>
              <w:rPr>
                <w:rFonts w:eastAsia="Times New Roman"/>
                <w:color w:val="FFFFFF"/>
                <w:sz w:val="22"/>
              </w:rPr>
            </w:pPr>
            <w:r w:rsidRPr="00E62E99">
              <w:rPr>
                <w:rFonts w:eastAsia="Times New Roman"/>
                <w:b/>
                <w:color w:val="FFFFFF"/>
                <w:sz w:val="26"/>
                <w:szCs w:val="26"/>
              </w:rPr>
              <w:t>Current and proposed clean fuel standards</w:t>
            </w:r>
          </w:p>
        </w:tc>
      </w:tr>
      <w:tr w:rsidR="00E62E99" w:rsidRPr="00E62E99" w:rsidTr="00A90842">
        <w:trPr>
          <w:trHeight w:val="661"/>
        </w:trPr>
        <w:tc>
          <w:tcPr>
            <w:tcW w:w="2850" w:type="dxa"/>
            <w:shd w:val="clear" w:color="auto" w:fill="B1DDCD"/>
            <w:vAlign w:val="center"/>
          </w:tcPr>
          <w:p w:rsidR="00E62E99" w:rsidRPr="00E62E99" w:rsidRDefault="00E62E99" w:rsidP="00E62E99">
            <w:pPr>
              <w:ind w:left="0" w:right="18"/>
              <w:jc w:val="center"/>
              <w:outlineLvl w:val="0"/>
              <w:rPr>
                <w:rFonts w:eastAsia="Times New Roman"/>
                <w:sz w:val="22"/>
              </w:rPr>
            </w:pPr>
            <w:r w:rsidRPr="00E62E99">
              <w:rPr>
                <w:rFonts w:eastAsia="Times New Roman"/>
                <w:sz w:val="22"/>
              </w:rPr>
              <w:t>Fuel type</w:t>
            </w:r>
          </w:p>
        </w:tc>
        <w:tc>
          <w:tcPr>
            <w:tcW w:w="2790" w:type="dxa"/>
            <w:shd w:val="clear" w:color="auto" w:fill="B1DDCD"/>
            <w:vAlign w:val="center"/>
          </w:tcPr>
          <w:p w:rsidR="00E62E99" w:rsidRPr="00E62E99" w:rsidRDefault="00E62E99" w:rsidP="00E62E99">
            <w:pPr>
              <w:ind w:left="-14" w:right="18"/>
              <w:jc w:val="center"/>
              <w:outlineLvl w:val="0"/>
              <w:rPr>
                <w:rFonts w:eastAsia="Times New Roman"/>
                <w:sz w:val="22"/>
              </w:rPr>
            </w:pPr>
            <w:r w:rsidRPr="00E62E99">
              <w:rPr>
                <w:rFonts w:eastAsia="Times New Roman"/>
                <w:sz w:val="22"/>
              </w:rPr>
              <w:t>Current carbon intensity value</w:t>
            </w:r>
          </w:p>
        </w:tc>
        <w:tc>
          <w:tcPr>
            <w:tcW w:w="2973" w:type="dxa"/>
            <w:shd w:val="clear" w:color="auto" w:fill="B1DDCD"/>
            <w:vAlign w:val="center"/>
          </w:tcPr>
          <w:p w:rsidR="00E62E99" w:rsidRPr="00E62E99" w:rsidRDefault="00E62E99" w:rsidP="00E62E99">
            <w:pPr>
              <w:ind w:left="0" w:right="18"/>
              <w:jc w:val="center"/>
              <w:outlineLvl w:val="0"/>
              <w:rPr>
                <w:rFonts w:eastAsia="Times New Roman"/>
                <w:sz w:val="22"/>
              </w:rPr>
            </w:pPr>
            <w:r w:rsidRPr="00E62E99">
              <w:rPr>
                <w:rFonts w:eastAsia="Times New Roman"/>
                <w:sz w:val="22"/>
              </w:rPr>
              <w:t>Proposed carbon intensity value</w:t>
            </w:r>
          </w:p>
        </w:tc>
      </w:tr>
      <w:tr w:rsidR="00E62E99" w:rsidRPr="00E62E99" w:rsidTr="00A90842">
        <w:trPr>
          <w:trHeight w:val="350"/>
        </w:trPr>
        <w:tc>
          <w:tcPr>
            <w:tcW w:w="2850" w:type="dxa"/>
            <w:vAlign w:val="center"/>
          </w:tcPr>
          <w:p w:rsidR="00E62E99" w:rsidRPr="00E62E99" w:rsidRDefault="00E62E99" w:rsidP="00E62E99">
            <w:pPr>
              <w:ind w:left="-44" w:right="18"/>
              <w:jc w:val="center"/>
              <w:outlineLvl w:val="0"/>
              <w:rPr>
                <w:rFonts w:ascii="Times New Roman" w:eastAsia="Times New Roman" w:hAnsi="Times New Roman" w:cs="Times New Roman"/>
                <w:sz w:val="22"/>
              </w:rPr>
            </w:pPr>
            <w:r w:rsidRPr="00E62E99">
              <w:rPr>
                <w:rFonts w:ascii="Times New Roman" w:eastAsia="Times New Roman" w:hAnsi="Times New Roman" w:cs="Times New Roman"/>
                <w:sz w:val="22"/>
              </w:rPr>
              <w:t>E10</w:t>
            </w:r>
          </w:p>
        </w:tc>
        <w:tc>
          <w:tcPr>
            <w:tcW w:w="2790" w:type="dxa"/>
            <w:vAlign w:val="center"/>
          </w:tcPr>
          <w:p w:rsidR="00E62E99" w:rsidRPr="00E62E99" w:rsidRDefault="00E62E99" w:rsidP="00E62E99">
            <w:pPr>
              <w:ind w:left="0" w:right="18"/>
              <w:jc w:val="center"/>
              <w:outlineLvl w:val="0"/>
              <w:rPr>
                <w:rFonts w:ascii="Times New Roman" w:eastAsia="Times New Roman" w:hAnsi="Times New Roman" w:cs="Times New Roman"/>
                <w:sz w:val="22"/>
              </w:rPr>
            </w:pPr>
            <w:r w:rsidRPr="00E62E99">
              <w:rPr>
                <w:rFonts w:ascii="Times New Roman" w:eastAsia="Times New Roman" w:hAnsi="Times New Roman" w:cs="Times New Roman"/>
                <w:sz w:val="22"/>
              </w:rPr>
              <w:t>97.68 gCO2e/MJ</w:t>
            </w:r>
          </w:p>
        </w:tc>
        <w:tc>
          <w:tcPr>
            <w:tcW w:w="2973" w:type="dxa"/>
            <w:vAlign w:val="center"/>
          </w:tcPr>
          <w:p w:rsidR="00E62E99" w:rsidRPr="00E62E99" w:rsidRDefault="00E62E99" w:rsidP="00E62E99">
            <w:pPr>
              <w:ind w:left="-14" w:right="18"/>
              <w:jc w:val="center"/>
              <w:outlineLvl w:val="0"/>
              <w:rPr>
                <w:rFonts w:ascii="Times New Roman" w:eastAsia="Times New Roman" w:hAnsi="Times New Roman" w:cs="Times New Roman"/>
                <w:sz w:val="22"/>
              </w:rPr>
            </w:pPr>
            <w:r w:rsidRPr="00E62E99">
              <w:rPr>
                <w:rFonts w:ascii="Times New Roman" w:eastAsia="Times New Roman" w:hAnsi="Times New Roman" w:cs="Times New Roman"/>
                <w:sz w:val="22"/>
              </w:rPr>
              <w:t>98.54 gCO2e/MJ</w:t>
            </w:r>
          </w:p>
        </w:tc>
      </w:tr>
      <w:tr w:rsidR="00E62E99" w:rsidRPr="00E62E99" w:rsidTr="00A90842">
        <w:trPr>
          <w:trHeight w:val="350"/>
        </w:trPr>
        <w:tc>
          <w:tcPr>
            <w:tcW w:w="2850" w:type="dxa"/>
            <w:vAlign w:val="center"/>
          </w:tcPr>
          <w:p w:rsidR="00E62E99" w:rsidRPr="00E62E99" w:rsidRDefault="00E62E99" w:rsidP="00E62E99">
            <w:pPr>
              <w:ind w:left="-44" w:right="18"/>
              <w:jc w:val="center"/>
              <w:outlineLvl w:val="0"/>
              <w:rPr>
                <w:rFonts w:ascii="Times New Roman" w:eastAsia="Times New Roman" w:hAnsi="Times New Roman" w:cs="Times New Roman"/>
                <w:sz w:val="22"/>
              </w:rPr>
            </w:pPr>
            <w:r w:rsidRPr="00E62E99">
              <w:rPr>
                <w:rFonts w:ascii="Times New Roman" w:eastAsia="Times New Roman" w:hAnsi="Times New Roman" w:cs="Times New Roman"/>
                <w:sz w:val="22"/>
              </w:rPr>
              <w:t>B5</w:t>
            </w:r>
          </w:p>
        </w:tc>
        <w:tc>
          <w:tcPr>
            <w:tcW w:w="2790" w:type="dxa"/>
            <w:vAlign w:val="center"/>
          </w:tcPr>
          <w:p w:rsidR="00E62E99" w:rsidRPr="00E62E99" w:rsidRDefault="00E62E99" w:rsidP="00E62E99">
            <w:pPr>
              <w:ind w:left="0" w:right="18"/>
              <w:jc w:val="center"/>
              <w:outlineLvl w:val="0"/>
              <w:rPr>
                <w:rFonts w:ascii="Times New Roman" w:eastAsia="Times New Roman" w:hAnsi="Times New Roman" w:cs="Times New Roman"/>
                <w:sz w:val="22"/>
              </w:rPr>
            </w:pPr>
            <w:r w:rsidRPr="00E62E99">
              <w:rPr>
                <w:rFonts w:ascii="Times New Roman" w:eastAsia="Times New Roman" w:hAnsi="Times New Roman" w:cs="Times New Roman"/>
                <w:sz w:val="22"/>
              </w:rPr>
              <w:t>98.48 gCO2e/MJ</w:t>
            </w:r>
          </w:p>
        </w:tc>
        <w:tc>
          <w:tcPr>
            <w:tcW w:w="2973" w:type="dxa"/>
            <w:vAlign w:val="center"/>
          </w:tcPr>
          <w:p w:rsidR="00E62E99" w:rsidRPr="00E62E99" w:rsidRDefault="00E62E99" w:rsidP="00E62E99">
            <w:pPr>
              <w:ind w:left="-14" w:right="18"/>
              <w:jc w:val="center"/>
              <w:outlineLvl w:val="0"/>
              <w:rPr>
                <w:rFonts w:ascii="Times New Roman" w:eastAsia="Times New Roman" w:hAnsi="Times New Roman" w:cs="Times New Roman"/>
                <w:sz w:val="22"/>
              </w:rPr>
            </w:pPr>
            <w:r w:rsidRPr="00E62E99">
              <w:rPr>
                <w:rFonts w:ascii="Times New Roman" w:eastAsia="Times New Roman" w:hAnsi="Times New Roman" w:cs="Times New Roman"/>
                <w:sz w:val="22"/>
              </w:rPr>
              <w:t>99.64 gCO2e/MJ</w:t>
            </w:r>
          </w:p>
        </w:tc>
      </w:tr>
    </w:tbl>
    <w:p w:rsidR="00E62E99" w:rsidRPr="00E62E99" w:rsidRDefault="00E62E99" w:rsidP="00E62E99">
      <w:pPr>
        <w:ind w:left="720" w:right="18"/>
        <w:outlineLvl w:val="0"/>
        <w:rPr>
          <w:rFonts w:ascii="Times New Roman" w:eastAsia="Times New Roman" w:hAnsi="Times New Roman" w:cs="Times New Roman"/>
          <w:sz w:val="22"/>
        </w:rPr>
      </w:pPr>
    </w:p>
    <w:p w:rsidR="00E62E99" w:rsidRPr="00E62E99" w:rsidRDefault="00E62E99" w:rsidP="00E62E99">
      <w:pPr>
        <w:ind w:left="720" w:right="18"/>
        <w:outlineLvl w:val="0"/>
        <w:rPr>
          <w:rFonts w:ascii="Times New Roman" w:eastAsia="Times New Roman" w:hAnsi="Times New Roman" w:cs="Times New Roman"/>
          <w:sz w:val="22"/>
        </w:rPr>
      </w:pPr>
      <w:r w:rsidRPr="00E62E99">
        <w:rPr>
          <w:rFonts w:ascii="Times New Roman" w:eastAsia="Times New Roman" w:hAnsi="Times New Roman" w:cs="Times New Roman"/>
          <w:sz w:val="22"/>
        </w:rPr>
        <w:t>Adopting the proposed rules will correct the miscalculations.</w:t>
      </w:r>
    </w:p>
    <w:p w:rsidR="00E62E99" w:rsidRPr="00E62E99" w:rsidRDefault="00E62E99" w:rsidP="00E62E99">
      <w:pPr>
        <w:ind w:left="720" w:right="18"/>
        <w:outlineLvl w:val="0"/>
        <w:rPr>
          <w:rFonts w:ascii="Times New Roman" w:eastAsia="Times New Roman" w:hAnsi="Times New Roman" w:cs="Times New Roman"/>
          <w:sz w:val="22"/>
        </w:rPr>
      </w:pPr>
    </w:p>
    <w:p w:rsidR="00E62E99" w:rsidRPr="00E62E99" w:rsidRDefault="00E62E99" w:rsidP="00E62E99">
      <w:pPr>
        <w:ind w:left="720" w:right="18"/>
        <w:outlineLvl w:val="0"/>
        <w:rPr>
          <w:rFonts w:ascii="Times New Roman" w:eastAsia="Times New Roman" w:hAnsi="Times New Roman" w:cs="Times New Roman"/>
          <w:sz w:val="22"/>
        </w:rPr>
      </w:pPr>
      <w:r w:rsidRPr="00E62E99">
        <w:rPr>
          <w:rFonts w:ascii="Times New Roman" w:eastAsia="Times New Roman" w:hAnsi="Times New Roman" w:cs="Times New Roman"/>
          <w:sz w:val="22"/>
        </w:rPr>
        <w:t>This affects the program in two important ways:</w:t>
      </w:r>
    </w:p>
    <w:p w:rsidR="00E62E99" w:rsidRPr="00E62E99" w:rsidRDefault="00E62E99" w:rsidP="00E62E99">
      <w:pPr>
        <w:ind w:left="720" w:right="18"/>
        <w:outlineLvl w:val="0"/>
        <w:rPr>
          <w:rFonts w:ascii="Times New Roman" w:eastAsia="Times New Roman" w:hAnsi="Times New Roman" w:cs="Times New Roman"/>
          <w:sz w:val="22"/>
        </w:rPr>
      </w:pPr>
    </w:p>
    <w:p w:rsidR="00E62E99" w:rsidRPr="00E62E99" w:rsidRDefault="00E62E99" w:rsidP="00E62E99">
      <w:pPr>
        <w:numPr>
          <w:ilvl w:val="0"/>
          <w:numId w:val="2"/>
        </w:numPr>
        <w:ind w:right="18"/>
        <w:outlineLvl w:val="0"/>
        <w:rPr>
          <w:rFonts w:ascii="Times New Roman" w:eastAsia="Times New Roman" w:hAnsi="Times New Roman" w:cs="Times New Roman"/>
          <w:sz w:val="22"/>
        </w:rPr>
      </w:pPr>
      <w:r w:rsidRPr="00E62E99">
        <w:rPr>
          <w:rFonts w:ascii="Times New Roman" w:eastAsia="Times New Roman" w:hAnsi="Times New Roman" w:cs="Times New Roman"/>
          <w:sz w:val="22"/>
        </w:rPr>
        <w:lastRenderedPageBreak/>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rsidR="00E62E99" w:rsidRPr="00E62E99" w:rsidRDefault="00E62E99" w:rsidP="00E62E99">
      <w:pPr>
        <w:ind w:left="720" w:right="18"/>
        <w:outlineLvl w:val="0"/>
        <w:rPr>
          <w:rFonts w:ascii="Times New Roman" w:eastAsia="Times New Roman" w:hAnsi="Times New Roman" w:cs="Times New Roman"/>
          <w:sz w:val="22"/>
        </w:rPr>
      </w:pPr>
    </w:p>
    <w:p w:rsidR="00E62E99" w:rsidRPr="00E62E99" w:rsidRDefault="00E62E99" w:rsidP="00E62E99">
      <w:pPr>
        <w:numPr>
          <w:ilvl w:val="0"/>
          <w:numId w:val="2"/>
        </w:numPr>
        <w:ind w:right="18"/>
        <w:outlineLvl w:val="0"/>
        <w:rPr>
          <w:rFonts w:ascii="Times New Roman" w:eastAsia="Times New Roman" w:hAnsi="Times New Roman" w:cs="Times New Roman"/>
          <w:sz w:val="22"/>
        </w:rPr>
      </w:pPr>
      <w:r w:rsidRPr="00E62E99">
        <w:rPr>
          <w:rFonts w:ascii="Times New Roman" w:eastAsia="Times New Roman" w:hAnsi="Times New Roman" w:cs="Times New Roman"/>
          <w:sz w:val="22"/>
        </w:rPr>
        <w:t xml:space="preserve">The omission has created inaccuracies in the way deficits and credits are calculated and used to demonstrate compliance with the program. </w:t>
      </w:r>
    </w:p>
    <w:p w:rsidR="00E62E99" w:rsidRPr="00E62E99" w:rsidRDefault="00E62E99" w:rsidP="00E62E99">
      <w:pPr>
        <w:ind w:left="720" w:right="18"/>
        <w:outlineLvl w:val="0"/>
        <w:rPr>
          <w:rFonts w:ascii="Times New Roman" w:eastAsia="Times New Roman" w:hAnsi="Times New Roman" w:cs="Times New Roman"/>
          <w:sz w:val="22"/>
        </w:rPr>
      </w:pPr>
    </w:p>
    <w:p w:rsidR="00E62E99" w:rsidRPr="00E62E99" w:rsidRDefault="00E62E99" w:rsidP="00E62E99">
      <w:pPr>
        <w:keepNext/>
        <w:keepLines/>
        <w:spacing w:before="120" w:after="120"/>
        <w:ind w:left="720"/>
        <w:outlineLvl w:val="1"/>
        <w:rPr>
          <w:rFonts w:eastAsia="Times New Roman" w:cs="Times New Roman"/>
          <w:b/>
          <w:bCs/>
          <w:color w:val="3B3838"/>
          <w:sz w:val="22"/>
          <w:szCs w:val="26"/>
        </w:rPr>
      </w:pPr>
      <w:r w:rsidRPr="00E62E99">
        <w:rPr>
          <w:rFonts w:eastAsia="Times New Roman" w:cs="Times New Roman"/>
          <w:b/>
          <w:bCs/>
          <w:color w:val="3B3838"/>
          <w:sz w:val="22"/>
          <w:szCs w:val="26"/>
        </w:rPr>
        <w:t xml:space="preserve">How would the proposed rule address the need? </w:t>
      </w:r>
    </w:p>
    <w:p w:rsidR="00E62E99" w:rsidRPr="00E62E99" w:rsidRDefault="00E62E99" w:rsidP="00E62E99">
      <w:pPr>
        <w:ind w:left="720" w:right="18"/>
        <w:outlineLvl w:val="0"/>
        <w:rPr>
          <w:rFonts w:ascii="Times New Roman" w:eastAsia="Times New Roman" w:hAnsi="Times New Roman" w:cs="Times New Roman"/>
          <w:color w:val="000000"/>
          <w:sz w:val="22"/>
        </w:rPr>
      </w:pPr>
      <w:r w:rsidRPr="00E62E99">
        <w:rPr>
          <w:rFonts w:ascii="Times New Roman" w:eastAsia="Times New Roman" w:hAnsi="Times New Roman" w:cs="Times New Roman"/>
          <w:color w:val="000000"/>
          <w:sz w:val="22"/>
        </w:rPr>
        <w:t>Adopting the proposed rules will correct the omission, ensuring that reports submitted by regulated parties are accurate.</w:t>
      </w:r>
    </w:p>
    <w:p w:rsidR="00E62E99" w:rsidRPr="00E62E99" w:rsidRDefault="00E62E99" w:rsidP="00E62E99">
      <w:pPr>
        <w:ind w:left="720" w:right="18"/>
        <w:outlineLvl w:val="0"/>
        <w:rPr>
          <w:rFonts w:ascii="Times New Roman" w:eastAsia="Times New Roman" w:hAnsi="Times New Roman" w:cs="Times New Roman"/>
          <w:sz w:val="22"/>
        </w:rPr>
      </w:pPr>
    </w:p>
    <w:p w:rsidR="00E62E99" w:rsidRPr="00E62E99" w:rsidRDefault="00E62E99" w:rsidP="00E62E99">
      <w:pPr>
        <w:keepNext/>
        <w:keepLines/>
        <w:spacing w:before="120" w:after="120"/>
        <w:ind w:left="630"/>
        <w:outlineLvl w:val="1"/>
        <w:rPr>
          <w:rFonts w:eastAsia="Times New Roman" w:cs="Times New Roman"/>
          <w:b/>
          <w:bCs/>
          <w:color w:val="3B3838"/>
          <w:sz w:val="22"/>
          <w:szCs w:val="26"/>
        </w:rPr>
      </w:pPr>
      <w:r w:rsidRPr="00E62E99">
        <w:rPr>
          <w:rFonts w:eastAsia="Times New Roman" w:cs="Times New Roman"/>
          <w:b/>
          <w:bCs/>
          <w:color w:val="3B3838"/>
          <w:sz w:val="22"/>
          <w:szCs w:val="26"/>
        </w:rPr>
        <w:t xml:space="preserve">How will DEQ know the rule addressed the need? </w:t>
      </w:r>
    </w:p>
    <w:p w:rsidR="00E62E99" w:rsidRPr="00E62E99" w:rsidRDefault="00E62E99" w:rsidP="00E62E99">
      <w:pPr>
        <w:ind w:left="720" w:right="18"/>
        <w:outlineLvl w:val="0"/>
        <w:rPr>
          <w:rFonts w:ascii="Times New Roman" w:eastAsia="Times New Roman" w:hAnsi="Times New Roman" w:cs="Times New Roman"/>
          <w:color w:val="000000"/>
          <w:sz w:val="22"/>
        </w:rPr>
      </w:pPr>
      <w:r w:rsidRPr="00E62E99">
        <w:rPr>
          <w:rFonts w:ascii="Times New Roman" w:eastAsia="Times New Roman" w:hAnsi="Times New Roman" w:cs="Times New Roman"/>
          <w:color w:val="000000"/>
          <w:sz w:val="22"/>
        </w:rPr>
        <w:t>DEQ will know that the need was addressed when quarterly reports are submitted and they are accurate.</w:t>
      </w:r>
    </w:p>
    <w:p w:rsidR="00E62E99" w:rsidRPr="00E62E99" w:rsidRDefault="00E62E99" w:rsidP="00E62E99">
      <w:pPr>
        <w:ind w:left="720" w:right="18"/>
        <w:outlineLvl w:val="0"/>
        <w:rPr>
          <w:rFonts w:ascii="Times New Roman" w:eastAsia="Times New Roman" w:hAnsi="Times New Roman" w:cs="Times New Roman"/>
          <w:sz w:val="22"/>
        </w:rPr>
      </w:pPr>
    </w:p>
    <w:p w:rsidR="006D57D6" w:rsidRPr="00E62E99" w:rsidRDefault="006D57D6" w:rsidP="006D57D6">
      <w:pPr>
        <w:ind w:left="0"/>
        <w:rPr>
          <w:rFonts w:ascii="Times New Roman" w:eastAsia="Calibri" w:hAnsi="Times New Roman" w:cs="Times New Roman"/>
          <w:b/>
          <w:sz w:val="28"/>
          <w:szCs w:val="28"/>
        </w:rPr>
      </w:pPr>
      <w:r w:rsidRPr="00E62E99">
        <w:rPr>
          <w:rFonts w:ascii="Times New Roman" w:eastAsia="Calibri" w:hAnsi="Times New Roman" w:cs="Times New Roman"/>
          <w:b/>
          <w:sz w:val="28"/>
          <w:szCs w:val="28"/>
        </w:rPr>
        <w:t>List of rules adopted or amended:</w:t>
      </w:r>
    </w:p>
    <w:p w:rsidR="006D57D6" w:rsidRDefault="006D57D6" w:rsidP="006D57D6">
      <w:pPr>
        <w:ind w:left="0"/>
        <w:rPr>
          <w:rFonts w:ascii="Times New Roman" w:eastAsia="Calibri" w:hAnsi="Times New Roman" w:cs="Times New Roman"/>
          <w:sz w:val="22"/>
          <w:szCs w:val="22"/>
        </w:rPr>
      </w:pPr>
    </w:p>
    <w:p w:rsidR="006D57D6" w:rsidRDefault="00634C5D" w:rsidP="00634C5D">
      <w:pPr>
        <w:ind w:left="720" w:hanging="720"/>
        <w:rPr>
          <w:rFonts w:ascii="Times New Roman" w:eastAsia="Calibri" w:hAnsi="Times New Roman" w:cs="Times New Roman"/>
          <w:bCs/>
        </w:rPr>
      </w:pPr>
      <w:r w:rsidRPr="00E7395E">
        <w:rPr>
          <w:rFonts w:ascii="Times New Roman" w:eastAsia="Calibri" w:hAnsi="Times New Roman" w:cs="Times New Roman"/>
        </w:rPr>
        <w:t>Amend</w:t>
      </w:r>
      <w:r w:rsidRPr="00E7395E">
        <w:rPr>
          <w:rFonts w:ascii="Times New Roman" w:eastAsia="Calibri" w:hAnsi="Times New Roman" w:cs="Times New Roman"/>
        </w:rPr>
        <w:tab/>
      </w:r>
      <w:r w:rsidRPr="00E7395E">
        <w:rPr>
          <w:rFonts w:ascii="Times New Roman" w:eastAsia="Calibri" w:hAnsi="Times New Roman" w:cs="Times New Roman"/>
        </w:rPr>
        <w:tab/>
      </w:r>
      <w:r>
        <w:rPr>
          <w:rFonts w:ascii="Times New Roman" w:eastAsia="Calibri" w:hAnsi="Times New Roman" w:cs="Times New Roman"/>
          <w:bCs/>
        </w:rPr>
        <w:t xml:space="preserve">OAR 340-253-8010, 340-253-8020, 340-253-8030, </w:t>
      </w:r>
      <w:r w:rsidRPr="00634C5D">
        <w:rPr>
          <w:rFonts w:ascii="Times New Roman" w:eastAsia="Calibri" w:hAnsi="Times New Roman" w:cs="Times New Roman"/>
          <w:bCs/>
        </w:rPr>
        <w:t>340-253-8040</w:t>
      </w:r>
    </w:p>
    <w:p w:rsidR="00634C5D" w:rsidRPr="006D57D6" w:rsidRDefault="00634C5D" w:rsidP="00634C5D">
      <w:pPr>
        <w:ind w:left="720" w:hanging="720"/>
        <w:rPr>
          <w:rFonts w:ascii="Times New Roman" w:eastAsia="Calibri" w:hAnsi="Times New Roman" w:cs="Times New Roman"/>
          <w:sz w:val="22"/>
          <w:szCs w:val="22"/>
        </w:rPr>
      </w:pPr>
    </w:p>
    <w:p w:rsidR="006D57D6" w:rsidRPr="00E62E99" w:rsidRDefault="006D57D6" w:rsidP="006D57D6">
      <w:pPr>
        <w:ind w:left="0"/>
        <w:rPr>
          <w:rFonts w:ascii="Times New Roman" w:eastAsia="Calibri" w:hAnsi="Times New Roman" w:cs="Times New Roman"/>
          <w:b/>
          <w:sz w:val="28"/>
          <w:szCs w:val="28"/>
        </w:rPr>
      </w:pPr>
      <w:r w:rsidRPr="00E62E99">
        <w:rPr>
          <w:rFonts w:ascii="Times New Roman" w:eastAsia="Calibri" w:hAnsi="Times New Roman" w:cs="Times New Roman"/>
          <w:b/>
          <w:sz w:val="28"/>
          <w:szCs w:val="28"/>
        </w:rPr>
        <w:t>Materials and labor costs increase or savings:</w:t>
      </w:r>
    </w:p>
    <w:p w:rsidR="006D57D6" w:rsidRDefault="006D57D6" w:rsidP="006D57D6">
      <w:pPr>
        <w:ind w:left="0"/>
        <w:rPr>
          <w:rFonts w:ascii="Times New Roman" w:eastAsia="Calibri" w:hAnsi="Times New Roman" w:cs="Times New Roman"/>
          <w:sz w:val="22"/>
          <w:szCs w:val="22"/>
        </w:rPr>
      </w:pPr>
    </w:p>
    <w:p w:rsidR="00634C5D" w:rsidRPr="00634C5D" w:rsidRDefault="00634C5D" w:rsidP="00634C5D">
      <w:pPr>
        <w:ind w:left="0"/>
        <w:rPr>
          <w:rFonts w:ascii="Times New Roman" w:eastAsia="Calibri" w:hAnsi="Times New Roman" w:cs="Times New Roman"/>
        </w:rPr>
      </w:pPr>
      <w:r w:rsidRPr="00634C5D">
        <w:rPr>
          <w:rFonts w:ascii="Times New Roman" w:eastAsia="Calibri" w:hAnsi="Times New Roman" w:cs="Times New Roman"/>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634C5D">
        <w:rPr>
          <w:rFonts w:ascii="Times New Roman" w:eastAsia="Calibri" w:hAnsi="Times New Roman" w:cs="Times New Roman"/>
          <w:bCs/>
        </w:rPr>
        <w:t xml:space="preserve">he proposed rules only affect </w:t>
      </w:r>
      <w:r w:rsidRPr="00634C5D">
        <w:rPr>
          <w:rFonts w:ascii="Times New Roman" w:eastAsia="Calibri" w:hAnsi="Times New Roman" w:cs="Times New Roman"/>
          <w:iCs/>
        </w:rPr>
        <w:t>transportation fuels used in Oregon</w:t>
      </w:r>
      <w:r w:rsidRPr="00634C5D">
        <w:rPr>
          <w:rFonts w:ascii="Times New Roman" w:eastAsia="Calibri" w:hAnsi="Times New Roman" w:cs="Times New Roman"/>
          <w:bCs/>
        </w:rPr>
        <w:t>.</w:t>
      </w:r>
    </w:p>
    <w:p w:rsidR="006D57D6" w:rsidRPr="006D57D6" w:rsidRDefault="006D57D6" w:rsidP="006D57D6">
      <w:pPr>
        <w:ind w:left="0"/>
        <w:rPr>
          <w:rFonts w:ascii="Times New Roman" w:eastAsia="Calibri" w:hAnsi="Times New Roman" w:cs="Times New Roman"/>
          <w:sz w:val="22"/>
          <w:szCs w:val="22"/>
        </w:rPr>
      </w:pPr>
    </w:p>
    <w:p w:rsidR="006D57D6" w:rsidRPr="00E62E99" w:rsidRDefault="006D57D6" w:rsidP="006D57D6">
      <w:pPr>
        <w:ind w:left="0"/>
        <w:rPr>
          <w:rFonts w:ascii="Times New Roman" w:eastAsia="Calibri" w:hAnsi="Times New Roman" w:cs="Times New Roman"/>
          <w:b/>
          <w:sz w:val="28"/>
          <w:szCs w:val="28"/>
        </w:rPr>
      </w:pPr>
      <w:r w:rsidRPr="00E62E99">
        <w:rPr>
          <w:rFonts w:ascii="Times New Roman" w:eastAsia="Calibri" w:hAnsi="Times New Roman" w:cs="Times New Roman"/>
          <w:b/>
          <w:sz w:val="28"/>
          <w:szCs w:val="28"/>
        </w:rPr>
        <w:t>Land costs increase or savings:</w:t>
      </w:r>
    </w:p>
    <w:p w:rsidR="006D57D6" w:rsidRPr="006D57D6" w:rsidRDefault="006D57D6" w:rsidP="006D57D6">
      <w:pPr>
        <w:ind w:left="0"/>
        <w:rPr>
          <w:rFonts w:ascii="Times New Roman" w:eastAsia="Calibri" w:hAnsi="Times New Roman" w:cs="Times New Roman"/>
          <w:sz w:val="22"/>
          <w:szCs w:val="22"/>
        </w:rPr>
      </w:pPr>
    </w:p>
    <w:p w:rsidR="006D57D6" w:rsidRDefault="00634C5D" w:rsidP="006D57D6">
      <w:pPr>
        <w:ind w:left="0"/>
        <w:rPr>
          <w:rFonts w:ascii="Times New Roman" w:eastAsia="Calibri" w:hAnsi="Times New Roman" w:cs="Times New Roman"/>
          <w:sz w:val="22"/>
          <w:szCs w:val="22"/>
        </w:rPr>
      </w:pPr>
      <w:r>
        <w:rPr>
          <w:rFonts w:ascii="Times New Roman" w:eastAsia="Calibri" w:hAnsi="Times New Roman" w:cs="Times New Roman"/>
          <w:sz w:val="22"/>
          <w:szCs w:val="22"/>
        </w:rPr>
        <w:t>None.</w:t>
      </w:r>
    </w:p>
    <w:p w:rsidR="006D57D6" w:rsidRPr="006D57D6" w:rsidRDefault="006D57D6" w:rsidP="006D57D6">
      <w:pPr>
        <w:ind w:left="0"/>
        <w:rPr>
          <w:rFonts w:ascii="Times New Roman" w:eastAsia="Calibri" w:hAnsi="Times New Roman" w:cs="Times New Roman"/>
          <w:sz w:val="22"/>
          <w:szCs w:val="22"/>
        </w:rPr>
      </w:pPr>
    </w:p>
    <w:sectPr w:rsidR="006D57D6" w:rsidRPr="006D57D6" w:rsidSect="00C45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83"/>
    <w:rsid w:val="000032B6"/>
    <w:rsid w:val="00047512"/>
    <w:rsid w:val="0007121C"/>
    <w:rsid w:val="00081375"/>
    <w:rsid w:val="00092BD8"/>
    <w:rsid w:val="00093587"/>
    <w:rsid w:val="000A207D"/>
    <w:rsid w:val="000F3297"/>
    <w:rsid w:val="000F3493"/>
    <w:rsid w:val="0012757B"/>
    <w:rsid w:val="001331DC"/>
    <w:rsid w:val="00173DD9"/>
    <w:rsid w:val="001829E9"/>
    <w:rsid w:val="001843EA"/>
    <w:rsid w:val="001850FB"/>
    <w:rsid w:val="00191F63"/>
    <w:rsid w:val="001B1799"/>
    <w:rsid w:val="001B2C46"/>
    <w:rsid w:val="001C4FC0"/>
    <w:rsid w:val="001D464B"/>
    <w:rsid w:val="001E5899"/>
    <w:rsid w:val="00214E17"/>
    <w:rsid w:val="002273E8"/>
    <w:rsid w:val="00230935"/>
    <w:rsid w:val="002372C8"/>
    <w:rsid w:val="002633DD"/>
    <w:rsid w:val="00266864"/>
    <w:rsid w:val="00276A83"/>
    <w:rsid w:val="0028022B"/>
    <w:rsid w:val="002941E4"/>
    <w:rsid w:val="002C5D32"/>
    <w:rsid w:val="002F205C"/>
    <w:rsid w:val="002F4FAC"/>
    <w:rsid w:val="00303715"/>
    <w:rsid w:val="00313D83"/>
    <w:rsid w:val="00330083"/>
    <w:rsid w:val="003343EF"/>
    <w:rsid w:val="00370282"/>
    <w:rsid w:val="003A3B4D"/>
    <w:rsid w:val="003F55BA"/>
    <w:rsid w:val="00404189"/>
    <w:rsid w:val="00406CA6"/>
    <w:rsid w:val="0041427E"/>
    <w:rsid w:val="004262E6"/>
    <w:rsid w:val="004511AC"/>
    <w:rsid w:val="0045697A"/>
    <w:rsid w:val="00483513"/>
    <w:rsid w:val="00491CBA"/>
    <w:rsid w:val="004A26CB"/>
    <w:rsid w:val="004B07ED"/>
    <w:rsid w:val="004C41B2"/>
    <w:rsid w:val="004D2118"/>
    <w:rsid w:val="004D31F4"/>
    <w:rsid w:val="004E5477"/>
    <w:rsid w:val="004F41B4"/>
    <w:rsid w:val="00502292"/>
    <w:rsid w:val="0053430C"/>
    <w:rsid w:val="00542DAA"/>
    <w:rsid w:val="00555005"/>
    <w:rsid w:val="0057711C"/>
    <w:rsid w:val="005C2368"/>
    <w:rsid w:val="005C7944"/>
    <w:rsid w:val="005D4B41"/>
    <w:rsid w:val="005E5AC6"/>
    <w:rsid w:val="005E65BE"/>
    <w:rsid w:val="00610595"/>
    <w:rsid w:val="006121AD"/>
    <w:rsid w:val="00614C52"/>
    <w:rsid w:val="00634C5D"/>
    <w:rsid w:val="006352D3"/>
    <w:rsid w:val="00641B34"/>
    <w:rsid w:val="0067101D"/>
    <w:rsid w:val="006732E3"/>
    <w:rsid w:val="006748DE"/>
    <w:rsid w:val="00686426"/>
    <w:rsid w:val="006B68FB"/>
    <w:rsid w:val="006D1F14"/>
    <w:rsid w:val="006D57D6"/>
    <w:rsid w:val="00701FFD"/>
    <w:rsid w:val="00711858"/>
    <w:rsid w:val="00717ACA"/>
    <w:rsid w:val="00725AED"/>
    <w:rsid w:val="00766F0B"/>
    <w:rsid w:val="00792438"/>
    <w:rsid w:val="007947AD"/>
    <w:rsid w:val="0079498B"/>
    <w:rsid w:val="007B16BF"/>
    <w:rsid w:val="007C4D22"/>
    <w:rsid w:val="007D6405"/>
    <w:rsid w:val="007E5321"/>
    <w:rsid w:val="007F3BA1"/>
    <w:rsid w:val="0080323F"/>
    <w:rsid w:val="008457D7"/>
    <w:rsid w:val="00863601"/>
    <w:rsid w:val="00882B7B"/>
    <w:rsid w:val="008963A8"/>
    <w:rsid w:val="00897C67"/>
    <w:rsid w:val="008A59D7"/>
    <w:rsid w:val="008C11A0"/>
    <w:rsid w:val="008C4E2F"/>
    <w:rsid w:val="008D041A"/>
    <w:rsid w:val="0090032D"/>
    <w:rsid w:val="00937040"/>
    <w:rsid w:val="009622CC"/>
    <w:rsid w:val="00964C9E"/>
    <w:rsid w:val="00973525"/>
    <w:rsid w:val="00985E75"/>
    <w:rsid w:val="009B355B"/>
    <w:rsid w:val="009C0F09"/>
    <w:rsid w:val="009C3879"/>
    <w:rsid w:val="009C4F7D"/>
    <w:rsid w:val="009D49B4"/>
    <w:rsid w:val="00A075B4"/>
    <w:rsid w:val="00A17568"/>
    <w:rsid w:val="00A26526"/>
    <w:rsid w:val="00A26960"/>
    <w:rsid w:val="00A55CA9"/>
    <w:rsid w:val="00A71866"/>
    <w:rsid w:val="00A935CD"/>
    <w:rsid w:val="00AA26A6"/>
    <w:rsid w:val="00AA2895"/>
    <w:rsid w:val="00AA29E8"/>
    <w:rsid w:val="00AD1E18"/>
    <w:rsid w:val="00AD5B9D"/>
    <w:rsid w:val="00B144AF"/>
    <w:rsid w:val="00B14677"/>
    <w:rsid w:val="00B24236"/>
    <w:rsid w:val="00B25CFE"/>
    <w:rsid w:val="00B53BBC"/>
    <w:rsid w:val="00B63031"/>
    <w:rsid w:val="00B649E8"/>
    <w:rsid w:val="00B65424"/>
    <w:rsid w:val="00B84510"/>
    <w:rsid w:val="00B93DED"/>
    <w:rsid w:val="00BC6EC4"/>
    <w:rsid w:val="00BF3450"/>
    <w:rsid w:val="00BF5D1A"/>
    <w:rsid w:val="00C058FB"/>
    <w:rsid w:val="00C17F8C"/>
    <w:rsid w:val="00C2127D"/>
    <w:rsid w:val="00C27FD4"/>
    <w:rsid w:val="00C37057"/>
    <w:rsid w:val="00C45B78"/>
    <w:rsid w:val="00C539F3"/>
    <w:rsid w:val="00C61511"/>
    <w:rsid w:val="00C9595A"/>
    <w:rsid w:val="00CC5405"/>
    <w:rsid w:val="00CE15F0"/>
    <w:rsid w:val="00CE72B3"/>
    <w:rsid w:val="00CF1678"/>
    <w:rsid w:val="00CF4CFA"/>
    <w:rsid w:val="00D11374"/>
    <w:rsid w:val="00D37689"/>
    <w:rsid w:val="00D56F36"/>
    <w:rsid w:val="00D6283B"/>
    <w:rsid w:val="00D86A27"/>
    <w:rsid w:val="00DA68A0"/>
    <w:rsid w:val="00DB098B"/>
    <w:rsid w:val="00DC28F9"/>
    <w:rsid w:val="00DE03D0"/>
    <w:rsid w:val="00DF5D04"/>
    <w:rsid w:val="00E0293E"/>
    <w:rsid w:val="00E0408C"/>
    <w:rsid w:val="00E14BA4"/>
    <w:rsid w:val="00E2312F"/>
    <w:rsid w:val="00E24C44"/>
    <w:rsid w:val="00E31E64"/>
    <w:rsid w:val="00E34A04"/>
    <w:rsid w:val="00E4581E"/>
    <w:rsid w:val="00E61A74"/>
    <w:rsid w:val="00E62E99"/>
    <w:rsid w:val="00E7165B"/>
    <w:rsid w:val="00EA5B10"/>
    <w:rsid w:val="00EA5DA8"/>
    <w:rsid w:val="00ED048B"/>
    <w:rsid w:val="00ED146B"/>
    <w:rsid w:val="00ED6E5E"/>
    <w:rsid w:val="00EF2809"/>
    <w:rsid w:val="00F00DCD"/>
    <w:rsid w:val="00F23647"/>
    <w:rsid w:val="00F65756"/>
    <w:rsid w:val="00F7042C"/>
    <w:rsid w:val="00F81F4C"/>
    <w:rsid w:val="00F82A2B"/>
    <w:rsid w:val="00F911FA"/>
    <w:rsid w:val="00F962DA"/>
    <w:rsid w:val="00F971EB"/>
    <w:rsid w:val="00FB0602"/>
    <w:rsid w:val="00FB2290"/>
    <w:rsid w:val="00FB3A80"/>
    <w:rsid w:val="00FC68C6"/>
    <w:rsid w:val="00FE166F"/>
    <w:rsid w:val="00F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A5E0A-2606-4AC6-AF94-B620729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083"/>
    <w:pPr>
      <w:spacing w:after="0" w:line="240" w:lineRule="auto"/>
      <w:ind w:left="2880"/>
      <w:jc w:val="left"/>
    </w:pPr>
    <w:rPr>
      <w:rFonts w:ascii="Arial" w:hAnsi="Arial" w:cs="Arial"/>
      <w:sz w:val="24"/>
      <w:szCs w:val="24"/>
      <w:lang w:bidi="ar-SA"/>
    </w:rPr>
  </w:style>
  <w:style w:type="paragraph" w:styleId="Heading1">
    <w:name w:val="heading 1"/>
    <w:basedOn w:val="Normal"/>
    <w:next w:val="Normal"/>
    <w:link w:val="Heading1Char"/>
    <w:uiPriority w:val="9"/>
    <w:qFormat/>
    <w:rsid w:val="002F4FAC"/>
    <w:pPr>
      <w:spacing w:before="300" w:after="40" w:line="276" w:lineRule="auto"/>
      <w:ind w:left="0"/>
      <w:outlineLvl w:val="0"/>
    </w:pPr>
    <w:rPr>
      <w:rFonts w:asciiTheme="minorHAnsi" w:hAnsiTheme="minorHAnsi" w:cstheme="minorBidi"/>
      <w:smallCaps/>
      <w:spacing w:val="5"/>
      <w:sz w:val="32"/>
      <w:szCs w:val="32"/>
      <w:lang w:bidi="en-US"/>
    </w:rPr>
  </w:style>
  <w:style w:type="paragraph" w:styleId="Heading2">
    <w:name w:val="heading 2"/>
    <w:basedOn w:val="Normal"/>
    <w:next w:val="Normal"/>
    <w:link w:val="Heading2Char"/>
    <w:uiPriority w:val="9"/>
    <w:semiHidden/>
    <w:unhideWhenUsed/>
    <w:qFormat/>
    <w:rsid w:val="002F4FAC"/>
    <w:pPr>
      <w:spacing w:before="240" w:after="80" w:line="276" w:lineRule="auto"/>
      <w:ind w:left="0"/>
      <w:outlineLvl w:val="1"/>
    </w:pPr>
    <w:rPr>
      <w:rFonts w:asciiTheme="minorHAnsi" w:hAnsiTheme="minorHAnsi" w:cstheme="minorBidi"/>
      <w:smallCaps/>
      <w:spacing w:val="5"/>
      <w:sz w:val="28"/>
      <w:szCs w:val="28"/>
      <w:lang w:bidi="en-US"/>
    </w:rPr>
  </w:style>
  <w:style w:type="paragraph" w:styleId="Heading3">
    <w:name w:val="heading 3"/>
    <w:basedOn w:val="Normal"/>
    <w:next w:val="Normal"/>
    <w:link w:val="Heading3Char"/>
    <w:uiPriority w:val="9"/>
    <w:semiHidden/>
    <w:unhideWhenUsed/>
    <w:qFormat/>
    <w:rsid w:val="002F4FAC"/>
    <w:pPr>
      <w:spacing w:line="276" w:lineRule="auto"/>
      <w:ind w:left="0"/>
      <w:outlineLvl w:val="2"/>
    </w:pPr>
    <w:rPr>
      <w:rFonts w:asciiTheme="minorHAnsi" w:hAnsiTheme="minorHAnsi" w:cstheme="minorBidi"/>
      <w:smallCaps/>
      <w:spacing w:val="5"/>
      <w:lang w:bidi="en-US"/>
    </w:rPr>
  </w:style>
  <w:style w:type="paragraph" w:styleId="Heading4">
    <w:name w:val="heading 4"/>
    <w:basedOn w:val="Normal"/>
    <w:next w:val="Normal"/>
    <w:link w:val="Heading4Char"/>
    <w:uiPriority w:val="9"/>
    <w:semiHidden/>
    <w:unhideWhenUsed/>
    <w:qFormat/>
    <w:rsid w:val="002F4FAC"/>
    <w:pPr>
      <w:spacing w:before="240" w:line="276" w:lineRule="auto"/>
      <w:ind w:left="0"/>
      <w:outlineLvl w:val="3"/>
    </w:pPr>
    <w:rPr>
      <w:rFonts w:asciiTheme="minorHAnsi" w:hAnsiTheme="minorHAnsi" w:cstheme="minorBidi"/>
      <w:smallCaps/>
      <w:spacing w:val="10"/>
      <w:sz w:val="22"/>
      <w:szCs w:val="22"/>
      <w:lang w:bidi="en-US"/>
    </w:rPr>
  </w:style>
  <w:style w:type="paragraph" w:styleId="Heading5">
    <w:name w:val="heading 5"/>
    <w:basedOn w:val="Normal"/>
    <w:next w:val="Normal"/>
    <w:link w:val="Heading5Char"/>
    <w:uiPriority w:val="9"/>
    <w:semiHidden/>
    <w:unhideWhenUsed/>
    <w:qFormat/>
    <w:rsid w:val="002F4FAC"/>
    <w:pPr>
      <w:spacing w:before="200" w:line="276" w:lineRule="auto"/>
      <w:ind w:left="0"/>
      <w:outlineLvl w:val="4"/>
    </w:pPr>
    <w:rPr>
      <w:rFonts w:asciiTheme="minorHAnsi" w:hAnsiTheme="minorHAnsi" w:cstheme="minorBidi"/>
      <w:smallCaps/>
      <w:color w:val="988600" w:themeColor="accent2" w:themeShade="BF"/>
      <w:spacing w:val="10"/>
      <w:sz w:val="22"/>
      <w:szCs w:val="26"/>
      <w:lang w:bidi="en-US"/>
    </w:rPr>
  </w:style>
  <w:style w:type="paragraph" w:styleId="Heading6">
    <w:name w:val="heading 6"/>
    <w:basedOn w:val="Normal"/>
    <w:next w:val="Normal"/>
    <w:link w:val="Heading6Char"/>
    <w:uiPriority w:val="9"/>
    <w:semiHidden/>
    <w:unhideWhenUsed/>
    <w:qFormat/>
    <w:rsid w:val="002F4FAC"/>
    <w:pPr>
      <w:spacing w:line="276" w:lineRule="auto"/>
      <w:ind w:left="0"/>
      <w:outlineLvl w:val="5"/>
    </w:pPr>
    <w:rPr>
      <w:rFonts w:asciiTheme="minorHAnsi" w:hAnsiTheme="minorHAnsi" w:cstheme="minorBidi"/>
      <w:smallCaps/>
      <w:color w:val="CCB400" w:themeColor="accent2"/>
      <w:spacing w:val="5"/>
      <w:sz w:val="22"/>
      <w:szCs w:val="20"/>
      <w:lang w:bidi="en-US"/>
    </w:rPr>
  </w:style>
  <w:style w:type="paragraph" w:styleId="Heading7">
    <w:name w:val="heading 7"/>
    <w:basedOn w:val="Normal"/>
    <w:next w:val="Normal"/>
    <w:link w:val="Heading7Char"/>
    <w:uiPriority w:val="9"/>
    <w:semiHidden/>
    <w:unhideWhenUsed/>
    <w:qFormat/>
    <w:rsid w:val="002F4FAC"/>
    <w:pPr>
      <w:spacing w:line="276" w:lineRule="auto"/>
      <w:ind w:left="0"/>
      <w:outlineLvl w:val="6"/>
    </w:pPr>
    <w:rPr>
      <w:rFonts w:asciiTheme="minorHAnsi" w:hAnsiTheme="minorHAnsi" w:cstheme="minorBidi"/>
      <w:b/>
      <w:smallCaps/>
      <w:color w:val="CCB400" w:themeColor="accent2"/>
      <w:spacing w:val="10"/>
      <w:sz w:val="20"/>
      <w:szCs w:val="20"/>
      <w:lang w:bidi="en-US"/>
    </w:rPr>
  </w:style>
  <w:style w:type="paragraph" w:styleId="Heading8">
    <w:name w:val="heading 8"/>
    <w:basedOn w:val="Normal"/>
    <w:next w:val="Normal"/>
    <w:link w:val="Heading8Char"/>
    <w:uiPriority w:val="9"/>
    <w:semiHidden/>
    <w:unhideWhenUsed/>
    <w:qFormat/>
    <w:rsid w:val="002F4FAC"/>
    <w:pPr>
      <w:spacing w:line="276" w:lineRule="auto"/>
      <w:ind w:left="0"/>
      <w:outlineLvl w:val="7"/>
    </w:pPr>
    <w:rPr>
      <w:rFonts w:asciiTheme="minorHAnsi" w:hAnsiTheme="minorHAnsi" w:cstheme="minorBidi"/>
      <w:b/>
      <w:i/>
      <w:smallCaps/>
      <w:color w:val="988600" w:themeColor="accent2" w:themeShade="BF"/>
      <w:sz w:val="20"/>
      <w:szCs w:val="20"/>
      <w:lang w:bidi="en-US"/>
    </w:rPr>
  </w:style>
  <w:style w:type="paragraph" w:styleId="Heading9">
    <w:name w:val="heading 9"/>
    <w:basedOn w:val="Normal"/>
    <w:next w:val="Normal"/>
    <w:link w:val="Heading9Char"/>
    <w:uiPriority w:val="9"/>
    <w:semiHidden/>
    <w:unhideWhenUsed/>
    <w:qFormat/>
    <w:rsid w:val="002F4FAC"/>
    <w:pPr>
      <w:spacing w:line="276" w:lineRule="auto"/>
      <w:ind w:left="0"/>
      <w:outlineLvl w:val="8"/>
    </w:pPr>
    <w:rPr>
      <w:rFonts w:asciiTheme="minorHAnsi" w:hAnsiTheme="minorHAnsi" w:cstheme="minorBidi"/>
      <w:b/>
      <w:i/>
      <w:smallCaps/>
      <w:color w:val="655900" w:themeColor="accent2" w:themeShade="7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spacing w:after="200" w:line="276" w:lineRule="auto"/>
      <w:ind w:left="720"/>
      <w:contextualSpacing/>
      <w:jc w:val="both"/>
    </w:pPr>
    <w:rPr>
      <w:rFonts w:asciiTheme="minorHAnsi" w:hAnsiTheme="minorHAnsi" w:cstheme="minorBidi"/>
      <w:sz w:val="20"/>
      <w:szCs w:val="20"/>
      <w:lang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spacing w:after="200" w:line="276" w:lineRule="auto"/>
      <w:ind w:left="0"/>
      <w:jc w:val="both"/>
    </w:pPr>
    <w:rPr>
      <w:rFonts w:asciiTheme="minorHAnsi" w:hAnsiTheme="minorHAnsi" w:cstheme="minorBidi"/>
      <w:b/>
      <w:bCs/>
      <w:caps/>
      <w:sz w:val="16"/>
      <w:szCs w:val="18"/>
      <w:lang w:bidi="en-US"/>
    </w:rPr>
  </w:style>
  <w:style w:type="paragraph" w:styleId="Title">
    <w:name w:val="Title"/>
    <w:basedOn w:val="Normal"/>
    <w:next w:val="Normal"/>
    <w:link w:val="TitleChar"/>
    <w:uiPriority w:val="10"/>
    <w:qFormat/>
    <w:rsid w:val="002F4FAC"/>
    <w:pPr>
      <w:pBdr>
        <w:top w:val="single" w:sz="12" w:space="1" w:color="CCB400" w:themeColor="accent2"/>
      </w:pBdr>
      <w:spacing w:after="200"/>
      <w:ind w:left="0"/>
      <w:jc w:val="right"/>
    </w:pPr>
    <w:rPr>
      <w:rFonts w:asciiTheme="minorHAnsi" w:hAnsiTheme="minorHAnsi" w:cstheme="minorBidi"/>
      <w:smallCaps/>
      <w:sz w:val="48"/>
      <w:szCs w:val="48"/>
      <w:lang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ind w:left="0"/>
      <w:jc w:val="right"/>
    </w:pPr>
    <w:rPr>
      <w:rFonts w:asciiTheme="majorHAnsi" w:eastAsiaTheme="majorEastAsia" w:hAnsiTheme="majorHAnsi" w:cstheme="majorBidi"/>
      <w:sz w:val="20"/>
      <w:szCs w:val="22"/>
      <w:lang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ind w:left="0"/>
      <w:jc w:val="both"/>
    </w:pPr>
    <w:rPr>
      <w:rFonts w:asciiTheme="minorHAnsi" w:hAnsiTheme="minorHAnsi" w:cstheme="minorBidi"/>
      <w:sz w:val="20"/>
      <w:szCs w:val="20"/>
      <w:lang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spacing w:after="200" w:line="276" w:lineRule="auto"/>
      <w:ind w:left="0"/>
      <w:jc w:val="both"/>
    </w:pPr>
    <w:rPr>
      <w:rFonts w:asciiTheme="minorHAnsi" w:hAnsiTheme="minorHAnsi" w:cstheme="minorBidi"/>
      <w:i/>
      <w:sz w:val="20"/>
      <w:szCs w:val="20"/>
      <w:lang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line="276" w:lineRule="auto"/>
      <w:ind w:left="1440" w:right="1440"/>
      <w:jc w:val="both"/>
    </w:pPr>
    <w:rPr>
      <w:rFonts w:asciiTheme="minorHAnsi" w:hAnsiTheme="minorHAnsi" w:cstheme="minorBidi"/>
      <w:b/>
      <w:i/>
      <w:color w:val="FFFFFF" w:themeColor="background1"/>
      <w:sz w:val="20"/>
      <w:szCs w:val="20"/>
      <w:lang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TableGrid1">
    <w:name w:val="Table Grid1"/>
    <w:basedOn w:val="TableNormal"/>
    <w:next w:val="TableGrid"/>
    <w:uiPriority w:val="59"/>
    <w:rsid w:val="006D57D6"/>
    <w:pPr>
      <w:spacing w:after="0" w:line="240" w:lineRule="auto"/>
      <w:jc w:val="left"/>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2E99"/>
    <w:pPr>
      <w:spacing w:after="0" w:line="240" w:lineRule="auto"/>
      <w:ind w:left="2880"/>
      <w:jc w:val="left"/>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713</Words>
  <Characters>3861</Characters>
  <Application>Microsoft Office Word</Application>
  <DocSecurity>0</DocSecurity>
  <Lines>193</Lines>
  <Paragraphs>147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HNIDEY Emil</cp:lastModifiedBy>
  <cp:revision>5</cp:revision>
  <dcterms:created xsi:type="dcterms:W3CDTF">2016-06-10T15:40:00Z</dcterms:created>
  <dcterms:modified xsi:type="dcterms:W3CDTF">2016-06-10T15:58:00Z</dcterms:modified>
</cp:coreProperties>
</file>