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4B" w:rsidRDefault="00B21E4B" w:rsidP="00B21E4B">
      <w:pPr>
        <w:ind w:right="144"/>
        <w:rPr>
          <w:b/>
          <w:bCs/>
        </w:rPr>
      </w:pPr>
      <w:r w:rsidRPr="00AF4FBA">
        <w:rPr>
          <w:b/>
          <w:bCs/>
        </w:rPr>
        <w:t>340-253-8030</w:t>
      </w:r>
    </w:p>
    <w:p w:rsidR="00B21E4B" w:rsidRPr="00AF4FBA" w:rsidRDefault="00B21E4B" w:rsidP="00B21E4B">
      <w:pPr>
        <w:ind w:right="144"/>
      </w:pPr>
    </w:p>
    <w:p w:rsidR="00B21E4B" w:rsidRDefault="00B21E4B" w:rsidP="00B21E4B">
      <w:pPr>
        <w:spacing w:after="100" w:afterAutospacing="1"/>
        <w:ind w:right="144"/>
      </w:pPr>
      <w:r w:rsidRPr="00AF4FBA">
        <w:rPr>
          <w:b/>
          <w:bCs/>
        </w:rPr>
        <w:t>Table 3 — Oregon Carbon Intensity Lookup Table for Gasoline and Gasoline Substitutes</w:t>
      </w:r>
      <w:r w:rsidRPr="00AF4FBA">
        <w:t xml:space="preserve"> </w:t>
      </w:r>
    </w:p>
    <w:tbl>
      <w:tblPr>
        <w:tblStyle w:val="TableGrid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B21E4B" w:rsidRPr="002A632C" w:rsidTr="00735DEC">
        <w:trPr>
          <w:trHeight w:val="1498"/>
          <w:tblHeader/>
        </w:trPr>
        <w:tc>
          <w:tcPr>
            <w:tcW w:w="9450" w:type="dxa"/>
            <w:gridSpan w:val="6"/>
            <w:shd w:val="clear" w:color="auto" w:fill="008272"/>
            <w:vAlign w:val="center"/>
          </w:tcPr>
          <w:p w:rsidR="00B21E4B" w:rsidRPr="002A632C" w:rsidRDefault="00B21E4B" w:rsidP="00735DEC">
            <w:pPr>
              <w:ind w:left="76"/>
              <w:jc w:val="center"/>
              <w:rPr>
                <w:rFonts w:ascii="Arial" w:hAnsi="Arial" w:cs="Arial"/>
                <w:color w:val="FFFFFF"/>
                <w:lang w:bidi="en-US"/>
              </w:rPr>
            </w:pPr>
            <w:r w:rsidRPr="002A632C">
              <w:rPr>
                <w:rFonts w:ascii="Arial" w:hAnsi="Arial" w:cs="Arial"/>
                <w:color w:val="FFFFFF"/>
              </w:rPr>
              <w:t>Oregon Department of Environmental Quality</w:t>
            </w:r>
          </w:p>
          <w:p w:rsidR="00B21E4B" w:rsidRPr="002A632C" w:rsidRDefault="00B21E4B" w:rsidP="00735DEC">
            <w:pPr>
              <w:ind w:left="76"/>
              <w:jc w:val="center"/>
              <w:rPr>
                <w:rFonts w:ascii="Arial" w:hAnsi="Arial" w:cs="Arial"/>
                <w:color w:val="FFFFFF"/>
                <w:lang w:bidi="en-US"/>
              </w:rPr>
            </w:pPr>
          </w:p>
          <w:p w:rsidR="00B21E4B" w:rsidRPr="002A632C" w:rsidRDefault="00B21E4B" w:rsidP="00735DEC">
            <w:pPr>
              <w:ind w:left="76"/>
              <w:jc w:val="center"/>
              <w:rPr>
                <w:rFonts w:ascii="Arial" w:hAnsi="Arial" w:cs="Arial"/>
                <w:color w:val="FFFFFF"/>
                <w:lang w:bidi="en-US"/>
              </w:rPr>
            </w:pPr>
            <w:r>
              <w:rPr>
                <w:rFonts w:ascii="Arial" w:hAnsi="Arial" w:cs="Arial"/>
                <w:color w:val="FFFFFF"/>
              </w:rPr>
              <w:t>Table 3 – 340-253-8030</w:t>
            </w:r>
            <w:r w:rsidRPr="002A632C">
              <w:rPr>
                <w:rFonts w:ascii="Arial" w:hAnsi="Arial" w:cs="Arial"/>
                <w:color w:val="FFFFFF"/>
              </w:rPr>
              <w:t xml:space="preserve"> </w:t>
            </w:r>
          </w:p>
          <w:p w:rsidR="00B21E4B" w:rsidRPr="002A632C" w:rsidRDefault="00B21E4B" w:rsidP="00735DEC">
            <w:pPr>
              <w:ind w:left="76"/>
              <w:jc w:val="center"/>
              <w:rPr>
                <w:rFonts w:ascii="Arial" w:hAnsi="Arial" w:cs="Arial"/>
                <w:color w:val="FFFFFF"/>
                <w:lang w:bidi="en-US"/>
              </w:rPr>
            </w:pPr>
          </w:p>
          <w:p w:rsidR="00B21E4B" w:rsidRPr="00516B13" w:rsidRDefault="00B21E4B" w:rsidP="00735DEC">
            <w:pPr>
              <w:ind w:left="76"/>
              <w:jc w:val="center"/>
              <w:rPr>
                <w:rFonts w:ascii="Arial" w:hAnsi="Arial" w:cs="Arial"/>
                <w:color w:val="FFFFFF"/>
                <w:lang w:bidi="en-US"/>
              </w:rPr>
            </w:pPr>
            <w:r w:rsidRPr="00516B13">
              <w:rPr>
                <w:rFonts w:ascii="Arial" w:hAnsi="Arial" w:cs="Arial"/>
                <w:b/>
                <w:color w:val="FFFFFF"/>
              </w:rPr>
              <w:t>Oregon Carbon Intensity Lookup Table for Gasoline and Gasoline Substitutes</w:t>
            </w:r>
          </w:p>
        </w:tc>
      </w:tr>
      <w:tr w:rsidR="00B21E4B" w:rsidRPr="002A632C" w:rsidTr="0003784E">
        <w:tc>
          <w:tcPr>
            <w:tcW w:w="1522" w:type="dxa"/>
            <w:vMerge w:val="restart"/>
            <w:shd w:val="clear" w:color="auto" w:fill="B1DDCD"/>
            <w:vAlign w:val="center"/>
          </w:tcPr>
          <w:p w:rsidR="00B21E4B" w:rsidRPr="002A632C" w:rsidRDefault="00B21E4B" w:rsidP="00735DEC">
            <w:pPr>
              <w:ind w:left="76"/>
              <w:jc w:val="center"/>
              <w:rPr>
                <w:rFonts w:ascii="Arial" w:hAnsi="Arial" w:cs="Arial"/>
                <w:b/>
                <w:color w:val="000000"/>
              </w:rPr>
            </w:pPr>
            <w:r w:rsidRPr="002A632C">
              <w:rPr>
                <w:rFonts w:ascii="Arial" w:hAnsi="Arial" w:cs="Arial"/>
                <w:b/>
                <w:color w:val="000000"/>
              </w:rPr>
              <w:t>Fuel</w:t>
            </w:r>
          </w:p>
        </w:tc>
        <w:tc>
          <w:tcPr>
            <w:tcW w:w="1620" w:type="dxa"/>
            <w:vMerge w:val="restart"/>
            <w:shd w:val="clear" w:color="auto" w:fill="B1DDCD"/>
            <w:vAlign w:val="center"/>
          </w:tcPr>
          <w:p w:rsidR="00B21E4B" w:rsidRPr="002A632C" w:rsidRDefault="00B21E4B" w:rsidP="00735DEC">
            <w:pPr>
              <w:ind w:left="76"/>
              <w:jc w:val="center"/>
              <w:rPr>
                <w:rFonts w:ascii="Arial" w:hAnsi="Arial" w:cs="Arial"/>
                <w:b/>
                <w:color w:val="000000"/>
              </w:rPr>
            </w:pPr>
            <w:r w:rsidRPr="002A632C">
              <w:rPr>
                <w:rFonts w:ascii="Arial" w:hAnsi="Arial" w:cs="Arial"/>
                <w:b/>
                <w:color w:val="000000"/>
              </w:rPr>
              <w:t>Pathway Identifier</w:t>
            </w:r>
          </w:p>
        </w:tc>
        <w:tc>
          <w:tcPr>
            <w:tcW w:w="2378" w:type="dxa"/>
            <w:vMerge w:val="restart"/>
            <w:shd w:val="clear" w:color="auto" w:fill="B1DDCD"/>
            <w:vAlign w:val="center"/>
          </w:tcPr>
          <w:p w:rsidR="00B21E4B" w:rsidRPr="002A632C" w:rsidRDefault="00B21E4B" w:rsidP="00735DEC">
            <w:pPr>
              <w:ind w:left="76"/>
              <w:jc w:val="center"/>
              <w:rPr>
                <w:rFonts w:ascii="Arial" w:hAnsi="Arial" w:cs="Arial"/>
                <w:b/>
                <w:color w:val="000000"/>
              </w:rPr>
            </w:pPr>
            <w:r w:rsidRPr="002A632C">
              <w:rPr>
                <w:rFonts w:ascii="Arial" w:hAnsi="Arial" w:cs="Arial"/>
                <w:b/>
                <w:color w:val="000000"/>
              </w:rPr>
              <w:t>Pathway Description</w:t>
            </w:r>
          </w:p>
        </w:tc>
        <w:tc>
          <w:tcPr>
            <w:tcW w:w="3930" w:type="dxa"/>
            <w:gridSpan w:val="3"/>
            <w:shd w:val="clear" w:color="auto" w:fill="B1DDCD"/>
            <w:vAlign w:val="center"/>
          </w:tcPr>
          <w:p w:rsidR="00B21E4B" w:rsidRPr="002A632C" w:rsidRDefault="00B21E4B" w:rsidP="00735DEC">
            <w:pPr>
              <w:ind w:left="76"/>
              <w:jc w:val="center"/>
              <w:rPr>
                <w:rFonts w:ascii="Arial" w:hAnsi="Arial" w:cs="Arial"/>
                <w:b/>
                <w:color w:val="000000"/>
              </w:rPr>
            </w:pPr>
            <w:r w:rsidRPr="002A632C">
              <w:rPr>
                <w:rFonts w:ascii="Arial" w:hAnsi="Arial" w:cs="Arial"/>
                <w:b/>
                <w:color w:val="000000"/>
              </w:rPr>
              <w:t>Carbon Intensity Values (gCO2e/MJ)</w:t>
            </w:r>
          </w:p>
        </w:tc>
      </w:tr>
      <w:tr w:rsidR="00B21E4B" w:rsidRPr="002A632C" w:rsidTr="0003784E">
        <w:tc>
          <w:tcPr>
            <w:tcW w:w="1522" w:type="dxa"/>
            <w:vMerge/>
            <w:shd w:val="clear" w:color="auto" w:fill="B1DDCD"/>
            <w:vAlign w:val="center"/>
          </w:tcPr>
          <w:p w:rsidR="00B21E4B" w:rsidRPr="002A632C" w:rsidRDefault="00B21E4B" w:rsidP="00735DEC">
            <w:pPr>
              <w:ind w:left="76"/>
              <w:jc w:val="center"/>
              <w:rPr>
                <w:rFonts w:ascii="Arial" w:hAnsi="Arial" w:cs="Arial"/>
                <w:color w:val="000000"/>
              </w:rPr>
            </w:pPr>
          </w:p>
        </w:tc>
        <w:tc>
          <w:tcPr>
            <w:tcW w:w="1620" w:type="dxa"/>
            <w:vMerge/>
            <w:shd w:val="clear" w:color="auto" w:fill="B1DDCD"/>
            <w:vAlign w:val="center"/>
          </w:tcPr>
          <w:p w:rsidR="00B21E4B" w:rsidRPr="002A632C" w:rsidRDefault="00B21E4B" w:rsidP="00735DEC">
            <w:pPr>
              <w:ind w:left="76"/>
              <w:jc w:val="center"/>
              <w:rPr>
                <w:rFonts w:ascii="Arial" w:hAnsi="Arial" w:cs="Arial"/>
                <w:color w:val="000000"/>
              </w:rPr>
            </w:pPr>
          </w:p>
        </w:tc>
        <w:tc>
          <w:tcPr>
            <w:tcW w:w="2378" w:type="dxa"/>
            <w:vMerge/>
            <w:shd w:val="clear" w:color="auto" w:fill="B1DDCD"/>
            <w:vAlign w:val="center"/>
          </w:tcPr>
          <w:p w:rsidR="00B21E4B" w:rsidRPr="002A632C" w:rsidRDefault="00B21E4B" w:rsidP="00735DEC">
            <w:pPr>
              <w:ind w:left="76"/>
              <w:jc w:val="center"/>
              <w:rPr>
                <w:rFonts w:ascii="Arial" w:hAnsi="Arial" w:cs="Arial"/>
                <w:color w:val="000000"/>
              </w:rPr>
            </w:pPr>
          </w:p>
        </w:tc>
        <w:tc>
          <w:tcPr>
            <w:tcW w:w="1410" w:type="dxa"/>
            <w:shd w:val="clear" w:color="auto" w:fill="B1DDCD"/>
            <w:vAlign w:val="center"/>
          </w:tcPr>
          <w:p w:rsidR="00B21E4B" w:rsidRPr="002A632C" w:rsidRDefault="00B21E4B" w:rsidP="00735DEC">
            <w:pPr>
              <w:ind w:left="76"/>
              <w:jc w:val="center"/>
              <w:rPr>
                <w:rFonts w:ascii="Arial" w:hAnsi="Arial" w:cs="Arial"/>
                <w:b/>
                <w:color w:val="000000"/>
              </w:rPr>
            </w:pPr>
            <w:r w:rsidRPr="002A632C">
              <w:rPr>
                <w:rFonts w:ascii="Arial" w:hAnsi="Arial" w:cs="Arial"/>
                <w:b/>
                <w:color w:val="000000"/>
              </w:rPr>
              <w:t>Direct Lifecycle Emissions</w:t>
            </w:r>
          </w:p>
        </w:tc>
        <w:tc>
          <w:tcPr>
            <w:tcW w:w="1260" w:type="dxa"/>
            <w:shd w:val="clear" w:color="auto" w:fill="B1DDCD"/>
            <w:vAlign w:val="center"/>
          </w:tcPr>
          <w:p w:rsidR="00B21E4B" w:rsidRPr="002A632C" w:rsidRDefault="00B21E4B" w:rsidP="00735DEC">
            <w:pPr>
              <w:ind w:left="76"/>
              <w:jc w:val="center"/>
              <w:rPr>
                <w:rFonts w:ascii="Arial" w:hAnsi="Arial" w:cs="Arial"/>
                <w:b/>
                <w:color w:val="000000"/>
              </w:rPr>
            </w:pPr>
            <w:r w:rsidRPr="002A632C">
              <w:rPr>
                <w:rFonts w:ascii="Arial" w:hAnsi="Arial" w:cs="Arial"/>
                <w:b/>
                <w:color w:val="000000"/>
              </w:rPr>
              <w:t>Land Use or Other Indirect Effect</w:t>
            </w:r>
          </w:p>
        </w:tc>
        <w:tc>
          <w:tcPr>
            <w:tcW w:w="1260" w:type="dxa"/>
            <w:shd w:val="clear" w:color="auto" w:fill="B1DDCD"/>
            <w:vAlign w:val="center"/>
          </w:tcPr>
          <w:p w:rsidR="00B21E4B" w:rsidRPr="002A632C" w:rsidRDefault="00B21E4B" w:rsidP="00735DEC">
            <w:pPr>
              <w:ind w:left="76"/>
              <w:jc w:val="center"/>
              <w:rPr>
                <w:rFonts w:ascii="Arial" w:hAnsi="Arial" w:cs="Arial"/>
                <w:b/>
                <w:color w:val="000000"/>
              </w:rPr>
            </w:pPr>
            <w:r w:rsidRPr="002A632C">
              <w:rPr>
                <w:rFonts w:ascii="Arial" w:hAnsi="Arial" w:cs="Arial"/>
                <w:b/>
                <w:color w:val="000000"/>
              </w:rPr>
              <w:t>Total Emissions</w:t>
            </w:r>
          </w:p>
        </w:tc>
      </w:tr>
      <w:tr w:rsidR="00B21E4B" w:rsidRPr="002A632C" w:rsidTr="0003784E">
        <w:tc>
          <w:tcPr>
            <w:tcW w:w="1522" w:type="dxa"/>
            <w:vMerge w:val="restart"/>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Gasoline</w:t>
            </w: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ORGAS001</w:t>
            </w:r>
          </w:p>
        </w:tc>
        <w:tc>
          <w:tcPr>
            <w:tcW w:w="2378"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Clear gasoline - based on a weighted average of gasoline supplied to Oregon</w:t>
            </w:r>
          </w:p>
        </w:tc>
        <w:tc>
          <w:tcPr>
            <w:tcW w:w="141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100.77</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100.77</w:t>
            </w:r>
          </w:p>
        </w:tc>
      </w:tr>
      <w:tr w:rsidR="00B21E4B" w:rsidRPr="002A632C" w:rsidTr="0003784E">
        <w:tc>
          <w:tcPr>
            <w:tcW w:w="1522" w:type="dxa"/>
            <w:vMerge/>
            <w:shd w:val="clear" w:color="auto" w:fill="auto"/>
            <w:vAlign w:val="center"/>
          </w:tcPr>
          <w:p w:rsidR="00B21E4B" w:rsidRPr="002A632C" w:rsidRDefault="00B21E4B" w:rsidP="00735DEC">
            <w:pPr>
              <w:ind w:left="76"/>
              <w:jc w:val="center"/>
              <w:rPr>
                <w:rFonts w:ascii="Arial" w:hAnsi="Arial" w:cs="Arial"/>
                <w:color w:val="000000"/>
              </w:rPr>
            </w:pP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ORGAS002</w:t>
            </w:r>
          </w:p>
        </w:tc>
        <w:tc>
          <w:tcPr>
            <w:tcW w:w="2378"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 xml:space="preserve">Blended gasoline (E10) - 90% clear gasoline &amp; 10% corn ethanol based on Midwest average </w:t>
            </w:r>
          </w:p>
        </w:tc>
        <w:tc>
          <w:tcPr>
            <w:tcW w:w="1410" w:type="dxa"/>
            <w:shd w:val="clear" w:color="auto" w:fill="auto"/>
            <w:vAlign w:val="center"/>
          </w:tcPr>
          <w:p w:rsidR="00B21E4B" w:rsidRPr="002A632C" w:rsidRDefault="00B21E4B" w:rsidP="00735DEC">
            <w:pPr>
              <w:ind w:left="76"/>
              <w:jc w:val="center"/>
              <w:rPr>
                <w:rFonts w:ascii="Arial" w:hAnsi="Arial" w:cs="Arial"/>
                <w:color w:val="000000"/>
              </w:rPr>
            </w:pPr>
            <w:r>
              <w:rPr>
                <w:rFonts w:ascii="Arial" w:hAnsi="Arial" w:cs="Arial"/>
              </w:rPr>
              <w:t>98.54</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Pr>
                <w:rFonts w:ascii="Arial" w:hAnsi="Arial" w:cs="Arial"/>
              </w:rPr>
              <w:t>98.54</w:t>
            </w:r>
          </w:p>
        </w:tc>
      </w:tr>
      <w:tr w:rsidR="00B21E4B" w:rsidRPr="002A632C" w:rsidTr="0003784E">
        <w:trPr>
          <w:trHeight w:val="345"/>
        </w:trPr>
        <w:tc>
          <w:tcPr>
            <w:tcW w:w="1522" w:type="dxa"/>
            <w:vMerge w:val="restart"/>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Ethanol from Corn</w:t>
            </w: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Pr>
                <w:rFonts w:ascii="Arial" w:hAnsi="Arial" w:cs="Arial"/>
              </w:rPr>
              <w:t>ETHCOR001</w:t>
            </w:r>
          </w:p>
        </w:tc>
        <w:tc>
          <w:tcPr>
            <w:tcW w:w="2378"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Midwest average - MW corn; Dry Mill; NG; MW production</w:t>
            </w:r>
          </w:p>
        </w:tc>
        <w:tc>
          <w:tcPr>
            <w:tcW w:w="141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62.29</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69.89</w:t>
            </w:r>
          </w:p>
        </w:tc>
      </w:tr>
      <w:tr w:rsidR="00B21E4B" w:rsidRPr="002A632C" w:rsidTr="0003784E">
        <w:trPr>
          <w:trHeight w:val="489"/>
        </w:trPr>
        <w:tc>
          <w:tcPr>
            <w:tcW w:w="1522" w:type="dxa"/>
            <w:vMerge/>
            <w:shd w:val="clear" w:color="auto" w:fill="auto"/>
            <w:vAlign w:val="center"/>
          </w:tcPr>
          <w:p w:rsidR="00B21E4B" w:rsidRPr="002A632C" w:rsidRDefault="00B21E4B" w:rsidP="00735DEC">
            <w:pPr>
              <w:ind w:left="76"/>
              <w:jc w:val="center"/>
              <w:rPr>
                <w:rFonts w:ascii="Arial" w:hAnsi="Arial" w:cs="Arial"/>
                <w:color w:val="000000"/>
              </w:rPr>
            </w:pP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Pr>
                <w:rFonts w:ascii="Arial" w:hAnsi="Arial" w:cs="Arial"/>
              </w:rPr>
              <w:t>ETHCOR002</w:t>
            </w:r>
          </w:p>
        </w:tc>
        <w:tc>
          <w:tcPr>
            <w:tcW w:w="2378"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Oregon average - MW corn; Dry Mill; NG; Oregon production</w:t>
            </w:r>
          </w:p>
        </w:tc>
        <w:tc>
          <w:tcPr>
            <w:tcW w:w="141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57.08</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64.68</w:t>
            </w:r>
          </w:p>
        </w:tc>
      </w:tr>
      <w:tr w:rsidR="00B21E4B" w:rsidRPr="002A632C" w:rsidTr="0003784E">
        <w:tc>
          <w:tcPr>
            <w:tcW w:w="1522" w:type="dxa"/>
            <w:shd w:val="clear" w:color="auto" w:fill="auto"/>
            <w:vAlign w:val="center"/>
          </w:tcPr>
          <w:p w:rsidR="00B21E4B" w:rsidRPr="002A632C" w:rsidRDefault="00B21E4B" w:rsidP="00735DEC">
            <w:pPr>
              <w:pageBreakBefore/>
              <w:ind w:left="76"/>
              <w:jc w:val="center"/>
              <w:rPr>
                <w:rFonts w:ascii="Arial" w:hAnsi="Arial" w:cs="Arial"/>
                <w:color w:val="000000"/>
              </w:rPr>
            </w:pPr>
            <w:r w:rsidRPr="002A632C">
              <w:rPr>
                <w:rFonts w:ascii="Arial" w:hAnsi="Arial" w:cs="Arial"/>
                <w:color w:val="000000"/>
              </w:rPr>
              <w:lastRenderedPageBreak/>
              <w:t>Ethanol from Sugarcane</w:t>
            </w: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Pr>
                <w:rFonts w:ascii="Arial" w:hAnsi="Arial" w:cs="Arial"/>
              </w:rPr>
              <w:t>ETHSOR001</w:t>
            </w:r>
          </w:p>
        </w:tc>
        <w:tc>
          <w:tcPr>
            <w:tcW w:w="2378"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Brazilian sugarcane base case</w:t>
            </w:r>
          </w:p>
        </w:tc>
        <w:tc>
          <w:tcPr>
            <w:tcW w:w="141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39.24</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11.80</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51.04</w:t>
            </w:r>
          </w:p>
        </w:tc>
      </w:tr>
      <w:tr w:rsidR="00B21E4B" w:rsidRPr="002A632C" w:rsidTr="0003784E">
        <w:tc>
          <w:tcPr>
            <w:tcW w:w="1522"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Ethanol from Sorghum</w:t>
            </w:r>
          </w:p>
        </w:tc>
        <w:tc>
          <w:tcPr>
            <w:tcW w:w="1620" w:type="dxa"/>
            <w:shd w:val="clear" w:color="auto" w:fill="auto"/>
            <w:vAlign w:val="center"/>
          </w:tcPr>
          <w:p w:rsidR="00B21E4B" w:rsidRPr="002A632C" w:rsidRDefault="00B21E4B" w:rsidP="00735DEC">
            <w:pPr>
              <w:ind w:left="76"/>
              <w:jc w:val="center"/>
              <w:rPr>
                <w:rFonts w:ascii="Arial" w:hAnsi="Arial" w:cs="Arial"/>
              </w:rPr>
            </w:pPr>
            <w:r>
              <w:rPr>
                <w:rFonts w:ascii="Arial" w:hAnsi="Arial" w:cs="Arial"/>
              </w:rPr>
              <w:t>ETHGOR001</w:t>
            </w:r>
          </w:p>
        </w:tc>
        <w:tc>
          <w:tcPr>
            <w:tcW w:w="2378" w:type="dxa"/>
            <w:shd w:val="clear" w:color="auto" w:fill="auto"/>
            <w:vAlign w:val="center"/>
          </w:tcPr>
          <w:p w:rsidR="00B21E4B" w:rsidRPr="002A632C" w:rsidRDefault="00B21E4B" w:rsidP="00735DEC">
            <w:pPr>
              <w:ind w:left="76"/>
              <w:jc w:val="center"/>
              <w:rPr>
                <w:rFonts w:ascii="Arial" w:hAnsi="Arial" w:cs="Arial"/>
              </w:rPr>
            </w:pPr>
            <w:r w:rsidRPr="002A632C">
              <w:rPr>
                <w:rFonts w:ascii="Arial" w:hAnsi="Arial" w:cs="Arial"/>
              </w:rPr>
              <w:t>Sorghum; average</w:t>
            </w:r>
          </w:p>
        </w:tc>
        <w:tc>
          <w:tcPr>
            <w:tcW w:w="1410" w:type="dxa"/>
            <w:shd w:val="clear" w:color="auto" w:fill="auto"/>
            <w:vAlign w:val="center"/>
          </w:tcPr>
          <w:p w:rsidR="00B21E4B" w:rsidRPr="002A632C" w:rsidDel="00B71BD6" w:rsidRDefault="00B21E4B" w:rsidP="00735DEC">
            <w:pPr>
              <w:ind w:left="76"/>
              <w:jc w:val="center"/>
              <w:rPr>
                <w:rFonts w:ascii="Arial" w:hAnsi="Arial" w:cs="Arial"/>
              </w:rPr>
            </w:pPr>
            <w:r w:rsidRPr="002A632C">
              <w:rPr>
                <w:rFonts w:ascii="Arial" w:hAnsi="Arial" w:cs="Arial"/>
              </w:rPr>
              <w:t>66.96</w:t>
            </w:r>
          </w:p>
        </w:tc>
        <w:tc>
          <w:tcPr>
            <w:tcW w:w="1260" w:type="dxa"/>
            <w:shd w:val="clear" w:color="auto" w:fill="auto"/>
            <w:vAlign w:val="center"/>
          </w:tcPr>
          <w:p w:rsidR="00B21E4B" w:rsidRPr="002A632C" w:rsidRDefault="00B21E4B" w:rsidP="00735DE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19.40</w:t>
            </w:r>
          </w:p>
        </w:tc>
        <w:tc>
          <w:tcPr>
            <w:tcW w:w="1260" w:type="dxa"/>
            <w:shd w:val="clear" w:color="auto" w:fill="auto"/>
            <w:vAlign w:val="center"/>
          </w:tcPr>
          <w:p w:rsidR="00B21E4B" w:rsidRPr="002A632C" w:rsidDel="00B71BD6" w:rsidRDefault="00B21E4B" w:rsidP="00735DEC">
            <w:pPr>
              <w:ind w:left="76"/>
              <w:jc w:val="center"/>
              <w:rPr>
                <w:rFonts w:ascii="Arial" w:hAnsi="Arial" w:cs="Arial"/>
              </w:rPr>
            </w:pPr>
            <w:r w:rsidRPr="002A632C">
              <w:rPr>
                <w:rFonts w:ascii="Arial" w:hAnsi="Arial" w:cs="Arial"/>
              </w:rPr>
              <w:t>86.36</w:t>
            </w:r>
          </w:p>
        </w:tc>
      </w:tr>
      <w:tr w:rsidR="00B21E4B" w:rsidRPr="002A632C" w:rsidTr="0003784E">
        <w:tc>
          <w:tcPr>
            <w:tcW w:w="1522"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Ethanol from Molasses</w:t>
            </w:r>
          </w:p>
        </w:tc>
        <w:tc>
          <w:tcPr>
            <w:tcW w:w="1620" w:type="dxa"/>
            <w:shd w:val="clear" w:color="auto" w:fill="auto"/>
            <w:vAlign w:val="center"/>
          </w:tcPr>
          <w:p w:rsidR="00B21E4B" w:rsidRPr="002A632C" w:rsidRDefault="00B21E4B" w:rsidP="00735DEC">
            <w:pPr>
              <w:ind w:left="76"/>
              <w:jc w:val="center"/>
              <w:rPr>
                <w:rFonts w:ascii="Arial" w:hAnsi="Arial" w:cs="Arial"/>
              </w:rPr>
            </w:pPr>
            <w:r>
              <w:rPr>
                <w:rFonts w:ascii="Arial" w:hAnsi="Arial" w:cs="Arial"/>
              </w:rPr>
              <w:t>ETHMOR001</w:t>
            </w:r>
          </w:p>
        </w:tc>
        <w:tc>
          <w:tcPr>
            <w:tcW w:w="2378" w:type="dxa"/>
            <w:shd w:val="clear" w:color="auto" w:fill="auto"/>
            <w:vAlign w:val="center"/>
          </w:tcPr>
          <w:p w:rsidR="00B21E4B" w:rsidRPr="002A632C" w:rsidRDefault="00B21E4B" w:rsidP="00735DEC">
            <w:pPr>
              <w:ind w:left="76"/>
              <w:jc w:val="center"/>
              <w:rPr>
                <w:rFonts w:ascii="Arial" w:hAnsi="Arial" w:cs="Arial"/>
              </w:rPr>
            </w:pPr>
            <w:r w:rsidRPr="002A632C">
              <w:rPr>
                <w:rFonts w:ascii="Arial" w:hAnsi="Arial" w:cs="Arial"/>
              </w:rPr>
              <w:t>Molasses; average</w:t>
            </w:r>
          </w:p>
        </w:tc>
        <w:tc>
          <w:tcPr>
            <w:tcW w:w="1410" w:type="dxa"/>
            <w:shd w:val="clear" w:color="auto" w:fill="auto"/>
            <w:vAlign w:val="center"/>
          </w:tcPr>
          <w:p w:rsidR="00B21E4B" w:rsidRPr="002A632C" w:rsidRDefault="00B21E4B" w:rsidP="00735DEC">
            <w:pPr>
              <w:ind w:left="76"/>
              <w:jc w:val="center"/>
              <w:rPr>
                <w:rFonts w:ascii="Arial" w:hAnsi="Arial" w:cs="Arial"/>
              </w:rPr>
            </w:pPr>
            <w:r w:rsidRPr="002A632C">
              <w:rPr>
                <w:rFonts w:ascii="Arial" w:hAnsi="Arial" w:cs="Arial"/>
              </w:rPr>
              <w:t>41.03</w:t>
            </w:r>
          </w:p>
        </w:tc>
        <w:tc>
          <w:tcPr>
            <w:tcW w:w="1260" w:type="dxa"/>
            <w:shd w:val="clear" w:color="auto" w:fill="auto"/>
            <w:vAlign w:val="center"/>
          </w:tcPr>
          <w:p w:rsidR="00B21E4B" w:rsidRPr="002A632C" w:rsidRDefault="00B21E4B" w:rsidP="00735DE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11.80</w:t>
            </w:r>
          </w:p>
        </w:tc>
        <w:tc>
          <w:tcPr>
            <w:tcW w:w="1260" w:type="dxa"/>
            <w:shd w:val="clear" w:color="auto" w:fill="auto"/>
            <w:vAlign w:val="center"/>
          </w:tcPr>
          <w:p w:rsidR="00B21E4B" w:rsidRPr="002A632C" w:rsidRDefault="00B21E4B" w:rsidP="00735DEC">
            <w:pPr>
              <w:ind w:left="76"/>
              <w:jc w:val="center"/>
              <w:rPr>
                <w:rFonts w:ascii="Arial" w:hAnsi="Arial" w:cs="Arial"/>
              </w:rPr>
            </w:pPr>
            <w:r w:rsidRPr="002A632C">
              <w:rPr>
                <w:rFonts w:ascii="Arial" w:hAnsi="Arial" w:cs="Arial"/>
              </w:rPr>
              <w:t>52.83</w:t>
            </w:r>
          </w:p>
        </w:tc>
      </w:tr>
      <w:tr w:rsidR="00B21E4B" w:rsidRPr="002A632C" w:rsidTr="0003784E">
        <w:tc>
          <w:tcPr>
            <w:tcW w:w="1522" w:type="dxa"/>
            <w:vMerge w:val="restart"/>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Compressed Natural Gas</w:t>
            </w:r>
          </w:p>
        </w:tc>
        <w:tc>
          <w:tcPr>
            <w:tcW w:w="1620"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hAnsi="Arial" w:cs="Arial"/>
              </w:rPr>
              <w:t>ORCNG001</w:t>
            </w:r>
          </w:p>
        </w:tc>
        <w:tc>
          <w:tcPr>
            <w:tcW w:w="2378"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hAnsi="Arial" w:cs="Arial"/>
              </w:rPr>
              <w:t>North American NG delivered via pipeline; compressed in OR</w:t>
            </w:r>
          </w:p>
        </w:tc>
        <w:tc>
          <w:tcPr>
            <w:tcW w:w="1410"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hAnsi="Arial" w:cs="Arial"/>
              </w:rPr>
              <w:t>79.93</w:t>
            </w:r>
          </w:p>
        </w:tc>
        <w:tc>
          <w:tcPr>
            <w:tcW w:w="1260"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hAnsi="Arial" w:cs="Arial"/>
              </w:rPr>
              <w:t>79.93</w:t>
            </w:r>
          </w:p>
        </w:tc>
      </w:tr>
      <w:tr w:rsidR="00B21E4B" w:rsidRPr="002A632C" w:rsidTr="0003784E">
        <w:tc>
          <w:tcPr>
            <w:tcW w:w="1522" w:type="dxa"/>
            <w:vMerge/>
            <w:shd w:val="clear" w:color="auto" w:fill="auto"/>
            <w:vAlign w:val="center"/>
          </w:tcPr>
          <w:p w:rsidR="00B21E4B" w:rsidRPr="002A632C" w:rsidRDefault="00B21E4B" w:rsidP="00735DEC">
            <w:pPr>
              <w:ind w:left="76"/>
              <w:jc w:val="center"/>
              <w:rPr>
                <w:rFonts w:ascii="Arial" w:hAnsi="Arial" w:cs="Arial"/>
                <w:color w:val="000000"/>
              </w:rPr>
            </w:pPr>
          </w:p>
        </w:tc>
        <w:tc>
          <w:tcPr>
            <w:tcW w:w="1620"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eastAsia="Arial Unicode MS" w:hAnsi="Arial" w:cs="Arial"/>
                <w:u w:color="000000"/>
              </w:rPr>
              <w:t>ORCNG002</w:t>
            </w:r>
          </w:p>
        </w:tc>
        <w:tc>
          <w:tcPr>
            <w:tcW w:w="2378"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eastAsia="Arial Unicode MS" w:hAnsi="Arial" w:cs="Arial"/>
                <w:u w:color="000000"/>
              </w:rPr>
              <w:t>Landfill gas (</w:t>
            </w:r>
            <w:proofErr w:type="spellStart"/>
            <w:r w:rsidRPr="002A632C">
              <w:rPr>
                <w:rFonts w:ascii="Arial" w:eastAsia="Arial Unicode MS" w:hAnsi="Arial" w:cs="Arial"/>
                <w:u w:color="000000"/>
              </w:rPr>
              <w:t>biomethane</w:t>
            </w:r>
            <w:proofErr w:type="spellEnd"/>
            <w:r w:rsidRPr="002A632C">
              <w:rPr>
                <w:rFonts w:ascii="Arial" w:eastAsia="Arial Unicode MS" w:hAnsi="Arial" w:cs="Arial"/>
                <w:u w:color="000000"/>
              </w:rPr>
              <w:t>) cleaned up to pipeline quality NG; compressed in OR</w:t>
            </w:r>
          </w:p>
        </w:tc>
        <w:tc>
          <w:tcPr>
            <w:tcW w:w="1410"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eastAsia="Arial Unicode MS" w:hAnsi="Arial" w:cs="Arial"/>
                <w:u w:color="000000"/>
              </w:rPr>
              <w:t>50.26</w:t>
            </w:r>
          </w:p>
        </w:tc>
        <w:tc>
          <w:tcPr>
            <w:tcW w:w="1260"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rsidR="00B21E4B" w:rsidRPr="002A632C" w:rsidRDefault="00B21E4B" w:rsidP="00735DEC">
            <w:pPr>
              <w:ind w:left="76"/>
              <w:jc w:val="center"/>
              <w:rPr>
                <w:rFonts w:ascii="Arial" w:eastAsia="Arial Unicode MS" w:hAnsi="Arial" w:cs="Arial"/>
                <w:u w:color="000000"/>
              </w:rPr>
            </w:pPr>
            <w:r w:rsidRPr="002A632C">
              <w:rPr>
                <w:rFonts w:ascii="Arial" w:eastAsia="Arial Unicode MS" w:hAnsi="Arial" w:cs="Arial"/>
                <w:u w:color="000000"/>
              </w:rPr>
              <w:t>50.26</w:t>
            </w:r>
          </w:p>
        </w:tc>
      </w:tr>
      <w:tr w:rsidR="00B21E4B" w:rsidRPr="002A632C" w:rsidTr="0003784E">
        <w:tc>
          <w:tcPr>
            <w:tcW w:w="1522" w:type="dxa"/>
            <w:vMerge w:val="restart"/>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Liquefied Natural Gas</w:t>
            </w: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ORLNG001</w:t>
            </w:r>
          </w:p>
        </w:tc>
        <w:tc>
          <w:tcPr>
            <w:tcW w:w="2378"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North American NG delivered via pipeline; liquefied in OR using liquefaction with 80% efficiency</w:t>
            </w:r>
          </w:p>
        </w:tc>
        <w:tc>
          <w:tcPr>
            <w:tcW w:w="141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94.46</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94.46</w:t>
            </w:r>
          </w:p>
        </w:tc>
      </w:tr>
      <w:tr w:rsidR="00B21E4B" w:rsidRPr="002A632C" w:rsidTr="0003784E">
        <w:tc>
          <w:tcPr>
            <w:tcW w:w="1522" w:type="dxa"/>
            <w:vMerge/>
            <w:shd w:val="clear" w:color="auto" w:fill="auto"/>
            <w:vAlign w:val="center"/>
          </w:tcPr>
          <w:p w:rsidR="00B21E4B" w:rsidRPr="002A632C" w:rsidRDefault="00B21E4B" w:rsidP="00735DEC">
            <w:pPr>
              <w:ind w:left="76"/>
              <w:jc w:val="center"/>
              <w:rPr>
                <w:rFonts w:ascii="Arial" w:hAnsi="Arial" w:cs="Arial"/>
                <w:color w:val="000000"/>
              </w:rPr>
            </w:pP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eastAsia="Arial Unicode MS" w:hAnsi="Arial" w:cs="Arial"/>
                <w:u w:color="000000"/>
              </w:rPr>
              <w:t>ORLNG002</w:t>
            </w:r>
          </w:p>
        </w:tc>
        <w:tc>
          <w:tcPr>
            <w:tcW w:w="2378"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eastAsia="Arial Unicode MS" w:hAnsi="Arial" w:cs="Arial"/>
                <w:u w:color="000000"/>
              </w:rPr>
              <w:t>Landfill Gas (</w:t>
            </w:r>
            <w:proofErr w:type="spellStart"/>
            <w:r w:rsidRPr="002A632C">
              <w:rPr>
                <w:rFonts w:ascii="Arial" w:eastAsia="Arial Unicode MS" w:hAnsi="Arial" w:cs="Arial"/>
                <w:u w:color="000000"/>
              </w:rPr>
              <w:t>biomethane</w:t>
            </w:r>
            <w:proofErr w:type="spellEnd"/>
            <w:r w:rsidRPr="002A632C">
              <w:rPr>
                <w:rFonts w:ascii="Arial" w:eastAsia="Arial Unicode MS" w:hAnsi="Arial" w:cs="Arial"/>
                <w:u w:color="000000"/>
              </w:rPr>
              <w:t>) to LNG liquefied in OR using liquefaction with 80% efficiency</w:t>
            </w:r>
          </w:p>
        </w:tc>
        <w:tc>
          <w:tcPr>
            <w:tcW w:w="141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eastAsia="Arial Unicode MS" w:hAnsi="Arial" w:cs="Arial"/>
                <w:u w:color="000000"/>
              </w:rPr>
              <w:t>65.81</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eastAsia="Arial Unicode MS" w:hAnsi="Arial" w:cs="Arial"/>
                <w:u w:color="000000"/>
              </w:rPr>
              <w:t>65.81</w:t>
            </w:r>
          </w:p>
        </w:tc>
      </w:tr>
      <w:tr w:rsidR="00B21E4B" w:rsidRPr="002A632C" w:rsidTr="0003784E">
        <w:tc>
          <w:tcPr>
            <w:tcW w:w="1522"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Liquefied Petroleum Gas</w:t>
            </w: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ORLPG001</w:t>
            </w:r>
          </w:p>
        </w:tc>
        <w:tc>
          <w:tcPr>
            <w:tcW w:w="2378" w:type="dxa"/>
            <w:shd w:val="clear" w:color="auto" w:fill="auto"/>
            <w:vAlign w:val="center"/>
          </w:tcPr>
          <w:p w:rsidR="00B21E4B" w:rsidRPr="002A632C" w:rsidRDefault="00B21E4B" w:rsidP="00735DEC">
            <w:pPr>
              <w:ind w:left="76"/>
              <w:jc w:val="center"/>
              <w:rPr>
                <w:rFonts w:ascii="Arial" w:hAnsi="Arial" w:cs="Arial"/>
              </w:rPr>
            </w:pPr>
            <w:r w:rsidRPr="002A632C">
              <w:rPr>
                <w:rFonts w:ascii="Arial" w:hAnsi="Arial" w:cs="Arial"/>
              </w:rPr>
              <w:t>Liquefied petroleum gas</w:t>
            </w:r>
          </w:p>
        </w:tc>
        <w:tc>
          <w:tcPr>
            <w:tcW w:w="1410" w:type="dxa"/>
            <w:shd w:val="clear" w:color="auto" w:fill="auto"/>
            <w:vAlign w:val="center"/>
          </w:tcPr>
          <w:p w:rsidR="00B21E4B" w:rsidRPr="002A632C" w:rsidRDefault="00B21E4B" w:rsidP="00735DEC">
            <w:pPr>
              <w:ind w:left="76"/>
              <w:jc w:val="center"/>
              <w:rPr>
                <w:rFonts w:ascii="Arial" w:hAnsi="Arial" w:cs="Arial"/>
              </w:rPr>
            </w:pPr>
            <w:r w:rsidRPr="002A632C">
              <w:rPr>
                <w:rFonts w:ascii="Arial" w:hAnsi="Arial" w:cs="Arial"/>
              </w:rPr>
              <w:t>83.05</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83.05</w:t>
            </w:r>
          </w:p>
        </w:tc>
      </w:tr>
      <w:tr w:rsidR="00B21E4B" w:rsidRPr="002A632C" w:rsidTr="0003784E">
        <w:tc>
          <w:tcPr>
            <w:tcW w:w="1522"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Electricity</w:t>
            </w:r>
          </w:p>
        </w:tc>
        <w:tc>
          <w:tcPr>
            <w:tcW w:w="162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ORELC001</w:t>
            </w:r>
          </w:p>
        </w:tc>
        <w:tc>
          <w:tcPr>
            <w:tcW w:w="2378"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Oregon average electricity mix</w:t>
            </w:r>
          </w:p>
        </w:tc>
        <w:tc>
          <w:tcPr>
            <w:tcW w:w="141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rPr>
              <w:t>31.85</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rsidR="00B21E4B" w:rsidRPr="002A632C" w:rsidRDefault="00B21E4B" w:rsidP="00735DEC">
            <w:pPr>
              <w:ind w:left="76"/>
              <w:jc w:val="center"/>
              <w:rPr>
                <w:rFonts w:ascii="Arial" w:hAnsi="Arial" w:cs="Arial"/>
                <w:color w:val="000000"/>
              </w:rPr>
            </w:pPr>
            <w:r w:rsidRPr="002A632C">
              <w:rPr>
                <w:rFonts w:ascii="Arial" w:hAnsi="Arial" w:cs="Arial"/>
                <w:color w:val="000000"/>
              </w:rPr>
              <w:t>31.85</w:t>
            </w:r>
          </w:p>
        </w:tc>
      </w:tr>
    </w:tbl>
    <w:p w:rsidR="00B21E4B" w:rsidRPr="00AF4FBA" w:rsidRDefault="00B21E4B" w:rsidP="00B21E4B">
      <w:pPr>
        <w:spacing w:after="100" w:afterAutospacing="1"/>
        <w:ind w:right="144"/>
      </w:pPr>
    </w:p>
    <w:p w:rsidR="00B21E4B" w:rsidRPr="00AF4FBA" w:rsidRDefault="00B21E4B" w:rsidP="00B21E4B">
      <w:pPr>
        <w:spacing w:after="100" w:afterAutospacing="1"/>
        <w:ind w:right="144"/>
      </w:pPr>
      <w:r w:rsidRPr="00AF4FBA">
        <w:rPr>
          <w:b/>
          <w:bCs/>
        </w:rPr>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bookmarkStart w:id="0" w:name="_GoBack"/>
      <w:bookmarkEnd w:id="0"/>
    </w:p>
    <w:sectPr w:rsidR="00B21E4B" w:rsidRPr="00AF4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4B"/>
    <w:rsid w:val="0003784E"/>
    <w:rsid w:val="00787F89"/>
    <w:rsid w:val="00B21E4B"/>
    <w:rsid w:val="00CE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E7A6A-7C57-4AB9-9588-C53165E4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4B"/>
    <w:pPr>
      <w:spacing w:after="0" w:line="240" w:lineRule="auto"/>
      <w:ind w:left="720" w:right="18"/>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6">
    <w:name w:val="Grid Table 1 Light Accent 6"/>
    <w:basedOn w:val="TableNormal"/>
    <w:uiPriority w:val="46"/>
    <w:rsid w:val="00787F89"/>
    <w:pPr>
      <w:spacing w:after="0" w:line="240" w:lineRule="auto"/>
      <w:ind w:left="288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87F89"/>
    <w:pPr>
      <w:spacing w:after="0" w:line="240" w:lineRule="auto"/>
      <w:ind w:left="288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21E4B"/>
    <w:rPr>
      <w:color w:val="0563C1" w:themeColor="hyperlink"/>
      <w:u w:val="single"/>
    </w:rPr>
  </w:style>
  <w:style w:type="table" w:customStyle="1" w:styleId="TableGrid1">
    <w:name w:val="Table Grid1"/>
    <w:basedOn w:val="TableNormal"/>
    <w:next w:val="TableGrid"/>
    <w:uiPriority w:val="59"/>
    <w:rsid w:val="00B21E4B"/>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HNIDEY Emil</cp:lastModifiedBy>
  <cp:revision>2</cp:revision>
  <dcterms:created xsi:type="dcterms:W3CDTF">2016-08-12T18:58:00Z</dcterms:created>
  <dcterms:modified xsi:type="dcterms:W3CDTF">2016-08-12T19:19:00Z</dcterms:modified>
</cp:coreProperties>
</file>