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66D53" w14:textId="77777777" w:rsidR="007F4831" w:rsidRDefault="007F4831" w:rsidP="007F4831">
      <w:pPr>
        <w:shd w:val="clear" w:color="auto" w:fill="F5F5F5"/>
        <w:ind w:left="0" w:right="0"/>
        <w:outlineLvl w:val="1"/>
        <w:rPr>
          <w:b/>
        </w:rPr>
      </w:pPr>
    </w:p>
    <w:p w14:paraId="26AC7469"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6200BE9" w14:textId="77777777" w:rsidR="00D41C01" w:rsidRDefault="00D41C01" w:rsidP="00D41C01">
      <w:pPr>
        <w:spacing w:after="240"/>
        <w:ind w:right="144"/>
        <w:rPr>
          <w:b/>
          <w:bCs/>
        </w:rPr>
      </w:pPr>
    </w:p>
    <w:p w14:paraId="4675DED5" w14:textId="77777777" w:rsidR="00D41C01" w:rsidRDefault="00D41C01" w:rsidP="00D41C01">
      <w:pPr>
        <w:spacing w:after="240"/>
        <w:ind w:right="144"/>
        <w:rPr>
          <w:b/>
          <w:bCs/>
        </w:rPr>
      </w:pPr>
    </w:p>
    <w:p w14:paraId="26AC746C" w14:textId="77777777" w:rsidR="0043662F" w:rsidRPr="0043662F" w:rsidRDefault="0043662F" w:rsidP="00D41C01">
      <w:pPr>
        <w:spacing w:after="240"/>
        <w:ind w:right="144"/>
      </w:pPr>
      <w:r w:rsidRPr="0043662F">
        <w:rPr>
          <w:b/>
          <w:bCs/>
        </w:rPr>
        <w:t>340-253-8010</w:t>
      </w:r>
    </w:p>
    <w:p w14:paraId="26AC746D" w14:textId="77777777" w:rsidR="0043662F" w:rsidRDefault="0043662F" w:rsidP="00D41C01">
      <w:pPr>
        <w:spacing w:after="240"/>
        <w:ind w:right="144"/>
      </w:pPr>
      <w:r w:rsidRPr="0043662F">
        <w:rPr>
          <w:b/>
          <w:bCs/>
        </w:rPr>
        <w:t>Table 1 — Oregon Clean Fuel Standard for Gasoline and Gasoline Substitutes</w:t>
      </w:r>
      <w:r w:rsidRPr="0043662F">
        <w:t xml:space="preserve"> </w:t>
      </w:r>
    </w:p>
    <w:p w14:paraId="26AC74A5" w14:textId="77777777" w:rsidR="0043662F" w:rsidRDefault="0043662F" w:rsidP="00D41C01">
      <w:pPr>
        <w:spacing w:after="240"/>
        <w:ind w:right="144"/>
      </w:pPr>
      <w:r w:rsidRPr="0043662F">
        <w:t xml:space="preserve">[ED. NOTE: Tables referenced are not included in rule text. </w:t>
      </w:r>
      <w:hyperlink r:id="rId10" w:history="1">
        <w:r w:rsidRPr="0043662F">
          <w:rPr>
            <w:rStyle w:val="Hyperlink"/>
          </w:rPr>
          <w:t>Click here for PDF copy of table(s)</w:t>
        </w:r>
      </w:hyperlink>
      <w:r w:rsidRPr="0043662F">
        <w:t>.]</w:t>
      </w:r>
    </w:p>
    <w:p w14:paraId="26AC74A7" w14:textId="5D010BF3" w:rsidR="004608CC" w:rsidRDefault="00516B13" w:rsidP="00D41C01">
      <w:pPr>
        <w:spacing w:after="240"/>
        <w:ind w:right="144"/>
      </w:pPr>
      <w:r w:rsidRPr="00516B13">
        <w:t xml:space="preserve">Stat. Auth.: ORS 468.020 &amp; 2009 OL Ch. 754 Sec. 6 (2011 Edition) </w:t>
      </w:r>
      <w:r w:rsidRPr="00516B13">
        <w:br/>
        <w:t xml:space="preserve">Stats. Implemented: 2009 OL Ch. 754 Sec. 6 (2011 Edition) </w:t>
      </w:r>
      <w:r w:rsidRPr="00516B13">
        <w:br/>
        <w:t xml:space="preserve">Hist.: DEQ 3-2015, f. 1-8-15, cert. </w:t>
      </w:r>
      <w:proofErr w:type="spellStart"/>
      <w:r w:rsidRPr="00516B13">
        <w:t>ef</w:t>
      </w:r>
      <w:proofErr w:type="spellEnd"/>
      <w:r w:rsidRPr="00516B13">
        <w:t xml:space="preserve">. 2-1-15;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p w14:paraId="4E2D4E7B" w14:textId="77777777" w:rsidR="00516B13" w:rsidRPr="0043662F" w:rsidRDefault="00516B13" w:rsidP="00D41C01">
      <w:pPr>
        <w:spacing w:after="240"/>
        <w:ind w:right="144"/>
      </w:pPr>
    </w:p>
    <w:p w14:paraId="26AC74A8" w14:textId="77777777" w:rsidR="0043662F" w:rsidRDefault="0043662F" w:rsidP="00D41C01">
      <w:pPr>
        <w:spacing w:after="240"/>
        <w:ind w:right="144"/>
        <w:rPr>
          <w:b/>
          <w:bCs/>
        </w:rPr>
      </w:pPr>
      <w:r w:rsidRPr="0043662F">
        <w:rPr>
          <w:b/>
          <w:bCs/>
        </w:rPr>
        <w:t>340-253-8020</w:t>
      </w:r>
    </w:p>
    <w:p w14:paraId="26AC74A9" w14:textId="77777777" w:rsidR="0043662F" w:rsidRDefault="0043662F" w:rsidP="00D41C01">
      <w:pPr>
        <w:spacing w:after="240"/>
        <w:ind w:right="144"/>
      </w:pPr>
      <w:r w:rsidRPr="0043662F">
        <w:rPr>
          <w:b/>
          <w:bCs/>
        </w:rPr>
        <w:t>Table 2 — Oregon Clean Fuel Standard for Diesel Fuel and Diesel Substitutes</w:t>
      </w:r>
      <w:r w:rsidRPr="0043662F">
        <w:t xml:space="preserve"> </w:t>
      </w:r>
    </w:p>
    <w:p w14:paraId="26AC74E1" w14:textId="08533BF7" w:rsidR="0043662F" w:rsidRDefault="0043662F" w:rsidP="00D41C01">
      <w:pPr>
        <w:spacing w:after="240"/>
        <w:ind w:right="144"/>
      </w:pPr>
      <w:r w:rsidRPr="0043662F">
        <w:t xml:space="preserve">[ED. NOTE: Tables referenced are not included in rule text. </w:t>
      </w:r>
      <w:hyperlink r:id="rId11" w:history="1">
        <w:r w:rsidRPr="0043662F">
          <w:rPr>
            <w:rStyle w:val="Hyperlink"/>
          </w:rPr>
          <w:t>Click here for PDF copy of table(s)</w:t>
        </w:r>
      </w:hyperlink>
      <w:r w:rsidRPr="0043662F">
        <w:t>.]</w:t>
      </w:r>
    </w:p>
    <w:p w14:paraId="26AC74E3" w14:textId="321D2ED9" w:rsidR="00AF4FBA" w:rsidRDefault="00516B13" w:rsidP="00D41C01">
      <w:pPr>
        <w:spacing w:after="240"/>
        <w:ind w:right="144"/>
      </w:pPr>
      <w:r w:rsidRPr="00516B13">
        <w:t xml:space="preserve">Stat. Auth.: ORS 468.020, 2009 OL Ch. 754 Sec. 6 (2011 Edition) &amp; 2015 OL Ch. 4 Sec. 3 </w:t>
      </w:r>
      <w:r w:rsidRPr="00516B13">
        <w:br/>
        <w:t xml:space="preserve">Stats. Implemented: 2009 OL Ch. 754 Sec. 6 (2011 Edition) </w:t>
      </w:r>
      <w:r w:rsidRPr="00516B13">
        <w:br/>
        <w:t xml:space="preserve">Hist.: DEQ 3-2015, f. 1-8-15, cert. </w:t>
      </w:r>
      <w:proofErr w:type="spellStart"/>
      <w:r w:rsidRPr="00516B13">
        <w:t>ef</w:t>
      </w:r>
      <w:proofErr w:type="spellEnd"/>
      <w:r w:rsidRPr="00516B13">
        <w:t xml:space="preserve">. 2-1-15;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p w14:paraId="3D2DF835" w14:textId="77777777" w:rsidR="00516B13" w:rsidRDefault="00516B13" w:rsidP="00D41C01">
      <w:pPr>
        <w:spacing w:after="240"/>
        <w:ind w:right="144"/>
      </w:pPr>
    </w:p>
    <w:p w14:paraId="26AC74E4" w14:textId="77777777" w:rsidR="00AF4FBA" w:rsidRDefault="00AF4FBA" w:rsidP="00D41C01">
      <w:pPr>
        <w:spacing w:after="240"/>
        <w:ind w:right="144"/>
        <w:rPr>
          <w:b/>
          <w:bCs/>
        </w:rPr>
      </w:pPr>
      <w:r w:rsidRPr="00AF4FBA">
        <w:rPr>
          <w:b/>
          <w:bCs/>
        </w:rPr>
        <w:t>340-253-8030</w:t>
      </w:r>
    </w:p>
    <w:p w14:paraId="26AC74E5" w14:textId="77777777" w:rsidR="00AF4FBA" w:rsidRDefault="00AF4FBA" w:rsidP="00D41C01">
      <w:pPr>
        <w:spacing w:after="240"/>
        <w:ind w:right="144"/>
      </w:pPr>
      <w:r w:rsidRPr="00AF4FBA">
        <w:rPr>
          <w:b/>
          <w:bCs/>
        </w:rPr>
        <w:t>Table 3 — Oregon Carbon Intensity Lookup Table for Gasoline and Gasoline Substitutes</w:t>
      </w:r>
      <w:r w:rsidRPr="00AF4FBA">
        <w:t xml:space="preserve"> </w:t>
      </w:r>
    </w:p>
    <w:p w14:paraId="26AC7555" w14:textId="77777777" w:rsidR="00AF4FBA" w:rsidRDefault="00AF4FBA" w:rsidP="00D41C01">
      <w:pPr>
        <w:spacing w:after="240"/>
        <w:ind w:right="144"/>
      </w:pPr>
      <w:r w:rsidRPr="00AF4FBA">
        <w:rPr>
          <w:b/>
          <w:bCs/>
        </w:rPr>
        <w:t>NOTE</w:t>
      </w:r>
      <w:r w:rsidRPr="00AF4FBA">
        <w:t>: DEQ recognizes that indirect effects, including indirect land use change, are real. However the methodologies to quantify these effects are still in development. DEQ intends to monitor the science of indirect effect and will adjust carbon intensity values through future rulemaking as methodologies improve.</w:t>
      </w:r>
    </w:p>
    <w:p w14:paraId="26AC7556" w14:textId="77777777" w:rsidR="00AF4FBA" w:rsidRDefault="00AF4FBA" w:rsidP="00D41C01">
      <w:pPr>
        <w:spacing w:after="240"/>
        <w:ind w:right="144"/>
      </w:pPr>
      <w:r w:rsidRPr="00AF4FBA">
        <w:t xml:space="preserve">[ED. NOTE: Tables referenced are not included in rule text. </w:t>
      </w:r>
      <w:hyperlink r:id="rId12" w:history="1">
        <w:r w:rsidRPr="00AF4FBA">
          <w:rPr>
            <w:rStyle w:val="Hyperlink"/>
          </w:rPr>
          <w:t>Click here for PDF copy of table(s)</w:t>
        </w:r>
      </w:hyperlink>
      <w:r w:rsidRPr="00AF4FBA">
        <w:t>.]</w:t>
      </w:r>
    </w:p>
    <w:p w14:paraId="26AC7557" w14:textId="25C3BFC8" w:rsidR="00AF4FBA" w:rsidRPr="00AF4FBA" w:rsidRDefault="00516B13" w:rsidP="00D41C01">
      <w:pPr>
        <w:spacing w:after="240"/>
        <w:ind w:right="144"/>
      </w:pPr>
      <w:r w:rsidRPr="00516B13">
        <w:lastRenderedPageBreak/>
        <w:t xml:space="preserve">Stat. Auth.: ORS 468.020, 2009 OL Ch. 754 Sec. 6 (2011 Edition) &amp; 2015 OL Ch. 4 Sec. 3 </w:t>
      </w:r>
      <w:r w:rsidRPr="00516B13">
        <w:br/>
        <w:t xml:space="preserve">Stats. Implemented: 2009 OL Ch. 754 Sec. 6 (2011 Edition) &amp; 2015 OL Ch. 4 Sec. 3 </w:t>
      </w:r>
      <w:r w:rsidRPr="00516B13">
        <w:br/>
        <w:t xml:space="preserve">Hist.: DEQ 8-2012, f. &amp; cert. </w:t>
      </w:r>
      <w:proofErr w:type="spellStart"/>
      <w:r w:rsidRPr="00516B13">
        <w:t>ef</w:t>
      </w:r>
      <w:proofErr w:type="spellEnd"/>
      <w:r w:rsidRPr="00516B13">
        <w:t xml:space="preserve">. 12-11-12; DEQ 15-2013(Temp), f. 12-20-13, cert. </w:t>
      </w:r>
      <w:proofErr w:type="spellStart"/>
      <w:r w:rsidRPr="00516B13">
        <w:t>ef</w:t>
      </w:r>
      <w:proofErr w:type="spellEnd"/>
      <w:r w:rsidRPr="00516B13">
        <w:t xml:space="preserve">. 1-1-14 thru 6-30-14; DEQ 8-2014, f. &amp; cert. </w:t>
      </w:r>
      <w:proofErr w:type="spellStart"/>
      <w:r w:rsidRPr="00516B13">
        <w:t>ef</w:t>
      </w:r>
      <w:proofErr w:type="spellEnd"/>
      <w:r w:rsidRPr="00516B13">
        <w:t xml:space="preserve">. 6-26-14; </w:t>
      </w:r>
      <w:proofErr w:type="gramStart"/>
      <w:r w:rsidRPr="00516B13">
        <w:t>Renumbered</w:t>
      </w:r>
      <w:proofErr w:type="gramEnd"/>
      <w:r w:rsidRPr="00516B13">
        <w:t xml:space="preserve"> from 340-253-3010 by DEQ 3-2015, f. 1-8-15, cert. </w:t>
      </w:r>
      <w:proofErr w:type="spellStart"/>
      <w:r w:rsidRPr="00516B13">
        <w:t>ef</w:t>
      </w:r>
      <w:proofErr w:type="spellEnd"/>
      <w:r w:rsidRPr="00516B13">
        <w:t xml:space="preserve">. 2-1-15;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p w14:paraId="26AC7558" w14:textId="77777777" w:rsidR="004608CC" w:rsidRPr="0043662F" w:rsidRDefault="004608CC" w:rsidP="00D41C01">
      <w:pPr>
        <w:spacing w:after="240"/>
        <w:ind w:right="144"/>
      </w:pPr>
    </w:p>
    <w:p w14:paraId="26AC7559" w14:textId="77777777" w:rsidR="0043662F" w:rsidRDefault="0043662F" w:rsidP="00D41C01">
      <w:pPr>
        <w:spacing w:after="240"/>
        <w:ind w:right="144"/>
        <w:rPr>
          <w:b/>
          <w:bCs/>
        </w:rPr>
      </w:pPr>
      <w:r w:rsidRPr="0043662F">
        <w:rPr>
          <w:b/>
          <w:bCs/>
        </w:rPr>
        <w:t>340-253-8040</w:t>
      </w:r>
    </w:p>
    <w:p w14:paraId="26AC755A" w14:textId="77777777" w:rsidR="0043662F" w:rsidRDefault="0043662F" w:rsidP="00D41C01">
      <w:pPr>
        <w:spacing w:after="240"/>
        <w:ind w:right="144"/>
      </w:pPr>
      <w:r w:rsidRPr="0043662F">
        <w:rPr>
          <w:b/>
          <w:bCs/>
        </w:rPr>
        <w:t>Table 4 — Oregon Carbon Intensity Lookup Table for Diesel and Diesel Substitutes</w:t>
      </w:r>
      <w:r w:rsidRPr="0043662F">
        <w:t xml:space="preserve"> </w:t>
      </w:r>
    </w:p>
    <w:p w14:paraId="26AC75E6" w14:textId="77777777" w:rsidR="0043662F" w:rsidRDefault="0043662F" w:rsidP="00D41C01">
      <w:pPr>
        <w:spacing w:after="240"/>
        <w:ind w:right="144"/>
      </w:pPr>
      <w:r w:rsidRPr="0043662F">
        <w:t xml:space="preserve">[ED. NOTE: Tables referenced are not included in rule text. </w:t>
      </w:r>
      <w:hyperlink r:id="rId13" w:history="1">
        <w:r w:rsidRPr="0043662F">
          <w:rPr>
            <w:rStyle w:val="Hyperlink"/>
          </w:rPr>
          <w:t>Click here for PDF copy of table(s)</w:t>
        </w:r>
      </w:hyperlink>
      <w:r w:rsidRPr="0043662F">
        <w:t>.]</w:t>
      </w:r>
    </w:p>
    <w:p w14:paraId="26AC75E7" w14:textId="57430546" w:rsidR="0043662F" w:rsidRPr="0043662F" w:rsidRDefault="00516B13" w:rsidP="00D41C01">
      <w:pPr>
        <w:spacing w:after="240"/>
        <w:ind w:right="144"/>
      </w:pPr>
      <w:bookmarkStart w:id="0" w:name="_GoBack"/>
      <w:bookmarkEnd w:id="0"/>
      <w:r w:rsidRPr="00516B13">
        <w:t xml:space="preserve">Stat. Auth.: ORS 468.020, 2009 OL Ch. 754 Sec. 6 (2011 Edition) &amp; 2015 OL Ch. 4 Sec. 3 </w:t>
      </w:r>
      <w:r w:rsidRPr="00516B13">
        <w:br/>
        <w:t xml:space="preserve">Stats. Implemented: 2009 OL Ch. 754 Sec. 6 (2011 Edition) &amp; 2015 OL Ch. 4 Sec. 3 </w:t>
      </w:r>
      <w:r w:rsidRPr="00516B13">
        <w:br/>
        <w:t xml:space="preserve">Hist.: DEQ 8-2012, f. &amp; cert. </w:t>
      </w:r>
      <w:proofErr w:type="spellStart"/>
      <w:r w:rsidRPr="00516B13">
        <w:t>ef</w:t>
      </w:r>
      <w:proofErr w:type="spellEnd"/>
      <w:r w:rsidRPr="00516B13">
        <w:t xml:space="preserve">. 12-11-12; DEQ 15-2013(Temp), f. 12-20-13, cert. </w:t>
      </w:r>
      <w:proofErr w:type="spellStart"/>
      <w:r w:rsidRPr="00516B13">
        <w:t>ef</w:t>
      </w:r>
      <w:proofErr w:type="spellEnd"/>
      <w:r w:rsidRPr="00516B13">
        <w:t xml:space="preserve">. 1-1-14 thru 6-30-14; DEQ 8-2014, f. &amp; cert. </w:t>
      </w:r>
      <w:proofErr w:type="spellStart"/>
      <w:r w:rsidRPr="00516B13">
        <w:t>ef</w:t>
      </w:r>
      <w:proofErr w:type="spellEnd"/>
      <w:r w:rsidRPr="00516B13">
        <w:t xml:space="preserve">. 6-26-14; </w:t>
      </w:r>
      <w:proofErr w:type="gramStart"/>
      <w:r w:rsidRPr="00516B13">
        <w:t>Renumbered</w:t>
      </w:r>
      <w:proofErr w:type="gramEnd"/>
      <w:r w:rsidRPr="00516B13">
        <w:t xml:space="preserve"> from 340-253-3020 by DEQ 3-2015, f. 1-8-15, cert. </w:t>
      </w:r>
      <w:proofErr w:type="spellStart"/>
      <w:r w:rsidRPr="00516B13">
        <w:t>ef</w:t>
      </w:r>
      <w:proofErr w:type="spellEnd"/>
      <w:r w:rsidRPr="00516B13">
        <w:t xml:space="preserve">. 2-1-155; DEQ 13-2015, f. 12-10-15, cert. </w:t>
      </w:r>
      <w:proofErr w:type="spellStart"/>
      <w:r w:rsidRPr="00516B13">
        <w:t>ef</w:t>
      </w:r>
      <w:proofErr w:type="spellEnd"/>
      <w:r w:rsidRPr="00516B13">
        <w:t xml:space="preserve">. 1-1-16; DEQ 5-2016(Temp), f. &amp; cert. </w:t>
      </w:r>
      <w:proofErr w:type="spellStart"/>
      <w:r w:rsidRPr="00516B13">
        <w:t>ef</w:t>
      </w:r>
      <w:proofErr w:type="spellEnd"/>
      <w:r w:rsidRPr="00516B13">
        <w:t>. 4-22-16 thru 9-1-16</w:t>
      </w:r>
    </w:p>
    <w:sectPr w:rsidR="0043662F" w:rsidRPr="0043662F" w:rsidSect="0023411B">
      <w:head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1F9FF" w14:textId="77777777" w:rsidR="000E6178" w:rsidRDefault="000E6178" w:rsidP="00304FA9">
      <w:r>
        <w:separator/>
      </w:r>
    </w:p>
  </w:endnote>
  <w:endnote w:type="continuationSeparator" w:id="0">
    <w:p w14:paraId="368E48CB" w14:textId="77777777" w:rsidR="000E6178" w:rsidRDefault="000E6178" w:rsidP="0030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B2495" w14:textId="77777777" w:rsidR="000E6178" w:rsidRDefault="000E6178" w:rsidP="00304FA9">
      <w:r>
        <w:separator/>
      </w:r>
    </w:p>
  </w:footnote>
  <w:footnote w:type="continuationSeparator" w:id="0">
    <w:p w14:paraId="360A3318" w14:textId="77777777" w:rsidR="000E6178" w:rsidRDefault="000E6178" w:rsidP="00304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44145" w14:textId="47061C58" w:rsidR="00304FA9" w:rsidRDefault="00304F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 w15:restartNumberingAfterBreak="0">
    <w:nsid w:val="6EE21998"/>
    <w:multiLevelType w:val="hybridMultilevel"/>
    <w:tmpl w:val="7738069A"/>
    <w:lvl w:ilvl="0" w:tplc="D7823F36">
      <w:start w:val="1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FA97EB4"/>
    <w:multiLevelType w:val="hybridMultilevel"/>
    <w:tmpl w:val="251AB3A4"/>
    <w:lvl w:ilvl="0" w:tplc="242899C8">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02110"/>
    <w:rsid w:val="00085D53"/>
    <w:rsid w:val="000C1C4F"/>
    <w:rsid w:val="000C64CF"/>
    <w:rsid w:val="000E6178"/>
    <w:rsid w:val="000E7A16"/>
    <w:rsid w:val="0017549C"/>
    <w:rsid w:val="002A632C"/>
    <w:rsid w:val="00304FA9"/>
    <w:rsid w:val="0030544D"/>
    <w:rsid w:val="00340466"/>
    <w:rsid w:val="003D1B7E"/>
    <w:rsid w:val="0043662F"/>
    <w:rsid w:val="004608CC"/>
    <w:rsid w:val="00516B13"/>
    <w:rsid w:val="005A4639"/>
    <w:rsid w:val="006D7147"/>
    <w:rsid w:val="006F24F6"/>
    <w:rsid w:val="007E1D88"/>
    <w:rsid w:val="007F4831"/>
    <w:rsid w:val="00873795"/>
    <w:rsid w:val="00AD76BB"/>
    <w:rsid w:val="00AF4FBA"/>
    <w:rsid w:val="00BE6F11"/>
    <w:rsid w:val="00C660E7"/>
    <w:rsid w:val="00CA6435"/>
    <w:rsid w:val="00D374CD"/>
    <w:rsid w:val="00D41C01"/>
    <w:rsid w:val="00DA2E95"/>
    <w:rsid w:val="00E372D7"/>
    <w:rsid w:val="00F71CB4"/>
    <w:rsid w:val="00FA47C9"/>
    <w:rsid w:val="00FB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C7469"/>
  <w15:docId w15:val="{88012C20-2833-4235-A285-14793F3F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5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Hyperlink">
    <w:name w:val="Hyperlink"/>
    <w:basedOn w:val="DefaultParagraphFont"/>
    <w:uiPriority w:val="99"/>
    <w:unhideWhenUsed/>
    <w:rsid w:val="0043662F"/>
    <w:rPr>
      <w:color w:val="0563C1" w:themeColor="hyperlink"/>
      <w:u w:val="single"/>
    </w:rPr>
  </w:style>
  <w:style w:type="table" w:customStyle="1" w:styleId="TableGrid1">
    <w:name w:val="Table Grid1"/>
    <w:basedOn w:val="TableNormal"/>
    <w:next w:val="TableGrid"/>
    <w:uiPriority w:val="59"/>
    <w:rsid w:val="002A632C"/>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FA9"/>
    <w:pPr>
      <w:tabs>
        <w:tab w:val="center" w:pos="4680"/>
        <w:tab w:val="right" w:pos="9360"/>
      </w:tabs>
    </w:pPr>
  </w:style>
  <w:style w:type="character" w:customStyle="1" w:styleId="HeaderChar">
    <w:name w:val="Header Char"/>
    <w:basedOn w:val="DefaultParagraphFont"/>
    <w:link w:val="Header"/>
    <w:uiPriority w:val="99"/>
    <w:rsid w:val="00304FA9"/>
    <w:rPr>
      <w:rFonts w:eastAsia="Times New Roman"/>
    </w:rPr>
  </w:style>
  <w:style w:type="paragraph" w:styleId="Footer">
    <w:name w:val="footer"/>
    <w:basedOn w:val="Normal"/>
    <w:link w:val="FooterChar"/>
    <w:uiPriority w:val="99"/>
    <w:unhideWhenUsed/>
    <w:rsid w:val="00304FA9"/>
    <w:pPr>
      <w:tabs>
        <w:tab w:val="center" w:pos="4680"/>
        <w:tab w:val="right" w:pos="9360"/>
      </w:tabs>
    </w:pPr>
  </w:style>
  <w:style w:type="character" w:customStyle="1" w:styleId="FooterChar">
    <w:name w:val="Footer Char"/>
    <w:basedOn w:val="DefaultParagraphFont"/>
    <w:link w:val="Footer"/>
    <w:uiPriority w:val="99"/>
    <w:rsid w:val="00304FA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6035">
      <w:bodyDiv w:val="1"/>
      <w:marLeft w:val="0"/>
      <w:marRight w:val="0"/>
      <w:marTop w:val="0"/>
      <w:marBottom w:val="0"/>
      <w:divBdr>
        <w:top w:val="none" w:sz="0" w:space="0" w:color="auto"/>
        <w:left w:val="none" w:sz="0" w:space="0" w:color="auto"/>
        <w:bottom w:val="none" w:sz="0" w:space="0" w:color="auto"/>
        <w:right w:val="none" w:sz="0" w:space="0" w:color="auto"/>
      </w:divBdr>
      <w:divsChild>
        <w:div w:id="1845195878">
          <w:marLeft w:val="0"/>
          <w:marRight w:val="0"/>
          <w:marTop w:val="0"/>
          <w:marBottom w:val="0"/>
          <w:divBdr>
            <w:top w:val="none" w:sz="0" w:space="0" w:color="auto"/>
            <w:left w:val="none" w:sz="0" w:space="0" w:color="auto"/>
            <w:bottom w:val="none" w:sz="0" w:space="0" w:color="auto"/>
            <w:right w:val="none" w:sz="0" w:space="0" w:color="auto"/>
          </w:divBdr>
          <w:divsChild>
            <w:div w:id="1634410604">
              <w:marLeft w:val="0"/>
              <w:marRight w:val="0"/>
              <w:marTop w:val="0"/>
              <w:marBottom w:val="0"/>
              <w:divBdr>
                <w:top w:val="none" w:sz="0" w:space="0" w:color="auto"/>
                <w:left w:val="none" w:sz="0" w:space="0" w:color="auto"/>
                <w:bottom w:val="none" w:sz="0" w:space="0" w:color="auto"/>
                <w:right w:val="none" w:sz="0" w:space="0" w:color="auto"/>
              </w:divBdr>
              <w:divsChild>
                <w:div w:id="16055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27477">
      <w:bodyDiv w:val="1"/>
      <w:marLeft w:val="0"/>
      <w:marRight w:val="0"/>
      <w:marTop w:val="0"/>
      <w:marBottom w:val="0"/>
      <w:divBdr>
        <w:top w:val="none" w:sz="0" w:space="0" w:color="auto"/>
        <w:left w:val="none" w:sz="0" w:space="0" w:color="auto"/>
        <w:bottom w:val="none" w:sz="0" w:space="0" w:color="auto"/>
        <w:right w:val="none" w:sz="0" w:space="0" w:color="auto"/>
      </w:divBdr>
      <w:divsChild>
        <w:div w:id="596912605">
          <w:marLeft w:val="0"/>
          <w:marRight w:val="0"/>
          <w:marTop w:val="0"/>
          <w:marBottom w:val="0"/>
          <w:divBdr>
            <w:top w:val="none" w:sz="0" w:space="0" w:color="auto"/>
            <w:left w:val="none" w:sz="0" w:space="0" w:color="auto"/>
            <w:bottom w:val="none" w:sz="0" w:space="0" w:color="auto"/>
            <w:right w:val="none" w:sz="0" w:space="0" w:color="auto"/>
          </w:divBdr>
          <w:divsChild>
            <w:div w:id="1685472725">
              <w:marLeft w:val="0"/>
              <w:marRight w:val="0"/>
              <w:marTop w:val="0"/>
              <w:marBottom w:val="0"/>
              <w:divBdr>
                <w:top w:val="none" w:sz="0" w:space="0" w:color="auto"/>
                <w:left w:val="none" w:sz="0" w:space="0" w:color="auto"/>
                <w:bottom w:val="none" w:sz="0" w:space="0" w:color="auto"/>
                <w:right w:val="none" w:sz="0" w:space="0" w:color="auto"/>
              </w:divBdr>
              <w:divsChild>
                <w:div w:id="7179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76442">
      <w:bodyDiv w:val="1"/>
      <w:marLeft w:val="0"/>
      <w:marRight w:val="0"/>
      <w:marTop w:val="0"/>
      <w:marBottom w:val="0"/>
      <w:divBdr>
        <w:top w:val="none" w:sz="0" w:space="0" w:color="auto"/>
        <w:left w:val="none" w:sz="0" w:space="0" w:color="auto"/>
        <w:bottom w:val="none" w:sz="0" w:space="0" w:color="auto"/>
        <w:right w:val="none" w:sz="0" w:space="0" w:color="auto"/>
      </w:divBdr>
      <w:divsChild>
        <w:div w:id="1527478996">
          <w:marLeft w:val="0"/>
          <w:marRight w:val="0"/>
          <w:marTop w:val="0"/>
          <w:marBottom w:val="0"/>
          <w:divBdr>
            <w:top w:val="none" w:sz="0" w:space="0" w:color="auto"/>
            <w:left w:val="none" w:sz="0" w:space="0" w:color="auto"/>
            <w:bottom w:val="none" w:sz="0" w:space="0" w:color="auto"/>
            <w:right w:val="none" w:sz="0" w:space="0" w:color="auto"/>
          </w:divBdr>
          <w:divsChild>
            <w:div w:id="1621953766">
              <w:marLeft w:val="0"/>
              <w:marRight w:val="0"/>
              <w:marTop w:val="0"/>
              <w:marBottom w:val="0"/>
              <w:divBdr>
                <w:top w:val="none" w:sz="0" w:space="0" w:color="auto"/>
                <w:left w:val="none" w:sz="0" w:space="0" w:color="auto"/>
                <w:bottom w:val="none" w:sz="0" w:space="0" w:color="auto"/>
                <w:right w:val="none" w:sz="0" w:space="0" w:color="auto"/>
              </w:divBdr>
              <w:divsChild>
                <w:div w:id="90606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58111">
      <w:bodyDiv w:val="1"/>
      <w:marLeft w:val="0"/>
      <w:marRight w:val="0"/>
      <w:marTop w:val="0"/>
      <w:marBottom w:val="0"/>
      <w:divBdr>
        <w:top w:val="none" w:sz="0" w:space="0" w:color="auto"/>
        <w:left w:val="none" w:sz="0" w:space="0" w:color="auto"/>
        <w:bottom w:val="none" w:sz="0" w:space="0" w:color="auto"/>
        <w:right w:val="none" w:sz="0" w:space="0" w:color="auto"/>
      </w:divBdr>
      <w:divsChild>
        <w:div w:id="1043753280">
          <w:marLeft w:val="0"/>
          <w:marRight w:val="0"/>
          <w:marTop w:val="0"/>
          <w:marBottom w:val="0"/>
          <w:divBdr>
            <w:top w:val="none" w:sz="0" w:space="0" w:color="auto"/>
            <w:left w:val="none" w:sz="0" w:space="0" w:color="auto"/>
            <w:bottom w:val="none" w:sz="0" w:space="0" w:color="auto"/>
            <w:right w:val="none" w:sz="0" w:space="0" w:color="auto"/>
          </w:divBdr>
          <w:divsChild>
            <w:div w:id="923489050">
              <w:marLeft w:val="0"/>
              <w:marRight w:val="0"/>
              <w:marTop w:val="0"/>
              <w:marBottom w:val="0"/>
              <w:divBdr>
                <w:top w:val="none" w:sz="0" w:space="0" w:color="auto"/>
                <w:left w:val="none" w:sz="0" w:space="0" w:color="auto"/>
                <w:bottom w:val="none" w:sz="0" w:space="0" w:color="auto"/>
                <w:right w:val="none" w:sz="0" w:space="0" w:color="auto"/>
              </w:divBdr>
              <w:divsChild>
                <w:div w:id="12482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71954">
      <w:bodyDiv w:val="1"/>
      <w:marLeft w:val="0"/>
      <w:marRight w:val="0"/>
      <w:marTop w:val="0"/>
      <w:marBottom w:val="0"/>
      <w:divBdr>
        <w:top w:val="none" w:sz="0" w:space="0" w:color="auto"/>
        <w:left w:val="none" w:sz="0" w:space="0" w:color="auto"/>
        <w:bottom w:val="none" w:sz="0" w:space="0" w:color="auto"/>
        <w:right w:val="none" w:sz="0" w:space="0" w:color="auto"/>
      </w:divBdr>
      <w:divsChild>
        <w:div w:id="782113726">
          <w:marLeft w:val="0"/>
          <w:marRight w:val="0"/>
          <w:marTop w:val="0"/>
          <w:marBottom w:val="0"/>
          <w:divBdr>
            <w:top w:val="none" w:sz="0" w:space="0" w:color="auto"/>
            <w:left w:val="none" w:sz="0" w:space="0" w:color="auto"/>
            <w:bottom w:val="none" w:sz="0" w:space="0" w:color="auto"/>
            <w:right w:val="none" w:sz="0" w:space="0" w:color="auto"/>
          </w:divBdr>
          <w:divsChild>
            <w:div w:id="1550990638">
              <w:marLeft w:val="0"/>
              <w:marRight w:val="0"/>
              <w:marTop w:val="0"/>
              <w:marBottom w:val="0"/>
              <w:divBdr>
                <w:top w:val="none" w:sz="0" w:space="0" w:color="auto"/>
                <w:left w:val="none" w:sz="0" w:space="0" w:color="auto"/>
                <w:bottom w:val="none" w:sz="0" w:space="0" w:color="auto"/>
                <w:right w:val="none" w:sz="0" w:space="0" w:color="auto"/>
              </w:divBdr>
              <w:divsChild>
                <w:div w:id="6471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7203">
      <w:bodyDiv w:val="1"/>
      <w:marLeft w:val="0"/>
      <w:marRight w:val="0"/>
      <w:marTop w:val="0"/>
      <w:marBottom w:val="0"/>
      <w:divBdr>
        <w:top w:val="none" w:sz="0" w:space="0" w:color="auto"/>
        <w:left w:val="none" w:sz="0" w:space="0" w:color="auto"/>
        <w:bottom w:val="none" w:sz="0" w:space="0" w:color="auto"/>
        <w:right w:val="none" w:sz="0" w:space="0" w:color="auto"/>
      </w:divBdr>
      <w:divsChild>
        <w:div w:id="89666212">
          <w:marLeft w:val="0"/>
          <w:marRight w:val="0"/>
          <w:marTop w:val="0"/>
          <w:marBottom w:val="0"/>
          <w:divBdr>
            <w:top w:val="none" w:sz="0" w:space="0" w:color="auto"/>
            <w:left w:val="none" w:sz="0" w:space="0" w:color="auto"/>
            <w:bottom w:val="none" w:sz="0" w:space="0" w:color="auto"/>
            <w:right w:val="none" w:sz="0" w:space="0" w:color="auto"/>
          </w:divBdr>
          <w:divsChild>
            <w:div w:id="226381709">
              <w:marLeft w:val="0"/>
              <w:marRight w:val="0"/>
              <w:marTop w:val="0"/>
              <w:marBottom w:val="0"/>
              <w:divBdr>
                <w:top w:val="none" w:sz="0" w:space="0" w:color="auto"/>
                <w:left w:val="none" w:sz="0" w:space="0" w:color="auto"/>
                <w:bottom w:val="none" w:sz="0" w:space="0" w:color="auto"/>
                <w:right w:val="none" w:sz="0" w:space="0" w:color="auto"/>
              </w:divBdr>
              <w:divsChild>
                <w:div w:id="21098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80754">
      <w:bodyDiv w:val="1"/>
      <w:marLeft w:val="0"/>
      <w:marRight w:val="0"/>
      <w:marTop w:val="0"/>
      <w:marBottom w:val="0"/>
      <w:divBdr>
        <w:top w:val="none" w:sz="0" w:space="0" w:color="auto"/>
        <w:left w:val="none" w:sz="0" w:space="0" w:color="auto"/>
        <w:bottom w:val="none" w:sz="0" w:space="0" w:color="auto"/>
        <w:right w:val="none" w:sz="0" w:space="0" w:color="auto"/>
      </w:divBdr>
      <w:divsChild>
        <w:div w:id="1507017155">
          <w:marLeft w:val="0"/>
          <w:marRight w:val="0"/>
          <w:marTop w:val="0"/>
          <w:marBottom w:val="0"/>
          <w:divBdr>
            <w:top w:val="none" w:sz="0" w:space="0" w:color="auto"/>
            <w:left w:val="none" w:sz="0" w:space="0" w:color="auto"/>
            <w:bottom w:val="none" w:sz="0" w:space="0" w:color="auto"/>
            <w:right w:val="none" w:sz="0" w:space="0" w:color="auto"/>
          </w:divBdr>
          <w:divsChild>
            <w:div w:id="1578242905">
              <w:marLeft w:val="0"/>
              <w:marRight w:val="0"/>
              <w:marTop w:val="0"/>
              <w:marBottom w:val="0"/>
              <w:divBdr>
                <w:top w:val="none" w:sz="0" w:space="0" w:color="auto"/>
                <w:left w:val="none" w:sz="0" w:space="0" w:color="auto"/>
                <w:bottom w:val="none" w:sz="0" w:space="0" w:color="auto"/>
                <w:right w:val="none" w:sz="0" w:space="0" w:color="auto"/>
              </w:divBdr>
              <w:divsChild>
                <w:div w:id="16435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rcweb.sos.state.or.us/pages/rules/oars_300/oar_340/_340_tables/340-253-8040_12-10-15.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rcweb.sos.state.or.us/pages/rules/oars_300/oar_340/_340_tables/340-253-8030_12-10-1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rcweb.sos.state.or.us/pages/rules/oars_300/oar_340/_340_tables/340-253-8020_12-10-15.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arcweb.sos.state.or.us/pages/rules/oars_300/oar_340/_340_tables/340-253-8010_12-10-1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Props1.xml><?xml version="1.0" encoding="utf-8"?>
<ds:datastoreItem xmlns:ds="http://schemas.openxmlformats.org/officeDocument/2006/customXml" ds:itemID="{93CAF5F6-987F-456B-8CE4-1B1B26EE06A6}">
  <ds:schemaRefs>
    <ds:schemaRef ds:uri="http://schemas.microsoft.com/sharepoint/v3/contenttype/forms"/>
  </ds:schemaRefs>
</ds:datastoreItem>
</file>

<file path=customXml/itemProps2.xml><?xml version="1.0" encoding="utf-8"?>
<ds:datastoreItem xmlns:ds="http://schemas.openxmlformats.org/officeDocument/2006/customXml" ds:itemID="{29DA80A4-52AC-47A3-BFF8-8AE5CAB3E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D7355-DAB4-4488-A6AF-B148852786A0}">
  <ds:schemaRefs>
    <ds:schemaRef ds:uri="http://schemas.microsoft.com/office/2006/metadata/properties"/>
    <ds:schemaRef ds:uri="http://schemas.microsoft.com/office/infopath/2007/PartnerControls"/>
    <ds:schemaRef ds:uri="$ListId:doc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Permanet Rules (Clean)</vt:lpstr>
    </vt:vector>
  </TitlesOfParts>
  <Company>DEQ</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Permanet Rules (Clean)</dc:title>
  <dc:creator>GOLDSTEIN Meyer</dc:creator>
  <cp:lastModifiedBy>HNIDEY Emil</cp:lastModifiedBy>
  <cp:revision>3</cp:revision>
  <dcterms:created xsi:type="dcterms:W3CDTF">2016-08-12T20:22:00Z</dcterms:created>
  <dcterms:modified xsi:type="dcterms:W3CDTF">2016-08-12T20:29:00Z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