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0"/>
        <w:gridCol w:w="7259"/>
        <w:gridCol w:w="2260"/>
        <w:gridCol w:w="2260"/>
        <w:gridCol w:w="2261"/>
      </w:tblGrid>
      <w:tr w:rsidR="00DD3C7F" w:rsidRPr="00646BAD" w:rsidTr="00E370DB">
        <w:trPr>
          <w:tblHeader/>
        </w:trPr>
        <w:tc>
          <w:tcPr>
            <w:tcW w:w="516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7259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Option </w:t>
            </w:r>
          </w:p>
        </w:tc>
        <w:tc>
          <w:tcPr>
            <w:tcW w:w="2260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PROs</w:t>
            </w:r>
          </w:p>
        </w:tc>
        <w:tc>
          <w:tcPr>
            <w:tcW w:w="2260" w:type="dxa"/>
          </w:tcPr>
          <w:p w:rsidR="00DD3C7F" w:rsidRPr="00646BAD" w:rsidRDefault="00DD3C7F" w:rsidP="00DD3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CONs</w:t>
            </w:r>
          </w:p>
        </w:tc>
        <w:tc>
          <w:tcPr>
            <w:tcW w:w="2261" w:type="dxa"/>
          </w:tcPr>
          <w:p w:rsidR="00DD3C7F" w:rsidRPr="00646BAD" w:rsidRDefault="00AB1B19" w:rsidP="004C5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</w:tc>
      </w:tr>
      <w:tr w:rsidR="00883CD2" w:rsidRPr="00646BAD" w:rsidTr="00E370DB">
        <w:tc>
          <w:tcPr>
            <w:tcW w:w="14556" w:type="dxa"/>
            <w:gridSpan w:val="5"/>
          </w:tcPr>
          <w:p w:rsidR="00883CD2" w:rsidRPr="00646BAD" w:rsidRDefault="00646BAD" w:rsidP="0064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b/>
                <w:sz w:val="24"/>
                <w:szCs w:val="24"/>
              </w:rPr>
              <w:t>Applicability: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Affected sources are colored glass manufacturing facilities located within the Portland Air Quality Maintenance </w:t>
            </w:r>
            <w:r w:rsidR="00C2341E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operate one or more affected emissions unit</w:t>
            </w:r>
            <w:r w:rsidR="00C2341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Affected emissions units are glass manufacturing furnaces in which raw materials that contain compounds of cadmium or chromium are used, excluding furnaces that are heated only with electricity.  </w:t>
            </w:r>
          </w:p>
        </w:tc>
      </w:tr>
      <w:tr w:rsidR="00DD3C7F" w:rsidRPr="00646BAD" w:rsidTr="00E370DB">
        <w:tc>
          <w:tcPr>
            <w:tcW w:w="516" w:type="dxa"/>
          </w:tcPr>
          <w:p w:rsidR="00DD3C7F" w:rsidRPr="00646BAD" w:rsidRDefault="00E370DB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9" w:type="dxa"/>
          </w:tcPr>
          <w:p w:rsidR="00DD3C7F" w:rsidRPr="00646BAD" w:rsidRDefault="00EC763A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Option 1: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Install baghouse on Cd and Cr furnaces by </w:t>
            </w:r>
            <w:r w:rsidR="00883CD2" w:rsidRPr="00646BAD">
              <w:rPr>
                <w:rFonts w:ascii="Times New Roman" w:hAnsi="Times New Roman" w:cs="Times New Roman"/>
                <w:sz w:val="24"/>
                <w:szCs w:val="24"/>
              </w:rPr>
              <w:t>July 1, 2016</w:t>
            </w:r>
          </w:p>
          <w:p w:rsidR="00DD3C7F" w:rsidRPr="00646BAD" w:rsidRDefault="00A7459E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May operate </w:t>
            </w:r>
            <w:r w:rsidR="000678EE" w:rsidRPr="00646BAD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furnace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D22ACA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ith Cr III and </w:t>
            </w:r>
            <w:r w:rsidR="000678EE" w:rsidRPr="00646BAD">
              <w:rPr>
                <w:rFonts w:ascii="Times New Roman" w:hAnsi="Times New Roman" w:cs="Times New Roman"/>
                <w:sz w:val="24"/>
                <w:szCs w:val="24"/>
              </w:rPr>
              <w:t>YY</w:t>
            </w:r>
            <w:r w:rsidR="00D22ACA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furnace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8EE" w:rsidRPr="00646B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3837" w:rsidRPr="00646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with Cd prior to baghouse installation</w:t>
            </w:r>
          </w:p>
          <w:p w:rsidR="00DD3C7F" w:rsidRPr="00646BAD" w:rsidRDefault="00DD3C7F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use of Cr VI or As</w:t>
            </w:r>
          </w:p>
          <w:p w:rsidR="00DD3C7F" w:rsidRPr="00646BAD" w:rsidRDefault="00DD3C7F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="00883CD2" w:rsidRPr="00646BAD">
              <w:rPr>
                <w:rFonts w:ascii="Times New Roman" w:hAnsi="Times New Roman" w:cs="Times New Roman"/>
                <w:sz w:val="24"/>
                <w:szCs w:val="24"/>
              </w:rPr>
              <w:t>July 1, 2016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, no use of Cd or Cr III in uncontrolled furnaces</w:t>
            </w:r>
          </w:p>
        </w:tc>
        <w:tc>
          <w:tcPr>
            <w:tcW w:w="2260" w:type="dxa"/>
          </w:tcPr>
          <w:p w:rsidR="00DD3C7F" w:rsidRPr="00646BAD" w:rsidRDefault="00A7459E" w:rsidP="00A74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operation until baghouse installed</w:t>
            </w:r>
          </w:p>
          <w:p w:rsidR="00A7459E" w:rsidRPr="00646BAD" w:rsidRDefault="00A7459E" w:rsidP="00A74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source testing or modeling required</w:t>
            </w:r>
          </w:p>
          <w:p w:rsidR="00A7459E" w:rsidRPr="00646BAD" w:rsidRDefault="00A7459E" w:rsidP="003B38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Limited operation reduces emissions of Cd and Cr VI</w:t>
            </w:r>
          </w:p>
        </w:tc>
        <w:tc>
          <w:tcPr>
            <w:tcW w:w="2260" w:type="dxa"/>
          </w:tcPr>
          <w:p w:rsidR="00DD3C7F" w:rsidRPr="00646BAD" w:rsidRDefault="00A7459E" w:rsidP="00A745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Don’t know if operating below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oncentration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 limit</w:t>
            </w:r>
          </w:p>
          <w:p w:rsidR="00A7459E" w:rsidRPr="00646BAD" w:rsidRDefault="00A7459E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Public concerns not addressed</w:t>
            </w:r>
            <w:r w:rsidR="00883CD2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-additional health impacts</w:t>
            </w:r>
          </w:p>
          <w:p w:rsidR="00A7459E" w:rsidRPr="00646BAD" w:rsidRDefault="00605770" w:rsidP="0060577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Don’t know ambient impact after baghouse installation</w:t>
            </w:r>
          </w:p>
        </w:tc>
        <w:tc>
          <w:tcPr>
            <w:tcW w:w="2261" w:type="dxa"/>
          </w:tcPr>
          <w:p w:rsidR="00B775B0" w:rsidRPr="00646BAD" w:rsidRDefault="004C5768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How many furnaces were running on high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days?</w:t>
            </w:r>
          </w:p>
          <w:p w:rsidR="004C5768" w:rsidRPr="00646BAD" w:rsidRDefault="004274A6" w:rsidP="00883CD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How much Cd, Cr, </w:t>
            </w:r>
            <w:proofErr w:type="gram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were</w:t>
            </w:r>
            <w:r w:rsidR="004C5768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used on high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="004C5768" w:rsidRPr="00646BAD">
              <w:rPr>
                <w:rFonts w:ascii="Times New Roman" w:hAnsi="Times New Roman" w:cs="Times New Roman"/>
                <w:sz w:val="24"/>
                <w:szCs w:val="24"/>
              </w:rPr>
              <w:t>days?</w:t>
            </w:r>
          </w:p>
        </w:tc>
      </w:tr>
      <w:tr w:rsidR="00E370DB" w:rsidRPr="00646BAD" w:rsidTr="00E370DB">
        <w:tc>
          <w:tcPr>
            <w:tcW w:w="516" w:type="dxa"/>
          </w:tcPr>
          <w:p w:rsidR="00E370DB" w:rsidRPr="00646BAD" w:rsidRDefault="00E370DB" w:rsidP="00A2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7259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MAO Option 1 :  no use of Cd or Cr 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until baghouse installed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State to provide financial help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use of Cr VI or As</w:t>
            </w:r>
          </w:p>
          <w:p w:rsidR="00E370DB" w:rsidRPr="00646BAD" w:rsidRDefault="00E370DB" w:rsidP="00E370D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DB" w:rsidRPr="00646BAD" w:rsidRDefault="00E370DB" w:rsidP="00E3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Stricter version of 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Option 1 if used as a rule: No financial help as a rule</w:t>
            </w: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Provides assurance that Cd and Cr 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will not be emitted until baghouse is installed</w:t>
            </w: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Financial help may not be available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Serious business impacts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Don’t know ambient impact after baghouse installation</w:t>
            </w:r>
          </w:p>
        </w:tc>
        <w:tc>
          <w:tcPr>
            <w:tcW w:w="2261" w:type="dxa"/>
          </w:tcPr>
          <w:p w:rsidR="00E370DB" w:rsidRPr="00646BAD" w:rsidRDefault="00E370DB" w:rsidP="00A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C7F" w:rsidRPr="00646BAD" w:rsidTr="00E370DB">
        <w:tc>
          <w:tcPr>
            <w:tcW w:w="516" w:type="dxa"/>
          </w:tcPr>
          <w:p w:rsidR="00DD3C7F" w:rsidRPr="00646BAD" w:rsidRDefault="00E370DB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9" w:type="dxa"/>
          </w:tcPr>
          <w:p w:rsidR="00DD3C7F" w:rsidRPr="00646BAD" w:rsidRDefault="00EC763A" w:rsidP="00EC76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Option 2: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Must source test; show </w:t>
            </w:r>
            <w:r w:rsidR="00A7459E" w:rsidRPr="00646BA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VI is less than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at fenceline before all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>owed to operate with Chrome III</w:t>
            </w:r>
          </w:p>
          <w:p w:rsidR="00DD3C7F" w:rsidRPr="00646BAD" w:rsidRDefault="00DD3C7F" w:rsidP="00823A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Must stay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</w:p>
          <w:p w:rsidR="00DD3C7F" w:rsidRPr="00646BAD" w:rsidRDefault="00DD3C7F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Must install baghouse by date certain on a</w:t>
            </w:r>
            <w:r w:rsidR="00A7459E" w:rsidRPr="00646BAD">
              <w:rPr>
                <w:rFonts w:ascii="Times New Roman" w:hAnsi="Times New Roman" w:cs="Times New Roman"/>
                <w:sz w:val="24"/>
                <w:szCs w:val="24"/>
              </w:rPr>
              <w:t>ll furnaces that use Cd and Cr</w:t>
            </w:r>
            <w:r w:rsidR="004274A6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3C7F" w:rsidRPr="00646BAD" w:rsidRDefault="00DD3C7F" w:rsidP="00823A01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After baghouse installed, limit emission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so ambient impact from Cr VI and Cd is less than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OHA; or</w:t>
            </w:r>
          </w:p>
          <w:p w:rsidR="00DD3C7F" w:rsidRPr="00646BAD" w:rsidRDefault="00823A01" w:rsidP="00823A01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After baghouse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installed, no limit on operations</w:t>
            </w:r>
          </w:p>
          <w:p w:rsidR="00DD3C7F" w:rsidRPr="00646BAD" w:rsidRDefault="00F96724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CC585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use </w:t>
            </w:r>
            <w:r w:rsidR="00C26BE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CC5854" w:rsidRPr="00646BAD">
              <w:rPr>
                <w:rFonts w:ascii="Times New Roman" w:hAnsi="Times New Roman" w:cs="Times New Roman"/>
                <w:sz w:val="24"/>
                <w:szCs w:val="24"/>
              </w:rPr>
              <w:t>Cr VI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or As</w:t>
            </w:r>
          </w:p>
        </w:tc>
        <w:tc>
          <w:tcPr>
            <w:tcW w:w="2260" w:type="dxa"/>
          </w:tcPr>
          <w:p w:rsidR="00DD3C7F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Risk based and limits risk</w:t>
            </w:r>
          </w:p>
          <w:p w:rsidR="00CC5854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Allows operation provided </w:t>
            </w:r>
            <w:r w:rsidR="00A661D8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limit is met</w:t>
            </w:r>
          </w:p>
          <w:p w:rsidR="00CC5854" w:rsidRPr="00646BAD" w:rsidRDefault="00883CD2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Source test data</w:t>
            </w:r>
          </w:p>
        </w:tc>
        <w:tc>
          <w:tcPr>
            <w:tcW w:w="2260" w:type="dxa"/>
          </w:tcPr>
          <w:p w:rsidR="00DD3C7F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Requires source testing and modeling</w:t>
            </w:r>
          </w:p>
          <w:p w:rsidR="00CC5854" w:rsidRPr="00646BAD" w:rsidRDefault="00811B11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="00CC585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limit may be impossible to meet without controls</w:t>
            </w:r>
          </w:p>
          <w:p w:rsidR="00CC5854" w:rsidRPr="00646BAD" w:rsidRDefault="00CC5854" w:rsidP="00CC58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Establishes de facto acceptable risk level</w:t>
            </w:r>
          </w:p>
          <w:p w:rsidR="00CC5854" w:rsidRPr="00646BAD" w:rsidRDefault="00CC5854" w:rsidP="00811B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Don’t know if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concentration 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limit </w:t>
            </w: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can be met even with baghouses</w:t>
            </w:r>
          </w:p>
        </w:tc>
        <w:tc>
          <w:tcPr>
            <w:tcW w:w="2261" w:type="dxa"/>
          </w:tcPr>
          <w:p w:rsidR="00DD3C7F" w:rsidRPr="00646BAD" w:rsidRDefault="00DD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0DB" w:rsidRPr="00646BAD" w:rsidTr="00E370DB">
        <w:tc>
          <w:tcPr>
            <w:tcW w:w="516" w:type="dxa"/>
          </w:tcPr>
          <w:p w:rsidR="00E370DB" w:rsidRPr="00646BAD" w:rsidRDefault="00E370DB" w:rsidP="00A22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R3</w:t>
            </w:r>
          </w:p>
        </w:tc>
        <w:tc>
          <w:tcPr>
            <w:tcW w:w="7259" w:type="dxa"/>
          </w:tcPr>
          <w:p w:rsidR="00E370DB" w:rsidRPr="00646BAD" w:rsidRDefault="00EC763A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Rule Option 3: </w:t>
            </w:r>
            <w:r w:rsidR="00E370DB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Operate with fenceline real time monitors and stay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</w:p>
          <w:p w:rsidR="00E370DB" w:rsidRPr="00646BAD" w:rsidRDefault="00E370DB" w:rsidP="00823A0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Could use Cr VI or As if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 TBD with OHA</w:t>
            </w:r>
          </w:p>
          <w:p w:rsidR="00630A21" w:rsidRPr="00646BAD" w:rsidRDefault="00630A21" w:rsidP="00E370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Report to DEQ weekly</w:t>
            </w: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Would reassure public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May not require baghouse</w:t>
            </w:r>
          </w:p>
          <w:p w:rsidR="00E370DB" w:rsidRPr="00646BAD" w:rsidRDefault="00E370DB" w:rsidP="00A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0DB" w:rsidRPr="00646BAD" w:rsidRDefault="00E370DB" w:rsidP="00A2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Monitor expense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Time to deploy monitors</w:t>
            </w:r>
          </w:p>
          <w:p w:rsidR="00E370DB" w:rsidRPr="00646BAD" w:rsidRDefault="007E3232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370DB" w:rsidRPr="00646BAD">
              <w:rPr>
                <w:rFonts w:ascii="Times New Roman" w:hAnsi="Times New Roman" w:cs="Times New Roman"/>
                <w:sz w:val="24"/>
                <w:szCs w:val="24"/>
              </w:rPr>
              <w:t>ngoing monitor expense</w:t>
            </w:r>
          </w:p>
          <w:p w:rsidR="00E370DB" w:rsidRPr="00646BAD" w:rsidRDefault="00E370DB" w:rsidP="00A2218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Don’t know if they can operate and stay below </w:t>
            </w:r>
            <w:r w:rsidR="00823A01" w:rsidRPr="00646BA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limit</w:t>
            </w:r>
          </w:p>
          <w:p w:rsidR="000665E6" w:rsidRPr="00646BAD" w:rsidRDefault="00E370DB" w:rsidP="00646B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Establishes de facto acceptable risk level</w:t>
            </w:r>
          </w:p>
        </w:tc>
        <w:tc>
          <w:tcPr>
            <w:tcW w:w="2261" w:type="dxa"/>
          </w:tcPr>
          <w:p w:rsidR="00811B11" w:rsidRPr="00646BAD" w:rsidRDefault="007E3232" w:rsidP="00811B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Sets statewide precedent?</w:t>
            </w:r>
            <w:r w:rsidR="00811B11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0DB" w:rsidRPr="00646BAD" w:rsidRDefault="00811B11" w:rsidP="00811B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How do you deal with spikes?</w:t>
            </w:r>
          </w:p>
        </w:tc>
      </w:tr>
      <w:tr w:rsidR="00DD3C7F" w:rsidRPr="00646BAD" w:rsidTr="00E370DB">
        <w:tc>
          <w:tcPr>
            <w:tcW w:w="516" w:type="dxa"/>
          </w:tcPr>
          <w:p w:rsidR="00DD3C7F" w:rsidRPr="00646BAD" w:rsidRDefault="00E370DB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7259" w:type="dxa"/>
          </w:tcPr>
          <w:p w:rsidR="00DD3C7F" w:rsidRPr="00646BAD" w:rsidRDefault="00E370DB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MAO Option 2: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>ompar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daily use of Cd against monitoring data.  If comparison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shows no increase in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monitored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Cd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when using Cd, 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then it’s okay to use up to the amount 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>that shows no ambient impact</w:t>
            </w:r>
            <w:r w:rsidR="00DD3C7F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96724" w:rsidRPr="00646BAD" w:rsidRDefault="00DD3C7F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Same for Cr</w:t>
            </w:r>
            <w:r w:rsidR="00F96724"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C7F" w:rsidRPr="00646BAD" w:rsidRDefault="00F96724" w:rsidP="00DD3C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No use of Cr VI or As</w:t>
            </w:r>
          </w:p>
        </w:tc>
        <w:tc>
          <w:tcPr>
            <w:tcW w:w="2260" w:type="dxa"/>
          </w:tcPr>
          <w:p w:rsidR="00DD3C7F" w:rsidRPr="00646BAD" w:rsidRDefault="00F96724" w:rsidP="00F967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Presumes glass impact is insignificant</w:t>
            </w:r>
          </w:p>
          <w:p w:rsidR="00F96724" w:rsidRPr="00646BAD" w:rsidRDefault="00F96724" w:rsidP="00EC76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Allows operation up to a certain level</w:t>
            </w:r>
          </w:p>
        </w:tc>
        <w:tc>
          <w:tcPr>
            <w:tcW w:w="2260" w:type="dxa"/>
          </w:tcPr>
          <w:p w:rsidR="00DD3C7F" w:rsidRPr="00646BAD" w:rsidRDefault="00F96724" w:rsidP="00F967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Do not have data for Cr comparisons</w:t>
            </w:r>
          </w:p>
          <w:p w:rsidR="00F96724" w:rsidRPr="00646BAD" w:rsidRDefault="00F96724" w:rsidP="00471D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Analysis difficult and </w:t>
            </w:r>
            <w:r w:rsidR="00471DF9">
              <w:rPr>
                <w:rFonts w:ascii="Times New Roman" w:hAnsi="Times New Roman" w:cs="Times New Roman"/>
                <w:sz w:val="24"/>
                <w:szCs w:val="24"/>
              </w:rPr>
              <w:t>open to technical criticism</w:t>
            </w:r>
          </w:p>
        </w:tc>
        <w:tc>
          <w:tcPr>
            <w:tcW w:w="2261" w:type="dxa"/>
          </w:tcPr>
          <w:p w:rsidR="00DD3C7F" w:rsidRPr="00646BAD" w:rsidRDefault="00DD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A6" w:rsidRPr="00646BAD" w:rsidTr="00E370DB">
        <w:tc>
          <w:tcPr>
            <w:tcW w:w="516" w:type="dxa"/>
          </w:tcPr>
          <w:p w:rsidR="004274A6" w:rsidRPr="00646BAD" w:rsidRDefault="004274A6" w:rsidP="0042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</w:tcPr>
          <w:p w:rsidR="004274A6" w:rsidRPr="00646BAD" w:rsidRDefault="004274A6" w:rsidP="004274A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A6" w:rsidRPr="00646BAD" w:rsidTr="00E370DB">
        <w:tc>
          <w:tcPr>
            <w:tcW w:w="516" w:type="dxa"/>
          </w:tcPr>
          <w:p w:rsidR="004274A6" w:rsidRPr="00646BAD" w:rsidRDefault="004274A6" w:rsidP="00DD3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</w:tcPr>
          <w:p w:rsidR="004274A6" w:rsidRPr="00646BAD" w:rsidRDefault="004274A6" w:rsidP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Revoke ACDP</w:t>
            </w:r>
          </w:p>
        </w:tc>
        <w:tc>
          <w:tcPr>
            <w:tcW w:w="2260" w:type="dxa"/>
          </w:tcPr>
          <w:p w:rsidR="00421CAE" w:rsidRPr="00646BAD" w:rsidRDefault="00421CAE" w:rsidP="00421CA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Would reassure public</w:t>
            </w:r>
          </w:p>
          <w:p w:rsidR="004274A6" w:rsidRPr="00646BAD" w:rsidRDefault="004274A6" w:rsidP="00421CA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274A6" w:rsidRPr="00646BAD" w:rsidRDefault="004274A6" w:rsidP="004274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proofErr w:type="spell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Bullseye</w:t>
            </w:r>
            <w:proofErr w:type="spell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has a permit so revocation would not affect </w:t>
            </w:r>
            <w:proofErr w:type="spell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Uroboros</w:t>
            </w:r>
            <w:proofErr w:type="spellEnd"/>
          </w:p>
          <w:p w:rsidR="004274A6" w:rsidRPr="00646BAD" w:rsidRDefault="004274A6" w:rsidP="004274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reissuance of a permit would require public notice</w:t>
            </w:r>
          </w:p>
          <w:p w:rsidR="004274A6" w:rsidRPr="001E5D13" w:rsidRDefault="004274A6" w:rsidP="001E5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gram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take a minimum of 3 months or longer to reissue, which would probably put </w:t>
            </w:r>
            <w:proofErr w:type="spellStart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>Bullseye</w:t>
            </w:r>
            <w:proofErr w:type="spellEnd"/>
            <w:r w:rsidRPr="00646BAD">
              <w:rPr>
                <w:rFonts w:ascii="Times New Roman" w:hAnsi="Times New Roman" w:cs="Times New Roman"/>
                <w:sz w:val="24"/>
                <w:szCs w:val="24"/>
              </w:rPr>
              <w:t xml:space="preserve"> out of business (appeal?)</w:t>
            </w:r>
          </w:p>
        </w:tc>
        <w:tc>
          <w:tcPr>
            <w:tcW w:w="2261" w:type="dxa"/>
          </w:tcPr>
          <w:p w:rsidR="004274A6" w:rsidRPr="00646BAD" w:rsidRDefault="00427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DC2" w:rsidRDefault="00893DC2"/>
    <w:sectPr w:rsidR="00893DC2" w:rsidSect="00E34903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B7BFC"/>
    <w:multiLevelType w:val="hybridMultilevel"/>
    <w:tmpl w:val="74741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C7F"/>
    <w:rsid w:val="000665E6"/>
    <w:rsid w:val="000678EE"/>
    <w:rsid w:val="001E5D13"/>
    <w:rsid w:val="001F215C"/>
    <w:rsid w:val="002958DF"/>
    <w:rsid w:val="00374E75"/>
    <w:rsid w:val="003B3837"/>
    <w:rsid w:val="00421CAE"/>
    <w:rsid w:val="004274A6"/>
    <w:rsid w:val="00471DF9"/>
    <w:rsid w:val="004C5768"/>
    <w:rsid w:val="005B1A5D"/>
    <w:rsid w:val="00605770"/>
    <w:rsid w:val="00630A21"/>
    <w:rsid w:val="00646BAD"/>
    <w:rsid w:val="00677B0A"/>
    <w:rsid w:val="00677D84"/>
    <w:rsid w:val="007C5D4E"/>
    <w:rsid w:val="007E3232"/>
    <w:rsid w:val="00811B11"/>
    <w:rsid w:val="00823A01"/>
    <w:rsid w:val="00883CD2"/>
    <w:rsid w:val="00893DC2"/>
    <w:rsid w:val="00A51DE6"/>
    <w:rsid w:val="00A661D8"/>
    <w:rsid w:val="00A7459E"/>
    <w:rsid w:val="00AB1B19"/>
    <w:rsid w:val="00B775B0"/>
    <w:rsid w:val="00C2341E"/>
    <w:rsid w:val="00C26BEF"/>
    <w:rsid w:val="00CC5854"/>
    <w:rsid w:val="00D22ACA"/>
    <w:rsid w:val="00DD3C7F"/>
    <w:rsid w:val="00E34903"/>
    <w:rsid w:val="00E370DB"/>
    <w:rsid w:val="00EC763A"/>
    <w:rsid w:val="00F33A1E"/>
    <w:rsid w:val="00F9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Props1.xml><?xml version="1.0" encoding="utf-8"?>
<ds:datastoreItem xmlns:ds="http://schemas.openxmlformats.org/officeDocument/2006/customXml" ds:itemID="{D1C08648-306F-40EF-AB1F-7A14E371A2B7}"/>
</file>

<file path=customXml/itemProps2.xml><?xml version="1.0" encoding="utf-8"?>
<ds:datastoreItem xmlns:ds="http://schemas.openxmlformats.org/officeDocument/2006/customXml" ds:itemID="{EE91CC7B-2867-4ED1-A6E6-A2AF7AA4EF1E}"/>
</file>

<file path=customXml/itemProps3.xml><?xml version="1.0" encoding="utf-8"?>
<ds:datastoreItem xmlns:ds="http://schemas.openxmlformats.org/officeDocument/2006/customXml" ds:itemID="{675010E1-F165-4817-BA7A-4365C24C2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PCAdmin</dc:creator>
  <cp:lastModifiedBy>jinahar</cp:lastModifiedBy>
  <cp:revision>2</cp:revision>
  <cp:lastPrinted>2016-02-24T23:57:00Z</cp:lastPrinted>
  <dcterms:created xsi:type="dcterms:W3CDTF">2016-02-25T01:53:00Z</dcterms:created>
  <dcterms:modified xsi:type="dcterms:W3CDTF">2016-02-25T01:53:00Z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