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A5AFF" w14:textId="43577C9B" w:rsidR="00676CCE" w:rsidRPr="00676CCE" w:rsidRDefault="00676CCE" w:rsidP="004A7B15">
      <w:pPr>
        <w:spacing w:after="0" w:line="240" w:lineRule="auto"/>
        <w:rPr>
          <w:color w:val="000000" w:themeColor="text1"/>
        </w:rPr>
      </w:pPr>
      <w:r>
        <w:t xml:space="preserve">On </w:t>
      </w:r>
      <w:r w:rsidR="00FD1E57">
        <w:t xml:space="preserve">April 21, 2016, </w:t>
      </w:r>
      <w:r>
        <w:rPr>
          <w:color w:val="000000" w:themeColor="text1"/>
        </w:rPr>
        <w:t xml:space="preserve">the Environmental Quality Commission adopted </w:t>
      </w:r>
      <w:r w:rsidR="00FD1E57">
        <w:rPr>
          <w:color w:val="000000" w:themeColor="text1"/>
        </w:rPr>
        <w:t xml:space="preserve">temporary rules regulating air toxics emissions from colored art glass manufacturers. </w:t>
      </w:r>
      <w:r>
        <w:rPr>
          <w:color w:val="000000" w:themeColor="text1"/>
        </w:rPr>
        <w:t xml:space="preserve"> </w:t>
      </w:r>
      <w:r w:rsidR="00FD1E57">
        <w:rPr>
          <w:color w:val="000000" w:themeColor="text1"/>
        </w:rPr>
        <w:t>These rules will expire in 180 days.</w:t>
      </w:r>
    </w:p>
    <w:p w14:paraId="4D3A5B00" w14:textId="77777777" w:rsidR="00676CCE" w:rsidRDefault="00676CCE" w:rsidP="004A7B15">
      <w:pPr>
        <w:spacing w:after="0" w:line="240" w:lineRule="auto"/>
      </w:pPr>
    </w:p>
    <w:p w14:paraId="4D3A5B01"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Summary</w:t>
      </w:r>
    </w:p>
    <w:p w14:paraId="4D3A5B02" w14:textId="77777777" w:rsidR="004A7B15" w:rsidRDefault="004A7B15" w:rsidP="004A7B15">
      <w:pPr>
        <w:spacing w:after="0" w:line="240" w:lineRule="auto"/>
        <w:rPr>
          <w:b/>
        </w:rPr>
      </w:pPr>
    </w:p>
    <w:p w14:paraId="1B10FEF8" w14:textId="4DFC7A3E" w:rsidR="00FD1E57" w:rsidRDefault="00FD1E57" w:rsidP="00FD1E57">
      <w:pPr>
        <w:pStyle w:val="Normal1"/>
        <w:ind w:left="0" w:right="14"/>
      </w:pPr>
      <w:r>
        <w:t>Elevated and p</w:t>
      </w:r>
      <w:r w:rsidRPr="00E50FBD">
        <w:t xml:space="preserve">ossibly unsafe levels of </w:t>
      </w:r>
      <w:r>
        <w:t xml:space="preserve">metals </w:t>
      </w:r>
      <w:r w:rsidRPr="00E50FBD">
        <w:t xml:space="preserve">have been found in the air around </w:t>
      </w:r>
      <w:r>
        <w:t>two glass manufacturing facilities in Portland. I</w:t>
      </w:r>
      <w:r w:rsidRPr="00E86298">
        <w:t xml:space="preserve">n May 2015, </w:t>
      </w:r>
      <w:r>
        <w:t xml:space="preserve">DEQ received the initial results of a study </w:t>
      </w:r>
      <w:r w:rsidRPr="00E86298">
        <w:t xml:space="preserve">the U.S.  </w:t>
      </w:r>
      <w:r>
        <w:t>Forest Service conducted</w:t>
      </w:r>
      <w:r w:rsidRPr="00E86298">
        <w:t xml:space="preserve"> looking at moss samples as a</w:t>
      </w:r>
      <w:r>
        <w:t xml:space="preserve">n indicator or screening tool for </w:t>
      </w:r>
      <w:r w:rsidRPr="00E86298">
        <w:t>contaminants in the air.</w:t>
      </w:r>
      <w:r>
        <w:t xml:space="preserve"> The study’s </w:t>
      </w:r>
      <w:r w:rsidRPr="00E86298">
        <w:t>results</w:t>
      </w:r>
      <w:r>
        <w:t xml:space="preserve"> </w:t>
      </w:r>
      <w:r w:rsidRPr="00E86298">
        <w:t xml:space="preserve">showed </w:t>
      </w:r>
      <w:r>
        <w:t xml:space="preserve">that the moss samples in the </w:t>
      </w:r>
      <w:r w:rsidRPr="00E86298">
        <w:t xml:space="preserve">areas near two </w:t>
      </w:r>
      <w:r>
        <w:t xml:space="preserve">colored art </w:t>
      </w:r>
      <w:r w:rsidRPr="00E86298">
        <w:t xml:space="preserve">glass </w:t>
      </w:r>
      <w:r>
        <w:t>manufacturers</w:t>
      </w:r>
      <w:r w:rsidRPr="00E86298">
        <w:t xml:space="preserve"> </w:t>
      </w:r>
      <w:r>
        <w:t>contained</w:t>
      </w:r>
      <w:r w:rsidRPr="00E86298">
        <w:t xml:space="preserve"> high</w:t>
      </w:r>
      <w:r>
        <w:t xml:space="preserve"> </w:t>
      </w:r>
      <w:r w:rsidRPr="00E86298">
        <w:t>levels of the heavy metals c</w:t>
      </w:r>
      <w:r>
        <w:t xml:space="preserve">admium and arsenic in Southeast Portland and cadmium in North </w:t>
      </w:r>
      <w:r w:rsidRPr="00E86298">
        <w:t>Portland.</w:t>
      </w:r>
      <w:r>
        <w:t xml:space="preserve"> </w:t>
      </w:r>
    </w:p>
    <w:p w14:paraId="7D5200FA" w14:textId="12F7FDFE" w:rsidR="00FD1E57" w:rsidRDefault="00FD1E57" w:rsidP="00FD1E57">
      <w:pPr>
        <w:pStyle w:val="Normal1"/>
        <w:ind w:left="0"/>
      </w:pPr>
      <w:r w:rsidRPr="009C2551">
        <w:t xml:space="preserve">Air toxics emissions from certain types of industrial businesses like </w:t>
      </w:r>
      <w:r>
        <w:t xml:space="preserve">colored </w:t>
      </w:r>
      <w:r w:rsidRPr="009C2551">
        <w:t xml:space="preserve">art glass manufacturers are not </w:t>
      </w:r>
      <w:r>
        <w:t xml:space="preserve">fully </w:t>
      </w:r>
      <w:r w:rsidRPr="009C2551">
        <w:t>regulated under federal requirements.</w:t>
      </w:r>
      <w:r>
        <w:t xml:space="preserve"> Based on sampling DEQ undertook last October, and in recent weeks, DEQ has concluded that uncontrolled furnaces used in such colored art glass manufacturing are more likely than not to emit potentially unsafe levels of certain metals, including arsenic, cadmium, hexavalent chromium and nickel.</w:t>
      </w:r>
      <w:r w:rsidRPr="009C2551">
        <w:t xml:space="preserve"> </w:t>
      </w:r>
      <w:r>
        <w:t>The temporary rules that EQC adopt</w:t>
      </w:r>
      <w:r>
        <w:t>ed</w:t>
      </w:r>
      <w:r>
        <w:t xml:space="preserve"> are intended to immediately protect the public health and the environment by ensuring the air emissions from colored art glass facilities do not cause unsafe levels of metals in the air nearby.</w:t>
      </w:r>
    </w:p>
    <w:p w14:paraId="4D3A5B0D" w14:textId="0E5430DC" w:rsidR="004A7B15" w:rsidRDefault="00C77B57" w:rsidP="004A7B15">
      <w:pPr>
        <w:spacing w:after="0" w:line="240" w:lineRule="auto"/>
        <w:rPr>
          <w:rFonts w:ascii="Arial" w:hAnsi="Arial" w:cs="Arial"/>
          <w:b/>
          <w:sz w:val="32"/>
          <w:szCs w:val="32"/>
        </w:rPr>
      </w:pPr>
      <w:r w:rsidRPr="00C77B57">
        <w:rPr>
          <w:rFonts w:ascii="Arial" w:hAnsi="Arial" w:cs="Arial"/>
          <w:b/>
          <w:sz w:val="32"/>
          <w:szCs w:val="32"/>
        </w:rPr>
        <w:t>Additional Information</w:t>
      </w:r>
    </w:p>
    <w:p w14:paraId="4EE326A3" w14:textId="77777777" w:rsidR="00FD1E57" w:rsidRPr="00C77B57" w:rsidRDefault="00FD1E57" w:rsidP="004A7B15">
      <w:pPr>
        <w:spacing w:after="0" w:line="240" w:lineRule="auto"/>
        <w:rPr>
          <w:b/>
        </w:rPr>
      </w:pPr>
    </w:p>
    <w:p w14:paraId="58B75862" w14:textId="2010B4C6" w:rsidR="00FD1E57" w:rsidRDefault="00676CCE" w:rsidP="004A7B15">
      <w:pPr>
        <w:spacing w:after="0" w:line="240" w:lineRule="auto"/>
      </w:pPr>
      <w:r>
        <w:t xml:space="preserve">You can view documents concerning this rulemaking at the links below. The EQC staff report for these rules contains two versions of the adopted rules; one with changes </w:t>
      </w:r>
      <w:r w:rsidR="001772E4">
        <w:t xml:space="preserve">marked by colored text and one in the final version without any markup. You can view the staff report at this link: </w:t>
      </w:r>
      <w:hyperlink r:id="rId7" w:history="1">
        <w:r w:rsidR="00FD1E57">
          <w:rPr>
            <w:rStyle w:val="Hyperlink"/>
          </w:rPr>
          <w:t>Colored Art Glass Manufacturer Emissions Temporary Rules Staff Report</w:t>
        </w:r>
      </w:hyperlink>
      <w:r w:rsidR="001772E4">
        <w:rPr>
          <w:color w:val="000000" w:themeColor="text1"/>
        </w:rPr>
        <w:t xml:space="preserve">. </w:t>
      </w:r>
      <w:r w:rsidR="00FD1E57">
        <w:rPr>
          <w:color w:val="000000" w:themeColor="text1"/>
        </w:rPr>
        <w:t xml:space="preserve">You can also find additional information about these rules on the rulemaking web page: </w:t>
      </w:r>
      <w:hyperlink r:id="rId8" w:history="1">
        <w:r w:rsidR="00FD1E57">
          <w:rPr>
            <w:rStyle w:val="Hyperlink"/>
          </w:rPr>
          <w:t>Colored Art Glass Manufacturer Emissions Temporary Rulemaking</w:t>
        </w:r>
      </w:hyperlink>
      <w:r w:rsidR="00FD1E57">
        <w:rPr>
          <w:color w:val="000000" w:themeColor="text1"/>
        </w:rPr>
        <w:t>.</w:t>
      </w:r>
    </w:p>
    <w:p w14:paraId="4D3A5B0F" w14:textId="77777777" w:rsidR="001772E4" w:rsidRDefault="001772E4" w:rsidP="004A7B15">
      <w:pPr>
        <w:spacing w:after="0" w:line="240" w:lineRule="auto"/>
      </w:pPr>
    </w:p>
    <w:p w14:paraId="4D3A5B10" w14:textId="77777777" w:rsidR="007F67E5" w:rsidRDefault="007F67E5" w:rsidP="004A7B15">
      <w:pPr>
        <w:spacing w:after="0" w:line="240" w:lineRule="auto"/>
      </w:pPr>
      <w:r>
        <w:t xml:space="preserve">If you want to receive future email notices about </w:t>
      </w:r>
      <w:r w:rsidR="001772E4">
        <w:t xml:space="preserve">DEQ </w:t>
      </w:r>
      <w:r>
        <w:t xml:space="preserve">rulemaking, you must sign up at: </w:t>
      </w:r>
      <w:hyperlink r:id="rId9" w:history="1">
        <w:r>
          <w:rPr>
            <w:rStyle w:val="Hyperlink"/>
          </w:rPr>
          <w:t>DEQ Govdelivery</w:t>
        </w:r>
      </w:hyperlink>
      <w:r>
        <w:t>.</w:t>
      </w:r>
    </w:p>
    <w:p w14:paraId="4D3A5B11" w14:textId="77777777" w:rsidR="004A7B15" w:rsidRDefault="004A7B15" w:rsidP="004A7B15">
      <w:pPr>
        <w:spacing w:after="0" w:line="240" w:lineRule="auto"/>
      </w:pPr>
    </w:p>
    <w:p w14:paraId="4D3A5B12" w14:textId="77777777" w:rsidR="002C034D" w:rsidRDefault="002C034D" w:rsidP="004A7B15">
      <w:pPr>
        <w:spacing w:after="0" w:line="240" w:lineRule="auto"/>
      </w:pPr>
      <w:r>
        <w:t>You can also obtain more information about this rulemaking by contacting:</w:t>
      </w:r>
    </w:p>
    <w:p w14:paraId="4D3A5B13" w14:textId="77777777" w:rsidR="004A7B15" w:rsidRDefault="004A7B15" w:rsidP="004A7B15">
      <w:pPr>
        <w:spacing w:after="0" w:line="240" w:lineRule="auto"/>
      </w:pPr>
    </w:p>
    <w:p w14:paraId="7B4E1653" w14:textId="79C4C843" w:rsidR="00FD1E57" w:rsidRDefault="00FD1E57" w:rsidP="004A7B15">
      <w:pPr>
        <w:spacing w:after="0" w:line="240" w:lineRule="auto"/>
      </w:pPr>
      <w:r>
        <w:t>Jill Inahara</w:t>
      </w:r>
    </w:p>
    <w:p w14:paraId="19CD7316" w14:textId="0D43B82A" w:rsidR="00FD1E57" w:rsidRDefault="00FD1E57" w:rsidP="004A7B15">
      <w:pPr>
        <w:spacing w:after="0" w:line="240" w:lineRule="auto"/>
      </w:pPr>
      <w:r>
        <w:t>503-229-5001</w:t>
      </w:r>
    </w:p>
    <w:p w14:paraId="3BF3CBA6" w14:textId="37E1A6DA" w:rsidR="00FD1E57" w:rsidRDefault="00FD1E57" w:rsidP="004A7B15">
      <w:pPr>
        <w:spacing w:after="0" w:line="240" w:lineRule="auto"/>
      </w:pPr>
      <w:hyperlink r:id="rId10" w:history="1">
        <w:r w:rsidRPr="00C6362F">
          <w:rPr>
            <w:rStyle w:val="Hyperlink"/>
          </w:rPr>
          <w:t>Inahara.Jill@deq.state.or.us</w:t>
        </w:r>
      </w:hyperlink>
    </w:p>
    <w:p w14:paraId="14564182" w14:textId="77777777" w:rsidR="00FD1E57" w:rsidRPr="00FD1E57" w:rsidRDefault="00FD1E57" w:rsidP="004A7B15">
      <w:pPr>
        <w:spacing w:after="0" w:line="240" w:lineRule="auto"/>
      </w:pPr>
    </w:p>
    <w:p w14:paraId="7DBB698E" w14:textId="77777777" w:rsidR="00FD1E57" w:rsidRDefault="00FD1E57" w:rsidP="004A7B15">
      <w:pPr>
        <w:spacing w:after="0" w:line="240" w:lineRule="auto"/>
        <w:rPr>
          <w:b/>
        </w:rPr>
      </w:pPr>
    </w:p>
    <w:p w14:paraId="4D3A5B18" w14:textId="77777777" w:rsidR="007F67E5" w:rsidRDefault="007F67E5" w:rsidP="004A7B15">
      <w:pPr>
        <w:spacing w:after="0" w:line="240" w:lineRule="auto"/>
      </w:pPr>
    </w:p>
    <w:p w14:paraId="4D3A5B19" w14:textId="77777777" w:rsidR="007F67E5" w:rsidRDefault="007F67E5" w:rsidP="004A7B15">
      <w:pPr>
        <w:spacing w:after="0" w:line="240" w:lineRule="auto"/>
      </w:pPr>
    </w:p>
    <w:p w14:paraId="4D3A5B1A" w14:textId="77777777" w:rsidR="007F67E5" w:rsidRDefault="008F0EE2" w:rsidP="004A7B15">
      <w:pPr>
        <w:spacing w:after="0" w:line="240" w:lineRule="auto"/>
        <w:jc w:val="center"/>
        <w:rPr>
          <w:color w:val="FF0000"/>
          <w:sz w:val="32"/>
          <w:szCs w:val="32"/>
        </w:rPr>
      </w:pPr>
      <w:r>
        <w:rPr>
          <w:color w:val="FF0000"/>
          <w:sz w:val="32"/>
          <w:szCs w:val="32"/>
        </w:rPr>
        <w:t>COPY AND PASTE ABOVE INTO GOVDELIVERY MESSAGE</w:t>
      </w:r>
    </w:p>
    <w:p w14:paraId="4D3A5B1B" w14:textId="77777777" w:rsidR="008F0EE2" w:rsidRDefault="008F0EE2" w:rsidP="004A7B15">
      <w:pPr>
        <w:spacing w:after="0" w:line="240" w:lineRule="auto"/>
        <w:jc w:val="center"/>
        <w:rPr>
          <w:color w:val="FF0000"/>
          <w:sz w:val="32"/>
          <w:szCs w:val="32"/>
        </w:rPr>
      </w:pPr>
      <w:r>
        <w:rPr>
          <w:color w:val="FF0000"/>
          <w:sz w:val="32"/>
          <w:szCs w:val="32"/>
        </w:rPr>
        <w:t>DO NOT COPY SECTION BELOW</w:t>
      </w:r>
    </w:p>
    <w:p w14:paraId="4D3A5B1C" w14:textId="77777777" w:rsidR="004A7B15" w:rsidRDefault="004A7B15" w:rsidP="004A7B15">
      <w:pPr>
        <w:spacing w:after="0" w:line="240" w:lineRule="auto"/>
        <w:jc w:val="center"/>
        <w:rPr>
          <w:color w:val="FF0000"/>
          <w:sz w:val="32"/>
          <w:szCs w:val="32"/>
        </w:rPr>
      </w:pPr>
    </w:p>
    <w:p w14:paraId="4D3A5B1D" w14:textId="77777777" w:rsidR="008F0EE2" w:rsidRDefault="008F0EE2" w:rsidP="004A7B15">
      <w:pPr>
        <w:spacing w:after="0" w:line="240" w:lineRule="auto"/>
        <w:jc w:val="center"/>
        <w:rPr>
          <w:color w:val="1F4E79" w:themeColor="accent1" w:themeShade="80"/>
          <w:sz w:val="28"/>
          <w:szCs w:val="28"/>
        </w:rPr>
      </w:pPr>
      <w:r w:rsidRPr="008F0EE2">
        <w:rPr>
          <w:color w:val="1F4E79" w:themeColor="accent1" w:themeShade="80"/>
          <w:sz w:val="28"/>
          <w:szCs w:val="28"/>
        </w:rPr>
        <w:lastRenderedPageBreak/>
        <w:t>FROM GOVDELIVERY TOPICS, COPY AND PASTE TOPIC NAMES AND NUMBER OF SUBSCRIBERS</w:t>
      </w:r>
      <w:r>
        <w:rPr>
          <w:color w:val="1F4E79" w:themeColor="accent1" w:themeShade="80"/>
          <w:sz w:val="28"/>
          <w:szCs w:val="28"/>
        </w:rPr>
        <w:t xml:space="preserve"> BELOW – SAVE TO RULE DEVELOPMENT/PUBLIC NOTICE FOLDER</w:t>
      </w:r>
    </w:p>
    <w:p w14:paraId="4D3A5B1E" w14:textId="77777777" w:rsidR="003D068F" w:rsidRDefault="003D068F" w:rsidP="004A7B15">
      <w:pPr>
        <w:spacing w:after="0" w:line="240" w:lineRule="auto"/>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3D068F" w14:paraId="4D3A5B22" w14:textId="77777777" w:rsidTr="001A0671">
        <w:tc>
          <w:tcPr>
            <w:tcW w:w="5310" w:type="dxa"/>
          </w:tcPr>
          <w:p w14:paraId="4D3A5B1F" w14:textId="77777777" w:rsidR="003D068F" w:rsidRPr="003D068F" w:rsidRDefault="003D068F" w:rsidP="004A7B15">
            <w:pPr>
              <w:jc w:val="center"/>
              <w:rPr>
                <w:rFonts w:ascii="Arial" w:hAnsi="Arial" w:cs="Arial"/>
                <w:color w:val="000000" w:themeColor="text1"/>
                <w:sz w:val="28"/>
                <w:szCs w:val="28"/>
              </w:rPr>
            </w:pPr>
            <w:r w:rsidRPr="003D068F">
              <w:rPr>
                <w:rFonts w:ascii="Arial" w:hAnsi="Arial" w:cs="Arial"/>
                <w:color w:val="000000" w:themeColor="text1"/>
                <w:sz w:val="28"/>
                <w:szCs w:val="28"/>
              </w:rPr>
              <w:t>Topic Name</w:t>
            </w:r>
          </w:p>
        </w:tc>
        <w:tc>
          <w:tcPr>
            <w:tcW w:w="2700" w:type="dxa"/>
          </w:tcPr>
          <w:p w14:paraId="4D3A5B20" w14:textId="77777777" w:rsidR="003D068F" w:rsidRPr="003D068F" w:rsidRDefault="003D068F" w:rsidP="004A7B15">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14:paraId="4D3A5B21" w14:textId="77777777" w:rsidR="003D068F" w:rsidRPr="003D068F" w:rsidRDefault="003D068F" w:rsidP="004A7B15">
            <w:pPr>
              <w:jc w:val="center"/>
              <w:rPr>
                <w:rFonts w:ascii="Arial" w:hAnsi="Arial" w:cs="Arial"/>
                <w:color w:val="000000" w:themeColor="text1"/>
                <w:sz w:val="28"/>
                <w:szCs w:val="28"/>
              </w:rPr>
            </w:pPr>
            <w:r>
              <w:rPr>
                <w:rFonts w:ascii="Arial" w:hAnsi="Arial" w:cs="Arial"/>
                <w:color w:val="000000" w:themeColor="text1"/>
                <w:sz w:val="28"/>
                <w:szCs w:val="28"/>
              </w:rPr>
              <w:t>N</w:t>
            </w:r>
            <w:r w:rsidR="001A0671">
              <w:rPr>
                <w:rFonts w:ascii="Arial" w:hAnsi="Arial" w:cs="Arial"/>
                <w:color w:val="000000" w:themeColor="text1"/>
                <w:sz w:val="28"/>
                <w:szCs w:val="28"/>
              </w:rPr>
              <w:t xml:space="preserve">o. </w:t>
            </w:r>
            <w:r>
              <w:rPr>
                <w:rFonts w:ascii="Arial" w:hAnsi="Arial" w:cs="Arial"/>
                <w:color w:val="000000" w:themeColor="text1"/>
                <w:sz w:val="28"/>
                <w:szCs w:val="28"/>
              </w:rPr>
              <w:t>of Subscribers</w:t>
            </w:r>
          </w:p>
        </w:tc>
      </w:tr>
      <w:tr w:rsidR="003D068F" w14:paraId="4D3A5B26" w14:textId="77777777" w:rsidTr="001A0671">
        <w:tc>
          <w:tcPr>
            <w:tcW w:w="5310" w:type="dxa"/>
          </w:tcPr>
          <w:p w14:paraId="4D3A5B23" w14:textId="19DA6D9A" w:rsidR="003D068F" w:rsidRPr="001A0671" w:rsidRDefault="008A2C00" w:rsidP="004A7B15">
            <w:pPr>
              <w:jc w:val="center"/>
              <w:rPr>
                <w:color w:val="000000" w:themeColor="text1"/>
              </w:rPr>
            </w:pPr>
            <w:r>
              <w:rPr>
                <w:color w:val="000000" w:themeColor="text1"/>
              </w:rPr>
              <w:t>Air quality 2016 permanent rulemaking</w:t>
            </w:r>
          </w:p>
        </w:tc>
        <w:tc>
          <w:tcPr>
            <w:tcW w:w="2700" w:type="dxa"/>
          </w:tcPr>
          <w:p w14:paraId="4D3A5B24" w14:textId="6BAB601F" w:rsidR="003D068F" w:rsidRPr="001A0671" w:rsidRDefault="008A2C00" w:rsidP="004A7B15">
            <w:pPr>
              <w:jc w:val="center"/>
              <w:rPr>
                <w:color w:val="000000" w:themeColor="text1"/>
              </w:rPr>
            </w:pPr>
            <w:r>
              <w:rPr>
                <w:color w:val="000000" w:themeColor="text1"/>
              </w:rPr>
              <w:t>605</w:t>
            </w:r>
          </w:p>
        </w:tc>
        <w:tc>
          <w:tcPr>
            <w:tcW w:w="2520" w:type="dxa"/>
          </w:tcPr>
          <w:p w14:paraId="4D3A5B25" w14:textId="2893786E" w:rsidR="003D068F" w:rsidRPr="001A0671" w:rsidRDefault="008A2C00" w:rsidP="004A7B15">
            <w:pPr>
              <w:jc w:val="center"/>
              <w:rPr>
                <w:color w:val="000000" w:themeColor="text1"/>
              </w:rPr>
            </w:pPr>
            <w:r>
              <w:rPr>
                <w:color w:val="000000" w:themeColor="text1"/>
              </w:rPr>
              <w:t>230</w:t>
            </w:r>
          </w:p>
        </w:tc>
      </w:tr>
      <w:tr w:rsidR="003D068F" w14:paraId="4D3A5B2A" w14:textId="77777777" w:rsidTr="001A0671">
        <w:tc>
          <w:tcPr>
            <w:tcW w:w="5310" w:type="dxa"/>
          </w:tcPr>
          <w:p w14:paraId="4D3A5B27" w14:textId="3C7FCE7B" w:rsidR="003D068F" w:rsidRPr="001A0671" w:rsidRDefault="008A2C00" w:rsidP="004A7B15">
            <w:pPr>
              <w:jc w:val="center"/>
              <w:rPr>
                <w:color w:val="000000" w:themeColor="text1"/>
              </w:rPr>
            </w:pPr>
            <w:r>
              <w:rPr>
                <w:color w:val="000000" w:themeColor="text1"/>
              </w:rPr>
              <w:t>Air toxics state wide</w:t>
            </w:r>
          </w:p>
        </w:tc>
        <w:tc>
          <w:tcPr>
            <w:tcW w:w="2700" w:type="dxa"/>
          </w:tcPr>
          <w:p w14:paraId="4D3A5B28" w14:textId="0E211935" w:rsidR="003D068F" w:rsidRPr="001A0671" w:rsidRDefault="008A2C00" w:rsidP="004A7B15">
            <w:pPr>
              <w:jc w:val="center"/>
              <w:rPr>
                <w:color w:val="000000" w:themeColor="text1"/>
              </w:rPr>
            </w:pPr>
            <w:r>
              <w:rPr>
                <w:color w:val="000000" w:themeColor="text1"/>
              </w:rPr>
              <w:t>65</w:t>
            </w:r>
          </w:p>
        </w:tc>
        <w:tc>
          <w:tcPr>
            <w:tcW w:w="2520" w:type="dxa"/>
          </w:tcPr>
          <w:p w14:paraId="4D3A5B29" w14:textId="26D0B589" w:rsidR="003D068F" w:rsidRPr="001A0671" w:rsidRDefault="008A2C00" w:rsidP="004A7B15">
            <w:pPr>
              <w:jc w:val="center"/>
              <w:rPr>
                <w:color w:val="000000" w:themeColor="text1"/>
              </w:rPr>
            </w:pPr>
            <w:r>
              <w:rPr>
                <w:color w:val="000000" w:themeColor="text1"/>
              </w:rPr>
              <w:t>3520</w:t>
            </w:r>
            <w:bookmarkStart w:id="0" w:name="_GoBack"/>
            <w:bookmarkEnd w:id="0"/>
          </w:p>
        </w:tc>
      </w:tr>
      <w:tr w:rsidR="003D068F" w14:paraId="4D3A5B2E" w14:textId="77777777" w:rsidTr="001A0671">
        <w:tc>
          <w:tcPr>
            <w:tcW w:w="5310" w:type="dxa"/>
          </w:tcPr>
          <w:p w14:paraId="4D3A5B2B" w14:textId="77777777" w:rsidR="003D068F" w:rsidRPr="001A0671" w:rsidRDefault="003D068F" w:rsidP="004A7B15">
            <w:pPr>
              <w:jc w:val="center"/>
              <w:rPr>
                <w:color w:val="000000" w:themeColor="text1"/>
              </w:rPr>
            </w:pPr>
          </w:p>
        </w:tc>
        <w:tc>
          <w:tcPr>
            <w:tcW w:w="2700" w:type="dxa"/>
          </w:tcPr>
          <w:p w14:paraId="4D3A5B2C" w14:textId="77777777" w:rsidR="003D068F" w:rsidRPr="001A0671" w:rsidRDefault="003D068F" w:rsidP="004A7B15">
            <w:pPr>
              <w:jc w:val="center"/>
              <w:rPr>
                <w:color w:val="000000" w:themeColor="text1"/>
              </w:rPr>
            </w:pPr>
          </w:p>
        </w:tc>
        <w:tc>
          <w:tcPr>
            <w:tcW w:w="2520" w:type="dxa"/>
          </w:tcPr>
          <w:p w14:paraId="4D3A5B2D" w14:textId="77777777" w:rsidR="003D068F" w:rsidRPr="001A0671" w:rsidRDefault="003D068F" w:rsidP="004A7B15">
            <w:pPr>
              <w:jc w:val="center"/>
              <w:rPr>
                <w:color w:val="000000" w:themeColor="text1"/>
              </w:rPr>
            </w:pPr>
          </w:p>
        </w:tc>
      </w:tr>
      <w:tr w:rsidR="003D068F" w14:paraId="4D3A5B32" w14:textId="77777777" w:rsidTr="001A0671">
        <w:tc>
          <w:tcPr>
            <w:tcW w:w="5310" w:type="dxa"/>
          </w:tcPr>
          <w:p w14:paraId="4D3A5B2F" w14:textId="77777777" w:rsidR="003D068F" w:rsidRPr="001A0671" w:rsidRDefault="003D068F" w:rsidP="004A7B15">
            <w:pPr>
              <w:jc w:val="center"/>
              <w:rPr>
                <w:color w:val="000000" w:themeColor="text1"/>
              </w:rPr>
            </w:pPr>
          </w:p>
        </w:tc>
        <w:tc>
          <w:tcPr>
            <w:tcW w:w="2700" w:type="dxa"/>
          </w:tcPr>
          <w:p w14:paraId="4D3A5B30" w14:textId="77777777" w:rsidR="003D068F" w:rsidRPr="001A0671" w:rsidRDefault="003D068F" w:rsidP="004A7B15">
            <w:pPr>
              <w:jc w:val="center"/>
              <w:rPr>
                <w:color w:val="000000" w:themeColor="text1"/>
              </w:rPr>
            </w:pPr>
          </w:p>
        </w:tc>
        <w:tc>
          <w:tcPr>
            <w:tcW w:w="2520" w:type="dxa"/>
          </w:tcPr>
          <w:p w14:paraId="4D3A5B31" w14:textId="77777777" w:rsidR="003D068F" w:rsidRPr="001A0671" w:rsidRDefault="003D068F" w:rsidP="004A7B15">
            <w:pPr>
              <w:jc w:val="center"/>
              <w:rPr>
                <w:color w:val="000000" w:themeColor="text1"/>
              </w:rPr>
            </w:pPr>
          </w:p>
        </w:tc>
      </w:tr>
      <w:tr w:rsidR="003D068F" w14:paraId="4D3A5B36" w14:textId="77777777" w:rsidTr="001A0671">
        <w:tc>
          <w:tcPr>
            <w:tcW w:w="5310" w:type="dxa"/>
          </w:tcPr>
          <w:p w14:paraId="4D3A5B33" w14:textId="77777777" w:rsidR="003D068F" w:rsidRPr="001A0671" w:rsidRDefault="003D068F" w:rsidP="004A7B15">
            <w:pPr>
              <w:jc w:val="center"/>
              <w:rPr>
                <w:color w:val="000000" w:themeColor="text1"/>
              </w:rPr>
            </w:pPr>
          </w:p>
        </w:tc>
        <w:tc>
          <w:tcPr>
            <w:tcW w:w="2700" w:type="dxa"/>
          </w:tcPr>
          <w:p w14:paraId="4D3A5B34" w14:textId="77777777" w:rsidR="003D068F" w:rsidRPr="001A0671" w:rsidRDefault="003D068F" w:rsidP="004A7B15">
            <w:pPr>
              <w:jc w:val="center"/>
              <w:rPr>
                <w:color w:val="000000" w:themeColor="text1"/>
              </w:rPr>
            </w:pPr>
          </w:p>
        </w:tc>
        <w:tc>
          <w:tcPr>
            <w:tcW w:w="2520" w:type="dxa"/>
          </w:tcPr>
          <w:p w14:paraId="4D3A5B35" w14:textId="77777777" w:rsidR="003D068F" w:rsidRPr="001A0671" w:rsidRDefault="003D068F" w:rsidP="004A7B15">
            <w:pPr>
              <w:jc w:val="center"/>
              <w:rPr>
                <w:color w:val="000000" w:themeColor="text1"/>
              </w:rPr>
            </w:pPr>
          </w:p>
        </w:tc>
      </w:tr>
      <w:tr w:rsidR="003D068F" w14:paraId="4D3A5B3A" w14:textId="77777777" w:rsidTr="001A0671">
        <w:tc>
          <w:tcPr>
            <w:tcW w:w="5310" w:type="dxa"/>
          </w:tcPr>
          <w:p w14:paraId="4D3A5B37" w14:textId="77777777" w:rsidR="003D068F" w:rsidRPr="00D13EF6" w:rsidRDefault="001A0671" w:rsidP="004A7B15">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14:paraId="4D3A5B38" w14:textId="77777777" w:rsidR="003D068F" w:rsidRPr="001A0671" w:rsidRDefault="001A0671" w:rsidP="004A7B15">
            <w:pPr>
              <w:jc w:val="center"/>
              <w:rPr>
                <w:color w:val="2E74B5" w:themeColor="accent1" w:themeShade="BF"/>
              </w:rPr>
            </w:pPr>
            <w:r>
              <w:rPr>
                <w:color w:val="2E74B5" w:themeColor="accent1" w:themeShade="BF"/>
              </w:rPr>
              <w:t>To obtain total, select cell to the right, press F9</w:t>
            </w:r>
          </w:p>
        </w:tc>
        <w:tc>
          <w:tcPr>
            <w:tcW w:w="2520" w:type="dxa"/>
          </w:tcPr>
          <w:p w14:paraId="4D3A5B39" w14:textId="77777777" w:rsidR="003D068F" w:rsidRPr="001A0671" w:rsidRDefault="001A0671" w:rsidP="004A7B15">
            <w:pPr>
              <w:jc w:val="center"/>
              <w:rPr>
                <w:color w:val="000000" w:themeColor="text1"/>
              </w:rPr>
            </w:pPr>
            <w:r>
              <w:rPr>
                <w:color w:val="000000" w:themeColor="text1"/>
              </w:rPr>
              <w:fldChar w:fldCharType="begin"/>
            </w:r>
            <w:r>
              <w:rPr>
                <w:color w:val="000000" w:themeColor="text1"/>
              </w:rPr>
              <w:instrText xml:space="preserve"> =SUM(ABOVE) </w:instrText>
            </w:r>
            <w:r>
              <w:rPr>
                <w:color w:val="000000" w:themeColor="text1"/>
              </w:rPr>
              <w:fldChar w:fldCharType="separate"/>
            </w:r>
            <w:r>
              <w:rPr>
                <w:noProof/>
                <w:color w:val="000000" w:themeColor="text1"/>
              </w:rPr>
              <w:t>0</w:t>
            </w:r>
            <w:r>
              <w:rPr>
                <w:color w:val="000000" w:themeColor="text1"/>
              </w:rPr>
              <w:fldChar w:fldCharType="end"/>
            </w:r>
            <w:r>
              <w:rPr>
                <w:color w:val="000000" w:themeColor="text1"/>
              </w:rPr>
              <w:fldChar w:fldCharType="begin"/>
            </w:r>
            <w:r>
              <w:rPr>
                <w:color w:val="000000" w:themeColor="text1"/>
              </w:rPr>
              <w:instrText xml:space="preserve"> SUM(ABOVE) </w:instrText>
            </w:r>
            <w:r>
              <w:rPr>
                <w:color w:val="000000" w:themeColor="text1"/>
              </w:rPr>
              <w:fldChar w:fldCharType="end"/>
            </w:r>
          </w:p>
        </w:tc>
      </w:tr>
    </w:tbl>
    <w:p w14:paraId="4D3A5B3B" w14:textId="77777777" w:rsidR="003D068F" w:rsidRPr="008F0EE2" w:rsidRDefault="003D068F" w:rsidP="004A7B15">
      <w:pPr>
        <w:spacing w:after="0" w:line="240" w:lineRule="auto"/>
        <w:jc w:val="center"/>
        <w:rPr>
          <w:color w:val="1F4E79" w:themeColor="accent1" w:themeShade="80"/>
          <w:sz w:val="28"/>
          <w:szCs w:val="28"/>
        </w:rPr>
      </w:pPr>
    </w:p>
    <w:sectPr w:rsidR="003D068F" w:rsidRPr="008F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140E0E"/>
    <w:rsid w:val="00162E3F"/>
    <w:rsid w:val="001772E4"/>
    <w:rsid w:val="00184A96"/>
    <w:rsid w:val="001A0671"/>
    <w:rsid w:val="002C034D"/>
    <w:rsid w:val="003D068F"/>
    <w:rsid w:val="00400528"/>
    <w:rsid w:val="004A23A6"/>
    <w:rsid w:val="004A7B15"/>
    <w:rsid w:val="004D6F41"/>
    <w:rsid w:val="00530F4A"/>
    <w:rsid w:val="00676CCE"/>
    <w:rsid w:val="007E06B7"/>
    <w:rsid w:val="007F67E5"/>
    <w:rsid w:val="008A2C00"/>
    <w:rsid w:val="008F0EE2"/>
    <w:rsid w:val="00B918C2"/>
    <w:rsid w:val="00C77B57"/>
    <w:rsid w:val="00D13EF6"/>
    <w:rsid w:val="00D65384"/>
    <w:rsid w:val="00E372D7"/>
    <w:rsid w:val="00EA4A46"/>
    <w:rsid w:val="00EE2ACA"/>
    <w:rsid w:val="00F72BF2"/>
    <w:rsid w:val="00FC3B15"/>
    <w:rsid w:val="00FC65EA"/>
    <w:rsid w:val="00FD1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5AFF"/>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qFormat/>
    <w:rsid w:val="00FD1E57"/>
    <w:pPr>
      <w:spacing w:after="120" w:line="240" w:lineRule="auto"/>
      <w:ind w:left="1080" w:right="18"/>
      <w:outlineLvl w:val="0"/>
    </w:pPr>
    <w:rPr>
      <w:rFonts w:eastAsia="Times New Roman"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6/Rtoxics2016temp.aspx" TargetMode="External"/><Relationship Id="rId3" Type="http://schemas.openxmlformats.org/officeDocument/2006/relationships/customXml" Target="../customXml/item3.xml"/><Relationship Id="rId7" Type="http://schemas.openxmlformats.org/officeDocument/2006/relationships/hyperlink" Target="http://www.oregon.gov/deq/EQC/Documents/2016/042116eqcItemI.pdf"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nahara.Jill@deq.state.or.us" TargetMode="External"/><Relationship Id="rId4" Type="http://schemas.openxmlformats.org/officeDocument/2006/relationships/styles" Target="styles.xml"/><Relationship Id="rId9" Type="http://schemas.openxmlformats.org/officeDocument/2006/relationships/hyperlink" Target="https://public.govdelivery.com/accounts/ORDEQ/subscriber/new?pop=t&amp;topic_id=ORDEQ_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5E1F2-B728-4595-A46B-B8CDC80AF09A}">
  <ds:schemaRefs>
    <ds:schemaRef ds:uri="http://schemas.microsoft.com/office/infopath/2007/PartnerControls"/>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ListId:docs;"/>
    <ds:schemaRef ds:uri="http://schemas.microsoft.com/office/2006/metadata/properties"/>
  </ds:schemaRefs>
</ds:datastoreItem>
</file>

<file path=customXml/itemProps2.xml><?xml version="1.0" encoding="utf-8"?>
<ds:datastoreItem xmlns:ds="http://schemas.openxmlformats.org/officeDocument/2006/customXml" ds:itemID="{4071BA90-0280-4FCE-8A28-BDC374B3A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97B47-BBE0-43B0-BCDC-F383AB3189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6</cp:revision>
  <dcterms:created xsi:type="dcterms:W3CDTF">2016-02-23T17:17:00Z</dcterms:created>
  <dcterms:modified xsi:type="dcterms:W3CDTF">2016-04-21T23:38:00Z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