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11" w:rsidRDefault="005D4B41">
      <w:r w:rsidRPr="006D57D6">
        <w:rPr>
          <w:noProof/>
          <w:color w:val="000000" w:themeColor="text1"/>
          <w:sz w:val="32"/>
          <w:szCs w:val="32"/>
        </w:rPr>
        <w:drawing>
          <wp:anchor distT="0" distB="0" distL="114300" distR="114300" simplePos="0" relativeHeight="251659264" behindDoc="0" locked="0" layoutInCell="1" allowOverlap="1" wp14:anchorId="2866F259" wp14:editId="106BFADB">
            <wp:simplePos x="0" y="0"/>
            <wp:positionH relativeFrom="column">
              <wp:posOffset>-596900</wp:posOffset>
            </wp:positionH>
            <wp:positionV relativeFrom="paragraph">
              <wp:posOffset>75777</wp:posOffset>
            </wp:positionV>
            <wp:extent cx="586851" cy="1359673"/>
            <wp:effectExtent l="19050" t="0" r="3699"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4" cstate="print"/>
                    <a:srcRect/>
                    <a:stretch>
                      <a:fillRect/>
                    </a:stretch>
                  </pic:blipFill>
                  <pic:spPr bwMode="auto">
                    <a:xfrm>
                      <a:off x="0" y="0"/>
                      <a:ext cx="586851" cy="1359673"/>
                    </a:xfrm>
                    <a:prstGeom prst="rect">
                      <a:avLst/>
                    </a:prstGeom>
                    <a:noFill/>
                    <a:ln w="9525">
                      <a:noFill/>
                      <a:miter lim="800000"/>
                      <a:headEnd/>
                      <a:tailEnd/>
                    </a:ln>
                  </pic:spPr>
                </pic:pic>
              </a:graphicData>
            </a:graphic>
          </wp:anchor>
        </w:drawing>
      </w:r>
    </w:p>
    <w:p w:rsidR="00330083" w:rsidRPr="006D57D6" w:rsidRDefault="00330083" w:rsidP="00330083">
      <w:pPr>
        <w:tabs>
          <w:tab w:val="left" w:pos="16582"/>
        </w:tabs>
        <w:ind w:left="0"/>
        <w:jc w:val="center"/>
        <w:rPr>
          <w:rFonts w:ascii="Times New Roman" w:eastAsia="Times New Roman" w:hAnsi="Times New Roman"/>
          <w:b/>
          <w:color w:val="000000" w:themeColor="text1"/>
        </w:rPr>
      </w:pPr>
      <w:r w:rsidRPr="006D57D6">
        <w:rPr>
          <w:rFonts w:eastAsia="Times New Roman"/>
          <w:bCs/>
          <w:color w:val="000000" w:themeColor="text1"/>
          <w:sz w:val="36"/>
          <w:szCs w:val="36"/>
        </w:rPr>
        <w:t>Oregon Department of Environmental Quality</w:t>
      </w:r>
    </w:p>
    <w:p w:rsidR="00330083" w:rsidRPr="00C74D58" w:rsidRDefault="00330083" w:rsidP="00330083">
      <w:pPr>
        <w:tabs>
          <w:tab w:val="left" w:pos="908"/>
          <w:tab w:val="left" w:pos="16582"/>
        </w:tabs>
        <w:ind w:left="108"/>
        <w:jc w:val="center"/>
        <w:rPr>
          <w:rFonts w:ascii="Times New Roman" w:eastAsia="Times New Roman" w:hAnsi="Times New Roman"/>
          <w:b/>
          <w:color w:val="000000"/>
        </w:rPr>
      </w:pPr>
    </w:p>
    <w:p w:rsidR="00330083" w:rsidRPr="006D57D6" w:rsidRDefault="00330083">
      <w:pPr>
        <w:rPr>
          <w:color w:val="000000" w:themeColor="text1"/>
          <w:sz w:val="32"/>
          <w:szCs w:val="32"/>
        </w:rPr>
      </w:pPr>
      <w:r w:rsidRPr="006D57D6">
        <w:rPr>
          <w:color w:val="000000" w:themeColor="text1"/>
          <w:sz w:val="32"/>
          <w:szCs w:val="32"/>
        </w:rPr>
        <w:t>Housing Cost</w:t>
      </w:r>
      <w:r w:rsidR="006D57D6">
        <w:rPr>
          <w:color w:val="000000" w:themeColor="text1"/>
          <w:sz w:val="32"/>
          <w:szCs w:val="32"/>
        </w:rPr>
        <w:t xml:space="preserve"> Impact Statement</w:t>
      </w:r>
    </w:p>
    <w:p w:rsidR="00330083" w:rsidRPr="00C90F75" w:rsidRDefault="00C90F75">
      <w:pPr>
        <w:rPr>
          <w:color w:val="000000" w:themeColor="text1"/>
          <w:sz w:val="32"/>
          <w:szCs w:val="32"/>
        </w:rPr>
      </w:pPr>
      <w:r>
        <w:rPr>
          <w:color w:val="000000" w:themeColor="text1"/>
          <w:sz w:val="32"/>
          <w:szCs w:val="32"/>
        </w:rPr>
        <w:t>Air Quality 2016 Temporary Rules</w:t>
      </w:r>
    </w:p>
    <w:p w:rsidR="00330083" w:rsidRDefault="00330083">
      <w:pPr>
        <w:rPr>
          <w:color w:val="415B5C" w:themeColor="accent3" w:themeShade="80"/>
          <w:sz w:val="32"/>
          <w:szCs w:val="32"/>
        </w:rPr>
      </w:pPr>
    </w:p>
    <w:p w:rsidR="00330083" w:rsidRDefault="00330083">
      <w:pPr>
        <w:rPr>
          <w:color w:val="415B5C" w:themeColor="accent3" w:themeShade="80"/>
          <w:sz w:val="32"/>
          <w:szCs w:val="32"/>
        </w:rPr>
      </w:pPr>
    </w:p>
    <w:p w:rsidR="006D57D6" w:rsidRPr="006D57D6" w:rsidRDefault="006D57D6" w:rsidP="006D57D6">
      <w:pPr>
        <w:ind w:left="0"/>
        <w:rPr>
          <w:rFonts w:ascii="Times New Roman" w:eastAsia="Calibri" w:hAnsi="Times New Roman" w:cs="Times New Roman"/>
          <w:sz w:val="22"/>
          <w:szCs w:val="22"/>
        </w:rPr>
      </w:pPr>
    </w:p>
    <w:tbl>
      <w:tblPr>
        <w:tblStyle w:val="TableGrid1"/>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750"/>
      </w:tblGrid>
      <w:tr w:rsidR="00C90F75" w:rsidRPr="006D57D6" w:rsidTr="00D00FC5">
        <w:trPr>
          <w:trHeight w:val="432"/>
        </w:trPr>
        <w:tc>
          <w:tcPr>
            <w:tcW w:w="9090" w:type="dxa"/>
            <w:gridSpan w:val="2"/>
            <w:vAlign w:val="bottom"/>
          </w:tcPr>
          <w:p w:rsidR="00C90F75" w:rsidRPr="006D57D6" w:rsidRDefault="00C90F75" w:rsidP="006D57D6">
            <w:pPr>
              <w:ind w:left="0"/>
              <w:rPr>
                <w:rFonts w:ascii="Times New Roman" w:eastAsia="Calibri" w:hAnsi="Times New Roman" w:cs="Times New Roman"/>
              </w:rPr>
            </w:pPr>
            <w:r>
              <w:rPr>
                <w:rFonts w:ascii="Times New Roman" w:eastAsia="Calibri" w:hAnsi="Times New Roman" w:cs="Times New Roman"/>
              </w:rPr>
              <w:t>TEMPORARY RULE</w:t>
            </w:r>
          </w:p>
        </w:tc>
      </w:tr>
      <w:tr w:rsidR="006D57D6" w:rsidRPr="006D57D6" w:rsidTr="00D00FC5">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EFFECTIVE DATE</w:t>
            </w:r>
          </w:p>
        </w:tc>
        <w:tc>
          <w:tcPr>
            <w:tcW w:w="6750" w:type="dxa"/>
            <w:vAlign w:val="bottom"/>
          </w:tcPr>
          <w:p w:rsidR="006D57D6" w:rsidRPr="006D57D6" w:rsidRDefault="00C90F75" w:rsidP="006D57D6">
            <w:pPr>
              <w:ind w:left="0"/>
              <w:rPr>
                <w:rFonts w:ascii="Times New Roman" w:eastAsia="Calibri" w:hAnsi="Times New Roman" w:cs="Times New Roman"/>
              </w:rPr>
            </w:pPr>
            <w:r>
              <w:rPr>
                <w:rFonts w:ascii="Times New Roman" w:eastAsia="Calibri" w:hAnsi="Times New Roman" w:cs="Times New Roman"/>
              </w:rPr>
              <w:t>On filing; estimated 4.15.2016</w:t>
            </w:r>
          </w:p>
        </w:tc>
      </w:tr>
    </w:tbl>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r w:rsidRPr="006D57D6">
        <w:rPr>
          <w:rFonts w:ascii="Times New Roman" w:eastAsia="Calibri" w:hAnsi="Times New Roman" w:cs="Times New Roman"/>
          <w:sz w:val="22"/>
          <w:szCs w:val="22"/>
        </w:rPr>
        <w:t xml:space="preserve">Description of proposed change: </w:t>
      </w:r>
    </w:p>
    <w:p w:rsidR="006D57D6" w:rsidRDefault="006D57D6" w:rsidP="006D57D6">
      <w:pPr>
        <w:ind w:left="0"/>
        <w:rPr>
          <w:rFonts w:ascii="Times New Roman" w:eastAsia="Calibri" w:hAnsi="Times New Roman" w:cs="Times New Roman"/>
          <w:sz w:val="22"/>
          <w:szCs w:val="22"/>
        </w:rPr>
      </w:pPr>
    </w:p>
    <w:p w:rsidR="00D00FC5" w:rsidRDefault="00D00FC5" w:rsidP="00D00FC5">
      <w:pPr>
        <w:pStyle w:val="Normal1"/>
        <w:ind w:left="720"/>
      </w:pPr>
      <w:r>
        <w:t>DEQ is adopting regulatory standards that control emissions of metals from colored art glass manufacturing facilities.</w:t>
      </w:r>
    </w:p>
    <w:p w:rsidR="00C90F75" w:rsidRDefault="00C90F75" w:rsidP="00D00FC5">
      <w:pPr>
        <w:pStyle w:val="Normal1"/>
        <w:ind w:left="720"/>
      </w:pPr>
      <w:r>
        <w:t xml:space="preserve">DEQ is addressing the urgent need to control metals emissions from small colored art </w:t>
      </w:r>
      <w:bookmarkStart w:id="0" w:name="_GoBack"/>
      <w:bookmarkEnd w:id="0"/>
      <w:r>
        <w:t xml:space="preserve">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rsidR="00C90F75" w:rsidRDefault="00C90F75" w:rsidP="00D00FC5">
      <w:pPr>
        <w:pStyle w:val="Normal1"/>
        <w:ind w:left="720"/>
      </w:pPr>
      <w:r>
        <w:t>These rules are necessary to address a regulatory gap. No other state or federal standards currently apply to limit potentially unsafe levels of metal emissions from small colored art glass facilities. Waiting for longer-term state or federal solutions could result in unacceptably long periods of additional health risk for people living nearby.</w:t>
      </w:r>
    </w:p>
    <w:p w:rsidR="00C90F75" w:rsidRDefault="00C90F75" w:rsidP="00D00FC5">
      <w:pPr>
        <w:pStyle w:val="Normal1"/>
        <w:ind w:left="72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rsidR="00C90F75" w:rsidRDefault="00C90F75" w:rsidP="00D00FC5">
      <w:pPr>
        <w:pStyle w:val="Normal1"/>
        <w:ind w:left="720"/>
      </w:pPr>
      <w:r>
        <w:t>Many times the NESHAPs apply to only major sources (sources with 25 tons per year of total HAPs or 10 tons per year of an individual HAP).  In some cases the NESHAPs regulate some smaller or area sources of HAPs. But in cases where there is no NESHAP for smaller sources, or where a source is too small to be regulated by an area source NESHAP, DEQ does not have air toxics regulations that apply.  The category of small colored art glass facilities operating uncontrolled furnaces are below applicable NESHAP size thresholds and therefore not covered by federal standards.</w:t>
      </w:r>
    </w:p>
    <w:p w:rsidR="00C90F75" w:rsidRDefault="00C90F75" w:rsidP="00D00FC5">
      <w:pPr>
        <w:pStyle w:val="Normal1"/>
        <w:ind w:left="720"/>
      </w:pPr>
      <w:r>
        <w:lastRenderedPageBreak/>
        <w:t>The proposed rules would fill the regulatory gap by setting operation standards for the smaller art glass businesses that emit air toxics and potentially cause serious health effects.</w:t>
      </w:r>
    </w:p>
    <w:p w:rsidR="00C90F75" w:rsidRPr="006D57D6" w:rsidRDefault="00C90F75" w:rsidP="00D00FC5">
      <w:pPr>
        <w:pStyle w:val="Normal1"/>
        <w:ind w:left="720"/>
        <w:rPr>
          <w:rFonts w:eastAsia="Calibri" w:cs="Times New Roman"/>
          <w:sz w:val="22"/>
          <w:szCs w:val="22"/>
        </w:rPr>
      </w:pPr>
      <w:r>
        <w:t>By prohibiting use of chromium VI, cadmium and arsenic prior to installation of emission control devices at small 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r w:rsidRPr="006D57D6">
        <w:rPr>
          <w:rFonts w:ascii="Times New Roman" w:eastAsia="Calibri" w:hAnsi="Times New Roman" w:cs="Times New Roman"/>
          <w:sz w:val="22"/>
          <w:szCs w:val="22"/>
        </w:rPr>
        <w:t>Description of the need for, and objectives of the rule:</w:t>
      </w:r>
    </w:p>
    <w:p w:rsidR="006D57D6" w:rsidRPr="006D57D6" w:rsidRDefault="006D57D6" w:rsidP="006D57D6">
      <w:pPr>
        <w:ind w:left="0"/>
        <w:rPr>
          <w:rFonts w:ascii="Times New Roman" w:eastAsia="Calibri" w:hAnsi="Times New Roman" w:cs="Times New Roman"/>
          <w:sz w:val="22"/>
          <w:szCs w:val="22"/>
        </w:rPr>
      </w:pPr>
    </w:p>
    <w:p w:rsidR="00F460ED" w:rsidRDefault="00F460ED" w:rsidP="00F460ED">
      <w:pPr>
        <w:pStyle w:val="Normal1"/>
      </w:pPr>
    </w:p>
    <w:p w:rsidR="00F460ED" w:rsidRPr="00295A20" w:rsidRDefault="00F460ED" w:rsidP="00D00FC5">
      <w:pPr>
        <w:pStyle w:val="Normal1"/>
        <w:ind w:left="0"/>
        <w:rPr>
          <w:rFonts w:asciiTheme="majorHAnsi" w:hAnsiTheme="majorHAnsi" w:cstheme="majorHAnsi"/>
          <w:b/>
        </w:rPr>
      </w:pPr>
      <w:r w:rsidRPr="00295A20">
        <w:rPr>
          <w:rFonts w:asciiTheme="majorHAnsi" w:hAnsiTheme="majorHAnsi" w:cstheme="majorHAnsi"/>
          <w:b/>
        </w:rPr>
        <w:t>What need is DEQ trying to address?</w:t>
      </w:r>
    </w:p>
    <w:p w:rsidR="00F460ED" w:rsidRDefault="00F460ED" w:rsidP="00D00FC5">
      <w:pPr>
        <w:pStyle w:val="Normal1"/>
        <w:ind w:left="360"/>
      </w:pPr>
      <w:r>
        <w:t xml:space="preserve">DEQ is addressing the urgent need to control metals emissions from small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rsidR="00F460ED" w:rsidRDefault="00F460ED" w:rsidP="00D00FC5">
      <w:pPr>
        <w:pStyle w:val="Normal1"/>
        <w:ind w:left="360"/>
      </w:pPr>
      <w:r>
        <w:t>These rules are necessary to address a regulatory gap. No other state or federal standards currently apply to limit potentially unsafe levels of metal emissions from small colored art glass facilities. Waiting for longer-term state or federal solutions could result in unacceptably long periods of additional health risk for people living nearby.</w:t>
      </w:r>
    </w:p>
    <w:p w:rsidR="00F460ED" w:rsidRDefault="00F460ED" w:rsidP="00D00FC5">
      <w:pPr>
        <w:pStyle w:val="Normal1"/>
        <w:ind w:left="36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rsidR="00F460ED" w:rsidRDefault="00F460ED" w:rsidP="00D00FC5">
      <w:pPr>
        <w:pStyle w:val="Normal1"/>
        <w:ind w:left="360"/>
      </w:pPr>
      <w:r>
        <w:t>Many times the NESHAPs apply to only major sources (sources with 25 tons per year of total HAPs or 10 tons per year of an individual HAP).  In some cases the NESHAPs regulate some smaller or area sources of HAPs. But in cases where there is no NESHAP for smaller sources, or where a source is too small to be regulated by an area source NESHAP, DEQ does not have air toxics regulations that apply.  The category of small colored art glass facilities operating uncontrolled furnaces are below applicable NESHAP size thresholds and therefore not covered by federal standards.</w:t>
      </w:r>
    </w:p>
    <w:p w:rsidR="00F460ED" w:rsidRDefault="00F460ED" w:rsidP="00D00FC5">
      <w:pPr>
        <w:pStyle w:val="Normal1"/>
        <w:ind w:left="0"/>
        <w:rPr>
          <w:rFonts w:asciiTheme="majorHAnsi" w:hAnsiTheme="majorHAnsi" w:cstheme="majorHAnsi"/>
          <w:b/>
        </w:rPr>
      </w:pPr>
      <w:r w:rsidRPr="00295A20">
        <w:rPr>
          <w:rFonts w:asciiTheme="majorHAnsi" w:hAnsiTheme="majorHAnsi" w:cstheme="majorHAnsi"/>
          <w:b/>
        </w:rPr>
        <w:t>How would the proposed rule address the need?</w:t>
      </w:r>
    </w:p>
    <w:p w:rsidR="00F460ED" w:rsidRDefault="00F460ED" w:rsidP="00D00FC5">
      <w:pPr>
        <w:pStyle w:val="Normal1"/>
        <w:ind w:left="360"/>
      </w:pPr>
      <w:r>
        <w:t>The proposed rules would fill the regulatory gap by setting operation standards for the smaller art glass businesses that emit air toxics and potentially cause serious health effects.</w:t>
      </w:r>
    </w:p>
    <w:p w:rsidR="00F460ED" w:rsidRDefault="00F460ED" w:rsidP="00D00FC5">
      <w:pPr>
        <w:pStyle w:val="Normal1"/>
        <w:ind w:left="360"/>
      </w:pPr>
      <w:r>
        <w:t xml:space="preserve">By prohibiting use of chromium VI, cadmium and arsenic prior to installation of emission control devices at small colored art glass facilities, the temporary rules would immediately decrease risk from airborne metal exposure to people nearby, including children and other </w:t>
      </w:r>
      <w:r>
        <w:lastRenderedPageBreak/>
        <w:t>sensitive or vulnerable individuals. By prohibiting use of chromium III until DEQ establishes a maximum allowable usage rate, the temporary rules will ensure that facilities are not emitting potentially dangerous amounts of chromium VI.</w:t>
      </w:r>
    </w:p>
    <w:p w:rsidR="006D57D6" w:rsidRDefault="006D57D6" w:rsidP="006D57D6">
      <w:pPr>
        <w:ind w:left="0"/>
        <w:rPr>
          <w:rFonts w:ascii="Times New Roman" w:eastAsia="Calibri" w:hAnsi="Times New Roman" w:cs="Times New Roman"/>
          <w:sz w:val="22"/>
          <w:szCs w:val="22"/>
        </w:rPr>
      </w:pPr>
    </w:p>
    <w:p w:rsidR="00F460ED" w:rsidRPr="006D57D6" w:rsidRDefault="00F460ED"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r w:rsidRPr="006D57D6">
        <w:rPr>
          <w:rFonts w:ascii="Times New Roman" w:eastAsia="Calibri" w:hAnsi="Times New Roman" w:cs="Times New Roman"/>
          <w:sz w:val="22"/>
          <w:szCs w:val="22"/>
        </w:rPr>
        <w:t>List of rules adopted or amended:</w:t>
      </w:r>
    </w:p>
    <w:p w:rsidR="006D57D6" w:rsidRPr="006D57D6" w:rsidRDefault="006D57D6" w:rsidP="006D57D6">
      <w:pPr>
        <w:ind w:left="0"/>
        <w:rPr>
          <w:rFonts w:ascii="Times New Roman" w:eastAsia="Calibri" w:hAnsi="Times New Roman" w:cs="Times New Roman"/>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985"/>
      </w:tblGrid>
      <w:tr w:rsidR="00F460ED" w:rsidTr="00152195">
        <w:tc>
          <w:tcPr>
            <w:tcW w:w="2610" w:type="dxa"/>
          </w:tcPr>
          <w:p w:rsidR="00F460ED" w:rsidRPr="00E50FBD" w:rsidRDefault="00F460ED" w:rsidP="00152195">
            <w:pPr>
              <w:pStyle w:val="Normal1"/>
            </w:pPr>
            <w:r w:rsidRPr="00E50FBD">
              <w:t>Adopt</w:t>
            </w:r>
          </w:p>
        </w:tc>
        <w:tc>
          <w:tcPr>
            <w:tcW w:w="6608" w:type="dxa"/>
          </w:tcPr>
          <w:p w:rsidR="00F460ED" w:rsidRPr="00E50FBD" w:rsidRDefault="00F460ED" w:rsidP="00152195">
            <w:pPr>
              <w:pStyle w:val="Normal1"/>
              <w:ind w:left="0"/>
            </w:pPr>
            <w:r>
              <w:t>OAR</w:t>
            </w:r>
            <w:r w:rsidRPr="00E50FBD">
              <w:t xml:space="preserve"> </w:t>
            </w:r>
            <w:r>
              <w:t>340-244</w:t>
            </w:r>
            <w:r w:rsidRPr="00732869">
              <w:t>-9000,</w:t>
            </w:r>
            <w:r w:rsidRPr="00732869">
              <w:rPr>
                <w:rFonts w:asciiTheme="minorHAnsi" w:eastAsiaTheme="minorHAnsi" w:hAnsiTheme="minorHAnsi"/>
                <w:color w:val="auto"/>
              </w:rPr>
              <w:t xml:space="preserve"> </w:t>
            </w:r>
            <w:r w:rsidRPr="00732869">
              <w:t>340-24</w:t>
            </w:r>
            <w:r>
              <w:t>4-901</w:t>
            </w:r>
            <w:r w:rsidRPr="00732869">
              <w:t>0,</w:t>
            </w:r>
            <w:r w:rsidRPr="00732869">
              <w:rPr>
                <w:rFonts w:asciiTheme="minorHAnsi" w:eastAsiaTheme="minorHAnsi" w:hAnsiTheme="minorHAnsi"/>
                <w:color w:val="auto"/>
              </w:rPr>
              <w:t xml:space="preserve"> </w:t>
            </w:r>
            <w:r w:rsidRPr="00732869">
              <w:t>340-24</w:t>
            </w:r>
            <w:r>
              <w:t>4-902</w:t>
            </w:r>
            <w:r w:rsidRPr="00732869">
              <w:t>0,</w:t>
            </w:r>
            <w:r w:rsidRPr="00732869">
              <w:rPr>
                <w:rFonts w:asciiTheme="minorHAnsi" w:eastAsiaTheme="minorHAnsi" w:hAnsiTheme="minorHAnsi"/>
                <w:color w:val="auto"/>
              </w:rPr>
              <w:t xml:space="preserve"> </w:t>
            </w:r>
            <w:r w:rsidRPr="00732869">
              <w:t>340-24</w:t>
            </w:r>
            <w:r>
              <w:t>4-903</w:t>
            </w:r>
            <w:r w:rsidRPr="00732869">
              <w:t>0,</w:t>
            </w:r>
            <w:r w:rsidRPr="00732869">
              <w:rPr>
                <w:rFonts w:asciiTheme="minorHAnsi" w:eastAsiaTheme="minorHAnsi" w:hAnsiTheme="minorHAnsi"/>
                <w:color w:val="auto"/>
              </w:rPr>
              <w:t xml:space="preserve"> </w:t>
            </w:r>
            <w:r w:rsidRPr="00732869">
              <w:t>340-24</w:t>
            </w:r>
            <w:r>
              <w:t>4-904</w:t>
            </w:r>
            <w:r w:rsidRPr="00732869">
              <w:t>0</w:t>
            </w:r>
            <w:r>
              <w:t>, 340-244-9050</w:t>
            </w:r>
          </w:p>
        </w:tc>
      </w:tr>
      <w:tr w:rsidR="00F460ED" w:rsidTr="00152195">
        <w:tc>
          <w:tcPr>
            <w:tcW w:w="2610" w:type="dxa"/>
          </w:tcPr>
          <w:p w:rsidR="00F460ED" w:rsidRPr="00E50FBD" w:rsidRDefault="00F460ED" w:rsidP="00152195">
            <w:pPr>
              <w:pStyle w:val="Normal1"/>
            </w:pPr>
            <w:r w:rsidRPr="00E50FBD">
              <w:t>Amend</w:t>
            </w:r>
          </w:p>
        </w:tc>
        <w:tc>
          <w:tcPr>
            <w:tcW w:w="6608" w:type="dxa"/>
          </w:tcPr>
          <w:p w:rsidR="00F460ED" w:rsidRPr="00E50FBD" w:rsidRDefault="00F460ED" w:rsidP="00152195">
            <w:pPr>
              <w:pStyle w:val="Normal1"/>
              <w:ind w:left="0"/>
            </w:pPr>
            <w:r>
              <w:t>OAR 340-244-001</w:t>
            </w:r>
            <w:r w:rsidRPr="00E50FBD">
              <w:t>0</w:t>
            </w:r>
          </w:p>
        </w:tc>
      </w:tr>
    </w:tbl>
    <w:p w:rsidR="006D57D6" w:rsidRPr="006D57D6" w:rsidRDefault="006D57D6" w:rsidP="006D57D6">
      <w:pPr>
        <w:ind w:left="0"/>
        <w:rPr>
          <w:rFonts w:ascii="Times New Roman" w:eastAsia="Calibri" w:hAnsi="Times New Roman" w:cs="Times New Roman"/>
          <w:sz w:val="22"/>
          <w:szCs w:val="22"/>
        </w:rPr>
      </w:pPr>
    </w:p>
    <w:p w:rsidR="006D57D6" w:rsidRDefault="00C90F75" w:rsidP="006D57D6">
      <w:pPr>
        <w:ind w:left="0"/>
        <w:rPr>
          <w:rFonts w:ascii="Times New Roman" w:eastAsia="Calibri" w:hAnsi="Times New Roman" w:cs="Times New Roman"/>
          <w:sz w:val="22"/>
          <w:szCs w:val="22"/>
        </w:rPr>
      </w:pPr>
      <w:r>
        <w:rPr>
          <w:rFonts w:ascii="Times New Roman" w:eastAsia="Calibri" w:hAnsi="Times New Roman" w:cs="Times New Roman"/>
          <w:sz w:val="22"/>
          <w:szCs w:val="22"/>
        </w:rPr>
        <w:t>C</w:t>
      </w:r>
      <w:r w:rsidR="006D57D6" w:rsidRPr="006D57D6">
        <w:rPr>
          <w:rFonts w:ascii="Times New Roman" w:eastAsia="Calibri" w:hAnsi="Times New Roman" w:cs="Times New Roman"/>
          <w:sz w:val="22"/>
          <w:szCs w:val="22"/>
        </w:rPr>
        <w:t>osts or savings:</w:t>
      </w:r>
    </w:p>
    <w:p w:rsidR="00D00FC5" w:rsidRPr="006D57D6" w:rsidRDefault="00D00FC5" w:rsidP="006D57D6">
      <w:pPr>
        <w:ind w:left="0"/>
        <w:rPr>
          <w:rFonts w:ascii="Times New Roman" w:eastAsia="Calibri" w:hAnsi="Times New Roman" w:cs="Times New Roman"/>
          <w:sz w:val="22"/>
          <w:szCs w:val="22"/>
        </w:rPr>
      </w:pPr>
    </w:p>
    <w:p w:rsidR="00F460ED" w:rsidRDefault="00F460ED" w:rsidP="00F460ED">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t xml:space="preserve"> </w:t>
      </w:r>
      <w:r w:rsidRPr="00E50FBD">
        <w:t xml:space="preserve">could </w:t>
      </w:r>
      <w:r>
        <w:t>affect the development costs if the homeowner wanted colored art glass installed in the dwelling. T</w:t>
      </w:r>
      <w:r w:rsidRPr="008A7FB4">
        <w:rPr>
          <w:bCs/>
        </w:rPr>
        <w:t xml:space="preserve">he costs for additional permits, </w:t>
      </w:r>
      <w:r>
        <w:rPr>
          <w:bCs/>
        </w:rPr>
        <w:t xml:space="preserve">emission </w:t>
      </w:r>
      <w:r w:rsidRPr="008A7FB4">
        <w:rPr>
          <w:bCs/>
        </w:rPr>
        <w:t>control or process equipment could be passed through by businesses providing products and services for such development and construction.</w:t>
      </w:r>
      <w:r w:rsidRPr="008A7FB4">
        <w:rPr>
          <w:rFonts w:cs="Times New Roman"/>
          <w:bCs/>
        </w:rPr>
        <w:t xml:space="preserve"> </w:t>
      </w:r>
      <w:r w:rsidRPr="008A7FB4">
        <w:rPr>
          <w:bCs/>
        </w:rPr>
        <w:t>DEQ cannot quantify the impact at this time because the available information does not indicate whether the costs would be passed on to consumers and any such estimate would be speculative.</w:t>
      </w:r>
    </w:p>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p>
    <w:p w:rsidR="00330083" w:rsidRPr="00330083" w:rsidRDefault="00330083" w:rsidP="00330083">
      <w:pPr>
        <w:ind w:left="0"/>
        <w:rPr>
          <w:color w:val="415B5C" w:themeColor="accent3" w:themeShade="80"/>
          <w:sz w:val="32"/>
          <w:szCs w:val="32"/>
        </w:rPr>
      </w:pPr>
    </w:p>
    <w:sectPr w:rsidR="00330083" w:rsidRPr="00330083" w:rsidSect="006D5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83"/>
    <w:rsid w:val="000032B6"/>
    <w:rsid w:val="00047512"/>
    <w:rsid w:val="0007121C"/>
    <w:rsid w:val="00081375"/>
    <w:rsid w:val="00092BD8"/>
    <w:rsid w:val="00093587"/>
    <w:rsid w:val="000A207D"/>
    <w:rsid w:val="000F3297"/>
    <w:rsid w:val="000F3493"/>
    <w:rsid w:val="0012757B"/>
    <w:rsid w:val="001331DC"/>
    <w:rsid w:val="00173DD9"/>
    <w:rsid w:val="001829E9"/>
    <w:rsid w:val="001843EA"/>
    <w:rsid w:val="001850FB"/>
    <w:rsid w:val="00191F63"/>
    <w:rsid w:val="001B1799"/>
    <w:rsid w:val="001B2C46"/>
    <w:rsid w:val="001C4FC0"/>
    <w:rsid w:val="001D464B"/>
    <w:rsid w:val="001E5899"/>
    <w:rsid w:val="00214E17"/>
    <w:rsid w:val="002273E8"/>
    <w:rsid w:val="00230935"/>
    <w:rsid w:val="002372C8"/>
    <w:rsid w:val="002633DD"/>
    <w:rsid w:val="00266864"/>
    <w:rsid w:val="00276A83"/>
    <w:rsid w:val="0028022B"/>
    <w:rsid w:val="002941E4"/>
    <w:rsid w:val="002C5D32"/>
    <w:rsid w:val="002F205C"/>
    <w:rsid w:val="002F4FAC"/>
    <w:rsid w:val="00303715"/>
    <w:rsid w:val="00313D83"/>
    <w:rsid w:val="00330083"/>
    <w:rsid w:val="003343EF"/>
    <w:rsid w:val="00370282"/>
    <w:rsid w:val="003A3B4D"/>
    <w:rsid w:val="003F55BA"/>
    <w:rsid w:val="00404189"/>
    <w:rsid w:val="00406CA6"/>
    <w:rsid w:val="0041427E"/>
    <w:rsid w:val="004262E6"/>
    <w:rsid w:val="004511AC"/>
    <w:rsid w:val="0045697A"/>
    <w:rsid w:val="00483513"/>
    <w:rsid w:val="00491CBA"/>
    <w:rsid w:val="00497F5D"/>
    <w:rsid w:val="004A26CB"/>
    <w:rsid w:val="004B07ED"/>
    <w:rsid w:val="004C41B2"/>
    <w:rsid w:val="004D2118"/>
    <w:rsid w:val="004D31F4"/>
    <w:rsid w:val="004E5477"/>
    <w:rsid w:val="004F41B4"/>
    <w:rsid w:val="0053430C"/>
    <w:rsid w:val="00542DAA"/>
    <w:rsid w:val="00555005"/>
    <w:rsid w:val="0057711C"/>
    <w:rsid w:val="005C2368"/>
    <w:rsid w:val="005C7944"/>
    <w:rsid w:val="005D4B41"/>
    <w:rsid w:val="005E5AC6"/>
    <w:rsid w:val="005E65BE"/>
    <w:rsid w:val="00610595"/>
    <w:rsid w:val="006121AD"/>
    <w:rsid w:val="00614C52"/>
    <w:rsid w:val="006352D3"/>
    <w:rsid w:val="00641B34"/>
    <w:rsid w:val="0067101D"/>
    <w:rsid w:val="006732E3"/>
    <w:rsid w:val="006748DE"/>
    <w:rsid w:val="00686426"/>
    <w:rsid w:val="006B68FB"/>
    <w:rsid w:val="006D1F14"/>
    <w:rsid w:val="006D57D6"/>
    <w:rsid w:val="00701FFD"/>
    <w:rsid w:val="00711858"/>
    <w:rsid w:val="00717ACA"/>
    <w:rsid w:val="00725AED"/>
    <w:rsid w:val="00766F0B"/>
    <w:rsid w:val="00792438"/>
    <w:rsid w:val="007947AD"/>
    <w:rsid w:val="0079498B"/>
    <w:rsid w:val="007B16BF"/>
    <w:rsid w:val="007C4D22"/>
    <w:rsid w:val="007D6405"/>
    <w:rsid w:val="007E5321"/>
    <w:rsid w:val="007F3BA1"/>
    <w:rsid w:val="0080323F"/>
    <w:rsid w:val="008457D7"/>
    <w:rsid w:val="00863601"/>
    <w:rsid w:val="00882B7B"/>
    <w:rsid w:val="008963A8"/>
    <w:rsid w:val="00897C67"/>
    <w:rsid w:val="008A59D7"/>
    <w:rsid w:val="008C11A0"/>
    <w:rsid w:val="008C4E2F"/>
    <w:rsid w:val="008D041A"/>
    <w:rsid w:val="0090032D"/>
    <w:rsid w:val="00937040"/>
    <w:rsid w:val="009622CC"/>
    <w:rsid w:val="00964C9E"/>
    <w:rsid w:val="00973525"/>
    <w:rsid w:val="00985E75"/>
    <w:rsid w:val="009B355B"/>
    <w:rsid w:val="009C0F09"/>
    <w:rsid w:val="009C3879"/>
    <w:rsid w:val="009C4F7D"/>
    <w:rsid w:val="009D49B4"/>
    <w:rsid w:val="00A075B4"/>
    <w:rsid w:val="00A17568"/>
    <w:rsid w:val="00A26526"/>
    <w:rsid w:val="00A26960"/>
    <w:rsid w:val="00A55CA9"/>
    <w:rsid w:val="00A71866"/>
    <w:rsid w:val="00A935CD"/>
    <w:rsid w:val="00AA26A6"/>
    <w:rsid w:val="00AA2895"/>
    <w:rsid w:val="00AA29E8"/>
    <w:rsid w:val="00AD1E18"/>
    <w:rsid w:val="00AD5B9D"/>
    <w:rsid w:val="00B144AF"/>
    <w:rsid w:val="00B14677"/>
    <w:rsid w:val="00B24236"/>
    <w:rsid w:val="00B25CFE"/>
    <w:rsid w:val="00B53BBC"/>
    <w:rsid w:val="00B63031"/>
    <w:rsid w:val="00B649E8"/>
    <w:rsid w:val="00B65424"/>
    <w:rsid w:val="00B84510"/>
    <w:rsid w:val="00B93DED"/>
    <w:rsid w:val="00BC6EC4"/>
    <w:rsid w:val="00BF3450"/>
    <w:rsid w:val="00BF5D1A"/>
    <w:rsid w:val="00C058FB"/>
    <w:rsid w:val="00C17F8C"/>
    <w:rsid w:val="00C2127D"/>
    <w:rsid w:val="00C27FD4"/>
    <w:rsid w:val="00C37057"/>
    <w:rsid w:val="00C539F3"/>
    <w:rsid w:val="00C61511"/>
    <w:rsid w:val="00C90F75"/>
    <w:rsid w:val="00C9595A"/>
    <w:rsid w:val="00CC5405"/>
    <w:rsid w:val="00CE15F0"/>
    <w:rsid w:val="00CE72B3"/>
    <w:rsid w:val="00CF1678"/>
    <w:rsid w:val="00CF4CFA"/>
    <w:rsid w:val="00D00FC5"/>
    <w:rsid w:val="00D11374"/>
    <w:rsid w:val="00D37689"/>
    <w:rsid w:val="00D56F36"/>
    <w:rsid w:val="00D6283B"/>
    <w:rsid w:val="00D86A27"/>
    <w:rsid w:val="00DA68A0"/>
    <w:rsid w:val="00DB098B"/>
    <w:rsid w:val="00DC28F9"/>
    <w:rsid w:val="00DE03D0"/>
    <w:rsid w:val="00E0293E"/>
    <w:rsid w:val="00E0408C"/>
    <w:rsid w:val="00E14BA4"/>
    <w:rsid w:val="00E2312F"/>
    <w:rsid w:val="00E24C44"/>
    <w:rsid w:val="00E31E64"/>
    <w:rsid w:val="00E34A04"/>
    <w:rsid w:val="00E4581E"/>
    <w:rsid w:val="00E61A74"/>
    <w:rsid w:val="00E7165B"/>
    <w:rsid w:val="00EA5B10"/>
    <w:rsid w:val="00EA5DA8"/>
    <w:rsid w:val="00ED048B"/>
    <w:rsid w:val="00ED146B"/>
    <w:rsid w:val="00ED6E5E"/>
    <w:rsid w:val="00EF2809"/>
    <w:rsid w:val="00F00DCD"/>
    <w:rsid w:val="00F23647"/>
    <w:rsid w:val="00F460ED"/>
    <w:rsid w:val="00F65756"/>
    <w:rsid w:val="00F7042C"/>
    <w:rsid w:val="00F81F4C"/>
    <w:rsid w:val="00F82A2B"/>
    <w:rsid w:val="00F911FA"/>
    <w:rsid w:val="00F962DA"/>
    <w:rsid w:val="00F971EB"/>
    <w:rsid w:val="00FB0602"/>
    <w:rsid w:val="00FB2290"/>
    <w:rsid w:val="00FB3A80"/>
    <w:rsid w:val="00FC68C6"/>
    <w:rsid w:val="00FE166F"/>
    <w:rsid w:val="00FF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A5E0A-2606-4AC6-AF94-B6207296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083"/>
    <w:pPr>
      <w:spacing w:after="0" w:line="240" w:lineRule="auto"/>
      <w:ind w:left="2880"/>
      <w:jc w:val="left"/>
    </w:pPr>
    <w:rPr>
      <w:rFonts w:ascii="Arial" w:hAnsi="Arial" w:cs="Arial"/>
      <w:sz w:val="24"/>
      <w:szCs w:val="24"/>
      <w:lang w:bidi="ar-SA"/>
    </w:rPr>
  </w:style>
  <w:style w:type="paragraph" w:styleId="Heading1">
    <w:name w:val="heading 1"/>
    <w:basedOn w:val="Normal"/>
    <w:next w:val="Normal"/>
    <w:link w:val="Heading1Char"/>
    <w:uiPriority w:val="9"/>
    <w:qFormat/>
    <w:rsid w:val="002F4FAC"/>
    <w:pPr>
      <w:spacing w:before="300" w:after="40" w:line="276" w:lineRule="auto"/>
      <w:ind w:left="0"/>
      <w:outlineLvl w:val="0"/>
    </w:pPr>
    <w:rPr>
      <w:rFonts w:asciiTheme="minorHAnsi" w:hAnsiTheme="minorHAnsi" w:cstheme="minorBidi"/>
      <w:smallCaps/>
      <w:spacing w:val="5"/>
      <w:sz w:val="32"/>
      <w:szCs w:val="32"/>
      <w:lang w:bidi="en-US"/>
    </w:rPr>
  </w:style>
  <w:style w:type="paragraph" w:styleId="Heading2">
    <w:name w:val="heading 2"/>
    <w:basedOn w:val="Normal"/>
    <w:next w:val="Normal"/>
    <w:link w:val="Heading2Char"/>
    <w:uiPriority w:val="9"/>
    <w:semiHidden/>
    <w:unhideWhenUsed/>
    <w:qFormat/>
    <w:rsid w:val="002F4FAC"/>
    <w:pPr>
      <w:spacing w:before="240" w:after="80" w:line="276" w:lineRule="auto"/>
      <w:ind w:left="0"/>
      <w:outlineLvl w:val="1"/>
    </w:pPr>
    <w:rPr>
      <w:rFonts w:asciiTheme="minorHAnsi" w:hAnsiTheme="minorHAnsi" w:cstheme="minorBidi"/>
      <w:smallCaps/>
      <w:spacing w:val="5"/>
      <w:sz w:val="28"/>
      <w:szCs w:val="28"/>
      <w:lang w:bidi="en-US"/>
    </w:rPr>
  </w:style>
  <w:style w:type="paragraph" w:styleId="Heading3">
    <w:name w:val="heading 3"/>
    <w:basedOn w:val="Normal"/>
    <w:next w:val="Normal"/>
    <w:link w:val="Heading3Char"/>
    <w:uiPriority w:val="9"/>
    <w:semiHidden/>
    <w:unhideWhenUsed/>
    <w:qFormat/>
    <w:rsid w:val="002F4FAC"/>
    <w:pPr>
      <w:spacing w:line="276" w:lineRule="auto"/>
      <w:ind w:left="0"/>
      <w:outlineLvl w:val="2"/>
    </w:pPr>
    <w:rPr>
      <w:rFonts w:asciiTheme="minorHAnsi" w:hAnsiTheme="minorHAnsi" w:cstheme="minorBidi"/>
      <w:smallCaps/>
      <w:spacing w:val="5"/>
      <w:lang w:bidi="en-US"/>
    </w:rPr>
  </w:style>
  <w:style w:type="paragraph" w:styleId="Heading4">
    <w:name w:val="heading 4"/>
    <w:basedOn w:val="Normal"/>
    <w:next w:val="Normal"/>
    <w:link w:val="Heading4Char"/>
    <w:uiPriority w:val="9"/>
    <w:semiHidden/>
    <w:unhideWhenUsed/>
    <w:qFormat/>
    <w:rsid w:val="002F4FAC"/>
    <w:pPr>
      <w:spacing w:before="240" w:line="276" w:lineRule="auto"/>
      <w:ind w:left="0"/>
      <w:outlineLvl w:val="3"/>
    </w:pPr>
    <w:rPr>
      <w:rFonts w:asciiTheme="minorHAnsi" w:hAnsiTheme="minorHAnsi" w:cstheme="minorBidi"/>
      <w:smallCaps/>
      <w:spacing w:val="10"/>
      <w:sz w:val="22"/>
      <w:szCs w:val="22"/>
      <w:lang w:bidi="en-US"/>
    </w:rPr>
  </w:style>
  <w:style w:type="paragraph" w:styleId="Heading5">
    <w:name w:val="heading 5"/>
    <w:basedOn w:val="Normal"/>
    <w:next w:val="Normal"/>
    <w:link w:val="Heading5Char"/>
    <w:uiPriority w:val="9"/>
    <w:semiHidden/>
    <w:unhideWhenUsed/>
    <w:qFormat/>
    <w:rsid w:val="002F4FAC"/>
    <w:pPr>
      <w:spacing w:before="200" w:line="276" w:lineRule="auto"/>
      <w:ind w:left="0"/>
      <w:outlineLvl w:val="4"/>
    </w:pPr>
    <w:rPr>
      <w:rFonts w:asciiTheme="minorHAnsi" w:hAnsiTheme="minorHAnsi" w:cstheme="minorBidi"/>
      <w:smallCaps/>
      <w:color w:val="988600" w:themeColor="accent2" w:themeShade="BF"/>
      <w:spacing w:val="10"/>
      <w:sz w:val="22"/>
      <w:szCs w:val="26"/>
      <w:lang w:bidi="en-US"/>
    </w:rPr>
  </w:style>
  <w:style w:type="paragraph" w:styleId="Heading6">
    <w:name w:val="heading 6"/>
    <w:basedOn w:val="Normal"/>
    <w:next w:val="Normal"/>
    <w:link w:val="Heading6Char"/>
    <w:uiPriority w:val="9"/>
    <w:semiHidden/>
    <w:unhideWhenUsed/>
    <w:qFormat/>
    <w:rsid w:val="002F4FAC"/>
    <w:pPr>
      <w:spacing w:line="276" w:lineRule="auto"/>
      <w:ind w:left="0"/>
      <w:outlineLvl w:val="5"/>
    </w:pPr>
    <w:rPr>
      <w:rFonts w:asciiTheme="minorHAnsi" w:hAnsiTheme="minorHAnsi" w:cstheme="minorBidi"/>
      <w:smallCaps/>
      <w:color w:val="CCB400" w:themeColor="accent2"/>
      <w:spacing w:val="5"/>
      <w:sz w:val="22"/>
      <w:szCs w:val="20"/>
      <w:lang w:bidi="en-US"/>
    </w:rPr>
  </w:style>
  <w:style w:type="paragraph" w:styleId="Heading7">
    <w:name w:val="heading 7"/>
    <w:basedOn w:val="Normal"/>
    <w:next w:val="Normal"/>
    <w:link w:val="Heading7Char"/>
    <w:uiPriority w:val="9"/>
    <w:semiHidden/>
    <w:unhideWhenUsed/>
    <w:qFormat/>
    <w:rsid w:val="002F4FAC"/>
    <w:pPr>
      <w:spacing w:line="276" w:lineRule="auto"/>
      <w:ind w:left="0"/>
      <w:outlineLvl w:val="6"/>
    </w:pPr>
    <w:rPr>
      <w:rFonts w:asciiTheme="minorHAnsi" w:hAnsiTheme="minorHAnsi" w:cstheme="minorBidi"/>
      <w:b/>
      <w:smallCaps/>
      <w:color w:val="CCB400" w:themeColor="accent2"/>
      <w:spacing w:val="10"/>
      <w:sz w:val="20"/>
      <w:szCs w:val="20"/>
      <w:lang w:bidi="en-US"/>
    </w:rPr>
  </w:style>
  <w:style w:type="paragraph" w:styleId="Heading8">
    <w:name w:val="heading 8"/>
    <w:basedOn w:val="Normal"/>
    <w:next w:val="Normal"/>
    <w:link w:val="Heading8Char"/>
    <w:uiPriority w:val="9"/>
    <w:semiHidden/>
    <w:unhideWhenUsed/>
    <w:qFormat/>
    <w:rsid w:val="002F4FAC"/>
    <w:pPr>
      <w:spacing w:line="276" w:lineRule="auto"/>
      <w:ind w:left="0"/>
      <w:outlineLvl w:val="7"/>
    </w:pPr>
    <w:rPr>
      <w:rFonts w:asciiTheme="minorHAnsi" w:hAnsiTheme="minorHAnsi" w:cstheme="minorBidi"/>
      <w:b/>
      <w:i/>
      <w:smallCaps/>
      <w:color w:val="988600" w:themeColor="accent2" w:themeShade="BF"/>
      <w:sz w:val="20"/>
      <w:szCs w:val="20"/>
      <w:lang w:bidi="en-US"/>
    </w:rPr>
  </w:style>
  <w:style w:type="paragraph" w:styleId="Heading9">
    <w:name w:val="heading 9"/>
    <w:basedOn w:val="Normal"/>
    <w:next w:val="Normal"/>
    <w:link w:val="Heading9Char"/>
    <w:uiPriority w:val="9"/>
    <w:semiHidden/>
    <w:unhideWhenUsed/>
    <w:qFormat/>
    <w:rsid w:val="002F4FAC"/>
    <w:pPr>
      <w:spacing w:line="276" w:lineRule="auto"/>
      <w:ind w:left="0"/>
      <w:outlineLvl w:val="8"/>
    </w:pPr>
    <w:rPr>
      <w:rFonts w:asciiTheme="minorHAnsi" w:hAnsiTheme="minorHAnsi" w:cstheme="minorBidi"/>
      <w:b/>
      <w:i/>
      <w:smallCaps/>
      <w:color w:val="655900" w:themeColor="accent2" w:themeShade="7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spacing w:after="200" w:line="276" w:lineRule="auto"/>
      <w:ind w:left="720"/>
      <w:contextualSpacing/>
      <w:jc w:val="both"/>
    </w:pPr>
    <w:rPr>
      <w:rFonts w:asciiTheme="minorHAnsi" w:hAnsiTheme="minorHAnsi" w:cstheme="minorBidi"/>
      <w:sz w:val="20"/>
      <w:szCs w:val="20"/>
      <w:lang w:bidi="en-US"/>
    </w:r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pPr>
      <w:spacing w:after="200" w:line="276" w:lineRule="auto"/>
      <w:ind w:left="0"/>
      <w:jc w:val="both"/>
    </w:pPr>
    <w:rPr>
      <w:rFonts w:asciiTheme="minorHAnsi" w:hAnsiTheme="minorHAnsi" w:cstheme="minorBidi"/>
      <w:b/>
      <w:bCs/>
      <w:caps/>
      <w:sz w:val="16"/>
      <w:szCs w:val="18"/>
      <w:lang w:bidi="en-US"/>
    </w:rPr>
  </w:style>
  <w:style w:type="paragraph" w:styleId="Title">
    <w:name w:val="Title"/>
    <w:basedOn w:val="Normal"/>
    <w:next w:val="Normal"/>
    <w:link w:val="TitleChar"/>
    <w:uiPriority w:val="10"/>
    <w:qFormat/>
    <w:rsid w:val="002F4FAC"/>
    <w:pPr>
      <w:pBdr>
        <w:top w:val="single" w:sz="12" w:space="1" w:color="CCB400" w:themeColor="accent2"/>
      </w:pBdr>
      <w:spacing w:after="200"/>
      <w:ind w:left="0"/>
      <w:jc w:val="right"/>
    </w:pPr>
    <w:rPr>
      <w:rFonts w:asciiTheme="minorHAnsi" w:hAnsiTheme="minorHAnsi" w:cstheme="minorBidi"/>
      <w:smallCaps/>
      <w:sz w:val="48"/>
      <w:szCs w:val="48"/>
      <w:lang w:bidi="en-US"/>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ind w:left="0"/>
      <w:jc w:val="right"/>
    </w:pPr>
    <w:rPr>
      <w:rFonts w:asciiTheme="majorHAnsi" w:eastAsiaTheme="majorEastAsia" w:hAnsiTheme="majorHAnsi" w:cstheme="majorBidi"/>
      <w:sz w:val="20"/>
      <w:szCs w:val="22"/>
      <w:lang w:bidi="en-US"/>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ind w:left="0"/>
      <w:jc w:val="both"/>
    </w:pPr>
    <w:rPr>
      <w:rFonts w:asciiTheme="minorHAnsi" w:hAnsiTheme="minorHAnsi" w:cstheme="minorBidi"/>
      <w:sz w:val="20"/>
      <w:szCs w:val="20"/>
      <w:lang w:bidi="en-US"/>
    </w:r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pPr>
      <w:spacing w:after="200" w:line="276" w:lineRule="auto"/>
      <w:ind w:left="0"/>
      <w:jc w:val="both"/>
    </w:pPr>
    <w:rPr>
      <w:rFonts w:asciiTheme="minorHAnsi" w:hAnsiTheme="minorHAnsi" w:cstheme="minorBidi"/>
      <w:i/>
      <w:sz w:val="20"/>
      <w:szCs w:val="20"/>
      <w:lang w:bidi="en-US"/>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line="276" w:lineRule="auto"/>
      <w:ind w:left="1440" w:right="1440"/>
      <w:jc w:val="both"/>
    </w:pPr>
    <w:rPr>
      <w:rFonts w:asciiTheme="minorHAnsi" w:hAnsiTheme="minorHAnsi" w:cstheme="minorBidi"/>
      <w:b/>
      <w:i/>
      <w:color w:val="FFFFFF" w:themeColor="background1"/>
      <w:sz w:val="20"/>
      <w:szCs w:val="20"/>
      <w:lang w:bidi="en-US"/>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table" w:customStyle="1" w:styleId="TableGrid1">
    <w:name w:val="Table Grid1"/>
    <w:basedOn w:val="TableNormal"/>
    <w:next w:val="TableGrid"/>
    <w:uiPriority w:val="59"/>
    <w:rsid w:val="006D57D6"/>
    <w:pPr>
      <w:spacing w:after="0" w:line="240" w:lineRule="auto"/>
      <w:jc w:val="left"/>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D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qFormat/>
    <w:rsid w:val="00C90F75"/>
    <w:pPr>
      <w:spacing w:after="120"/>
      <w:ind w:left="1080" w:right="18"/>
      <w:outlineLvl w:val="0"/>
    </w:pPr>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GOLDSTEIN Meyer</cp:lastModifiedBy>
  <cp:revision>5</cp:revision>
  <dcterms:created xsi:type="dcterms:W3CDTF">2016-03-14T23:32:00Z</dcterms:created>
  <dcterms:modified xsi:type="dcterms:W3CDTF">2016-03-14T23:45:00Z</dcterms:modified>
</cp:coreProperties>
</file>