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11" w:rsidRDefault="005D4B41">
      <w:r w:rsidRPr="006D57D6">
        <w:rPr>
          <w:noProof/>
          <w:color w:val="000000" w:themeColor="text1"/>
          <w:sz w:val="32"/>
          <w:szCs w:val="32"/>
        </w:rPr>
        <w:drawing>
          <wp:anchor distT="0" distB="0" distL="114300" distR="114300" simplePos="0" relativeHeight="251659264" behindDoc="0" locked="0" layoutInCell="1" allowOverlap="1" wp14:anchorId="2866F259" wp14:editId="106BFADB">
            <wp:simplePos x="0" y="0"/>
            <wp:positionH relativeFrom="column">
              <wp:posOffset>-596900</wp:posOffset>
            </wp:positionH>
            <wp:positionV relativeFrom="paragraph">
              <wp:posOffset>75777</wp:posOffset>
            </wp:positionV>
            <wp:extent cx="586851" cy="1359673"/>
            <wp:effectExtent l="19050" t="0" r="3699"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4" cstate="print"/>
                    <a:srcRect/>
                    <a:stretch>
                      <a:fillRect/>
                    </a:stretch>
                  </pic:blipFill>
                  <pic:spPr bwMode="auto">
                    <a:xfrm>
                      <a:off x="0" y="0"/>
                      <a:ext cx="586851" cy="1359673"/>
                    </a:xfrm>
                    <a:prstGeom prst="rect">
                      <a:avLst/>
                    </a:prstGeom>
                    <a:noFill/>
                    <a:ln w="9525">
                      <a:noFill/>
                      <a:miter lim="800000"/>
                      <a:headEnd/>
                      <a:tailEnd/>
                    </a:ln>
                  </pic:spPr>
                </pic:pic>
              </a:graphicData>
            </a:graphic>
          </wp:anchor>
        </w:drawing>
      </w:r>
    </w:p>
    <w:p w:rsidR="00330083" w:rsidRPr="006D57D6" w:rsidRDefault="00330083" w:rsidP="00330083">
      <w:pPr>
        <w:tabs>
          <w:tab w:val="left" w:pos="16582"/>
        </w:tabs>
        <w:ind w:left="0"/>
        <w:jc w:val="center"/>
        <w:rPr>
          <w:rFonts w:ascii="Times New Roman" w:eastAsia="Times New Roman" w:hAnsi="Times New Roman"/>
          <w:b/>
          <w:color w:val="000000" w:themeColor="text1"/>
        </w:rPr>
      </w:pPr>
      <w:r w:rsidRPr="006D57D6">
        <w:rPr>
          <w:rFonts w:eastAsia="Times New Roman"/>
          <w:bCs/>
          <w:color w:val="000000" w:themeColor="text1"/>
          <w:sz w:val="36"/>
          <w:szCs w:val="36"/>
        </w:rPr>
        <w:t>Oregon Department of Environmental Quality</w:t>
      </w:r>
    </w:p>
    <w:p w:rsidR="00330083" w:rsidRPr="00C74D58" w:rsidRDefault="00330083" w:rsidP="00330083">
      <w:pPr>
        <w:tabs>
          <w:tab w:val="left" w:pos="908"/>
          <w:tab w:val="left" w:pos="16582"/>
        </w:tabs>
        <w:ind w:left="108"/>
        <w:jc w:val="center"/>
        <w:rPr>
          <w:rFonts w:ascii="Times New Roman" w:eastAsia="Times New Roman" w:hAnsi="Times New Roman"/>
          <w:b/>
          <w:color w:val="000000"/>
        </w:rPr>
      </w:pPr>
    </w:p>
    <w:p w:rsidR="00330083" w:rsidRPr="006D57D6" w:rsidRDefault="00330083">
      <w:pPr>
        <w:rPr>
          <w:color w:val="000000" w:themeColor="text1"/>
          <w:sz w:val="32"/>
          <w:szCs w:val="32"/>
        </w:rPr>
      </w:pPr>
      <w:r w:rsidRPr="006D57D6">
        <w:rPr>
          <w:color w:val="000000" w:themeColor="text1"/>
          <w:sz w:val="32"/>
          <w:szCs w:val="32"/>
        </w:rPr>
        <w:t>Housing Cost</w:t>
      </w:r>
      <w:r w:rsidR="006D57D6">
        <w:rPr>
          <w:color w:val="000000" w:themeColor="text1"/>
          <w:sz w:val="32"/>
          <w:szCs w:val="32"/>
        </w:rPr>
        <w:t xml:space="preserve"> Impact Statement</w:t>
      </w:r>
    </w:p>
    <w:p w:rsidR="00330083" w:rsidRPr="00C90F75" w:rsidRDefault="00C90F75">
      <w:pPr>
        <w:rPr>
          <w:color w:val="000000" w:themeColor="text1"/>
          <w:sz w:val="32"/>
          <w:szCs w:val="32"/>
        </w:rPr>
      </w:pPr>
      <w:r>
        <w:rPr>
          <w:color w:val="000000" w:themeColor="text1"/>
          <w:sz w:val="32"/>
          <w:szCs w:val="32"/>
        </w:rPr>
        <w:t>Air Quality 2016 Temporary Rules</w:t>
      </w:r>
    </w:p>
    <w:p w:rsidR="00330083" w:rsidRDefault="00330083">
      <w:pPr>
        <w:rPr>
          <w:color w:val="415B5C" w:themeColor="accent3" w:themeShade="80"/>
          <w:sz w:val="32"/>
          <w:szCs w:val="32"/>
        </w:rPr>
      </w:pPr>
    </w:p>
    <w:p w:rsidR="00330083" w:rsidRDefault="00330083">
      <w:pPr>
        <w:rPr>
          <w:color w:val="415B5C" w:themeColor="accent3" w:themeShade="80"/>
          <w:sz w:val="32"/>
          <w:szCs w:val="32"/>
        </w:rPr>
      </w:pPr>
    </w:p>
    <w:p w:rsidR="006D57D6" w:rsidRPr="006D57D6" w:rsidRDefault="006D57D6" w:rsidP="006D57D6">
      <w:pPr>
        <w:ind w:left="0"/>
        <w:rPr>
          <w:rFonts w:ascii="Times New Roman" w:eastAsia="Calibri" w:hAnsi="Times New Roman" w:cs="Times New Roman"/>
          <w:sz w:val="22"/>
          <w:szCs w:val="22"/>
        </w:rPr>
      </w:pPr>
    </w:p>
    <w:tbl>
      <w:tblPr>
        <w:tblStyle w:val="TableGrid1"/>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50"/>
      </w:tblGrid>
      <w:tr w:rsidR="00C90F75" w:rsidRPr="006D57D6" w:rsidTr="00D00FC5">
        <w:trPr>
          <w:trHeight w:val="432"/>
        </w:trPr>
        <w:tc>
          <w:tcPr>
            <w:tcW w:w="9090" w:type="dxa"/>
            <w:gridSpan w:val="2"/>
            <w:vAlign w:val="bottom"/>
          </w:tcPr>
          <w:p w:rsidR="00C90F75" w:rsidRPr="006D57D6" w:rsidRDefault="00C90F75" w:rsidP="006D57D6">
            <w:pPr>
              <w:ind w:left="0"/>
              <w:rPr>
                <w:rFonts w:ascii="Times New Roman" w:eastAsia="Calibri" w:hAnsi="Times New Roman" w:cs="Times New Roman"/>
              </w:rPr>
            </w:pPr>
            <w:r>
              <w:rPr>
                <w:rFonts w:ascii="Times New Roman" w:eastAsia="Calibri" w:hAnsi="Times New Roman" w:cs="Times New Roman"/>
              </w:rPr>
              <w:t>TEMPORARY RULE</w:t>
            </w:r>
          </w:p>
        </w:tc>
      </w:tr>
      <w:tr w:rsidR="006D57D6" w:rsidRPr="006D57D6" w:rsidTr="00D00FC5">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EFFECTIVE DATE</w:t>
            </w:r>
          </w:p>
        </w:tc>
        <w:tc>
          <w:tcPr>
            <w:tcW w:w="6750" w:type="dxa"/>
            <w:vAlign w:val="bottom"/>
          </w:tcPr>
          <w:p w:rsidR="006D57D6" w:rsidRPr="006D57D6" w:rsidRDefault="00C90F75" w:rsidP="00B2266E">
            <w:pPr>
              <w:ind w:left="0"/>
              <w:rPr>
                <w:rFonts w:ascii="Times New Roman" w:eastAsia="Calibri" w:hAnsi="Times New Roman" w:cs="Times New Roman"/>
              </w:rPr>
            </w:pPr>
            <w:r>
              <w:rPr>
                <w:rFonts w:ascii="Times New Roman" w:eastAsia="Calibri" w:hAnsi="Times New Roman" w:cs="Times New Roman"/>
              </w:rPr>
              <w:t xml:space="preserve">On filing; estimated </w:t>
            </w:r>
            <w:r w:rsidR="00B2266E">
              <w:rPr>
                <w:rFonts w:ascii="Times New Roman" w:eastAsia="Calibri" w:hAnsi="Times New Roman" w:cs="Times New Roman"/>
              </w:rPr>
              <w:t xml:space="preserve"> May 6, 2016</w:t>
            </w:r>
            <w:bookmarkStart w:id="0" w:name="_GoBack"/>
            <w:bookmarkEnd w:id="0"/>
          </w:p>
        </w:tc>
      </w:tr>
    </w:tbl>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r w:rsidRPr="006D57D6">
        <w:rPr>
          <w:rFonts w:ascii="Times New Roman" w:eastAsia="Calibri" w:hAnsi="Times New Roman" w:cs="Times New Roman"/>
          <w:sz w:val="22"/>
          <w:szCs w:val="22"/>
        </w:rPr>
        <w:t xml:space="preserve">Description of proposed change: </w:t>
      </w:r>
    </w:p>
    <w:p w:rsidR="006D57D6" w:rsidRDefault="006D57D6" w:rsidP="006D57D6">
      <w:pPr>
        <w:ind w:left="0"/>
        <w:rPr>
          <w:rFonts w:ascii="Times New Roman" w:eastAsia="Calibri" w:hAnsi="Times New Roman" w:cs="Times New Roman"/>
          <w:sz w:val="22"/>
          <w:szCs w:val="22"/>
        </w:rPr>
      </w:pPr>
    </w:p>
    <w:p w:rsidR="00D00FC5" w:rsidRDefault="00D00FC5" w:rsidP="00D00FC5">
      <w:pPr>
        <w:pStyle w:val="Normal1"/>
        <w:ind w:left="720"/>
      </w:pPr>
      <w:r>
        <w:t>DEQ is adopting regulatory standards that control emissions of metals from colored art glass manufacturing facilities.</w:t>
      </w:r>
    </w:p>
    <w:p w:rsidR="00C90F75" w:rsidRDefault="00C90F75" w:rsidP="00D00FC5">
      <w:pPr>
        <w:pStyle w:val="Normal1"/>
        <w:ind w:left="72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C90F75" w:rsidRDefault="00C90F75" w:rsidP="00D00FC5">
      <w:pPr>
        <w:pStyle w:val="Normal1"/>
        <w:ind w:left="72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rsidR="00C90F75" w:rsidRDefault="00C90F75" w:rsidP="00D00FC5">
      <w:pPr>
        <w:pStyle w:val="Normal1"/>
        <w:ind w:left="72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C90F75" w:rsidRDefault="00C90F75" w:rsidP="00D00FC5">
      <w:pPr>
        <w:pStyle w:val="Normal1"/>
        <w:ind w:left="720"/>
      </w:pPr>
      <w:r>
        <w:t>Many times the NESHAPs apply to only major sources (sources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rsidR="00C90F75" w:rsidRDefault="00C90F75" w:rsidP="00D00FC5">
      <w:pPr>
        <w:pStyle w:val="Normal1"/>
        <w:ind w:left="720"/>
      </w:pPr>
      <w:r>
        <w:lastRenderedPageBreak/>
        <w:t>The proposed rules would fill the regulatory gap by setting operation standards for the smaller art glass businesses that emit air toxics and potentially cause serious health effects.</w:t>
      </w:r>
    </w:p>
    <w:p w:rsidR="00C90F75" w:rsidRPr="006D57D6" w:rsidRDefault="00C90F75" w:rsidP="00D00FC5">
      <w:pPr>
        <w:pStyle w:val="Normal1"/>
        <w:ind w:left="720"/>
        <w:rPr>
          <w:rFonts w:eastAsia="Calibri" w:cs="Times New Roman"/>
          <w:sz w:val="22"/>
          <w:szCs w:val="22"/>
        </w:rPr>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r w:rsidRPr="006D57D6">
        <w:rPr>
          <w:rFonts w:ascii="Times New Roman" w:eastAsia="Calibri" w:hAnsi="Times New Roman" w:cs="Times New Roman"/>
          <w:sz w:val="22"/>
          <w:szCs w:val="22"/>
        </w:rPr>
        <w:t>Description of the need for, and objectives of the rule:</w:t>
      </w:r>
    </w:p>
    <w:p w:rsidR="006D57D6" w:rsidRPr="006D57D6" w:rsidRDefault="006D57D6" w:rsidP="006D57D6">
      <w:pPr>
        <w:ind w:left="0"/>
        <w:rPr>
          <w:rFonts w:ascii="Times New Roman" w:eastAsia="Calibri" w:hAnsi="Times New Roman" w:cs="Times New Roman"/>
          <w:sz w:val="22"/>
          <w:szCs w:val="22"/>
        </w:rPr>
      </w:pPr>
    </w:p>
    <w:p w:rsidR="00F460ED" w:rsidRDefault="00F460ED" w:rsidP="00F460ED">
      <w:pPr>
        <w:pStyle w:val="Normal1"/>
      </w:pPr>
    </w:p>
    <w:p w:rsidR="00F460ED" w:rsidRPr="00295A20" w:rsidRDefault="00F460ED" w:rsidP="00D00FC5">
      <w:pPr>
        <w:pStyle w:val="Normal1"/>
        <w:ind w:left="0"/>
        <w:rPr>
          <w:rFonts w:asciiTheme="majorHAnsi" w:hAnsiTheme="majorHAnsi" w:cstheme="majorHAnsi"/>
          <w:b/>
        </w:rPr>
      </w:pPr>
      <w:r w:rsidRPr="00295A20">
        <w:rPr>
          <w:rFonts w:asciiTheme="majorHAnsi" w:hAnsiTheme="majorHAnsi" w:cstheme="majorHAnsi"/>
          <w:b/>
        </w:rPr>
        <w:t>What need is DEQ trying to address?</w:t>
      </w:r>
    </w:p>
    <w:p w:rsidR="00F460ED" w:rsidRDefault="00F460ED" w:rsidP="00D00FC5">
      <w:pPr>
        <w:pStyle w:val="Normal1"/>
        <w:ind w:left="36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F460ED" w:rsidRDefault="00F460ED" w:rsidP="00D00FC5">
      <w:pPr>
        <w:pStyle w:val="Normal1"/>
        <w:ind w:left="36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rsidR="00F460ED" w:rsidRDefault="00F460ED" w:rsidP="00D00FC5">
      <w:pPr>
        <w:pStyle w:val="Normal1"/>
        <w:ind w:left="36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F460ED" w:rsidRDefault="00F460ED" w:rsidP="00D00FC5">
      <w:pPr>
        <w:pStyle w:val="Normal1"/>
        <w:ind w:left="360"/>
      </w:pPr>
      <w:r>
        <w:t>Many times the NESHAPs apply to only major sources (sources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rsidR="00F460ED" w:rsidRDefault="00F460ED" w:rsidP="00D00FC5">
      <w:pPr>
        <w:pStyle w:val="Normal1"/>
        <w:ind w:left="0"/>
        <w:rPr>
          <w:rFonts w:asciiTheme="majorHAnsi" w:hAnsiTheme="majorHAnsi" w:cstheme="majorHAnsi"/>
          <w:b/>
        </w:rPr>
      </w:pPr>
      <w:r w:rsidRPr="00295A20">
        <w:rPr>
          <w:rFonts w:asciiTheme="majorHAnsi" w:hAnsiTheme="majorHAnsi" w:cstheme="majorHAnsi"/>
          <w:b/>
        </w:rPr>
        <w:t>How would the proposed rule address the need?</w:t>
      </w:r>
    </w:p>
    <w:p w:rsidR="00F460ED" w:rsidRDefault="00F460ED" w:rsidP="00D00FC5">
      <w:pPr>
        <w:pStyle w:val="Normal1"/>
        <w:ind w:left="360"/>
      </w:pPr>
      <w:r>
        <w:t>The proposed rules would fill the regulatory gap by setting operation standards for the smaller art glass businesses that emit air toxics and potentially cause serious health effects.</w:t>
      </w:r>
    </w:p>
    <w:p w:rsidR="00F460ED" w:rsidRDefault="00F460ED" w:rsidP="00D00FC5">
      <w:pPr>
        <w:pStyle w:val="Normal1"/>
        <w:ind w:left="360"/>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3468F7" w:rsidRDefault="003468F7" w:rsidP="00D00FC5">
      <w:pPr>
        <w:pStyle w:val="Normal1"/>
        <w:ind w:left="360"/>
      </w:pPr>
    </w:p>
    <w:p w:rsidR="003468F7" w:rsidRDefault="003468F7" w:rsidP="00D00FC5">
      <w:pPr>
        <w:pStyle w:val="Normal1"/>
        <w:ind w:left="360"/>
      </w:pPr>
      <w:r>
        <w:t>List of Rules amended or adopted:</w:t>
      </w:r>
    </w:p>
    <w:p w:rsidR="006D57D6" w:rsidRDefault="006D57D6" w:rsidP="006D57D6">
      <w:pPr>
        <w:ind w:left="0"/>
        <w:rPr>
          <w:rFonts w:ascii="Times New Roman" w:eastAsia="Calibri" w:hAnsi="Times New Roman" w:cs="Times New Roman"/>
          <w:sz w:val="22"/>
          <w:szCs w:val="22"/>
        </w:rPr>
      </w:pPr>
    </w:p>
    <w:p w:rsidR="00F460ED" w:rsidRPr="006D57D6" w:rsidRDefault="00F460ED" w:rsidP="006D57D6">
      <w:pPr>
        <w:ind w:left="0"/>
        <w:rPr>
          <w:rFonts w:ascii="Times New Roman" w:eastAsia="Calibri" w:hAnsi="Times New Roman" w:cs="Times New Roman"/>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85"/>
      </w:tblGrid>
      <w:tr w:rsidR="00F460ED" w:rsidTr="003468F7">
        <w:tc>
          <w:tcPr>
            <w:tcW w:w="2547" w:type="dxa"/>
          </w:tcPr>
          <w:p w:rsidR="00F460ED" w:rsidRPr="00E50FBD" w:rsidRDefault="00F460ED" w:rsidP="00152195">
            <w:pPr>
              <w:pStyle w:val="Normal1"/>
            </w:pPr>
            <w:r w:rsidRPr="00E50FBD">
              <w:t>Amend</w:t>
            </w:r>
          </w:p>
        </w:tc>
        <w:tc>
          <w:tcPr>
            <w:tcW w:w="5985" w:type="dxa"/>
          </w:tcPr>
          <w:p w:rsidR="00F460ED" w:rsidRPr="00E50FBD" w:rsidRDefault="00F460ED" w:rsidP="003468F7">
            <w:pPr>
              <w:pStyle w:val="Normal1"/>
              <w:ind w:left="0"/>
            </w:pPr>
            <w:r>
              <w:t>OAR 340-244-</w:t>
            </w:r>
            <w:r w:rsidR="003468F7">
              <w:t>9070</w:t>
            </w:r>
          </w:p>
        </w:tc>
      </w:tr>
    </w:tbl>
    <w:p w:rsidR="006D57D6" w:rsidRPr="006D57D6" w:rsidRDefault="006D57D6" w:rsidP="006D57D6">
      <w:pPr>
        <w:ind w:left="0"/>
        <w:rPr>
          <w:rFonts w:ascii="Times New Roman" w:eastAsia="Calibri" w:hAnsi="Times New Roman" w:cs="Times New Roman"/>
          <w:sz w:val="22"/>
          <w:szCs w:val="22"/>
        </w:rPr>
      </w:pPr>
    </w:p>
    <w:p w:rsidR="006D57D6" w:rsidRDefault="00C90F75" w:rsidP="006D57D6">
      <w:pPr>
        <w:ind w:left="0"/>
        <w:rPr>
          <w:rFonts w:ascii="Times New Roman" w:eastAsia="Calibri" w:hAnsi="Times New Roman" w:cs="Times New Roman"/>
          <w:sz w:val="22"/>
          <w:szCs w:val="22"/>
        </w:rPr>
      </w:pPr>
      <w:r>
        <w:rPr>
          <w:rFonts w:ascii="Times New Roman" w:eastAsia="Calibri" w:hAnsi="Times New Roman" w:cs="Times New Roman"/>
          <w:sz w:val="22"/>
          <w:szCs w:val="22"/>
        </w:rPr>
        <w:t>C</w:t>
      </w:r>
      <w:r w:rsidR="006D57D6" w:rsidRPr="006D57D6">
        <w:rPr>
          <w:rFonts w:ascii="Times New Roman" w:eastAsia="Calibri" w:hAnsi="Times New Roman" w:cs="Times New Roman"/>
          <w:sz w:val="22"/>
          <w:szCs w:val="22"/>
        </w:rPr>
        <w:t>osts or savings:</w:t>
      </w:r>
    </w:p>
    <w:p w:rsidR="00D00FC5" w:rsidRPr="006D57D6" w:rsidRDefault="00D00FC5" w:rsidP="006D57D6">
      <w:pPr>
        <w:ind w:left="0"/>
        <w:rPr>
          <w:rFonts w:ascii="Times New Roman" w:eastAsia="Calibri" w:hAnsi="Times New Roman" w:cs="Times New Roman"/>
          <w:sz w:val="22"/>
          <w:szCs w:val="22"/>
        </w:rPr>
      </w:pPr>
    </w:p>
    <w:p w:rsidR="00F460ED" w:rsidRDefault="00F460ED" w:rsidP="00F460ED">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t xml:space="preserve"> </w:t>
      </w:r>
      <w:r w:rsidRPr="00E50FBD">
        <w:t xml:space="preserve">could </w:t>
      </w:r>
      <w:r>
        <w:t>affect the development costs if the homeowner wanted colored art glass installed in the dwelling. T</w:t>
      </w:r>
      <w:r w:rsidRPr="008A7FB4">
        <w:rPr>
          <w:bCs/>
        </w:rPr>
        <w:t xml:space="preserve">he costs for additional permits, </w:t>
      </w:r>
      <w:r>
        <w:rPr>
          <w:bCs/>
        </w:rPr>
        <w:t xml:space="preserve">emission </w:t>
      </w:r>
      <w:r w:rsidRPr="008A7FB4">
        <w:rPr>
          <w:bCs/>
        </w:rPr>
        <w:t>control or process equipment could be passed through by businesses providing products and services for such development and construction.</w:t>
      </w:r>
      <w:r w:rsidRPr="008A7FB4">
        <w:rPr>
          <w:rFonts w:cs="Times New Roman"/>
          <w:bCs/>
        </w:rPr>
        <w:t xml:space="preserve"> </w:t>
      </w:r>
      <w:r w:rsidRPr="008A7FB4">
        <w:rPr>
          <w:bCs/>
        </w:rPr>
        <w:t>DEQ cannot quantify the impact at this time because the available information does not indicate whether the costs would be passed on to consumers and any such estimate would be speculative.</w:t>
      </w: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330083" w:rsidRPr="00330083" w:rsidRDefault="00330083" w:rsidP="00330083">
      <w:pPr>
        <w:ind w:left="0"/>
        <w:rPr>
          <w:color w:val="415B5C" w:themeColor="accent3" w:themeShade="80"/>
          <w:sz w:val="32"/>
          <w:szCs w:val="32"/>
        </w:rPr>
      </w:pPr>
    </w:p>
    <w:sectPr w:rsidR="00330083" w:rsidRPr="00330083" w:rsidSect="006D5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83"/>
    <w:rsid w:val="000032B6"/>
    <w:rsid w:val="00047512"/>
    <w:rsid w:val="0007121C"/>
    <w:rsid w:val="00081375"/>
    <w:rsid w:val="00092BD8"/>
    <w:rsid w:val="00093587"/>
    <w:rsid w:val="000A207D"/>
    <w:rsid w:val="000F3297"/>
    <w:rsid w:val="000F3493"/>
    <w:rsid w:val="0012757B"/>
    <w:rsid w:val="001331DC"/>
    <w:rsid w:val="00173DD9"/>
    <w:rsid w:val="001829E9"/>
    <w:rsid w:val="001843EA"/>
    <w:rsid w:val="001850FB"/>
    <w:rsid w:val="00191F63"/>
    <w:rsid w:val="001B1799"/>
    <w:rsid w:val="001B2C46"/>
    <w:rsid w:val="001C4FC0"/>
    <w:rsid w:val="001D464B"/>
    <w:rsid w:val="001E5899"/>
    <w:rsid w:val="00214E17"/>
    <w:rsid w:val="002273E8"/>
    <w:rsid w:val="00230935"/>
    <w:rsid w:val="002372C8"/>
    <w:rsid w:val="002633DD"/>
    <w:rsid w:val="00266864"/>
    <w:rsid w:val="00276A83"/>
    <w:rsid w:val="0028022B"/>
    <w:rsid w:val="002941E4"/>
    <w:rsid w:val="002C5D32"/>
    <w:rsid w:val="002F205C"/>
    <w:rsid w:val="002F4FAC"/>
    <w:rsid w:val="00303715"/>
    <w:rsid w:val="00313D83"/>
    <w:rsid w:val="00330083"/>
    <w:rsid w:val="003343EF"/>
    <w:rsid w:val="003468F7"/>
    <w:rsid w:val="00370282"/>
    <w:rsid w:val="003A3B4D"/>
    <w:rsid w:val="003F55BA"/>
    <w:rsid w:val="00404189"/>
    <w:rsid w:val="00406CA6"/>
    <w:rsid w:val="0041427E"/>
    <w:rsid w:val="004262E6"/>
    <w:rsid w:val="004511AC"/>
    <w:rsid w:val="0045697A"/>
    <w:rsid w:val="00483513"/>
    <w:rsid w:val="00491CBA"/>
    <w:rsid w:val="00497F5D"/>
    <w:rsid w:val="004A26CB"/>
    <w:rsid w:val="004B07ED"/>
    <w:rsid w:val="004C41B2"/>
    <w:rsid w:val="004D2118"/>
    <w:rsid w:val="004D31F4"/>
    <w:rsid w:val="004E5477"/>
    <w:rsid w:val="004F41B4"/>
    <w:rsid w:val="0053430C"/>
    <w:rsid w:val="00542DAA"/>
    <w:rsid w:val="00555005"/>
    <w:rsid w:val="0057711C"/>
    <w:rsid w:val="005C2368"/>
    <w:rsid w:val="005C7944"/>
    <w:rsid w:val="005D4B41"/>
    <w:rsid w:val="005E5AC6"/>
    <w:rsid w:val="005E65BE"/>
    <w:rsid w:val="00610595"/>
    <w:rsid w:val="006121AD"/>
    <w:rsid w:val="00614C52"/>
    <w:rsid w:val="006352D3"/>
    <w:rsid w:val="00641B34"/>
    <w:rsid w:val="0067101D"/>
    <w:rsid w:val="006732E3"/>
    <w:rsid w:val="006748DE"/>
    <w:rsid w:val="00686426"/>
    <w:rsid w:val="006B68FB"/>
    <w:rsid w:val="006D1F14"/>
    <w:rsid w:val="006D57D6"/>
    <w:rsid w:val="00701FFD"/>
    <w:rsid w:val="00711858"/>
    <w:rsid w:val="00717ACA"/>
    <w:rsid w:val="00725AED"/>
    <w:rsid w:val="00766F0B"/>
    <w:rsid w:val="00792438"/>
    <w:rsid w:val="007947AD"/>
    <w:rsid w:val="0079498B"/>
    <w:rsid w:val="007B16BF"/>
    <w:rsid w:val="007C4D22"/>
    <w:rsid w:val="007D6405"/>
    <w:rsid w:val="007E5321"/>
    <w:rsid w:val="007F3BA1"/>
    <w:rsid w:val="0080323F"/>
    <w:rsid w:val="008457D7"/>
    <w:rsid w:val="00863601"/>
    <w:rsid w:val="00882B7B"/>
    <w:rsid w:val="008963A8"/>
    <w:rsid w:val="00897C67"/>
    <w:rsid w:val="008A59D7"/>
    <w:rsid w:val="008C11A0"/>
    <w:rsid w:val="008C4E2F"/>
    <w:rsid w:val="008D041A"/>
    <w:rsid w:val="0090032D"/>
    <w:rsid w:val="00937040"/>
    <w:rsid w:val="009622CC"/>
    <w:rsid w:val="00964C9E"/>
    <w:rsid w:val="00973525"/>
    <w:rsid w:val="00985E75"/>
    <w:rsid w:val="009B355B"/>
    <w:rsid w:val="009C0F09"/>
    <w:rsid w:val="009C3879"/>
    <w:rsid w:val="009C4F7D"/>
    <w:rsid w:val="009D49B4"/>
    <w:rsid w:val="00A075B4"/>
    <w:rsid w:val="00A17568"/>
    <w:rsid w:val="00A26526"/>
    <w:rsid w:val="00A26960"/>
    <w:rsid w:val="00A55CA9"/>
    <w:rsid w:val="00A71866"/>
    <w:rsid w:val="00A935CD"/>
    <w:rsid w:val="00AA26A6"/>
    <w:rsid w:val="00AA2895"/>
    <w:rsid w:val="00AA29E8"/>
    <w:rsid w:val="00AD1E18"/>
    <w:rsid w:val="00AD5B9D"/>
    <w:rsid w:val="00B144AF"/>
    <w:rsid w:val="00B14677"/>
    <w:rsid w:val="00B2266E"/>
    <w:rsid w:val="00B24236"/>
    <w:rsid w:val="00B25CFE"/>
    <w:rsid w:val="00B53BBC"/>
    <w:rsid w:val="00B63031"/>
    <w:rsid w:val="00B649E8"/>
    <w:rsid w:val="00B65424"/>
    <w:rsid w:val="00B84510"/>
    <w:rsid w:val="00B93DED"/>
    <w:rsid w:val="00BC6EC4"/>
    <w:rsid w:val="00BF3450"/>
    <w:rsid w:val="00BF5D1A"/>
    <w:rsid w:val="00C058FB"/>
    <w:rsid w:val="00C17F8C"/>
    <w:rsid w:val="00C2127D"/>
    <w:rsid w:val="00C27FD4"/>
    <w:rsid w:val="00C37057"/>
    <w:rsid w:val="00C539F3"/>
    <w:rsid w:val="00C61511"/>
    <w:rsid w:val="00C90F75"/>
    <w:rsid w:val="00C9595A"/>
    <w:rsid w:val="00CC5405"/>
    <w:rsid w:val="00CE15F0"/>
    <w:rsid w:val="00CE72B3"/>
    <w:rsid w:val="00CF1678"/>
    <w:rsid w:val="00CF4CFA"/>
    <w:rsid w:val="00D00FC5"/>
    <w:rsid w:val="00D11374"/>
    <w:rsid w:val="00D37689"/>
    <w:rsid w:val="00D56F36"/>
    <w:rsid w:val="00D6283B"/>
    <w:rsid w:val="00D86A27"/>
    <w:rsid w:val="00DA68A0"/>
    <w:rsid w:val="00DB098B"/>
    <w:rsid w:val="00DC28F9"/>
    <w:rsid w:val="00DE03D0"/>
    <w:rsid w:val="00E0293E"/>
    <w:rsid w:val="00E0408C"/>
    <w:rsid w:val="00E14BA4"/>
    <w:rsid w:val="00E2312F"/>
    <w:rsid w:val="00E24C44"/>
    <w:rsid w:val="00E31E64"/>
    <w:rsid w:val="00E34A04"/>
    <w:rsid w:val="00E4581E"/>
    <w:rsid w:val="00E61A74"/>
    <w:rsid w:val="00E7165B"/>
    <w:rsid w:val="00EA5B10"/>
    <w:rsid w:val="00EA5DA8"/>
    <w:rsid w:val="00ED048B"/>
    <w:rsid w:val="00ED146B"/>
    <w:rsid w:val="00ED6E5E"/>
    <w:rsid w:val="00EF2809"/>
    <w:rsid w:val="00F00DCD"/>
    <w:rsid w:val="00F23647"/>
    <w:rsid w:val="00F460ED"/>
    <w:rsid w:val="00F65756"/>
    <w:rsid w:val="00F7042C"/>
    <w:rsid w:val="00F81F4C"/>
    <w:rsid w:val="00F82A2B"/>
    <w:rsid w:val="00F911FA"/>
    <w:rsid w:val="00F962DA"/>
    <w:rsid w:val="00F971EB"/>
    <w:rsid w:val="00FB0602"/>
    <w:rsid w:val="00FB2290"/>
    <w:rsid w:val="00FB3A80"/>
    <w:rsid w:val="00FC68C6"/>
    <w:rsid w:val="00FE166F"/>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A5E0A-2606-4AC6-AF94-B620729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083"/>
    <w:pPr>
      <w:spacing w:after="0" w:line="240" w:lineRule="auto"/>
      <w:ind w:left="2880"/>
      <w:jc w:val="left"/>
    </w:pPr>
    <w:rPr>
      <w:rFonts w:ascii="Arial" w:hAnsi="Arial" w:cs="Arial"/>
      <w:sz w:val="24"/>
      <w:szCs w:val="24"/>
      <w:lang w:bidi="ar-SA"/>
    </w:rPr>
  </w:style>
  <w:style w:type="paragraph" w:styleId="Heading1">
    <w:name w:val="heading 1"/>
    <w:basedOn w:val="Normal"/>
    <w:next w:val="Normal"/>
    <w:link w:val="Heading1Char"/>
    <w:uiPriority w:val="9"/>
    <w:qFormat/>
    <w:rsid w:val="002F4FAC"/>
    <w:pPr>
      <w:spacing w:before="300" w:after="40" w:line="276" w:lineRule="auto"/>
      <w:ind w:left="0"/>
      <w:outlineLvl w:val="0"/>
    </w:pPr>
    <w:rPr>
      <w:rFonts w:asciiTheme="minorHAnsi" w:hAnsiTheme="minorHAnsi" w:cstheme="minorBidi"/>
      <w:smallCaps/>
      <w:spacing w:val="5"/>
      <w:sz w:val="32"/>
      <w:szCs w:val="32"/>
      <w:lang w:bidi="en-US"/>
    </w:rPr>
  </w:style>
  <w:style w:type="paragraph" w:styleId="Heading2">
    <w:name w:val="heading 2"/>
    <w:basedOn w:val="Normal"/>
    <w:next w:val="Normal"/>
    <w:link w:val="Heading2Char"/>
    <w:uiPriority w:val="9"/>
    <w:semiHidden/>
    <w:unhideWhenUsed/>
    <w:qFormat/>
    <w:rsid w:val="002F4FAC"/>
    <w:pPr>
      <w:spacing w:before="240" w:after="80" w:line="276" w:lineRule="auto"/>
      <w:ind w:left="0"/>
      <w:outlineLvl w:val="1"/>
    </w:pPr>
    <w:rPr>
      <w:rFonts w:asciiTheme="minorHAnsi" w:hAnsiTheme="minorHAnsi" w:cstheme="minorBidi"/>
      <w:smallCaps/>
      <w:spacing w:val="5"/>
      <w:sz w:val="28"/>
      <w:szCs w:val="28"/>
      <w:lang w:bidi="en-US"/>
    </w:rPr>
  </w:style>
  <w:style w:type="paragraph" w:styleId="Heading3">
    <w:name w:val="heading 3"/>
    <w:basedOn w:val="Normal"/>
    <w:next w:val="Normal"/>
    <w:link w:val="Heading3Char"/>
    <w:uiPriority w:val="9"/>
    <w:semiHidden/>
    <w:unhideWhenUsed/>
    <w:qFormat/>
    <w:rsid w:val="002F4FAC"/>
    <w:pPr>
      <w:spacing w:line="276" w:lineRule="auto"/>
      <w:ind w:left="0"/>
      <w:outlineLvl w:val="2"/>
    </w:pPr>
    <w:rPr>
      <w:rFonts w:asciiTheme="minorHAnsi" w:hAnsiTheme="minorHAnsi" w:cstheme="minorBidi"/>
      <w:smallCaps/>
      <w:spacing w:val="5"/>
      <w:lang w:bidi="en-US"/>
    </w:rPr>
  </w:style>
  <w:style w:type="paragraph" w:styleId="Heading4">
    <w:name w:val="heading 4"/>
    <w:basedOn w:val="Normal"/>
    <w:next w:val="Normal"/>
    <w:link w:val="Heading4Char"/>
    <w:uiPriority w:val="9"/>
    <w:semiHidden/>
    <w:unhideWhenUsed/>
    <w:qFormat/>
    <w:rsid w:val="002F4FAC"/>
    <w:pPr>
      <w:spacing w:before="240" w:line="276" w:lineRule="auto"/>
      <w:ind w:left="0"/>
      <w:outlineLvl w:val="3"/>
    </w:pPr>
    <w:rPr>
      <w:rFonts w:asciiTheme="minorHAnsi" w:hAnsiTheme="minorHAnsi" w:cstheme="minorBidi"/>
      <w:smallCaps/>
      <w:spacing w:val="10"/>
      <w:sz w:val="22"/>
      <w:szCs w:val="22"/>
      <w:lang w:bidi="en-US"/>
    </w:rPr>
  </w:style>
  <w:style w:type="paragraph" w:styleId="Heading5">
    <w:name w:val="heading 5"/>
    <w:basedOn w:val="Normal"/>
    <w:next w:val="Normal"/>
    <w:link w:val="Heading5Char"/>
    <w:uiPriority w:val="9"/>
    <w:semiHidden/>
    <w:unhideWhenUsed/>
    <w:qFormat/>
    <w:rsid w:val="002F4FAC"/>
    <w:pPr>
      <w:spacing w:before="200" w:line="276" w:lineRule="auto"/>
      <w:ind w:left="0"/>
      <w:outlineLvl w:val="4"/>
    </w:pPr>
    <w:rPr>
      <w:rFonts w:asciiTheme="minorHAnsi" w:hAnsiTheme="minorHAnsi" w:cstheme="minorBidi"/>
      <w:smallCaps/>
      <w:color w:val="988600" w:themeColor="accent2" w:themeShade="BF"/>
      <w:spacing w:val="10"/>
      <w:sz w:val="22"/>
      <w:szCs w:val="26"/>
      <w:lang w:bidi="en-US"/>
    </w:rPr>
  </w:style>
  <w:style w:type="paragraph" w:styleId="Heading6">
    <w:name w:val="heading 6"/>
    <w:basedOn w:val="Normal"/>
    <w:next w:val="Normal"/>
    <w:link w:val="Heading6Char"/>
    <w:uiPriority w:val="9"/>
    <w:semiHidden/>
    <w:unhideWhenUsed/>
    <w:qFormat/>
    <w:rsid w:val="002F4FAC"/>
    <w:pPr>
      <w:spacing w:line="276" w:lineRule="auto"/>
      <w:ind w:left="0"/>
      <w:outlineLvl w:val="5"/>
    </w:pPr>
    <w:rPr>
      <w:rFonts w:asciiTheme="minorHAnsi" w:hAnsiTheme="minorHAnsi" w:cstheme="minorBidi"/>
      <w:smallCaps/>
      <w:color w:val="CCB400" w:themeColor="accent2"/>
      <w:spacing w:val="5"/>
      <w:sz w:val="22"/>
      <w:szCs w:val="20"/>
      <w:lang w:bidi="en-US"/>
    </w:rPr>
  </w:style>
  <w:style w:type="paragraph" w:styleId="Heading7">
    <w:name w:val="heading 7"/>
    <w:basedOn w:val="Normal"/>
    <w:next w:val="Normal"/>
    <w:link w:val="Heading7Char"/>
    <w:uiPriority w:val="9"/>
    <w:semiHidden/>
    <w:unhideWhenUsed/>
    <w:qFormat/>
    <w:rsid w:val="002F4FAC"/>
    <w:pPr>
      <w:spacing w:line="276" w:lineRule="auto"/>
      <w:ind w:left="0"/>
      <w:outlineLvl w:val="6"/>
    </w:pPr>
    <w:rPr>
      <w:rFonts w:asciiTheme="minorHAnsi" w:hAnsiTheme="minorHAnsi" w:cstheme="minorBidi"/>
      <w:b/>
      <w:smallCaps/>
      <w:color w:val="CCB400" w:themeColor="accent2"/>
      <w:spacing w:val="10"/>
      <w:sz w:val="20"/>
      <w:szCs w:val="20"/>
      <w:lang w:bidi="en-US"/>
    </w:rPr>
  </w:style>
  <w:style w:type="paragraph" w:styleId="Heading8">
    <w:name w:val="heading 8"/>
    <w:basedOn w:val="Normal"/>
    <w:next w:val="Normal"/>
    <w:link w:val="Heading8Char"/>
    <w:uiPriority w:val="9"/>
    <w:semiHidden/>
    <w:unhideWhenUsed/>
    <w:qFormat/>
    <w:rsid w:val="002F4FAC"/>
    <w:pPr>
      <w:spacing w:line="276" w:lineRule="auto"/>
      <w:ind w:left="0"/>
      <w:outlineLvl w:val="7"/>
    </w:pPr>
    <w:rPr>
      <w:rFonts w:asciiTheme="minorHAnsi" w:hAnsiTheme="minorHAnsi" w:cstheme="minorBidi"/>
      <w:b/>
      <w:i/>
      <w:smallCaps/>
      <w:color w:val="988600" w:themeColor="accent2" w:themeShade="BF"/>
      <w:sz w:val="20"/>
      <w:szCs w:val="20"/>
      <w:lang w:bidi="en-US"/>
    </w:rPr>
  </w:style>
  <w:style w:type="paragraph" w:styleId="Heading9">
    <w:name w:val="heading 9"/>
    <w:basedOn w:val="Normal"/>
    <w:next w:val="Normal"/>
    <w:link w:val="Heading9Char"/>
    <w:uiPriority w:val="9"/>
    <w:semiHidden/>
    <w:unhideWhenUsed/>
    <w:qFormat/>
    <w:rsid w:val="002F4FAC"/>
    <w:pPr>
      <w:spacing w:line="276" w:lineRule="auto"/>
      <w:ind w:left="0"/>
      <w:outlineLvl w:val="8"/>
    </w:pPr>
    <w:rPr>
      <w:rFonts w:asciiTheme="minorHAnsi" w:hAnsiTheme="minorHAnsi" w:cstheme="minorBidi"/>
      <w:b/>
      <w:i/>
      <w:smallCaps/>
      <w:color w:val="655900" w:themeColor="accent2" w:themeShade="7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spacing w:after="200" w:line="276" w:lineRule="auto"/>
      <w:ind w:left="720"/>
      <w:contextualSpacing/>
      <w:jc w:val="both"/>
    </w:pPr>
    <w:rPr>
      <w:rFonts w:asciiTheme="minorHAnsi" w:hAnsiTheme="minorHAnsi" w:cstheme="minorBidi"/>
      <w:sz w:val="20"/>
      <w:szCs w:val="20"/>
      <w:lang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spacing w:after="200" w:line="276" w:lineRule="auto"/>
      <w:ind w:left="0"/>
      <w:jc w:val="both"/>
    </w:pPr>
    <w:rPr>
      <w:rFonts w:asciiTheme="minorHAnsi" w:hAnsiTheme="minorHAnsi" w:cstheme="minorBidi"/>
      <w:b/>
      <w:bCs/>
      <w:caps/>
      <w:sz w:val="16"/>
      <w:szCs w:val="18"/>
      <w:lang w:bidi="en-US"/>
    </w:rPr>
  </w:style>
  <w:style w:type="paragraph" w:styleId="Title">
    <w:name w:val="Title"/>
    <w:basedOn w:val="Normal"/>
    <w:next w:val="Normal"/>
    <w:link w:val="TitleChar"/>
    <w:uiPriority w:val="10"/>
    <w:qFormat/>
    <w:rsid w:val="002F4FAC"/>
    <w:pPr>
      <w:pBdr>
        <w:top w:val="single" w:sz="12" w:space="1" w:color="CCB400" w:themeColor="accent2"/>
      </w:pBdr>
      <w:spacing w:after="200"/>
      <w:ind w:left="0"/>
      <w:jc w:val="right"/>
    </w:pPr>
    <w:rPr>
      <w:rFonts w:asciiTheme="minorHAnsi" w:hAnsiTheme="minorHAnsi" w:cstheme="minorBidi"/>
      <w:smallCaps/>
      <w:sz w:val="48"/>
      <w:szCs w:val="48"/>
      <w:lang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ind w:left="0"/>
      <w:jc w:val="right"/>
    </w:pPr>
    <w:rPr>
      <w:rFonts w:asciiTheme="majorHAnsi" w:eastAsiaTheme="majorEastAsia" w:hAnsiTheme="majorHAnsi" w:cstheme="majorBidi"/>
      <w:sz w:val="20"/>
      <w:szCs w:val="22"/>
      <w:lang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ind w:left="0"/>
      <w:jc w:val="both"/>
    </w:pPr>
    <w:rPr>
      <w:rFonts w:asciiTheme="minorHAnsi" w:hAnsiTheme="minorHAnsi" w:cstheme="minorBidi"/>
      <w:sz w:val="20"/>
      <w:szCs w:val="20"/>
      <w:lang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spacing w:after="200" w:line="276" w:lineRule="auto"/>
      <w:ind w:left="0"/>
      <w:jc w:val="both"/>
    </w:pPr>
    <w:rPr>
      <w:rFonts w:asciiTheme="minorHAnsi" w:hAnsiTheme="minorHAnsi" w:cstheme="minorBidi"/>
      <w:i/>
      <w:sz w:val="20"/>
      <w:szCs w:val="20"/>
      <w:lang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line="276" w:lineRule="auto"/>
      <w:ind w:left="1440" w:right="1440"/>
      <w:jc w:val="both"/>
    </w:pPr>
    <w:rPr>
      <w:rFonts w:asciiTheme="minorHAnsi" w:hAnsiTheme="minorHAnsi" w:cstheme="minorBidi"/>
      <w:b/>
      <w:i/>
      <w:color w:val="FFFFFF" w:themeColor="background1"/>
      <w:sz w:val="20"/>
      <w:szCs w:val="20"/>
      <w:lang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TableGrid1">
    <w:name w:val="Table Grid1"/>
    <w:basedOn w:val="TableNormal"/>
    <w:next w:val="TableGrid"/>
    <w:uiPriority w:val="59"/>
    <w:rsid w:val="006D57D6"/>
    <w:pPr>
      <w:spacing w:after="0" w:line="240" w:lineRule="auto"/>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qFormat/>
    <w:rsid w:val="00C90F75"/>
    <w:pPr>
      <w:spacing w:after="120"/>
      <w:ind w:left="1080" w:right="18"/>
      <w:outlineLvl w:val="0"/>
    </w:pPr>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GOLDSTEIN Meyer</cp:lastModifiedBy>
  <cp:revision>3</cp:revision>
  <dcterms:created xsi:type="dcterms:W3CDTF">2016-05-06T16:15:00Z</dcterms:created>
  <dcterms:modified xsi:type="dcterms:W3CDTF">2016-05-06T16:16:00Z</dcterms:modified>
</cp:coreProperties>
</file>