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F22E2" w14:textId="77777777" w:rsidR="002A7C30" w:rsidRDefault="002A7C30" w:rsidP="002A7C30">
      <w:pPr>
        <w:spacing w:after="100" w:afterAutospacing="1"/>
        <w:ind w:left="0"/>
        <w:jc w:val="center"/>
        <w:rPr>
          <w:color w:val="385623" w:themeColor="accent6" w:themeShade="80"/>
        </w:rPr>
      </w:pPr>
      <w:bookmarkStart w:id="0" w:name="_GoBack"/>
      <w:bookmarkEnd w:id="0"/>
      <w:r>
        <w:rPr>
          <w:rFonts w:ascii="Arial" w:hAnsi="Arial" w:cs="Arial"/>
          <w:color w:val="BF8F00" w:themeColor="accent4" w:themeShade="BF"/>
          <w:sz w:val="36"/>
          <w:szCs w:val="36"/>
        </w:rPr>
        <w:t>DELETE THIS PAGE BEFORE PUBLISHING THESE RULES TO THE PUBLIC</w:t>
      </w:r>
    </w:p>
    <w:p w14:paraId="426A2460" w14:textId="77777777" w:rsidR="002A7C30" w:rsidRPr="00421716" w:rsidRDefault="002A7C30" w:rsidP="002A7C30">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2A7C30" w:rsidRPr="00E16CB8" w14:paraId="59D45133" w14:textId="77777777" w:rsidTr="006B5453">
        <w:trPr>
          <w:trHeight w:val="1548"/>
          <w:jc w:val="center"/>
        </w:trPr>
        <w:tc>
          <w:tcPr>
            <w:tcW w:w="9808" w:type="dxa"/>
            <w:gridSpan w:val="4"/>
            <w:tcBorders>
              <w:bottom w:val="single" w:sz="4" w:space="0" w:color="000000" w:themeColor="text1"/>
            </w:tcBorders>
            <w:shd w:val="clear" w:color="auto" w:fill="C5E0B3" w:themeFill="accent6" w:themeFillTint="66"/>
            <w:vAlign w:val="center"/>
          </w:tcPr>
          <w:p w14:paraId="7D023C68" w14:textId="77777777" w:rsidR="002A7C30" w:rsidRPr="00C3722A" w:rsidRDefault="002A7C30" w:rsidP="006B5453">
            <w:pPr>
              <w:jc w:val="center"/>
              <w:rPr>
                <w:rFonts w:ascii="Arial" w:hAnsi="Arial" w:cs="Arial"/>
                <w:b/>
              </w:rPr>
            </w:pPr>
            <w:r>
              <w:rPr>
                <w:rFonts w:ascii="Arial" w:hAnsi="Arial" w:cs="Arial"/>
                <w:b/>
                <w:noProof/>
                <w:sz w:val="32"/>
                <w:szCs w:val="32"/>
              </w:rPr>
              <w:drawing>
                <wp:anchor distT="0" distB="0" distL="114300" distR="114300" simplePos="0" relativeHeight="251662336" behindDoc="0" locked="0" layoutInCell="1" allowOverlap="1" wp14:anchorId="6E42D098" wp14:editId="14494032">
                  <wp:simplePos x="0" y="0"/>
                  <wp:positionH relativeFrom="column">
                    <wp:posOffset>8255</wp:posOffset>
                  </wp:positionH>
                  <wp:positionV relativeFrom="paragraph">
                    <wp:posOffset>-7620</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E16CB8">
              <w:rPr>
                <w:rFonts w:ascii="Arial" w:hAnsi="Arial" w:cs="Arial"/>
                <w:b/>
                <w:sz w:val="32"/>
                <w:szCs w:val="32"/>
              </w:rPr>
              <w:t>Table Title</w:t>
            </w:r>
            <w:r>
              <w:rPr>
                <w:rFonts w:ascii="Arial" w:hAnsi="Arial" w:cs="Arial"/>
                <w:b/>
                <w:sz w:val="32"/>
                <w:szCs w:val="32"/>
              </w:rPr>
              <w:br/>
            </w:r>
            <w:r>
              <w:rPr>
                <w:rFonts w:ascii="Arial" w:hAnsi="Arial" w:cs="Arial"/>
                <w:b/>
              </w:rPr>
              <w:t>Additional Title</w:t>
            </w:r>
            <w:r>
              <w:rPr>
                <w:rFonts w:ascii="Arial" w:hAnsi="Arial" w:cs="Arial"/>
                <w:b/>
              </w:rPr>
              <w:br/>
            </w:r>
            <w:r w:rsidRPr="00C3722A">
              <w:rPr>
                <w:rFonts w:ascii="Arial" w:hAnsi="Arial" w:cs="Arial"/>
                <w:b/>
                <w:sz w:val="18"/>
                <w:szCs w:val="18"/>
              </w:rPr>
              <w:t>Even More Info</w:t>
            </w:r>
            <w:r>
              <w:rPr>
                <w:rFonts w:ascii="Arial" w:hAnsi="Arial" w:cs="Arial"/>
                <w:b/>
                <w:sz w:val="18"/>
                <w:szCs w:val="18"/>
              </w:rPr>
              <w:t>, Date</w:t>
            </w:r>
          </w:p>
        </w:tc>
      </w:tr>
      <w:tr w:rsidR="002A7C30" w:rsidRPr="00E16CB8" w14:paraId="221441FF" w14:textId="77777777" w:rsidTr="006B5453">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385623" w:themeFill="accent6" w:themeFillShade="80"/>
            <w:vAlign w:val="center"/>
          </w:tcPr>
          <w:p w14:paraId="413BEF43" w14:textId="77777777" w:rsidR="002A7C30" w:rsidRPr="00AD76BB" w:rsidRDefault="002A7C30" w:rsidP="006B5453">
            <w:pPr>
              <w:jc w:val="center"/>
              <w:rPr>
                <w:rFonts w:ascii="Arial" w:hAnsi="Arial" w:cs="Arial"/>
                <w:b/>
                <w:color w:val="FFFFFF" w:themeColor="background1"/>
              </w:rPr>
            </w:pPr>
            <w:r w:rsidRPr="00AD76BB">
              <w:rPr>
                <w:rFonts w:ascii="Arial" w:hAnsi="Arial" w:cs="Arial"/>
                <w:b/>
                <w:color w:val="FFFFFF" w:themeColor="background1"/>
              </w:rPr>
              <w:t>Subheading 1</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385623" w:themeFill="accent6" w:themeFillShade="80"/>
            <w:vAlign w:val="center"/>
          </w:tcPr>
          <w:p w14:paraId="3356C019" w14:textId="77777777" w:rsidR="002A7C30" w:rsidRPr="00AD76BB" w:rsidRDefault="002A7C30" w:rsidP="006B5453">
            <w:pPr>
              <w:jc w:val="center"/>
              <w:rPr>
                <w:rFonts w:ascii="Arial" w:hAnsi="Arial" w:cs="Arial"/>
                <w:b/>
                <w:color w:val="FFFFFF" w:themeColor="background1"/>
              </w:rPr>
            </w:pPr>
            <w:r w:rsidRPr="00AD76BB">
              <w:rPr>
                <w:rFonts w:ascii="Arial" w:hAnsi="Arial" w:cs="Arial"/>
                <w:b/>
                <w:color w:val="FFFFFF" w:themeColor="background1"/>
              </w:rPr>
              <w:t>Subheading 2</w:t>
            </w:r>
          </w:p>
        </w:tc>
      </w:tr>
      <w:tr w:rsidR="002A7C30" w:rsidRPr="00E16CB8" w14:paraId="1BF20803" w14:textId="77777777" w:rsidTr="006B5453">
        <w:trPr>
          <w:jc w:val="center"/>
        </w:trPr>
        <w:tc>
          <w:tcPr>
            <w:tcW w:w="2517" w:type="dxa"/>
            <w:tcBorders>
              <w:top w:val="single" w:sz="4" w:space="0" w:color="000000" w:themeColor="text1"/>
              <w:bottom w:val="single" w:sz="4" w:space="0" w:color="000000" w:themeColor="text1"/>
              <w:right w:val="single" w:sz="4" w:space="0" w:color="000000" w:themeColor="text1"/>
            </w:tcBorders>
            <w:vAlign w:val="center"/>
          </w:tcPr>
          <w:p w14:paraId="7E348EFA" w14:textId="77777777" w:rsidR="002A7C30" w:rsidRPr="00C3722A" w:rsidRDefault="002A7C30" w:rsidP="006B5453">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E07A1" w14:textId="77777777" w:rsidR="002A7C30" w:rsidRPr="00E16CB8" w:rsidRDefault="002A7C30" w:rsidP="006B5453">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77A3D" w14:textId="77777777" w:rsidR="002A7C30" w:rsidRPr="00E16CB8" w:rsidRDefault="002A7C30" w:rsidP="006B5453">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4" w:space="0" w:color="000000" w:themeColor="text1"/>
            </w:tcBorders>
            <w:vAlign w:val="center"/>
          </w:tcPr>
          <w:p w14:paraId="69F94C53" w14:textId="77777777" w:rsidR="002A7C30" w:rsidRPr="00E16CB8" w:rsidRDefault="002A7C30" w:rsidP="006B5453">
            <w:pPr>
              <w:rPr>
                <w:rFonts w:ascii="Arial" w:hAnsi="Arial" w:cs="Arial"/>
              </w:rPr>
            </w:pPr>
            <w:r>
              <w:rPr>
                <w:rFonts w:ascii="Arial" w:hAnsi="Arial" w:cs="Arial"/>
              </w:rPr>
              <w:t xml:space="preserve">Data </w:t>
            </w:r>
          </w:p>
        </w:tc>
      </w:tr>
      <w:tr w:rsidR="002A7C30" w:rsidRPr="00E16CB8" w14:paraId="1738D06C" w14:textId="77777777" w:rsidTr="006B5453">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2F2A183C" w14:textId="77777777" w:rsidR="002A7C30" w:rsidRPr="00E16CB8" w:rsidRDefault="002A7C30" w:rsidP="006B5453">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7CF071A9" w14:textId="77777777" w:rsidR="002A7C30" w:rsidRPr="00E16CB8" w:rsidRDefault="002A7C30" w:rsidP="006B5453">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2F45659E" w14:textId="77777777" w:rsidR="002A7C30" w:rsidRPr="00E16CB8" w:rsidRDefault="002A7C30" w:rsidP="006B5453">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145836BE" w14:textId="77777777" w:rsidR="002A7C30" w:rsidRPr="00E16CB8" w:rsidRDefault="002A7C30" w:rsidP="006B5453">
            <w:pPr>
              <w:rPr>
                <w:rFonts w:ascii="Arial" w:hAnsi="Arial" w:cs="Arial"/>
              </w:rPr>
            </w:pPr>
            <w:r>
              <w:rPr>
                <w:rFonts w:ascii="Arial" w:hAnsi="Arial" w:cs="Arial"/>
              </w:rPr>
              <w:t>Data</w:t>
            </w:r>
          </w:p>
        </w:tc>
      </w:tr>
    </w:tbl>
    <w:p w14:paraId="79A077F4" w14:textId="77777777" w:rsidR="002A7C30" w:rsidRDefault="002A7C30" w:rsidP="002A7C30">
      <w:pPr>
        <w:ind w:right="14"/>
        <w:jc w:val="center"/>
        <w:rPr>
          <w:b/>
          <w:color w:val="BF8F00" w:themeColor="accent4" w:themeShade="BF"/>
          <w:sz w:val="28"/>
          <w:szCs w:val="28"/>
          <w:u w:val="single"/>
        </w:rPr>
      </w:pPr>
    </w:p>
    <w:p w14:paraId="1C26B8BD" w14:textId="77777777" w:rsidR="002A7C30" w:rsidRPr="00A32414" w:rsidRDefault="002A7C30" w:rsidP="002A7C30">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14:paraId="1489F01F"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14:paraId="0ACD975A"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14:paraId="0C34131E"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14:paraId="44CE1AF3"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14:paraId="31ECA6D5"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14:paraId="5EC908F4"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14:paraId="61694EBB"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14:paraId="1FFE50D3" w14:textId="77777777" w:rsidR="002A7C30" w:rsidRPr="00A32414" w:rsidRDefault="002A7C30" w:rsidP="002A7C30">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14:paraId="7A6F6FE9"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14:paraId="202545DE" w14:textId="77777777" w:rsidR="002A7C30" w:rsidRPr="0023411B" w:rsidRDefault="002A7C30" w:rsidP="002A7C30">
      <w:pPr>
        <w:pStyle w:val="ListParagraph"/>
        <w:numPr>
          <w:ilvl w:val="0"/>
          <w:numId w:val="1"/>
        </w:numPr>
        <w:spacing w:after="100" w:afterAutospacing="1"/>
        <w:ind w:right="14"/>
      </w:pPr>
      <w:r w:rsidRPr="00A32414">
        <w:rPr>
          <w:color w:val="BF8F00" w:themeColor="accent4" w:themeShade="BF"/>
        </w:rPr>
        <w:t>Only make edits on SharePoint version of rules</w:t>
      </w:r>
    </w:p>
    <w:p w14:paraId="50F611D1" w14:textId="77777777" w:rsidR="002A7C30" w:rsidRDefault="002A7C30" w:rsidP="002A7C30">
      <w:pPr>
        <w:spacing w:after="100" w:afterAutospacing="1"/>
      </w:pPr>
      <w:r>
        <w:t>ONLY THE RULES GROUP LEADER OR AGENCY RULES COORDINATOR MAY ADD RULES TO THIS TEMPLATE</w:t>
      </w:r>
    </w:p>
    <w:p w14:paraId="0B16534C" w14:textId="77777777" w:rsidR="002A7C30" w:rsidRDefault="002A7C30" w:rsidP="002A7C30">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14:paraId="72865250" w14:textId="77777777" w:rsidR="002A7C30" w:rsidRPr="00675355" w:rsidRDefault="002A7C30" w:rsidP="002A7C30">
      <w:pPr>
        <w:spacing w:after="100" w:afterAutospacing="1"/>
        <w:rPr>
          <w:u w:val="single"/>
        </w:rPr>
      </w:pPr>
      <w:r>
        <w:rPr>
          <w:noProof/>
        </w:rPr>
        <w:drawing>
          <wp:anchor distT="0" distB="0" distL="114300" distR="114300" simplePos="0" relativeHeight="251660288" behindDoc="1" locked="0" layoutInCell="1" allowOverlap="1" wp14:anchorId="59308412" wp14:editId="35479270">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14:anchorId="15C99BBF" wp14:editId="7268A5AE">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14:sizeRelH relativeFrom="margin">
              <wp14:pctWidth>0</wp14:pctWidth>
            </wp14:sizeRelH>
          </wp:anchor>
        </w:drawing>
      </w:r>
      <w:r w:rsidRPr="00675355">
        <w:rPr>
          <w:u w:val="single"/>
        </w:rPr>
        <w:t>TRACK CHANGES OFF</w:t>
      </w:r>
      <w:r>
        <w:t xml:space="preserve">                                              </w:t>
      </w:r>
      <w:r w:rsidRPr="00675355">
        <w:rPr>
          <w:u w:val="single"/>
        </w:rPr>
        <w:t xml:space="preserve"> TRACK CHANGES ON</w:t>
      </w:r>
    </w:p>
    <w:p w14:paraId="2610C0BF" w14:textId="77777777" w:rsidR="002A7C30" w:rsidRDefault="002A7C30" w:rsidP="002A7C30">
      <w:pPr>
        <w:spacing w:after="100" w:afterAutospacing="1"/>
      </w:pPr>
      <w:r>
        <w:rPr>
          <w:noProof/>
        </w:rPr>
        <w:drawing>
          <wp:anchor distT="0" distB="0" distL="114300" distR="114300" simplePos="0" relativeHeight="251661312" behindDoc="1" locked="0" layoutInCell="1" allowOverlap="1" wp14:anchorId="33A9065D" wp14:editId="7665E4E4">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14:paraId="6BBF38A0" w14:textId="77777777" w:rsidR="002A7C30" w:rsidRDefault="002A7C30" w:rsidP="002A7C30">
      <w:pPr>
        <w:spacing w:after="100" w:afterAutospacing="1"/>
      </w:pPr>
    </w:p>
    <w:p w14:paraId="21EC38C7" w14:textId="77777777" w:rsidR="002A7C30" w:rsidRDefault="002A7C30" w:rsidP="002A7C30">
      <w:pPr>
        <w:spacing w:after="100" w:afterAutospacing="1"/>
        <w:ind w:left="0"/>
        <w:sectPr w:rsidR="002A7C30" w:rsidSect="00622E4D">
          <w:pgSz w:w="12240" w:h="15840"/>
          <w:pgMar w:top="720" w:right="720" w:bottom="720" w:left="720" w:header="720" w:footer="720" w:gutter="0"/>
          <w:cols w:space="720"/>
          <w:docGrid w:linePitch="360"/>
        </w:sectPr>
      </w:pPr>
    </w:p>
    <w:p w14:paraId="1E0FE7DB" w14:textId="77777777" w:rsidR="002A7C30" w:rsidRDefault="002A7C30" w:rsidP="002A7C30">
      <w:pPr>
        <w:pStyle w:val="NormalWeb"/>
        <w:rPr>
          <w:rStyle w:val="Strong"/>
          <w:color w:val="000000"/>
        </w:rPr>
      </w:pPr>
      <w:r>
        <w:rPr>
          <w:rStyle w:val="Strong"/>
          <w:color w:val="000000"/>
          <w:u w:val="single"/>
        </w:rPr>
        <w:lastRenderedPageBreak/>
        <w:t>Key to Identifying Changed Text:</w:t>
      </w:r>
    </w:p>
    <w:p w14:paraId="633E7607" w14:textId="77777777" w:rsidR="002A7C30" w:rsidRPr="00BC3602" w:rsidRDefault="002A7C30" w:rsidP="002A7C30">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proofErr w:type="spellStart"/>
      <w:r w:rsidRPr="00DB0102">
        <w:rPr>
          <w:strike/>
          <w:color w:val="00B050"/>
        </w:rPr>
        <w:t>Text</w:t>
      </w:r>
      <w:proofErr w:type="spellEnd"/>
      <w:r w:rsidRPr="00DB0102">
        <w:rPr>
          <w:strike/>
          <w:color w:val="00B050"/>
        </w:rPr>
        <w:t xml:space="preserve"> deleted from one location</w:t>
      </w:r>
      <w:r w:rsidRPr="00DB0102">
        <w:rPr>
          <w:color w:val="00B050"/>
        </w:rPr>
        <w:t xml:space="preserve"> - </w:t>
      </w:r>
      <w:r w:rsidRPr="00DB0102">
        <w:rPr>
          <w:color w:val="00B050"/>
          <w:u w:val="single"/>
        </w:rPr>
        <w:t>and moved to another location</w:t>
      </w:r>
    </w:p>
    <w:p w14:paraId="2CE61D0B" w14:textId="6D1890FD" w:rsidR="002A7C30" w:rsidRDefault="002A7C30" w:rsidP="002A7C30">
      <w:pPr>
        <w:pStyle w:val="ListParagraph"/>
        <w:numPr>
          <w:ilvl w:val="0"/>
          <w:numId w:val="1"/>
        </w:numPr>
        <w:spacing w:after="100" w:afterAutospacing="1"/>
      </w:pPr>
      <w:r>
        <w:br w:type="page"/>
      </w:r>
    </w:p>
    <w:p w14:paraId="35343F07"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lastRenderedPageBreak/>
        <w:t>DEPARTMENT OF ENVIRONMENTAL QUALITY</w:t>
      </w:r>
    </w:p>
    <w:p w14:paraId="5E8B44BB" w14:textId="77777777" w:rsidR="0065051D" w:rsidRPr="0065051D" w:rsidRDefault="0065051D" w:rsidP="0065051D">
      <w:pPr>
        <w:spacing w:after="100" w:afterAutospacing="1"/>
        <w:jc w:val="center"/>
      </w:pPr>
      <w:r w:rsidRPr="0065051D">
        <w:rPr>
          <w:b/>
          <w:bCs/>
        </w:rPr>
        <w:t>DIVISION 212</w:t>
      </w:r>
    </w:p>
    <w:p w14:paraId="1FD8AB61" w14:textId="77777777" w:rsidR="0065051D" w:rsidRPr="0065051D" w:rsidRDefault="0065051D" w:rsidP="0065051D">
      <w:pPr>
        <w:spacing w:after="100" w:afterAutospacing="1"/>
        <w:jc w:val="center"/>
      </w:pPr>
      <w:r w:rsidRPr="0065051D">
        <w:rPr>
          <w:b/>
          <w:bCs/>
        </w:rPr>
        <w:t>STATIONARY SOURCE TESTING AND MONITORING</w:t>
      </w:r>
    </w:p>
    <w:p w14:paraId="3109A708"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340-212-0005</w:t>
      </w:r>
    </w:p>
    <w:p w14:paraId="5A59B5DF"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Applicability and Jurisdiction</w:t>
      </w:r>
    </w:p>
    <w:p w14:paraId="3EA30F4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This division applies in all areas of the state. </w:t>
      </w:r>
    </w:p>
    <w:p w14:paraId="108E7D9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Subject to the requirements in this division and OAR 340-200-0010(3), LRAPA is designated by the EQC to implement the rules in this division within its area of jurisdiction. </w:t>
      </w:r>
    </w:p>
    <w:p w14:paraId="45743543"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xml:space="preserve">: This rule is included in the State of Oregon Clean Air Act Implementation Plan that EQC adopted under OAR 340-200-0040. </w:t>
      </w:r>
    </w:p>
    <w:p w14:paraId="162C226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468A.050, 468A.055, 468A.070, 468A.135 &amp; 468A.310 </w:t>
      </w:r>
      <w:r w:rsidRPr="0065051D">
        <w:rPr>
          <w:color w:val="000000"/>
        </w:rPr>
        <w:br/>
        <w:t xml:space="preserve">Stats. Implemented: ORS 468A.035, 468A.050, 468A.055, 468A.070, 468A.135 &amp; 468A.310 </w:t>
      </w:r>
      <w:r w:rsidRPr="0065051D">
        <w:rPr>
          <w:color w:val="000000"/>
        </w:rPr>
        <w:br/>
        <w:t>Hist.; DEQ 7-2015, f. &amp; cert. ef. 4-16-15</w:t>
      </w:r>
    </w:p>
    <w:p w14:paraId="3630CC2B"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340-212-0010</w:t>
      </w:r>
    </w:p>
    <w:p w14:paraId="0915660A"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Definitions</w:t>
      </w:r>
    </w:p>
    <w:p w14:paraId="14F84E0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The definitions in OAR 340-200-0020, 340-204-0010 and this rule apply to this division. If the same term is defined in this rule and OAR 340-200-0020 or 340-204-0010, the definition in this rule applies to this division.</w:t>
      </w:r>
    </w:p>
    <w:p w14:paraId="14D50A9A"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4C047D0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 </w:t>
      </w:r>
      <w:r w:rsidRPr="0065051D">
        <w:rPr>
          <w:color w:val="000000"/>
        </w:rPr>
        <w:br/>
        <w:t xml:space="preserve">Stats. Implemented: ORS 468A.025 </w:t>
      </w:r>
      <w:r w:rsidRPr="0065051D">
        <w:rPr>
          <w:color w:val="000000"/>
        </w:rPr>
        <w:br/>
        <w:t>Hist.: DEQ 14-1999, f. &amp; cert. ef. 10-14-99; DEQ 7-2015, f. &amp; cert. ef. 4-16-15</w:t>
      </w:r>
    </w:p>
    <w:p w14:paraId="633E4405" w14:textId="77777777" w:rsidR="0065051D" w:rsidRPr="0065051D" w:rsidRDefault="0065051D" w:rsidP="0065051D">
      <w:pPr>
        <w:spacing w:before="100" w:beforeAutospacing="1" w:after="100" w:afterAutospacing="1"/>
        <w:ind w:left="0" w:right="0"/>
        <w:jc w:val="center"/>
        <w:outlineLvl w:val="9"/>
        <w:rPr>
          <w:color w:val="000000"/>
        </w:rPr>
      </w:pPr>
      <w:r w:rsidRPr="0065051D">
        <w:rPr>
          <w:b/>
          <w:bCs/>
          <w:color w:val="000000"/>
        </w:rPr>
        <w:t>Sampling, Testing and Measurement</w:t>
      </w:r>
    </w:p>
    <w:p w14:paraId="66C46E06"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These rules are included in the State of Oregon Clean Air Act Implementation Plan as adopted by the EQC under OAR 340-200-0040.</w:t>
      </w:r>
    </w:p>
    <w:p w14:paraId="18BDBFD6"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340-212-0110</w:t>
      </w:r>
    </w:p>
    <w:p w14:paraId="42753E8C"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Applicability</w:t>
      </w:r>
    </w:p>
    <w:p w14:paraId="26ED577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OAR 340-212-0110 through 340-212-0150 apply to all stationary sources in the state. Stationary source includes portable sources that are required to have permits under division 216. </w:t>
      </w:r>
    </w:p>
    <w:p w14:paraId="7A41BC42"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46E0211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12-1993, f. &amp; cert. ef. 9-24-93; DEQ 19-1993, f. &amp; cert. ef. 11-4-93; DEQ 22-1995, f. &amp; cert. ef. 10-6-95; DEQ 14-1999, f. &amp; cert. ef. 10-14-99, Renumbered from 340-028-0900; DEQ 7-2015, f. &amp; cert. ef. 4-16-15</w:t>
      </w:r>
    </w:p>
    <w:p w14:paraId="1F636088"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340-212-0120</w:t>
      </w:r>
    </w:p>
    <w:p w14:paraId="427AF2B6"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Program</w:t>
      </w:r>
    </w:p>
    <w:p w14:paraId="01BDF78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As part of its coordinated program of air quality control and preventing and abating air pollution, DEQ may: </w:t>
      </w:r>
    </w:p>
    <w:p w14:paraId="6FCDAD7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Require the owner or operator of a stationary source to determine the type, quantity, quality, and duration of the emissions from any air contamination source; </w:t>
      </w:r>
    </w:p>
    <w:p w14:paraId="40857E2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Require full reporting in writing of all test procedures and signed by the person or persons responsible for conducting the tests; </w:t>
      </w:r>
    </w:p>
    <w:p w14:paraId="5C44DA8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Require continuous monitoring of specified air contaminant emissions or parameters and periodic regular reporting of the results of such monitoring. </w:t>
      </w:r>
    </w:p>
    <w:p w14:paraId="587F863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DEQ may require an owner or operator of a source to provide emission testing facilities as follows: </w:t>
      </w:r>
    </w:p>
    <w:p w14:paraId="2F4DCA4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Sampling ports, safe sampling platforms, and access to sampling platforms adequate for test methods applicable to such source; and </w:t>
      </w:r>
    </w:p>
    <w:p w14:paraId="5655996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Utilities for sampling and testing equipment. </w:t>
      </w:r>
    </w:p>
    <w:p w14:paraId="2CEBB4B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Testing must be conducted in accordance with the DEQ Source Sampling Manual, the DEQ Continuous Monitoring Manual, or an applicable EPA Reference Method unless DEQ, if allowed under applicable federal requirements: </w:t>
      </w:r>
    </w:p>
    <w:p w14:paraId="6980298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Specifies or approves minor changes in methodology in specific cases; </w:t>
      </w:r>
    </w:p>
    <w:p w14:paraId="74C59BC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w:t>
      </w:r>
      <w:proofErr w:type="gramStart"/>
      <w:r w:rsidRPr="0065051D">
        <w:rPr>
          <w:color w:val="000000"/>
        </w:rPr>
        <w:t>b</w:t>
      </w:r>
      <w:proofErr w:type="gramEnd"/>
      <w:r w:rsidRPr="0065051D">
        <w:rPr>
          <w:color w:val="000000"/>
        </w:rPr>
        <w:t xml:space="preserve">) Approves the use of an equivalent or alternative method as defined in division 200; </w:t>
      </w:r>
    </w:p>
    <w:p w14:paraId="5BF5C73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Waives the testing requirement because the owner or operator has satisfied DEQ that the affected facility is in compliance with applicable requirements; or </w:t>
      </w:r>
    </w:p>
    <w:p w14:paraId="7EE812C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(d) Approves shorter sampling times and smaller sample volumes when necessitated by process variables or other factors.</w:t>
      </w:r>
    </w:p>
    <w:p w14:paraId="2825EE15"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522B6AA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15, f. 6-12-70, ef. 9-1-70; DEQ 4-1993, f. &amp; cert. ef. 3-10-93; DEQ 12-1993, f. &amp; cert. ef. 9-24-93, Renumbered from 340-020 0035; DEQ 19-1993, f. &amp; cert. ef. 11-4-93; DEQ 14-1999, f. &amp; cert. ef. 10-14-99, Renumbered from 340-028-1100; DEQ 6-2001, f. 6-18-01, cert. ef. 7-1-01; DEQ 7-2015, f. &amp; cert. ef. 4-16-15</w:t>
      </w:r>
    </w:p>
    <w:p w14:paraId="66A860E3"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340-212-0130</w:t>
      </w:r>
    </w:p>
    <w:p w14:paraId="6499CFD6"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Stack Heights and Dispersion Techniques</w:t>
      </w:r>
    </w:p>
    <w:p w14:paraId="7BC729B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(1) 40 CFR parts 51.100(</w:t>
      </w:r>
      <w:proofErr w:type="spellStart"/>
      <w:r w:rsidRPr="0065051D">
        <w:rPr>
          <w:color w:val="000000"/>
        </w:rPr>
        <w:t>ff</w:t>
      </w:r>
      <w:proofErr w:type="spellEnd"/>
      <w:r w:rsidRPr="0065051D">
        <w:rPr>
          <w:color w:val="000000"/>
        </w:rPr>
        <w:t>) through 51.100(</w:t>
      </w:r>
      <w:proofErr w:type="spellStart"/>
      <w:r w:rsidRPr="0065051D">
        <w:rPr>
          <w:color w:val="000000"/>
        </w:rPr>
        <w:t>kk</w:t>
      </w:r>
      <w:proofErr w:type="spellEnd"/>
      <w:r w:rsidRPr="0065051D">
        <w:rPr>
          <w:color w:val="000000"/>
        </w:rPr>
        <w:t xml:space="preserve">), and 51.118, 51.160 through 51.166,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 </w:t>
      </w:r>
    </w:p>
    <w:p w14:paraId="2299588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Where found in the federal rule, the following terms apply: </w:t>
      </w:r>
    </w:p>
    <w:p w14:paraId="6FE632A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"Reviewing agency" means DEQ, LRAPA, or the EPA, as applicable; </w:t>
      </w:r>
    </w:p>
    <w:p w14:paraId="6D31CA9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"Authority administering the State Implementation Plan" means DEQ, LRAPA, or EPA; </w:t>
      </w:r>
    </w:p>
    <w:p w14:paraId="2A35FD5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"procedures" referred to in 40 CFR 51.164 are the DEQ Major NSR procedures (OAR 340-224-0010 through 340-224-0070 and OAR 340-224-0500 through 340-224-0540 or Title 38 of LRAPA rules), and the review procedures for new, or modifications to, minor sources, at the DEQ review procedures for new or modified minor sources (OAR 340-210-0205 to 340-210-0250, OAR 340 division 216, OAR 340-224-0010 through 340-224-0038, OAR 340-224-0200 through 340-224-0270 and OAR 340-224-0500 through 340-224-0540, or LRAPA Title 34). </w:t>
      </w:r>
    </w:p>
    <w:p w14:paraId="7445B20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(d) "The state" or "state, or local control agency" as referred to in 40 CFR 51.118, means DEQ or LRAPA; </w:t>
      </w:r>
    </w:p>
    <w:p w14:paraId="30CB76D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(e) "Applicable state implementation plan" and "plan" refer to the DEQ or LRAPA programs and rules, as approved by the EPA, or any regulations promulgated by EPA (see 40 CFR part 52, subpart MM).</w:t>
      </w:r>
    </w:p>
    <w:p w14:paraId="089A9D87"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2E99F6D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468A.135 &amp; 468A.310 </w:t>
      </w:r>
      <w:r w:rsidRPr="0065051D">
        <w:rPr>
          <w:color w:val="000000"/>
        </w:rPr>
        <w:br/>
        <w:t xml:space="preserve">Stats. Implemented: ORS 468A.035, 468A.050, 468A.055, 468A.070, 468A.135 &amp; 468A.310 </w:t>
      </w:r>
      <w:r w:rsidRPr="0065051D">
        <w:rPr>
          <w:color w:val="000000"/>
        </w:rPr>
        <w:br/>
        <w:t>Hist.: DEQ 11-1986, f. &amp; ef. 5-12-86; DEQ 4-1993, f. &amp; cert. ef. 3-10-93; DEQ 12-1993, f. &amp; cert. ef. 9-24-93, Renumbered from 340-020-0037; DEQ 19-1993, f. &amp; cert. ef. 11-4-93; DEQ 22-1995, f. &amp; cert. ef. 10-6-95; DEQ 14-1999, f. &amp; cert. ef. 10-14-99, Renumbered from 340-028-1110; DEQ 6-2001, f. 6-18-01, cert. ef. 7-1-01; DEQ 7-2015, f. &amp; cert. ef. 4-16-15</w:t>
      </w:r>
    </w:p>
    <w:p w14:paraId="639F9C26"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340-212-0140</w:t>
      </w:r>
    </w:p>
    <w:p w14:paraId="7D365C48"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Methods</w:t>
      </w:r>
    </w:p>
    <w:p w14:paraId="297F276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Any sampling, testing, or measurement performed pursuant to this division must conform to methods contained in the DEQ Source Sampling Manual or to recognized applicable standard methods approved in advance by DEQ. </w:t>
      </w:r>
    </w:p>
    <w:p w14:paraId="0E16530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(2) DEQ may approve an equivalent or alternative method as defined in division 200.</w:t>
      </w:r>
    </w:p>
    <w:p w14:paraId="097C4CDA"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xml:space="preserve">: This rule is included in the State of Oregon Clean Air Act Implementation Plan that EQC adopted under OAR 340-200-0040. </w:t>
      </w:r>
    </w:p>
    <w:p w14:paraId="009CECB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Stat. Auth.: ORS 468.020</w:t>
      </w:r>
      <w:proofErr w:type="gramStart"/>
      <w:r w:rsidRPr="0065051D">
        <w:rPr>
          <w:color w:val="000000"/>
        </w:rPr>
        <w:t>,468A.050</w:t>
      </w:r>
      <w:proofErr w:type="gramEnd"/>
      <w:r w:rsidRPr="0065051D">
        <w:rPr>
          <w:color w:val="000000"/>
        </w:rPr>
        <w:t xml:space="preserve">, 468A.055, 468A.070 &amp; 468A.310 </w:t>
      </w:r>
      <w:r w:rsidRPr="0065051D">
        <w:rPr>
          <w:color w:val="000000"/>
        </w:rPr>
        <w:br/>
        <w:t xml:space="preserve">Stats. Implemented: ORS 468A.035, 468A.050, 468A.055, 468A.070 &amp; 468A.310 </w:t>
      </w:r>
      <w:r w:rsidRPr="0065051D">
        <w:rPr>
          <w:color w:val="000000"/>
        </w:rPr>
        <w:br/>
        <w:t>Hist.: DEQ 15, f. 6-12-70, ef. 9-11-70; DEQ 4-1993, f. &amp; cert. ef. 3-10-93; DEQ 12-1993, f. &amp; cert. ef. 9-24-93, Renumbered from 340-020-0040; DEQ 14-1999, f. &amp; cert. ef. 10-14-99, Renumbered from 340-028-1120; DEQ 6-2001, f. 6-18-01, cert. ef. 7-1-01; DEQ 7-2011(Temp), f. &amp; cert. ef. 6-24-11 thru 12-19-11; Administrative correction, 2-6-12; DEQ 7-2015, f. &amp; cert. ef. 4-16-15</w:t>
      </w:r>
    </w:p>
    <w:p w14:paraId="1F32C237"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340-212-0150</w:t>
      </w:r>
    </w:p>
    <w:p w14:paraId="79516A41"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Department Testing</w:t>
      </w:r>
    </w:p>
    <w:p w14:paraId="436646B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Instead of asking for tests and sampling of emissions from the owner or operator of a source, DEQ may conduct such tests alone or in conjunction with the owner or operator. If DEQ conducts the testing or sampling, the agency will provide a copy of the results to the owner or operator.</w:t>
      </w:r>
    </w:p>
    <w:p w14:paraId="45B4EAAC"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lastRenderedPageBreak/>
        <w:t>NOTE</w:t>
      </w:r>
      <w:r w:rsidRPr="0065051D">
        <w:rPr>
          <w:color w:val="000000"/>
        </w:rPr>
        <w:t>: This rule is included in the State of Oregon Clean Air Act Implementation Plan that EQC adopted under OAR 340-200-0040.</w:t>
      </w:r>
    </w:p>
    <w:p w14:paraId="489BA7C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15, f. 6-12-70, ef. 9-1-70; DEQ 4-1993, f. &amp; cert. ef. 3-10-93; DEQ 12-1993, f. &amp; cert. ef. 9-24-93, Renumbered from 340-020-0045; DEQ 14-1999, f. &amp; cert. ef. 10-14-99, Renumbered from 340-028-1130; DEQ 6-2001, f. 6-18-01, cert. ef. 7-1-01; DEQ 7-2015, f. &amp; cert. ef. 4-16-15</w:t>
      </w:r>
    </w:p>
    <w:p w14:paraId="1680F263" w14:textId="77777777" w:rsidR="0065051D" w:rsidRPr="0065051D" w:rsidRDefault="0065051D" w:rsidP="0065051D">
      <w:pPr>
        <w:spacing w:before="100" w:beforeAutospacing="1" w:after="100" w:afterAutospacing="1"/>
        <w:ind w:left="0" w:right="0"/>
        <w:jc w:val="center"/>
        <w:outlineLvl w:val="9"/>
        <w:rPr>
          <w:color w:val="000000"/>
        </w:rPr>
      </w:pPr>
      <w:r w:rsidRPr="0065051D">
        <w:rPr>
          <w:b/>
          <w:bCs/>
          <w:color w:val="000000"/>
        </w:rPr>
        <w:t>Compliance Assurance Monitoring</w:t>
      </w:r>
    </w:p>
    <w:p w14:paraId="6BDF790F"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340-212-0200</w:t>
      </w:r>
    </w:p>
    <w:p w14:paraId="77341E05"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Purpose and Applicability</w:t>
      </w:r>
    </w:p>
    <w:p w14:paraId="2570A37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The purpose of OAR 340-212-0200 through 340-212-0280 is to require, as part of the issuance of a permit under Title V of the FCAA, improved or new monitoring at those emissions units where monitoring requirements do not exist or are inadequate to meet the requirements of 340-212-0200 through 340-212-0280. Except for backup utility units that are exempt under subsection (2)(b), the requirements of 340-212-0200 through 340-212-0280 apply to a regulated pollutant-specific emissions unit at a major source that is required to obtain an Oregon Title V Operating Permit if the unit meets all of the following criteria: </w:t>
      </w:r>
    </w:p>
    <w:p w14:paraId="6D3C23F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(a) The unit is subject to an emission limitation or standard for the applicable regulated pollutant (or a surrogate thereof), other than an emission limitation or standard that is exempt under subsection (2</w:t>
      </w:r>
      <w:proofErr w:type="gramStart"/>
      <w:r w:rsidRPr="0065051D">
        <w:rPr>
          <w:color w:val="000000"/>
        </w:rPr>
        <w:t>)(</w:t>
      </w:r>
      <w:proofErr w:type="gramEnd"/>
      <w:r w:rsidRPr="0065051D">
        <w:rPr>
          <w:color w:val="000000"/>
        </w:rPr>
        <w:t xml:space="preserve">a); </w:t>
      </w:r>
    </w:p>
    <w:p w14:paraId="373C676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unit uses a control device to achieve compliance with any such emission limitation or standard; and </w:t>
      </w:r>
    </w:p>
    <w:p w14:paraId="235724B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unit has potential pre-control device emissions of the applicable regulated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65051D">
        <w:rPr>
          <w:color w:val="000000"/>
        </w:rPr>
        <w:t>except</w:t>
      </w:r>
      <w:proofErr w:type="gramEnd"/>
      <w:r w:rsidRPr="0065051D">
        <w:rPr>
          <w:color w:val="000000"/>
        </w:rPr>
        <w:t xml:space="preserve"> that emission reductions achieved by the applicable control device are not taken into account. </w:t>
      </w:r>
    </w:p>
    <w:p w14:paraId="6127916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Exemptions: </w:t>
      </w:r>
    </w:p>
    <w:p w14:paraId="4603482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Exempt emission limitations or standards. The requirements of OAR 340-212-0200 through 340-212-0280 do not apply to any of the following emission limitations or standards: </w:t>
      </w:r>
    </w:p>
    <w:p w14:paraId="06F50C6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Emission limitations or standards proposed by the Administrator after November 15, 1990 pursuant to section 111 or 112 of the FCAA; </w:t>
      </w:r>
    </w:p>
    <w:p w14:paraId="01E91F9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Stratospheric ozone protection requirements under title VI of the FCAA; </w:t>
      </w:r>
    </w:p>
    <w:p w14:paraId="676D8D5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(C) Acid Rain Program requirements pursuant to sections 404, 405, 406, 407(a), 407(b), or 410 of the FCAA; </w:t>
      </w:r>
    </w:p>
    <w:p w14:paraId="70D51AC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Emission limitations or standards or other applicable requirements that apply solely under an emissions trading program approved or promulgated by the Administrator under the FCAA that allows for trading emissions within a source or between sources; </w:t>
      </w:r>
    </w:p>
    <w:p w14:paraId="3A70332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(E) An emissions cap that meets the requirements specified in 40 CFR 70.4(b</w:t>
      </w:r>
      <w:proofErr w:type="gramStart"/>
      <w:r w:rsidRPr="0065051D">
        <w:rPr>
          <w:color w:val="000000"/>
        </w:rPr>
        <w:t>)(</w:t>
      </w:r>
      <w:proofErr w:type="gramEnd"/>
      <w:r w:rsidRPr="0065051D">
        <w:rPr>
          <w:color w:val="000000"/>
        </w:rPr>
        <w:t xml:space="preserve">12), 71.6(a)(13)(iii), or OAR 340 division 222 (Stationary Source Plant Site Emission Limits); </w:t>
      </w:r>
    </w:p>
    <w:p w14:paraId="7D6765A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 </w:t>
      </w:r>
    </w:p>
    <w:p w14:paraId="02B4065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w:t>
      </w:r>
      <w:proofErr w:type="gramStart"/>
      <w:r w:rsidRPr="0065051D">
        <w:rPr>
          <w:color w:val="000000"/>
        </w:rPr>
        <w:t>b</w:t>
      </w:r>
      <w:proofErr w:type="gramEnd"/>
      <w:r w:rsidRPr="0065051D">
        <w:rPr>
          <w:color w:val="000000"/>
        </w:rPr>
        <w:t xml:space="preserve">) Exemption for backup utility power emissions units. The requirements of OAR 340-212-0200 through 212-0280 do not apply to a utility unit, as defined in 40 CFR </w:t>
      </w:r>
      <w:proofErr w:type="gramStart"/>
      <w:r w:rsidRPr="0065051D">
        <w:rPr>
          <w:color w:val="000000"/>
        </w:rPr>
        <w:t>72.2, that</w:t>
      </w:r>
      <w:proofErr w:type="gramEnd"/>
      <w:r w:rsidRPr="0065051D">
        <w:rPr>
          <w:color w:val="000000"/>
        </w:rPr>
        <w:t xml:space="preserve"> is municipally owned if the owner or operator provides documentation in an Oregon Title V Operating Permit application that: </w:t>
      </w:r>
    </w:p>
    <w:p w14:paraId="4F63506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utility unit is exempt from all monitoring requirements in 40 CFR part 75, including the appendices thereto; </w:t>
      </w:r>
    </w:p>
    <w:p w14:paraId="3011613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 </w:t>
      </w:r>
    </w:p>
    <w:p w14:paraId="25CBFA0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14:paraId="1D4410C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340-028-1200; DEQ 6-2001, f. 6-18-01, cert. ef. 7-1-01; DEQ 7-2015, f. &amp; cert. ef. 4-16-15</w:t>
      </w:r>
    </w:p>
    <w:p w14:paraId="574540AB"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340-212-0210</w:t>
      </w:r>
    </w:p>
    <w:p w14:paraId="16CEC2CE"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Monitoring Design Criteria</w:t>
      </w:r>
    </w:p>
    <w:p w14:paraId="151414C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(1) General criteria. To provide a reasonable assurance of compliance with emission limitations or standards for the anticipated range of operations at a regulated pollutant-specific emissions unit, monitoring under OAR 340-212-0200 through 340-212-0280 must meet the following general criteria: </w:t>
      </w:r>
    </w:p>
    <w:p w14:paraId="3E6DFC1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(a) The owner or operator must design the monitoring to obtain data for one or more indicators of emission control performance for the control device, any associated capture system and, if necessary to satisfy subsection (1</w:t>
      </w:r>
      <w:proofErr w:type="gramStart"/>
      <w:r w:rsidRPr="0065051D">
        <w:rPr>
          <w:color w:val="000000"/>
        </w:rPr>
        <w:t>)(</w:t>
      </w:r>
      <w:proofErr w:type="gramEnd"/>
      <w:r w:rsidRPr="0065051D">
        <w:rPr>
          <w:color w:val="000000"/>
        </w:rPr>
        <w:t xml:space="preserve">b), processes at a regulated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 </w:t>
      </w:r>
    </w:p>
    <w:p w14:paraId="1C6E055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establish an appropriate range or designated condition for the selected indicator such that operation within the ranges provides a reasonable assurance of ongoing compliance with emission limitations or standards for the anticipated range of operating conditions. Such range or condition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 or designated condition.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regulated pollutant-specific emissions unit; </w:t>
      </w:r>
    </w:p>
    <w:p w14:paraId="43CF601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design of indicator ranges or designated conditions may be: </w:t>
      </w:r>
    </w:p>
    <w:p w14:paraId="05A59CB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Based on a single maximum or minimum value if appropriate, e.g., maintaining condenser temperatures a certain number of degrees below the condensation temperature of the applicable compound being processed, or at multiple levels that are relevant to distinctly different operating conditions, e.g., high versus low load levels; </w:t>
      </w:r>
    </w:p>
    <w:p w14:paraId="3D79A37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Expressed as a function of process variables, e.g., an indicator range expressed as minimum to maximum pressure drop across a </w:t>
      </w:r>
      <w:proofErr w:type="spellStart"/>
      <w:r w:rsidRPr="0065051D">
        <w:rPr>
          <w:color w:val="000000"/>
        </w:rPr>
        <w:t>venturi</w:t>
      </w:r>
      <w:proofErr w:type="spellEnd"/>
      <w:r w:rsidRPr="0065051D">
        <w:rPr>
          <w:color w:val="000000"/>
        </w:rPr>
        <w:t xml:space="preserve"> throat in a particulate control scrubber; </w:t>
      </w:r>
    </w:p>
    <w:p w14:paraId="7E820D8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Expressed as maintaining the applicable parameter in a particular operational status or designated condition, e.g., position of a damper controlling gas flow to the atmosphere through a by-pass duct; </w:t>
      </w:r>
    </w:p>
    <w:p w14:paraId="5E4D344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Established as interdependent between more than one </w:t>
      </w:r>
      <w:proofErr w:type="gramStart"/>
      <w:r w:rsidRPr="0065051D">
        <w:rPr>
          <w:color w:val="000000"/>
        </w:rPr>
        <w:t>indicator</w:t>
      </w:r>
      <w:proofErr w:type="gramEnd"/>
      <w:r w:rsidRPr="0065051D">
        <w:rPr>
          <w:color w:val="000000"/>
        </w:rPr>
        <w:t xml:space="preserve">. </w:t>
      </w:r>
    </w:p>
    <w:p w14:paraId="52DB71F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(2) Performance criteria. The owner or operator must design the monitoring to meet the following performance criteria: </w:t>
      </w:r>
    </w:p>
    <w:p w14:paraId="47AFF95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Specifications that provide for obtaining data that are representative of the emissions or parameters being monitored, such as detector location and installation specifications, if applicable; </w:t>
      </w:r>
    </w:p>
    <w:p w14:paraId="44FCFB3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 </w:t>
      </w:r>
    </w:p>
    <w:p w14:paraId="383EFFF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 </w:t>
      </w:r>
    </w:p>
    <w:p w14:paraId="63EE986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 </w:t>
      </w:r>
    </w:p>
    <w:p w14:paraId="5359499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At a minimum, the owner or operator must design the period over which data are obtained and, if applicable, averaged consistent with the characteristics and typical variability of the regulated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 </w:t>
      </w:r>
    </w:p>
    <w:p w14:paraId="2368D2B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For all regulated pollutant-specific emissions units with the potential to emit, calculated including the effect of control devices, the applicable regulated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DEQ may approve a reduced data collection frequency based on information presented by the owner or operator concerning the data collection mechanisms available for a particular parameter for the particular regulated pollutant-specific emissions unit, e.g., integrated raw material or fuel analysis data, </w:t>
      </w:r>
      <w:proofErr w:type="spellStart"/>
      <w:r w:rsidRPr="0065051D">
        <w:rPr>
          <w:color w:val="000000"/>
        </w:rPr>
        <w:t>noninstrumental</w:t>
      </w:r>
      <w:proofErr w:type="spellEnd"/>
      <w:r w:rsidRPr="0065051D">
        <w:rPr>
          <w:color w:val="000000"/>
        </w:rPr>
        <w:t xml:space="preserve"> measurement of waste feed rate or visible emissions, use of a portable analyzer or an alarm sensor; </w:t>
      </w:r>
    </w:p>
    <w:p w14:paraId="07696EE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For other regulated pollutant-specific emissions units, the frequency of data collection may be less than the frequency specified in paragraph (2</w:t>
      </w:r>
      <w:proofErr w:type="gramStart"/>
      <w:r w:rsidRPr="0065051D">
        <w:rPr>
          <w:color w:val="000000"/>
        </w:rPr>
        <w:t>)(</w:t>
      </w:r>
      <w:proofErr w:type="gramEnd"/>
      <w:r w:rsidRPr="0065051D">
        <w:rPr>
          <w:color w:val="000000"/>
        </w:rPr>
        <w:t xml:space="preserve">d)(B), but the monitoring must include some data collection at least once per 24-hour period, e.g., a daily inspection of a carbon </w:t>
      </w:r>
      <w:proofErr w:type="spellStart"/>
      <w:r w:rsidRPr="0065051D">
        <w:rPr>
          <w:color w:val="000000"/>
        </w:rPr>
        <w:t>adsorber</w:t>
      </w:r>
      <w:proofErr w:type="spellEnd"/>
      <w:r w:rsidRPr="0065051D">
        <w:rPr>
          <w:color w:val="000000"/>
        </w:rPr>
        <w:t xml:space="preserve"> operation in conjunction with a weekly or monthly check of emissions with a portable analyzer. </w:t>
      </w:r>
    </w:p>
    <w:p w14:paraId="72D18B3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(3) Evaluation factors. In designing monitoring to meet the requirements in sections (1) and (2),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 </w:t>
      </w:r>
    </w:p>
    <w:p w14:paraId="6BD7506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Special criteria for the use of continuous emission, opacity or predictive monitoring systems: </w:t>
      </w:r>
    </w:p>
    <w:p w14:paraId="3E34E79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If a continuous emission monitoring system (CEMS), continuous opacity monitoring system (COMS), or predictive emission monitoring system (PEMS) is required by other authority under the FCAA or state or local law, the owner or operator must use such system to satisfy the requirements of OAR 340-212-0200 through 340-212-0280; </w:t>
      </w:r>
    </w:p>
    <w:p w14:paraId="0EA6950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use of a CEMS, COMS, or PEMS that satisfies any of the following monitoring requirements satisfies the general design criteria in sections (1) and (2). However, a COMS may be subject to the criteria for establishing indicator ranges under section (1): </w:t>
      </w:r>
    </w:p>
    <w:p w14:paraId="27AF23D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Section 51.214 and Appendix P of 40 CFR part 51; </w:t>
      </w:r>
    </w:p>
    <w:p w14:paraId="04FE350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Section 60.13 and Appendix B of 40 CFR part 60; </w:t>
      </w:r>
    </w:p>
    <w:p w14:paraId="27457CE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Section 63.8 and any applicable performance specifications required pursuant to the applicable subpart of 40 CFR part 63; </w:t>
      </w:r>
    </w:p>
    <w:p w14:paraId="2FD478B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40 CFR part 75; </w:t>
      </w:r>
    </w:p>
    <w:p w14:paraId="0527C81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Subpart H and Appendix IX of 40 CFR part 266; or </w:t>
      </w:r>
    </w:p>
    <w:p w14:paraId="623307D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(F) If an applicable requirement does not otherwise require compliance with the requirements listed in paragraphs (4</w:t>
      </w:r>
      <w:proofErr w:type="gramStart"/>
      <w:r w:rsidRPr="0065051D">
        <w:rPr>
          <w:color w:val="000000"/>
        </w:rPr>
        <w:t>)(</w:t>
      </w:r>
      <w:proofErr w:type="gramEnd"/>
      <w:r w:rsidRPr="0065051D">
        <w:rPr>
          <w:color w:val="000000"/>
        </w:rPr>
        <w:t xml:space="preserve">b)(A) through (E), comparable requirements and specifications established by DEQ. </w:t>
      </w:r>
    </w:p>
    <w:p w14:paraId="5AC1CBB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owner or operator must design the monitoring system subject to section (4) to: </w:t>
      </w:r>
    </w:p>
    <w:p w14:paraId="57B196F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 </w:t>
      </w:r>
    </w:p>
    <w:p w14:paraId="52F9F10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(B) Provide an indicator range consistent with section (1) for a COMS used to assure compliance with a particulate matter standard. If an opacity standard applies to the regulated pollutant-specific emissions unit, such limit may be used as the appropriate indicator range unless the opacity limit fails to meet the criteria in section (1) after considering the type of control device and other site-specific factors applicable to the regulated pollutant-specific emissions unit.</w:t>
      </w:r>
    </w:p>
    <w:p w14:paraId="59A15FB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340-028-1210; DEQ 6-2001, f. 6-18-01, cert. ef. 7-1-01; DEQ 7-2015, f. &amp; cert. ef. 4-16-15</w:t>
      </w:r>
    </w:p>
    <w:p w14:paraId="1EE17062"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340-212-0220</w:t>
      </w:r>
    </w:p>
    <w:p w14:paraId="49A119F8"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Submittal Requirements</w:t>
      </w:r>
    </w:p>
    <w:p w14:paraId="446E2C0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The owner or operator must submit to DEQ monitoring plans that satisfy the design requirements in OAR 340-212-0210. The submission must include the following information: </w:t>
      </w:r>
    </w:p>
    <w:p w14:paraId="519C598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(a) The indicators to be monitored to satisfy OAR 340-212-0210(1</w:t>
      </w:r>
      <w:proofErr w:type="gramStart"/>
      <w:r w:rsidRPr="0065051D">
        <w:rPr>
          <w:color w:val="000000"/>
        </w:rPr>
        <w:t>)(</w:t>
      </w:r>
      <w:proofErr w:type="gramEnd"/>
      <w:r w:rsidRPr="0065051D">
        <w:rPr>
          <w:color w:val="000000"/>
        </w:rPr>
        <w:t xml:space="preserve">a) and (b); </w:t>
      </w:r>
    </w:p>
    <w:p w14:paraId="76230DA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ranges or designated conditions for such indicators, or the process by which such indicator ranges or designated conditions will be established; </w:t>
      </w:r>
    </w:p>
    <w:p w14:paraId="39CF53F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performance criteria for the monitoring to satisfy OAR 340-212-0210(2); and </w:t>
      </w:r>
    </w:p>
    <w:p w14:paraId="61D559F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If applicable, the indicator ranges and performance criteria for a CEMS, COMS or PEMS pursuant to OAR 340-212-0210(4). </w:t>
      </w:r>
    </w:p>
    <w:p w14:paraId="50EA134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(2) As part of the information submitted, the owner or operator must submit a justification for the proposed elements of the monitoring plans. If the performance specifications proposed to satisfy OAR 340-212-0210(2</w:t>
      </w:r>
      <w:proofErr w:type="gramStart"/>
      <w:r w:rsidRPr="0065051D">
        <w:rPr>
          <w:color w:val="000000"/>
        </w:rPr>
        <w:t>)(</w:t>
      </w:r>
      <w:proofErr w:type="gramEnd"/>
      <w:r w:rsidRPr="0065051D">
        <w:rPr>
          <w:color w:val="000000"/>
        </w:rPr>
        <w:t xml:space="preserve">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DEQ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regulated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 </w:t>
      </w:r>
    </w:p>
    <w:p w14:paraId="3EF278D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Presumptively acceptable or required monitoring approaches, established by DEQ in a rule that constitutes part of the applicable implementation plan required pursuant to title I of the FCAA, that are designed to achieve compliance with OAR 340-212-0200 through 340-212-0280 for particular regulated pollutant-specific emissions units; </w:t>
      </w:r>
    </w:p>
    <w:p w14:paraId="7713899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Continuous emission, opacity, or predictive emission monitoring systems that satisfy applicable monitoring requirements and performance specifications contained in OAR 340-212-0210(d); </w:t>
      </w:r>
    </w:p>
    <w:p w14:paraId="4392D88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(c) Excepted or alternative monitoring methods allowed or approved pursuant to 40 CFR part 75; </w:t>
      </w:r>
    </w:p>
    <w:p w14:paraId="738A599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Monitoring included for standards exempt from OAR 340-212-0200 through 340-212-0280 pursuant to OAR 340-212-0200(2)(a)(A) through (F) to the extent such monitoring is applicable to the performance of the control device and associated capture system for the regulated pollutant-specific emissions unit; and </w:t>
      </w:r>
    </w:p>
    <w:p w14:paraId="1D9BAA7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Presumptively acceptable monitoring methods identified in guidance by EPA. </w:t>
      </w:r>
    </w:p>
    <w:p w14:paraId="77E711C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regulated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 </w:t>
      </w:r>
    </w:p>
    <w:p w14:paraId="76A135B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document that no changes to the regulated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 </w:t>
      </w:r>
    </w:p>
    <w:p w14:paraId="2196793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If existing data from unit-specific compliance or performance testing specified in section (3) are unavailable, the owner or operator: </w:t>
      </w:r>
    </w:p>
    <w:p w14:paraId="24B5BED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Must submit a test plan and schedule for obtaining such data in accordance with section (5); or </w:t>
      </w:r>
    </w:p>
    <w:p w14:paraId="6B6772A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May submit indicator ranges, or procedures for establishing indicator ranges, that rely on engineering assessments and other data, if the owner or operator demonstrates that factors specific to the type of monitoring, control device, or regulated pollutant-specific emissions unit make compliance or performance testing unnecessary to establish indicator ranges at levels that satisfy the criteria in OAR 340-212-0210(1). </w:t>
      </w:r>
    </w:p>
    <w:p w14:paraId="7AA773F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(5) If the monitoring plans submitted by the owner or operator require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DEQ approves the monitoring plans in the Oregon Title V Operating Permit pursuant to OAR 340-212-0240. In no case may the schedule for completing </w:t>
      </w:r>
      <w:r w:rsidRPr="0065051D">
        <w:rPr>
          <w:color w:val="000000"/>
        </w:rPr>
        <w:lastRenderedPageBreak/>
        <w:t xml:space="preserve">installation and beginning operation of the monitoring exceed 180 days after approval of the permit. </w:t>
      </w:r>
    </w:p>
    <w:p w14:paraId="0518ED8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(6) If a control device is common to more than one regulated pollutant-specific emissions unit, the owner or operator may submit monitoring plans for the control device and identify the regulated pollutant-specific emissions units affected and any process or associated capture device conditions that must be maintained or monitored in accordance with OAR 340-212-0210(1) rather than submit separate monitoring plans for each regulated pollutant-specific emissions unit. </w:t>
      </w:r>
    </w:p>
    <w:p w14:paraId="285E08D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(7) If a single regulated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14:paraId="3A854EE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340-028-1220; DEQ 6-2001, f. 6-18-01, cert. ef. 7-1-01; DEQ 7-2015, f. &amp; cert. ef. 4-16-15</w:t>
      </w:r>
    </w:p>
    <w:p w14:paraId="273011D7"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340-212-0230</w:t>
      </w:r>
    </w:p>
    <w:p w14:paraId="7A29217F"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Deadlines for Submittals</w:t>
      </w:r>
    </w:p>
    <w:p w14:paraId="16F6EE6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Large regulated pollutant-specific emissions units. For all regulated pollutant-specific emissions units with the potential to emit the applicable regulated pollutant in an amount equal to or greater than 100 percent of the amount, in tons per year, required for a source to be classified as a major source, the owner or operator must submit the information required under OAR 340-212-0220 at the following times: </w:t>
      </w:r>
    </w:p>
    <w:p w14:paraId="1A2513E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submit information as part of an application for an initial Oregon Title V Operating Permit if, by that date, the application either: </w:t>
      </w:r>
    </w:p>
    <w:p w14:paraId="1B7A468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Has not been filed; or </w:t>
      </w:r>
    </w:p>
    <w:p w14:paraId="3CEFDA2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Has not yet been determined to be complete by DEQ. </w:t>
      </w:r>
    </w:p>
    <w:p w14:paraId="58908D0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submit information as part of an application for a significant permit revision under OAR 340-218-0080, but only with respect to those regulated pollutant-specific emissions units for which the proposed permit revision applies; </w:t>
      </w:r>
    </w:p>
    <w:p w14:paraId="3C7EA88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The owner or operator must submit any information not submitted under the deadlines set forth in subsections (1</w:t>
      </w:r>
      <w:proofErr w:type="gramStart"/>
      <w:r w:rsidRPr="0065051D">
        <w:rPr>
          <w:color w:val="000000"/>
        </w:rPr>
        <w:t>)(</w:t>
      </w:r>
      <w:proofErr w:type="gramEnd"/>
      <w:r w:rsidRPr="0065051D">
        <w:rPr>
          <w:color w:val="000000"/>
        </w:rPr>
        <w:t xml:space="preserve">a) and (b) as part of the application for the renewal of an Oregon Title V Operating Permit. </w:t>
      </w:r>
    </w:p>
    <w:p w14:paraId="6214D16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(2) Other regulated pollutant-specific emissions units. For all other regulated pollutant-specific emissions units subject to OAR 340-212-0220 through 340-212-0280 and not subject to section (1), the owner or operator must submit the information required under 340-212-0220 as part of an application for a renewal of an Oregon Title V Operating Permit. </w:t>
      </w:r>
    </w:p>
    <w:p w14:paraId="53B1843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(3) A permit reopening to require the submittal of information under this rule is not required by OAR 340-218-0200(1</w:t>
      </w:r>
      <w:proofErr w:type="gramStart"/>
      <w:r w:rsidRPr="0065051D">
        <w:rPr>
          <w:color w:val="000000"/>
        </w:rPr>
        <w:t>)(</w:t>
      </w:r>
      <w:proofErr w:type="gramEnd"/>
      <w:r w:rsidRPr="0065051D">
        <w:rPr>
          <w:color w:val="000000"/>
        </w:rPr>
        <w:t xml:space="preserve">a)(A). If, however, an Oregon Title V Operating Permit is reopened for cause by EPA or DEQ pursuant to OAR 340-218-0200(1)(a)(C), (D), or (E), the applicable agency may require the submittal of information under this rule for those regulated pollutant-specific emissions units that are subject to OAR 340-212-0200 through 340-212-0280 and that are affected by the permit reopening. </w:t>
      </w:r>
    </w:p>
    <w:p w14:paraId="5C2A86E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(4) Until DEQ approves monitoring plans that satisfy the requirements of OAR 340-212-0200 through 340-212-0280, the owner or operator is subject to the requirements of OAR 340-218-0050(3</w:t>
      </w:r>
      <w:proofErr w:type="gramStart"/>
      <w:r w:rsidRPr="0065051D">
        <w:rPr>
          <w:color w:val="000000"/>
        </w:rPr>
        <w:t>)(</w:t>
      </w:r>
      <w:proofErr w:type="gramEnd"/>
      <w:r w:rsidRPr="0065051D">
        <w:rPr>
          <w:color w:val="000000"/>
        </w:rPr>
        <w:t>a)(C).</w:t>
      </w:r>
    </w:p>
    <w:p w14:paraId="6687147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340-028-1230; DEQ 6-2001, f. 6-18-01, cert. ef. 7-1-01; DEQ 7-2015, f. &amp; cert. ef. 4-16-15</w:t>
      </w:r>
    </w:p>
    <w:p w14:paraId="6729791D"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340-212-0240</w:t>
      </w:r>
    </w:p>
    <w:p w14:paraId="3D1843D9"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Approval of Monitoring Plans</w:t>
      </w:r>
    </w:p>
    <w:p w14:paraId="66EFAE6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Based on an application that includes the information submitted in accordance with OAR 340-212-0230, DEQ will approve the monitoring plans submitted by the owner or operator by confirming that the plans satisfy the requirements in OAR 340-212-0210. </w:t>
      </w:r>
    </w:p>
    <w:p w14:paraId="140285B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DEQ may condition its approval on the owner or operator collecting additional data on the indicators to be monitored for a regulated pollutant-specific emissions unit, including required compliance or performance testing, to confirm that the monitoring will provide data sufficient to satisfy the requirements of OAR 340-212-0200 through 340-212-0280 and to confirm the appropriateness of an indicator range or designated condition proposed to satisfy OAR 340-212-0210(1)(b) and (c) and consistent with the schedule in OAR 340-212-0220(4). </w:t>
      </w:r>
    </w:p>
    <w:p w14:paraId="3FD00D8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If DEQ approves the proposed monitoring, DEQ will establish one or more permit terms or conditions that specify the required monitoring in accordance with OAR 340-218-0050(3)(a). At a minimum, the permit will specify: </w:t>
      </w:r>
    </w:p>
    <w:p w14:paraId="2BA3C44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approved monitoring approach that includes all of the following: </w:t>
      </w:r>
    </w:p>
    <w:p w14:paraId="44AE395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indicator to be monitored (such as temperature, pressure drop, emissions, or similar parameter); </w:t>
      </w:r>
    </w:p>
    <w:p w14:paraId="6ADA1B5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(B) The means or device to be used to measure the indicator (such as temperature measurement device, visual observation, or CEMS); and </w:t>
      </w:r>
    </w:p>
    <w:p w14:paraId="4C56B70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performance requirements established to satisfy OAR 340-212-0210(2) or (4), as applicable. </w:t>
      </w:r>
    </w:p>
    <w:p w14:paraId="35B9A2F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 or condition at which an excursion occurs, or the specific procedures that will be used to establish that value or condition. If the latter, the permit will specify appropriate notice procedures for the owner or operator to notify DEQ upon any establishment or reestablishment of the value; </w:t>
      </w:r>
    </w:p>
    <w:p w14:paraId="2DAE133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obligation to conduct the monitoring and fulfill the other obligations specified in OAR 340-212-0250 through 340-212-0270; </w:t>
      </w:r>
    </w:p>
    <w:p w14:paraId="0A23AF8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If appropriate, a minimum data availability requirement for valid data collection for each averaging period, and, if appropriate, a minimum data availability requirement for the averaging periods in a reporting period. </w:t>
      </w:r>
    </w:p>
    <w:p w14:paraId="161258C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 </w:t>
      </w:r>
    </w:p>
    <w:p w14:paraId="58E5096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(5) If DEQ disapproves the proposed monitoring, the following applies: </w:t>
      </w:r>
    </w:p>
    <w:p w14:paraId="65A7CF2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(a) The draft or final permit will include, at a minimum, monitoring that satisfies the requirements of OAR 340-218-0050(3</w:t>
      </w:r>
      <w:proofErr w:type="gramStart"/>
      <w:r w:rsidRPr="0065051D">
        <w:rPr>
          <w:color w:val="000000"/>
        </w:rPr>
        <w:t>)(</w:t>
      </w:r>
      <w:proofErr w:type="gramEnd"/>
      <w:r w:rsidRPr="0065051D">
        <w:rPr>
          <w:color w:val="000000"/>
        </w:rPr>
        <w:t xml:space="preserve">a)(C); </w:t>
      </w:r>
    </w:p>
    <w:p w14:paraId="71C3C1B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draft or final permit will include a compliance schedule for the owner or operator to submit monitoring plans that satisfy OAR 340-212-0210 and OAR 340-212-0220. In no case may the owner or operator submit revised monitoring more than 180 days from the date of issuance of the draft or final permit; and </w:t>
      </w:r>
    </w:p>
    <w:p w14:paraId="7DEC926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If the owner or operator does not submit the monitoring plans in accordance with the compliance schedule contained in the draft or final permit or if DEQ disapproves the proposed monitoring plans, the owner or operator is not in compliance with OAR 340-212-0200 through 340-212-0280, unless the source owner or operator successfully challenges the disapproval.</w:t>
      </w:r>
    </w:p>
    <w:p w14:paraId="77B9675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r>
      <w:r w:rsidRPr="0065051D">
        <w:rPr>
          <w:color w:val="000000"/>
        </w:rPr>
        <w:lastRenderedPageBreak/>
        <w:t>Hist.: DEQ 21-1998, f. &amp; cert. ef. 10-14-98; DEQ 14-1999, f. &amp; cert. ef. 10-14-99, Renumbered from 340-028-1240; DEQ 6-2001, f. 6-18-01, cert. ef. 7-1-01; DEQ 7-2015, f. &amp; cert. ef. 4-16-15</w:t>
      </w:r>
    </w:p>
    <w:p w14:paraId="1EBE3A11"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340-212-0250</w:t>
      </w:r>
    </w:p>
    <w:p w14:paraId="02C66057"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Operation of Approved Monitoring</w:t>
      </w:r>
    </w:p>
    <w:p w14:paraId="0F6AABF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340-212-0240(4). </w:t>
      </w:r>
    </w:p>
    <w:p w14:paraId="0A55069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Proper maintenance. The owner or operator must at all times maintain the monitoring equipment, including but not limited to, maintaining necessary parts for routine repairs of the monitoring equipment. </w:t>
      </w:r>
    </w:p>
    <w:p w14:paraId="7AE9CA9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regulated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p>
    <w:p w14:paraId="760E85A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Response to excursions or exceedances: </w:t>
      </w:r>
    </w:p>
    <w:p w14:paraId="262A66D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Upon detecting an excursion or exceedance, the owner or operator must restore operation of the regulated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 </w:t>
      </w:r>
    </w:p>
    <w:p w14:paraId="43B8BDE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Determination of whether the owner or operator has used acceptable procedures in response to an excursion or exceedance will be based on information available, which may include but is </w:t>
      </w:r>
      <w:r w:rsidRPr="0065051D">
        <w:rPr>
          <w:color w:val="000000"/>
        </w:rPr>
        <w:lastRenderedPageBreak/>
        <w:t xml:space="preserve">not limited to, monitoring results, review of operation and maintenance procedures and records, and inspection of the control device, associated capture system, and the process; </w:t>
      </w:r>
    </w:p>
    <w:p w14:paraId="2159C7F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Documentation of need for improved monitoring. After DEQ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DEQ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14:paraId="0C593D6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340-028-1250; DEQ 6-2001, f. 6-18-01, cert. ef. 7-1-01; DEQ 7-2015, f. &amp; cert. ef. 4-16-15</w:t>
      </w:r>
    </w:p>
    <w:p w14:paraId="569556C2"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340-212-0260</w:t>
      </w:r>
    </w:p>
    <w:p w14:paraId="3A2E2F1D"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Quality Improvement Plan (QIP) Requirements</w:t>
      </w:r>
    </w:p>
    <w:p w14:paraId="18D22ED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(1) Based on the results of a determination made under OAR 340-212-0250(4</w:t>
      </w:r>
      <w:proofErr w:type="gramStart"/>
      <w:r w:rsidRPr="0065051D">
        <w:rPr>
          <w:color w:val="000000"/>
        </w:rPr>
        <w:t>)(</w:t>
      </w:r>
      <w:proofErr w:type="gramEnd"/>
      <w:r w:rsidRPr="0065051D">
        <w:rPr>
          <w:color w:val="000000"/>
        </w:rPr>
        <w:t xml:space="preserve">b), the Administrator or DEQ may require the owner or operator to develop and implement a QIP. Consistent with 340-212-0240(3)(c), the Oregon Title V Operating Permit may specify an appropriate threshold, such as an accumulation of exceedances or excursions exceeding 5 percent duration of a regulated pollutant-specific emissions unit's operating time for a reporting period, for requiring the implementation of a QIP. The threshold may be set at a higher or lower percent or may rely on other criteria for purposes of indicating whether a regulated pollutant-specific emissions unit is being maintained and operated in a manner consistent with good air pollution control practices. </w:t>
      </w:r>
    </w:p>
    <w:p w14:paraId="525B0C7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Elements of a QIP: </w:t>
      </w:r>
    </w:p>
    <w:p w14:paraId="09FA642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maintain a written QIP, if required, and have it available for inspection; </w:t>
      </w:r>
    </w:p>
    <w:p w14:paraId="65E1497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plan initially must include procedures for evaluating the control performance problems and, based on the results of the evaluation procedures, the owner or operator must modify the plan to include procedures for conducting one or more of the following actions, as appropriate: </w:t>
      </w:r>
    </w:p>
    <w:p w14:paraId="0ECB580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Improved preventive maintenance practices; </w:t>
      </w:r>
    </w:p>
    <w:p w14:paraId="29FC040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Process operation changes; </w:t>
      </w:r>
    </w:p>
    <w:p w14:paraId="4433E02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(C) Appropriate improvements to control methods; </w:t>
      </w:r>
    </w:p>
    <w:p w14:paraId="152A2C6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Other steps appropriate to correct control performance; </w:t>
      </w:r>
    </w:p>
    <w:p w14:paraId="0DF734A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More frequent or improved monitoring, only in conjunction with one or more steps under paragraphs (A) through (D) above. </w:t>
      </w:r>
    </w:p>
    <w:p w14:paraId="5FABC97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If a QIP is required, the owner or operator must develop and implement a QIP as expeditiously as practicable and notify DEQ if the period for completing the improvements contained in the QIP exceeds 180 days from the date on which the need to implement the QIP was determined. </w:t>
      </w:r>
    </w:p>
    <w:p w14:paraId="5C5C385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(4) Following implementation of a QIP, upon any subsequent determination pursuant to OAR 340-212-0250(4</w:t>
      </w:r>
      <w:proofErr w:type="gramStart"/>
      <w:r w:rsidRPr="0065051D">
        <w:rPr>
          <w:color w:val="000000"/>
        </w:rPr>
        <w:t>)(</w:t>
      </w:r>
      <w:proofErr w:type="gramEnd"/>
      <w:r w:rsidRPr="0065051D">
        <w:rPr>
          <w:color w:val="000000"/>
        </w:rPr>
        <w:t xml:space="preserve">b) the Administrator or DEQ may require that an owner or operator make reasonable changes to the QIP if the QIP is found to have: </w:t>
      </w:r>
    </w:p>
    <w:p w14:paraId="58EB1DB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Failed to address the cause of the control device performance problems; or </w:t>
      </w:r>
    </w:p>
    <w:p w14:paraId="4EE04F8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Failed to provide adequate procedures for correcting control device performance problems as expeditiously as practicable in accordance with good air pollution control practices for minimizing emissions. </w:t>
      </w:r>
    </w:p>
    <w:p w14:paraId="0E57913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FCAA.</w:t>
      </w:r>
    </w:p>
    <w:p w14:paraId="5069992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340-028-1260; DEQ 6-2001, f. 6-18-01, cert. ef. 7-1-01; DEQ 7-2015, f. &amp; cert. ef. 4-16-15</w:t>
      </w:r>
    </w:p>
    <w:p w14:paraId="7E266322"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 xml:space="preserve">340-212-0270 </w:t>
      </w:r>
    </w:p>
    <w:p w14:paraId="21B5FEFF"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Reporting and Recordkeeping Requirements</w:t>
      </w:r>
    </w:p>
    <w:p w14:paraId="5E0448F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General reporting requirements: </w:t>
      </w:r>
    </w:p>
    <w:p w14:paraId="6570EF4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On and after the date specified in OAR 340-212-0250(1) by which the owner or operator must conduct monitoring that meets the requirements of 340-212-0200 through 340-212-0280, the owner or operator must submit monitoring reports to DEQ in accordance with 340-218-0050(3)(c); </w:t>
      </w:r>
    </w:p>
    <w:p w14:paraId="3898105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(b) A report for monitoring under OAR 340-212-0200 through 340-218-0280 must include, at a minimum, the information required under 340-218-0050(3</w:t>
      </w:r>
      <w:proofErr w:type="gramStart"/>
      <w:r w:rsidRPr="0065051D">
        <w:rPr>
          <w:color w:val="000000"/>
        </w:rPr>
        <w:t>)(</w:t>
      </w:r>
      <w:proofErr w:type="gramEnd"/>
      <w:r w:rsidRPr="0065051D">
        <w:rPr>
          <w:color w:val="000000"/>
        </w:rPr>
        <w:t xml:space="preserve">c) and the following information, as applicable: </w:t>
      </w:r>
    </w:p>
    <w:p w14:paraId="3CB7D77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lastRenderedPageBreak/>
        <w:t xml:space="preserve">(A) Summary information on the number, duration and cause, including unknown cause, of excursions or exceedances, as applicable, and the corrective actions taken; </w:t>
      </w:r>
    </w:p>
    <w:p w14:paraId="73D28FE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Summary information on the number, duration and cause, including unknown cause, for monitor downtime incidents, other than downtime associated with zero and span or other daily calibration checks; and </w:t>
      </w:r>
    </w:p>
    <w:p w14:paraId="6FE690C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 </w:t>
      </w:r>
    </w:p>
    <w:p w14:paraId="7B4D7E8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General </w:t>
      </w:r>
      <w:proofErr w:type="gramStart"/>
      <w:r w:rsidRPr="0065051D">
        <w:rPr>
          <w:color w:val="000000"/>
        </w:rPr>
        <w:t>recordkeeping</w:t>
      </w:r>
      <w:proofErr w:type="gramEnd"/>
      <w:r w:rsidRPr="0065051D">
        <w:rPr>
          <w:color w:val="000000"/>
        </w:rPr>
        <w:t xml:space="preserve"> requirements: </w:t>
      </w:r>
    </w:p>
    <w:p w14:paraId="66FB151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(a) The owner or operator must comply with the recordkeeping requirements specified in OAR 340-218-0050(3</w:t>
      </w:r>
      <w:proofErr w:type="gramStart"/>
      <w:r w:rsidRPr="0065051D">
        <w:rPr>
          <w:color w:val="000000"/>
        </w:rPr>
        <w:t>)(</w:t>
      </w:r>
      <w:proofErr w:type="gramEnd"/>
      <w:r w:rsidRPr="0065051D">
        <w:rPr>
          <w:color w:val="000000"/>
        </w:rPr>
        <w:t xml:space="preserve">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 </w:t>
      </w:r>
    </w:p>
    <w:p w14:paraId="4964374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14:paraId="24A922D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340-028-1270; DEQ 6-2001, f. 6-18-01, cert. ef. 7-1-01; DEQ 7-2015, f. &amp; cert. ef. 4-16-15</w:t>
      </w:r>
    </w:p>
    <w:p w14:paraId="07AA649B"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340-212-0280</w:t>
      </w:r>
    </w:p>
    <w:p w14:paraId="2EE24143"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Savings Provisions</w:t>
      </w:r>
    </w:p>
    <w:p w14:paraId="38EE6E9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Nothing in OAR 340-212-0200 through 340-212-0280: </w:t>
      </w:r>
    </w:p>
    <w:p w14:paraId="2E15B37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Excuses the owner or operator of a source from complying with any existing emission limitation or standard, or with any existing monitoring, testing, reporting, or recordkeeping requirement that may apply under federal, state, or local law, or any other applicable requirements under the FCAA. The requirements of OAR 340-212-0200 through 340-212-0280 may not be used to justify the approval of monitoring less stringent than the monitoring required under separate legal authority. Nor are they intended to establish minimum requirements for the </w:t>
      </w:r>
      <w:r w:rsidRPr="0065051D">
        <w:rPr>
          <w:color w:val="000000"/>
        </w:rPr>
        <w:lastRenderedPageBreak/>
        <w:t xml:space="preserve">purpose of determining the monitoring to be imposed under separate authority under the FCAA, including monitoring in permits issued pursuant to title I of the FCAA. </w:t>
      </w:r>
    </w:p>
    <w:p w14:paraId="11925B1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Restricts or abrogates the authority of the Administrator or DEQ to impose additional or more stringent monitoring, recordkeeping, testing, or reporting requirements on any owner or operator of a source under any provision of the FCAA, including but not limited to sections 114(a)(1) and 504(b), or state law, as applicable; </w:t>
      </w:r>
    </w:p>
    <w:p w14:paraId="36BDFF3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(3) Restricts or abrogates the authority of the Administrator or DEQ to take any enforcement action under the FCAA for any violation of an applicable requirement or of any person to take action under section 304 of the FCAA.</w:t>
      </w:r>
    </w:p>
    <w:p w14:paraId="31F4A3B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340-028-1280; DEQ 6-2001, f. 6-18-01, cert. ef. 7-1-01; DEQ 7-2015, f. &amp; cert. ef. 4-16-15</w:t>
      </w:r>
    </w:p>
    <w:p w14:paraId="6D66B2FA" w14:textId="77777777" w:rsidR="007F75E4" w:rsidRPr="007F75E4" w:rsidRDefault="007F75E4" w:rsidP="007F75E4">
      <w:pPr>
        <w:spacing w:before="100" w:beforeAutospacing="1" w:after="100" w:afterAutospacing="1"/>
        <w:ind w:left="0" w:right="0"/>
        <w:jc w:val="center"/>
        <w:outlineLvl w:val="9"/>
        <w:rPr>
          <w:color w:val="000000"/>
        </w:rPr>
      </w:pPr>
      <w:r w:rsidRPr="007F75E4">
        <w:rPr>
          <w:b/>
          <w:bCs/>
          <w:color w:val="000000"/>
        </w:rPr>
        <w:t>DIVISION 216</w:t>
      </w:r>
    </w:p>
    <w:p w14:paraId="17ED1DE1" w14:textId="77777777" w:rsidR="007F75E4" w:rsidRPr="007F75E4" w:rsidRDefault="007F75E4" w:rsidP="007F75E4">
      <w:pPr>
        <w:spacing w:before="100" w:beforeAutospacing="1" w:after="100" w:afterAutospacing="1"/>
        <w:ind w:left="0" w:right="0"/>
        <w:jc w:val="center"/>
        <w:outlineLvl w:val="9"/>
        <w:rPr>
          <w:color w:val="000000"/>
        </w:rPr>
      </w:pPr>
      <w:r w:rsidRPr="007F75E4">
        <w:rPr>
          <w:b/>
          <w:bCs/>
          <w:color w:val="000000"/>
        </w:rPr>
        <w:t>AIR CONTAMINANT DISCHARGE PERMITS</w:t>
      </w:r>
    </w:p>
    <w:p w14:paraId="7E9FFA5B"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These rules are included in the State of Oregon Clean Air Act Implementation Plan as adopted by the EQC under OAR 340-200-0040.</w:t>
      </w:r>
    </w:p>
    <w:p w14:paraId="5A54690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340-216-0010</w:t>
      </w:r>
    </w:p>
    <w:p w14:paraId="734ED21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Purpose</w:t>
      </w:r>
    </w:p>
    <w:p w14:paraId="31DEA94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This division prescribes the requirements and procedures for obtaining Air Contaminant Discharge Permits (ACDPs) pursuant to ORS 468A.040 through 468A.060 and related statutes for sources of air contaminants. </w:t>
      </w:r>
    </w:p>
    <w:p w14:paraId="4611CD02"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w:t>
      </w:r>
    </w:p>
    <w:p w14:paraId="33F29DF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468A.025, 468A.040 &amp; 468A.310 </w:t>
      </w:r>
      <w:r w:rsidRPr="007F75E4">
        <w:rPr>
          <w:color w:val="000000"/>
        </w:rPr>
        <w:br/>
        <w:t xml:space="preserve">Hist.: DEQ 47, f. 8-31-72, ef. 9-15-72; DEQ 63, f. 12-20-73, ef. 1-11-74; DEQ 107, f. &amp; ef. 1-6-86; </w:t>
      </w:r>
      <w:proofErr w:type="gramStart"/>
      <w:r w:rsidRPr="007F75E4">
        <w:rPr>
          <w:color w:val="000000"/>
        </w:rPr>
        <w:t>Renumbered</w:t>
      </w:r>
      <w:proofErr w:type="gramEnd"/>
      <w:r w:rsidRPr="007F75E4">
        <w:rPr>
          <w:color w:val="000000"/>
        </w:rPr>
        <w:t xml:space="preserve"> from 340-020-0033.02, DEQ 4-1993, f. &amp; cert. ef. 3-10-93; DEQ 12-1993, f. &amp; cert. ef. 9-24-93, Renumbered from 340-020-0140; DEQ 22-1995, f. &amp; cert. ef. 10-6-95; DEQ 14-1999, f. &amp; cert. ef. 10-14-99, Renumbered from 340-028-1700; DEQ 6-2001, f. 6-18-01, cert. ef. 7-1-01; DEQ 7-2015, f. &amp; cert. ef. 4-16-15</w:t>
      </w:r>
    </w:p>
    <w:p w14:paraId="7DA3F20F"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340-216-0020</w:t>
      </w:r>
    </w:p>
    <w:p w14:paraId="158A330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Applicability and Jurisdiction</w:t>
      </w:r>
    </w:p>
    <w:p w14:paraId="71D40D2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This division applies to all sources listed in OAR 340-216-8010. This division also applies to Oregon Title V Operating Permit program sources when an ACDP is required by 340-218-0020 or 340-224-0010. Sources referred to in 340-216-8010 are subject to fees in 340-216-8020. </w:t>
      </w:r>
    </w:p>
    <w:p w14:paraId="6F0A405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 </w:t>
      </w:r>
    </w:p>
    <w:p w14:paraId="7752AD5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commercial and industrial sources in OAR 340-216-8010 Part A must obtain a Basic ACDP under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14:paraId="39D169F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Sources in any one of the categories in OAR 340-216-8010 Part B must obtain one of the following unless otherwise allowed in Part B: </w:t>
      </w:r>
    </w:p>
    <w:p w14:paraId="31DB87A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General ACDP, if one is available for the source classification and the source qualifies for a General ACDP under OAR 340-216-0060; </w:t>
      </w:r>
    </w:p>
    <w:p w14:paraId="4DEF870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Simple ACDP under OAR 340-216-0064; or </w:t>
      </w:r>
    </w:p>
    <w:p w14:paraId="791BF95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Standard ACDP under OAR 340-216-0066 if the source fits one of the criteria of Part C or does not qualify for a Simple ACDP. </w:t>
      </w:r>
    </w:p>
    <w:p w14:paraId="4138C09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Sources in any one of the categories in OAR 340-216-8010 Part C must obtain a Standard ACDP under the procedures set forth in OAR 340-216-0066. </w:t>
      </w:r>
    </w:p>
    <w:p w14:paraId="3940453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(3) No person may construct, install, establish, develop or operate any air contaminant source listed in OAR 340-216-8010 without first obtaining an Air Contaminant Discharge Permit (ACDP) from DEQ or LRAPA and keeping a copy onsite at all times, unless otherwise deferred from the requirement to obtain an ACDP in subsection (1</w:t>
      </w:r>
      <w:proofErr w:type="gramStart"/>
      <w:r w:rsidRPr="007F75E4">
        <w:rPr>
          <w:color w:val="000000"/>
        </w:rPr>
        <w:t>)(</w:t>
      </w:r>
      <w:proofErr w:type="gramEnd"/>
      <w:r w:rsidRPr="007F75E4">
        <w:rPr>
          <w:color w:val="000000"/>
        </w:rPr>
        <w:t xml:space="preserve">b) or DEQ has granted an exemption from the requirement to obtain an ACDP under subsection (1)(e ). No person may continue to operate an air contaminant source if the ACDP expires, or is terminated or revoked; except as provided in 340-216-0082. </w:t>
      </w:r>
    </w:p>
    <w:p w14:paraId="71ACB80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 </w:t>
      </w:r>
    </w:p>
    <w:p w14:paraId="0A1BFAD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w:t>
      </w:r>
      <w:r w:rsidRPr="007F75E4">
        <w:rPr>
          <w:color w:val="000000"/>
        </w:rPr>
        <w:lastRenderedPageBreak/>
        <w:t xml:space="preserve">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to an additional twelve months. </w:t>
      </w:r>
    </w:p>
    <w:p w14:paraId="6E7218E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Deferrals of Oregon permitting requirements do not relieve an air contaminant source from the responsibility of complying with federal NESHAP or NSPS requirements. </w:t>
      </w:r>
    </w:p>
    <w:p w14:paraId="2A31AB1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OAR 340-216-0060(1)(b)(A), 340-216-0062(2)(b)(A), 340-216-0064(4)(a), and 340-216-0066(3)(a), do not relieve a permittee from the responsibility of complying with federal NESHAP or NSPS requirements that apply to the source even if DEQ has not incorporated such requirements into the permit. </w:t>
      </w:r>
    </w:p>
    <w:p w14:paraId="4E7C3C2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DEQ may exempt a source from the requirement to obtain an ACDP if it determines that the source is subject to only procedural requirements, such as notification that the source is affected by an NSPS or NESHAP. </w:t>
      </w:r>
    </w:p>
    <w:p w14:paraId="0F1DB9D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No person may construct, install, establish, or develop any source that will be subject to the Oregon Title V Operating Permit program without first obtaining an ACDP from DEQ or LRAPA. </w:t>
      </w:r>
    </w:p>
    <w:p w14:paraId="026EE34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No person may modify any source that has been issued an ACDP without first complying with the requirements of OAR 340-210-0205 through 340-210-0250. </w:t>
      </w:r>
    </w:p>
    <w:p w14:paraId="73126F9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No person may modify any source required to have an ACDP such that the source becomes subject to the Oregon Title V Operating Permit program without complying with the requirements of OAR 340-210-0205 through 340-210-0250. </w:t>
      </w:r>
    </w:p>
    <w:p w14:paraId="254FC84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(7) No person may increase emissions above the PSEL by more than the de </w:t>
      </w:r>
      <w:proofErr w:type="spellStart"/>
      <w:r w:rsidRPr="007F75E4">
        <w:rPr>
          <w:color w:val="000000"/>
        </w:rPr>
        <w:t>minimis</w:t>
      </w:r>
      <w:proofErr w:type="spellEnd"/>
      <w:r w:rsidRPr="007F75E4">
        <w:rPr>
          <w:color w:val="000000"/>
        </w:rPr>
        <w:t xml:space="preserve"> emission levels specified in OAR 340-200-0020 without first applying for and obtaining a modified ACDP. </w:t>
      </w:r>
    </w:p>
    <w:p w14:paraId="00C417A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(8) Subject to the requirements in this division and OAR 340-200-0010(3), LRAPA is designated by the EQC to implement the rules in this division within its area of jurisdiction.</w:t>
      </w:r>
    </w:p>
    <w:p w14:paraId="7DCC27C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340-211-0040. </w:t>
      </w:r>
    </w:p>
    <w:p w14:paraId="1C1FBDE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08C5825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468A.155 &amp; 468A.310 </w:t>
      </w:r>
      <w:r w:rsidRPr="007F75E4">
        <w:rPr>
          <w:color w:val="000000"/>
        </w:rPr>
        <w:br/>
        <w:t xml:space="preserve">Stats. Implemented: ORS 468A.025, 468A.040, 468A.135 - 468A.155 &amp; 468A.310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125, f. &amp; ef. 12-16-76; DEQ 20-1979, f. &amp; ef. 6-29-79; DEQ 23-1980, f. &amp; ef. 9-26-80; DEQ 13-1981, f. 5-6-81, ef. 7-1-81; DEQ 11-1983, f. &amp; ef. 5-31-83; DEQ 3-1986, f. &amp; ef. 2-12-86; DEQ 12-1987, f. &amp; ef. 6-15-87; DEQ 27-1991, f. &amp; cert. </w:t>
      </w:r>
      <w:r w:rsidRPr="007F75E4">
        <w:rPr>
          <w:color w:val="000000"/>
        </w:rPr>
        <w:lastRenderedPageBreak/>
        <w:t>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5-1-11; DEQ 11-2011, f. &amp; cert. ef. 7-21-11; DEQ 13-2011, f. &amp; cert. ef. 7-21-11; DEQ 14-2011, f, &amp; cert. ef. 7-21-11; DEQ 4-2013, f. &amp; cert. ef. 3-27-13; DEQ 9-2013(Temp), f. &amp; cert. ef. 10-24-13 thru 4-22-14; Administrative correction, 5-21-14; DEQ 9-2014, f. &amp; cert. ef. 6-26-14; DEQ 7-2015, f. &amp; cert. ef. 4-16-15</w:t>
      </w:r>
    </w:p>
    <w:p w14:paraId="1C251BC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340-216-0025</w:t>
      </w:r>
    </w:p>
    <w:p w14:paraId="56A70CD6"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Types of Permits</w:t>
      </w:r>
    </w:p>
    <w:p w14:paraId="61A4576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Construction ACDP: </w:t>
      </w:r>
    </w:p>
    <w:p w14:paraId="78B9758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Construction ACDP may be used for approval of Type 3 changes specified in OAR 340-210-0225 at a source subject to the ACDP permit requirements in this division. </w:t>
      </w:r>
    </w:p>
    <w:p w14:paraId="7DDE08C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Construction ACDP is required for Type 3 changes specified in OAR 340-210-0225 at sources subject to the Oregon Title V Operating Permit requirements. </w:t>
      </w:r>
    </w:p>
    <w:p w14:paraId="4A04244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General ACDP.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 </w:t>
      </w:r>
    </w:p>
    <w:p w14:paraId="1BF1354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source meets the qualifications specified in the General ACDP; </w:t>
      </w:r>
    </w:p>
    <w:p w14:paraId="0F95AB1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DEQ determines that the source has not had ongoing, recurring, or serious compliance problems; and </w:t>
      </w:r>
    </w:p>
    <w:p w14:paraId="7BD0E04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DEQ determines that a General ACDP would appropriately regulate the source. </w:t>
      </w:r>
    </w:p>
    <w:p w14:paraId="1738DE9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Short Term Activity ACDP. A Short Term Activity ACDP is a letter permit that authorizes the activity and includes any conditions placed upon the method or methods of operation of the activity. DEQ may issue a Short Term Activity ACDP for unexpected or emergency activities, operations, or emissions. </w:t>
      </w:r>
    </w:p>
    <w:p w14:paraId="7BC0BFD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Basic ACDP. A Basic ACDP is a permit that authorizes the regulated source to operate in conformance with the rules contained in OAR 340 divisions 200 to 268. </w:t>
      </w:r>
    </w:p>
    <w:p w14:paraId="2C8C8BA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(a) Owners and operators of sources and activities listed in Part A of OAR 340-216-8010 must at a minimum obtain a Basic ACDP. </w:t>
      </w:r>
    </w:p>
    <w:p w14:paraId="26D6328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Any owner or operator of a source required to obtain a Basic ACDP may obtain either a Simple or Standard ACDP. </w:t>
      </w:r>
    </w:p>
    <w:p w14:paraId="025E1D7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Simple ACDP. </w:t>
      </w:r>
    </w:p>
    <w:p w14:paraId="6F9E558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Owners and operators of sources and activities listed in OAR 340-216-8010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 </w:t>
      </w:r>
    </w:p>
    <w:p w14:paraId="2844AF7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nature, extent, and toxicity of the source's emissions; </w:t>
      </w:r>
    </w:p>
    <w:p w14:paraId="6E0CE78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complexity of the source and the rules applicable to that source; </w:t>
      </w:r>
    </w:p>
    <w:p w14:paraId="001A60A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complexity of the emission controls and potential threat to human health and the environment if the emission controls fail; </w:t>
      </w:r>
    </w:p>
    <w:p w14:paraId="0EFB05B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location of the source; and </w:t>
      </w:r>
    </w:p>
    <w:p w14:paraId="4F18156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The compliance history of the source. </w:t>
      </w:r>
    </w:p>
    <w:p w14:paraId="69F9EE4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Simple ACDP is a permit that contains: </w:t>
      </w:r>
    </w:p>
    <w:p w14:paraId="343738B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applicable requirements for source operation, including general ACDP conditions for incorporating generally applicable requirements; </w:t>
      </w:r>
    </w:p>
    <w:p w14:paraId="4587A84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w:t>
      </w:r>
      <w:proofErr w:type="spellStart"/>
      <w:r w:rsidRPr="007F75E4">
        <w:rPr>
          <w:color w:val="000000"/>
        </w:rPr>
        <w:t>minimis</w:t>
      </w:r>
      <w:proofErr w:type="spellEnd"/>
      <w:r w:rsidRPr="007F75E4">
        <w:rPr>
          <w:color w:val="000000"/>
        </w:rPr>
        <w:t xml:space="preserve"> emission level according to OAR 340 division 222; </w:t>
      </w:r>
    </w:p>
    <w:p w14:paraId="004FD04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10F568B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duration not to exceed 5 years. </w:t>
      </w:r>
    </w:p>
    <w:p w14:paraId="31BF0E2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Standard ACDP: </w:t>
      </w:r>
    </w:p>
    <w:p w14:paraId="098F801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Applicability. </w:t>
      </w:r>
    </w:p>
    <w:p w14:paraId="6131B0B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owner or operator of a source listed in Part C of OAR 340-216-8010 must obtain a Standard ACDP. </w:t>
      </w:r>
    </w:p>
    <w:p w14:paraId="4A547B4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(B) The owner or operator of a source listed in Part B of OAR 340-216-8010 that does not qualify for a General ACDP or Simple ACDP must obtain a Standard ACDP. </w:t>
      </w:r>
    </w:p>
    <w:p w14:paraId="260AFC4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owner or operator of a source not required to obtain a Standard ACDP may obtain a Standard ACDP. </w:t>
      </w:r>
    </w:p>
    <w:p w14:paraId="0E7C4E2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Standard ACDP is a permit that contains: </w:t>
      </w:r>
    </w:p>
    <w:p w14:paraId="51CF611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applicable requirements, including general ACDP conditions for incorporating generally applicable requirements; </w:t>
      </w:r>
    </w:p>
    <w:p w14:paraId="1BCCCCA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 specific PSELs or Generic PSEL levels, whichever are applicable, as specified in OAR 340 division 222; </w:t>
      </w:r>
    </w:p>
    <w:p w14:paraId="1AD3207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309074B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(D) A permit duration not to exceed 5 years.</w:t>
      </w:r>
    </w:p>
    <w:p w14:paraId="30DAF011"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340-211-0040.</w:t>
      </w:r>
    </w:p>
    <w:p w14:paraId="5A38969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47F6E81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468A.025, 468A.040 &amp; 468A.310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 DEQ 9-2014, f. &amp; cert. ef. 6-26-14; DEQ 7-2015, f. &amp; cert. ef. 4-16-15</w:t>
      </w:r>
    </w:p>
    <w:p w14:paraId="6632992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340-216-0030</w:t>
      </w:r>
    </w:p>
    <w:p w14:paraId="3E29CB4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Definitions</w:t>
      </w:r>
    </w:p>
    <w:p w14:paraId="64691EE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The definitions in OAR 340-200-0020, 340-204-0010 and this rule apply to this division. If the same term is defined in this rule and 340-200-0020 or 340-204-0010, the definition in this rule applies to this division. </w:t>
      </w:r>
    </w:p>
    <w:p w14:paraId="2FD3DDF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“Basic technical modification” includes, but is not limited to changing source test dates if the equipment is not being operated, and similar changes. </w:t>
      </w:r>
    </w:p>
    <w:p w14:paraId="6DF6EFD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 </w:t>
      </w:r>
    </w:p>
    <w:p w14:paraId="355D1F1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7F75E4">
        <w:rPr>
          <w:color w:val="000000"/>
        </w:rPr>
        <w:t>rules ,</w:t>
      </w:r>
      <w:proofErr w:type="gramEnd"/>
      <w:r w:rsidRPr="007F75E4">
        <w:rPr>
          <w:color w:val="000000"/>
        </w:rPr>
        <w:t xml:space="preserve"> incorporating NSPS and NESHAP requirements, and similar changes. </w:t>
      </w:r>
    </w:p>
    <w:p w14:paraId="507FAB5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“Non-technical modification” means name changes, change of ownership, correction of typographical errors and similar administrative changes. </w:t>
      </w:r>
    </w:p>
    <w:p w14:paraId="4CDC586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(5) “Simple technical modification” includes, but is not limited to modifying a compliance method to use different emission factors or process parameters, changing reporting dates or frequency, and similar changes.</w:t>
      </w:r>
    </w:p>
    <w:p w14:paraId="3C39668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This rule is included in the State of Oregon Clean Air Act Implementation Plan as adopted by the EQC under OAR 340-211-0040.</w:t>
      </w:r>
    </w:p>
    <w:p w14:paraId="011F187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&amp; 468A </w:t>
      </w:r>
      <w:r w:rsidRPr="007F75E4">
        <w:rPr>
          <w:color w:val="000000"/>
        </w:rPr>
        <w:br/>
        <w:t xml:space="preserve">Stats. Implemented: ORS 468A.025, 468A.040 &amp; 468A.310 </w:t>
      </w:r>
      <w:r w:rsidRPr="007F75E4">
        <w:rPr>
          <w:color w:val="000000"/>
        </w:rPr>
        <w:br/>
        <w:t>Hist.: DEQ 14-1999, f. &amp; cert. ef. 10-14-99; DEQ 6-2001, f. 6-18-01, cert. ef. 7-1-01; DEQ 7-2015, f. &amp; cert. ef. 4-16-15</w:t>
      </w:r>
    </w:p>
    <w:p w14:paraId="20FA7BC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340-216-0040</w:t>
      </w:r>
    </w:p>
    <w:p w14:paraId="446A4B8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Application Requirements</w:t>
      </w:r>
    </w:p>
    <w:p w14:paraId="3CDFF95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New Permits. </w:t>
      </w:r>
    </w:p>
    <w:p w14:paraId="776D031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Except for Short Term Activity ACDPs, any person required to obtain a new ACDP must provide the following general information, as applicable, using forms provided by DEQ in addition to any other information required for a specific permit type: </w:t>
      </w:r>
    </w:p>
    <w:p w14:paraId="2C1CD26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Identifying information, including the name of the company, the mailing address, the facility address, and the nature of business, Standard Industrial Classification (SIC) code; </w:t>
      </w:r>
    </w:p>
    <w:p w14:paraId="68C006F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name and phone number of a local person responsible for compliance with the permit; </w:t>
      </w:r>
    </w:p>
    <w:p w14:paraId="29D90EC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name of a person authorized to receive requests for data and information; </w:t>
      </w:r>
    </w:p>
    <w:p w14:paraId="0717926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(D) A description of the production processes and related flow chart; </w:t>
      </w:r>
    </w:p>
    <w:p w14:paraId="2E57305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 plot plan showing the location and height of air contaminant sources. The plot plan must also indicate the nearest residential or commercial property; </w:t>
      </w:r>
    </w:p>
    <w:p w14:paraId="61E532D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The type and quantity of fuels used; </w:t>
      </w:r>
    </w:p>
    <w:p w14:paraId="30DB804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An estimate of the amount and type of each air contaminant emitted by the source in terms of hourly, daily, or monthly and yearly rates, showing calculation procedures; </w:t>
      </w:r>
    </w:p>
    <w:p w14:paraId="6FD3E88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Any information on pollution prevention measures and cross-media impacts the applicant wants DEQ to consider in determining applicable control requirements and evaluating compliance methods; </w:t>
      </w:r>
    </w:p>
    <w:p w14:paraId="2F8D1FC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Estimated efficiency of air pollution control devices under present or anticipated operating conditions; </w:t>
      </w:r>
    </w:p>
    <w:p w14:paraId="5408AB6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Where the operation or maintenance of air pollution control devices and emission reduction processes can be adjusted or varied from the highest reasonable efficiency and effectiveness, information necessary for DEQ to establish operational and maintenance requirements in OAR 340-226-0120(1) and (2); </w:t>
      </w:r>
    </w:p>
    <w:p w14:paraId="6BA431E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A Land Use Compatibility Statement signed by a local, city or county, planner either approving or disapproving construction or modification of the source, if required by the local planning agency; </w:t>
      </w:r>
    </w:p>
    <w:p w14:paraId="151C7B6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Any information required by OAR 340 divisions 224 and 225, including but not limited to control technology and analysis, air quality impact analysis; and information related to offsets and net air quality benefit, if applicable; and </w:t>
      </w:r>
    </w:p>
    <w:p w14:paraId="00B7400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(M) Any other information requested by DEQ. </w:t>
      </w:r>
    </w:p>
    <w:p w14:paraId="112091C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Applications for new permits must be submitted at least 60 days prior to when a permit is needed. When preparing an application, the applicant should also consider the timelines provided in paragraph (2)(b), as well as OAR 340-224-0030, permit applications subject to NSR, to allow DEQ adequate time to process the application and issue a permit before it is needed. </w:t>
      </w:r>
    </w:p>
    <w:p w14:paraId="298475F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Renewal Permits. Except for Short Term Activity ACDPs, any person required to renew an existing permit must submit the information identified in section (1) using forms provided by DEQ, unless there are no significant changes to the permit. If there are significant changes, the applicant must provide the information identified in section (1) only for those changes. </w:t>
      </w:r>
    </w:p>
    <w:p w14:paraId="59ADD2A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Where there are no significant changes to the permit, the applicant may use a streamlined permit renewal application process by providing the following information: </w:t>
      </w:r>
    </w:p>
    <w:p w14:paraId="7C76BA3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(A) Identifying information, including the name of the company, the mailing address, the facility address, and the nature of business, Standard Industrial Classification (SIC) code, using a form provided by DEQ; and </w:t>
      </w:r>
    </w:p>
    <w:p w14:paraId="71D320B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marked up copy of the previous permit indicating minor changes along with an explanation for each requested change. </w:t>
      </w:r>
    </w:p>
    <w:p w14:paraId="4B9B81D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owner or operator must submit an application for renewal of the existing permit by no later than: </w:t>
      </w:r>
    </w:p>
    <w:p w14:paraId="27D21D0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30 days prior to the expiration date of a Basic ACDP; </w:t>
      </w:r>
    </w:p>
    <w:p w14:paraId="42B1822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120 days prior to the expiration date of a Simple ACDP; or </w:t>
      </w:r>
    </w:p>
    <w:p w14:paraId="2EDA9A0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180 days prior to the expiration date of a Standard ACDP. </w:t>
      </w:r>
    </w:p>
    <w:p w14:paraId="135427E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DEQ must receive an application for reassignment to General ACDPs and attachments within 30 days prior to expiration of the General ACDPs or attachment. </w:t>
      </w:r>
    </w:p>
    <w:p w14:paraId="1E8AD01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to allow DEQ adequate time to process the application and issue a permit before it is needed. </w:t>
      </w:r>
    </w:p>
    <w:p w14:paraId="4E5CA9D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p>
    <w:p w14:paraId="53EB6CA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The application must be completed in full and signed by the applicant or the applicant's legally authorized representative. </w:t>
      </w:r>
    </w:p>
    <w:p w14:paraId="09B3FF3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Two copies of the application are required, unless otherwise requested by DEQ. At least one of the copies must be a paper copy, but the others may be in any other format, including electronic copies, upon approval by DEQ. </w:t>
      </w:r>
    </w:p>
    <w:p w14:paraId="59528B7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(7) A copy of permit applications subject to Major NSR under OAR 340 division 224, including all supplemental and supporting information, must also be submitted directly to the EPA. </w:t>
      </w:r>
    </w:p>
    <w:p w14:paraId="4EBD2DB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(8) The name of the applicant must be the legal name of the facility or the owner's agent or the lessee responsible for the operation and maintenance of the facility. The legal name must be registered with the Secretary of State Corporations Division. </w:t>
      </w:r>
    </w:p>
    <w:p w14:paraId="4A8EDAD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(9) All applications must include the appropriate fees as specified in OAR 340-216-8020. </w:t>
      </w:r>
    </w:p>
    <w:p w14:paraId="656EF18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(10) Applications that are obviously incomplete, unsigned, improperly signed, or lacking the required exhibits or fees will be rejected by DEQ and returned to the applicant for completion. </w:t>
      </w:r>
    </w:p>
    <w:p w14:paraId="6C35A0E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(11) Within 15 days after receiving the application, DEQ will preliminarily review the application to determine the adequacy of the information submitted: </w:t>
      </w:r>
    </w:p>
    <w:p w14:paraId="606BF48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If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14:paraId="2891854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If, in the opinion of DEQ, additional measures are necessary to gather facts regarding the application, DEQ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DEQ will so notify the applicant. </w:t>
      </w:r>
    </w:p>
    <w:p w14:paraId="71B326F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(12) If at any time while processing the application,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14:paraId="00EAF60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(13) If, upon review of an application, DEQ determines that a permit is not required, DEQ will so notify the applicant in writing. Such notification is a final action by DEQ on the application.</w:t>
      </w:r>
    </w:p>
    <w:p w14:paraId="50EE113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14:paraId="581813B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2EB8845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 xml:space="preserve">Hist.: DEQ 42, f. 4-5-72, ef. 4-15-72;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 DEQ 9-2014, f. &amp; cert. ef. 6-26-14; DEQ 7-2015, f. &amp; cert. ef. 4-16-15</w:t>
      </w:r>
    </w:p>
    <w:p w14:paraId="77BA7816"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340-216-0052</w:t>
      </w:r>
    </w:p>
    <w:p w14:paraId="479DECD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Construction ACDP</w:t>
      </w:r>
    </w:p>
    <w:p w14:paraId="1092B51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Purpose. A Construction ACDP is a permit for approval of Type 3 construction or modification changes as specified in OAR 340-210-0225 and 340-210-0240. The Construction ACDP includes requirements for the construction or modification of stationary sources or air pollution control devices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 </w:t>
      </w:r>
    </w:p>
    <w:p w14:paraId="673AF34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 </w:t>
      </w:r>
    </w:p>
    <w:p w14:paraId="5B949BA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For Oregon Title V Operating Permit sources, the Construction ACDP may include the requirements of OAR 340-218-0050 and follow the external review procedures in OAR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 </w:t>
      </w:r>
    </w:p>
    <w:p w14:paraId="6F25195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Application requirements. Any person requesting a Construction ACDP must: </w:t>
      </w:r>
    </w:p>
    <w:p w14:paraId="7D4AAC4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Submit an application according to OAR 340-216-0040 and provide the information specified in 340-216-0040(1) as it relates to the proposed new construction or modification; and </w:t>
      </w:r>
    </w:p>
    <w:p w14:paraId="34BFC8C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Provide a list of any applicable requirements related to the new construction or modification. </w:t>
      </w:r>
    </w:p>
    <w:p w14:paraId="3C8661E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Fees. Applicants for a Construction ACDP must pay the fees in OAR 340-216-8020. </w:t>
      </w:r>
    </w:p>
    <w:p w14:paraId="0A67563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content. A Construction ACDP must include at least the following: </w:t>
      </w:r>
    </w:p>
    <w:p w14:paraId="3963D17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requirement that construction must commence within 18 months after the permit is issued if required by OAR 340-224-0030(4); </w:t>
      </w:r>
    </w:p>
    <w:p w14:paraId="4567159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requirement to construct according to approved plans; </w:t>
      </w:r>
    </w:p>
    <w:p w14:paraId="1EB3785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requirement to comply with all applicable requirements; </w:t>
      </w:r>
    </w:p>
    <w:p w14:paraId="661CE74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Emission limits for affected stationary sources; </w:t>
      </w:r>
    </w:p>
    <w:p w14:paraId="7DE0FBF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Performance standards for affected stationary sources and air pollution control devices; </w:t>
      </w:r>
    </w:p>
    <w:p w14:paraId="3B2FDC0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Performance test requirements; </w:t>
      </w:r>
    </w:p>
    <w:p w14:paraId="3619889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(g) Monitoring requirements, if specialized equipment is required (e.g., continuous monitoring systems); </w:t>
      </w:r>
    </w:p>
    <w:p w14:paraId="0C9A90C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Notification and reporting requirements (construction status reports, startup dates, source test plans, CEMS performance specification testing plans, etc.); </w:t>
      </w:r>
    </w:p>
    <w:p w14:paraId="20B00BE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w:t>
      </w:r>
      <w:proofErr w:type="spellStart"/>
      <w:r w:rsidRPr="007F75E4">
        <w:rPr>
          <w:color w:val="000000"/>
        </w:rPr>
        <w:t>i</w:t>
      </w:r>
      <w:proofErr w:type="spellEnd"/>
      <w:r w:rsidRPr="007F75E4">
        <w:rPr>
          <w:color w:val="000000"/>
        </w:rPr>
        <w:t xml:space="preserve">) General ACDP conditions for incorporating generally applicable requirements; </w:t>
      </w:r>
    </w:p>
    <w:p w14:paraId="1CC5D4A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A requirement to modify the operating permit before commencing operation of the new construction or modification; </w:t>
      </w:r>
    </w:p>
    <w:p w14:paraId="6C7B801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A permit expiration date of no more than 5 years; and </w:t>
      </w:r>
    </w:p>
    <w:p w14:paraId="58EE4E3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Oregon Title V Permit requirements as specified in OAR 340-218-0050, if the applicant requests the external review procedures in 340-218-0210 and 340-218-0230. </w:t>
      </w:r>
    </w:p>
    <w:p w14:paraId="493AAB9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Permit issuance procedures: </w:t>
      </w:r>
    </w:p>
    <w:p w14:paraId="6AD6322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Construction ACDP requires that DEQ provide public notice according to OAR 340 division 209 as a Category III permit action. </w:t>
      </w:r>
    </w:p>
    <w:p w14:paraId="364FAC2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at a later date by an administrative amendment provided the requirements of subsection (1</w:t>
      </w:r>
      <w:proofErr w:type="gramStart"/>
      <w:r w:rsidRPr="007F75E4">
        <w:rPr>
          <w:color w:val="000000"/>
        </w:rPr>
        <w:t>)(</w:t>
      </w:r>
      <w:proofErr w:type="gramEnd"/>
      <w:r w:rsidRPr="007F75E4">
        <w:rPr>
          <w:color w:val="000000"/>
        </w:rPr>
        <w:t xml:space="preserve">b) are met. </w:t>
      </w:r>
    </w:p>
    <w:p w14:paraId="298C633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Issuance of a modified Construction ACDP requires the following public notice, as applicable: </w:t>
      </w:r>
    </w:p>
    <w:p w14:paraId="09C6B89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under OAR 340 division 209 for non-technical modifications and basic and simple technical modifications; or </w:t>
      </w:r>
    </w:p>
    <w:p w14:paraId="27A3D4D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II permit action under OAR 340 division 209 for moderate and complex technical modifications. </w:t>
      </w:r>
    </w:p>
    <w:p w14:paraId="5328219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Construction ACDPs may not be renewed. </w:t>
      </w:r>
    </w:p>
    <w:p w14:paraId="459DFC51"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14:paraId="58E5946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7A7C141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r>
      <w:r w:rsidRPr="007F75E4">
        <w:rPr>
          <w:color w:val="000000"/>
        </w:rPr>
        <w:lastRenderedPageBreak/>
        <w:t>Hist.: DEQ 6-2001, f. 6-18-01, cert. ef. 7-1-01; DEQ 5-2011, f. 4-29-11, cert. ef. 5-1-11; DEQ 9-2014, f. &amp; cert. ef. 6-26-14; DEQ 7-2015, f. &amp; cert. ef. 4-16-15</w:t>
      </w:r>
    </w:p>
    <w:p w14:paraId="051C28FA"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340-216-0054</w:t>
      </w:r>
    </w:p>
    <w:p w14:paraId="245CB84B"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Short Term Activity ACDPs</w:t>
      </w:r>
      <w:r w:rsidRPr="007F75E4">
        <w:rPr>
          <w:color w:val="000000"/>
        </w:rPr>
        <w:t xml:space="preserve"> </w:t>
      </w:r>
    </w:p>
    <w:p w14:paraId="1416D4F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Short Term Activity ACDP must apply in writing, fully describing the unexpected or emergency activity requiring an ACDP and the proposed activities, operations, and emissions. The application must include the fees specified in section (2). </w:t>
      </w:r>
    </w:p>
    <w:p w14:paraId="4AF3BDC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Short Term Activity ACDP must pay the fees in OAR 340-216-8020. </w:t>
      </w:r>
    </w:p>
    <w:p w14:paraId="03C5274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w:t>
      </w:r>
    </w:p>
    <w:p w14:paraId="3D81C04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Short Term Activity ACDP must include conditions that ensure adequate protection of property and preservation of public health, welfare, and resources. </w:t>
      </w:r>
    </w:p>
    <w:p w14:paraId="35B9BDE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Short Term Activity ACDP may not include a PSEL for any air contaminants discharged as a result of the permitted activity. </w:t>
      </w:r>
    </w:p>
    <w:p w14:paraId="31B63E0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Short Term Activity ACDP will automatically terminate 60 days from the date of issuance and may not be renewed. </w:t>
      </w:r>
    </w:p>
    <w:p w14:paraId="37764B7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(4) Permit issuance public notice procedures. A Short Term Activity ACDP requires public notice as a Category I permit action under OAR 340 division 209.</w:t>
      </w:r>
    </w:p>
    <w:p w14:paraId="503AD60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This rule is included in the State of Oregon Clean Air Act Implementation Plan that EQC adopted under OAR 340-200-0040.</w:t>
      </w:r>
    </w:p>
    <w:p w14:paraId="7C3269D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42, f. 4-5-72, ef. 4-15-72; DEQ 4-1993, f. &amp; cert. ef. 3-10-93; DEQ 22-1996, f. &amp; cert. ef. 10-22-96; DEQ 6-2001, f. 6-18-01, cert. ef. 7-1-01, Renumbered from 340-014-0050; DEQ 5-2011, f. 4-29-11, cert. ef. 5-1-11; DEQ 9-2014, f. &amp; cert. ef. 6-26-14; DEQ 7-2015, f. &amp; cert. ef. 4-16-15</w:t>
      </w:r>
    </w:p>
    <w:p w14:paraId="3512608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340-216-0056</w:t>
      </w:r>
    </w:p>
    <w:p w14:paraId="1D0CE5CB"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Basic ACDPs</w:t>
      </w:r>
    </w:p>
    <w:p w14:paraId="12D867A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Basic ACDP must submit an application according to OAR 340-216-0040 and provide the information specified in OAR 340-216-0040(1). </w:t>
      </w:r>
    </w:p>
    <w:p w14:paraId="130E23E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(2) Fees. Applicants for a new Basic ACDP must pay the fees in OAR 340-216-8020. </w:t>
      </w:r>
    </w:p>
    <w:p w14:paraId="2084166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w:t>
      </w:r>
    </w:p>
    <w:p w14:paraId="065C642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Basic ACDP will contain only the most significant and relevant rules applicable to the source; </w:t>
      </w:r>
    </w:p>
    <w:p w14:paraId="217C0EB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Basic ACDP may not contain a PSEL; </w:t>
      </w:r>
    </w:p>
    <w:p w14:paraId="2F4DE37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Basic ACDP will require that a simplified annual report be submitted to DEQ; and </w:t>
      </w:r>
    </w:p>
    <w:p w14:paraId="5A1D1E2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Basic ACDP may be issued for a period not to exceed ten years. </w:t>
      </w:r>
    </w:p>
    <w:p w14:paraId="2A1AC60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(4) Permit issuance public notice procedures. A Basic ACDP requires public notice as a Category I permit action according to OAR 340 division 209.</w:t>
      </w:r>
    </w:p>
    <w:p w14:paraId="602B46FE"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14:paraId="774F594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8-2007, f. &amp; cert. ef. 11-8-07; DEQ 5-2011, f. 4-29-11, cert. ef. 5-1-11; DEQ 9-2014, f. &amp; cert. ef. 6-26-14; DEQ 7-2015, f. &amp; cert. ef. 4-16-15</w:t>
      </w:r>
    </w:p>
    <w:p w14:paraId="3A22202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340-216-0060</w:t>
      </w:r>
    </w:p>
    <w:p w14:paraId="4A37C30B"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General Air Contaminant Discharge Permits</w:t>
      </w:r>
    </w:p>
    <w:p w14:paraId="58425F2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Applicability. </w:t>
      </w:r>
    </w:p>
    <w:p w14:paraId="0549331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DEQ may issue a General ACDP under the following circumstances: </w:t>
      </w:r>
    </w:p>
    <w:p w14:paraId="6438A2C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There are multiple sources that involve the same or substantially similar types of operations; </w:t>
      </w:r>
    </w:p>
    <w:p w14:paraId="6BC8E44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All requirements applicable to the covered operations can be contained in a General ACDP; </w:t>
      </w:r>
    </w:p>
    <w:p w14:paraId="14EAAF5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emission limitations, monitoring, recordkeeping, reporting and other enforceable conditions are the same for all operations covered by the General ACDP; and </w:t>
      </w:r>
    </w:p>
    <w:p w14:paraId="0A5683E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regulated pollutants emitted are of the same type for all covered operations. </w:t>
      </w:r>
    </w:p>
    <w:p w14:paraId="340E740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Permit content. Each General ACDP must include the following: </w:t>
      </w:r>
    </w:p>
    <w:p w14:paraId="2986253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requirements for the operations covered by the General ACDP, excluding any federal requirements not adopted by the EQC; </w:t>
      </w:r>
    </w:p>
    <w:p w14:paraId="1A4E34F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(B) Generic PSELs for all regulated pollutants emitted at more than the de </w:t>
      </w:r>
      <w:proofErr w:type="spellStart"/>
      <w:r w:rsidRPr="007F75E4">
        <w:rPr>
          <w:color w:val="000000"/>
        </w:rPr>
        <w:t>minimis</w:t>
      </w:r>
      <w:proofErr w:type="spellEnd"/>
      <w:r w:rsidRPr="007F75E4">
        <w:rPr>
          <w:color w:val="000000"/>
        </w:rPr>
        <w:t xml:space="preserve"> emission level according to OAR 340 division 222; </w:t>
      </w:r>
    </w:p>
    <w:p w14:paraId="455322A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necessary to ensure compliance with the PSEL and other applicable emissions limits and standards; and </w:t>
      </w:r>
    </w:p>
    <w:p w14:paraId="2166281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expiration date not to exceed 10 years from the date of issuance. </w:t>
      </w:r>
    </w:p>
    <w:p w14:paraId="671D64C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Permit issuance public notice procedures: A new General ACDP requires public notice as a Category III permit action according to OAR 340 division 209. A reissued General ACDP or a modification to a General ACDP requires public notice as a Category II permit action according to OAR 340 division 209. </w:t>
      </w:r>
    </w:p>
    <w:p w14:paraId="6DB11A3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DEQ will retain all General ACDPs on file and make them available for public review at DEQ's headquarters. </w:t>
      </w:r>
    </w:p>
    <w:p w14:paraId="3E48631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Source assignment: </w:t>
      </w:r>
    </w:p>
    <w:p w14:paraId="7A0F17F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Application requirements. Any person requesting that a source be assigned to a General ACDP must submit a written application according to OAR 340-216-0040 that includes the information in 340-216-0040(1), specifies the General ACDP source category, and shows that the source qualifies for the General ACDP. </w:t>
      </w:r>
    </w:p>
    <w:p w14:paraId="3018378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Fees. Applicants must pay the fees in OAR 340-216-8020. The fee class for each General ACDP is Fee Class One unless otherwise specified as follows: </w:t>
      </w:r>
    </w:p>
    <w:p w14:paraId="2C17F2C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Hard chrome platers — Fee Class Three; </w:t>
      </w:r>
    </w:p>
    <w:p w14:paraId="2DC91B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Decorative chrome platers — Fee Class Two; </w:t>
      </w:r>
    </w:p>
    <w:p w14:paraId="17245C4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Halogenated solvent degreasers — batch cold, batch vapor, and in-line — Fee Class Two; </w:t>
      </w:r>
    </w:p>
    <w:p w14:paraId="68F3C0F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w:t>
      </w:r>
      <w:proofErr w:type="spellStart"/>
      <w:r w:rsidRPr="007F75E4">
        <w:rPr>
          <w:color w:val="000000"/>
        </w:rPr>
        <w:t>Perchloroethylene</w:t>
      </w:r>
      <w:proofErr w:type="spellEnd"/>
      <w:r w:rsidRPr="007F75E4">
        <w:rPr>
          <w:color w:val="000000"/>
        </w:rPr>
        <w:t xml:space="preserve"> dry cleaners — Fee Class Six; </w:t>
      </w:r>
    </w:p>
    <w:p w14:paraId="6A3F9D8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Asphalt plants — Fee Class Three; </w:t>
      </w:r>
    </w:p>
    <w:p w14:paraId="258B01F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Rock crushers — Fee Class Two; </w:t>
      </w:r>
    </w:p>
    <w:p w14:paraId="60D6090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Ready-mix concrete — Fee Class One; </w:t>
      </w:r>
    </w:p>
    <w:p w14:paraId="0E24941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Sawmills, </w:t>
      </w:r>
      <w:proofErr w:type="spellStart"/>
      <w:r w:rsidRPr="007F75E4">
        <w:rPr>
          <w:color w:val="000000"/>
        </w:rPr>
        <w:t>planing</w:t>
      </w:r>
      <w:proofErr w:type="spellEnd"/>
      <w:r w:rsidRPr="007F75E4">
        <w:rPr>
          <w:color w:val="000000"/>
        </w:rPr>
        <w:t xml:space="preserve"> mills, millwork, plywood manufacturing and veneer drying — Fee Class Three; </w:t>
      </w:r>
    </w:p>
    <w:p w14:paraId="2C52856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Boilers — Fee Class Two; </w:t>
      </w:r>
    </w:p>
    <w:p w14:paraId="74D3D59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Crematories — Fee Class One; </w:t>
      </w:r>
    </w:p>
    <w:p w14:paraId="7DB51B2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(K) Grain elevators — Fee Class One; </w:t>
      </w:r>
    </w:p>
    <w:p w14:paraId="27DE99C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Prepared feeds, flour, and cereal — Fee Class One; </w:t>
      </w:r>
    </w:p>
    <w:p w14:paraId="21BE4A9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(M) Seed cleaning — Fee Class One; </w:t>
      </w:r>
    </w:p>
    <w:p w14:paraId="1C3FB6B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(N) Coffee roasters — Fee Class One; </w:t>
      </w:r>
    </w:p>
    <w:p w14:paraId="5351E8C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(O) Bulk gasoline plants — Fee Class One; </w:t>
      </w:r>
    </w:p>
    <w:p w14:paraId="085C8AD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(P) Electric power generators — Fee Class Two; </w:t>
      </w:r>
    </w:p>
    <w:p w14:paraId="614629F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(Q) Clay ceramics — Fee Class One; </w:t>
      </w:r>
    </w:p>
    <w:p w14:paraId="5BC427B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(R) Hospital sterilizers — Fee Class Four; </w:t>
      </w:r>
    </w:p>
    <w:p w14:paraId="0F33980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 Secondary nonferrous metals — Fee Class One; </w:t>
      </w:r>
    </w:p>
    <w:p w14:paraId="495C1F8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 Gasoline dispensing facilities — stage </w:t>
      </w:r>
      <w:proofErr w:type="gramStart"/>
      <w:r w:rsidRPr="007F75E4">
        <w:rPr>
          <w:color w:val="000000"/>
        </w:rPr>
        <w:t>I</w:t>
      </w:r>
      <w:proofErr w:type="gramEnd"/>
      <w:r w:rsidRPr="007F75E4">
        <w:rPr>
          <w:color w:val="000000"/>
        </w:rPr>
        <w:t xml:space="preserve"> — Fee Class Five; </w:t>
      </w:r>
    </w:p>
    <w:p w14:paraId="6E31855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(U) Gasoline dispensing facilities — stage II — Fee Class Four; </w:t>
      </w:r>
    </w:p>
    <w:p w14:paraId="7CD4F6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 Wood preserving — Fee Class Four; </w:t>
      </w:r>
    </w:p>
    <w:p w14:paraId="10F5168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(W) Metal fabrication and finishing — with two or more of the following operations — Fee Class Two; </w:t>
      </w:r>
    </w:p>
    <w:p w14:paraId="256F295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w:t>
      </w:r>
      <w:proofErr w:type="spellStart"/>
      <w:r w:rsidRPr="007F75E4">
        <w:rPr>
          <w:color w:val="000000"/>
        </w:rPr>
        <w:t>i</w:t>
      </w:r>
      <w:proofErr w:type="spellEnd"/>
      <w:r w:rsidRPr="007F75E4">
        <w:rPr>
          <w:color w:val="000000"/>
        </w:rPr>
        <w:t xml:space="preserve">) Dry abrasive blasting performed in a vented enclosure or of objects greater than 8 feet (2.4 meters) in any one dimension that uses materials that contain MFHAP or has the potential to emit MFHAP; </w:t>
      </w:r>
    </w:p>
    <w:p w14:paraId="3490D93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 Spray-applied painting operation using MFHAP containing paints; </w:t>
      </w:r>
    </w:p>
    <w:p w14:paraId="33E94C0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(iii) Welding operation that uses materials that contain MFHAP or has the potential to emit MFHAP and uses 2,000 pounds or more per year of MFHAP containing welding wire and rod (calculated on a rolling 12-month basis); </w:t>
      </w:r>
    </w:p>
    <w:p w14:paraId="18165B7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(X) Metal fabrication and finishing — with only one of the operations listed in subparagraphs (2</w:t>
      </w:r>
      <w:proofErr w:type="gramStart"/>
      <w:r w:rsidRPr="007F75E4">
        <w:rPr>
          <w:color w:val="000000"/>
        </w:rPr>
        <w:t>)(</w:t>
      </w:r>
      <w:proofErr w:type="gramEnd"/>
      <w:r w:rsidRPr="007F75E4">
        <w:rPr>
          <w:color w:val="000000"/>
        </w:rPr>
        <w:t>b)(W)(</w:t>
      </w:r>
      <w:proofErr w:type="spellStart"/>
      <w:r w:rsidRPr="007F75E4">
        <w:rPr>
          <w:color w:val="000000"/>
        </w:rPr>
        <w:t>i</w:t>
      </w:r>
      <w:proofErr w:type="spellEnd"/>
      <w:r w:rsidRPr="007F75E4">
        <w:rPr>
          <w:color w:val="000000"/>
        </w:rPr>
        <w:t xml:space="preserve">) through (iii)— Fee Class One; </w:t>
      </w:r>
    </w:p>
    <w:p w14:paraId="2CC0DE6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(Y) Metal fabrication and finishing — with none of the operations listed in subparagraphs (2</w:t>
      </w:r>
      <w:proofErr w:type="gramStart"/>
      <w:r w:rsidRPr="007F75E4">
        <w:rPr>
          <w:color w:val="000000"/>
        </w:rPr>
        <w:t>)(</w:t>
      </w:r>
      <w:proofErr w:type="gramEnd"/>
      <w:r w:rsidRPr="007F75E4">
        <w:rPr>
          <w:color w:val="000000"/>
        </w:rPr>
        <w:t>b)(W)(</w:t>
      </w:r>
      <w:proofErr w:type="spellStart"/>
      <w:r w:rsidRPr="007F75E4">
        <w:rPr>
          <w:color w:val="000000"/>
        </w:rPr>
        <w:t>i</w:t>
      </w:r>
      <w:proofErr w:type="spellEnd"/>
      <w:r w:rsidRPr="007F75E4">
        <w:rPr>
          <w:color w:val="000000"/>
        </w:rPr>
        <w:t xml:space="preserve">) through (iii) — Fee Class Four; </w:t>
      </w:r>
    </w:p>
    <w:p w14:paraId="7E20989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(Z) Plating and polishing — Fee Class One; </w:t>
      </w:r>
    </w:p>
    <w:p w14:paraId="4389BE4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(AA) Surface coating operations — Fee Class One; </w:t>
      </w:r>
    </w:p>
    <w:p w14:paraId="16558E4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(BB) Paint stripping — Fee Class One; </w:t>
      </w:r>
    </w:p>
    <w:p w14:paraId="6B3FDD2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(CC) Aluminum, copper, and nonferrous foundries — Fee Class Two; </w:t>
      </w:r>
    </w:p>
    <w:p w14:paraId="0C143D8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(DD) Paints and allied products manufacturing — Fee Class Two; and </w:t>
      </w:r>
    </w:p>
    <w:p w14:paraId="7F89DAA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(EE) Emergency generators and firewater pumps, if a permit is required – Fee Class Two. </w:t>
      </w:r>
    </w:p>
    <w:p w14:paraId="66954A3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Source assignment procedures: </w:t>
      </w:r>
    </w:p>
    <w:p w14:paraId="084D50B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Assignment of a source to a General ACDP is a Category I permit action and is subject to the Category I public notice requirements according to OAR 340 division 209. </w:t>
      </w:r>
    </w:p>
    <w:p w14:paraId="191F28F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person is not a permittee under the General ACDP until DEQ assigns the General ACDP to the person. </w:t>
      </w:r>
    </w:p>
    <w:p w14:paraId="5B728DE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Assignments to General ACDPs and attachments terminate when the General ACDP or attachment expires or is modified, terminated or revoked. </w:t>
      </w:r>
    </w:p>
    <w:p w14:paraId="54BB97E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according to OAR 340-216-0062, otherwise the source must obtain a Simple or Standard ACDP. </w:t>
      </w:r>
    </w:p>
    <w:p w14:paraId="3BBFA52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 source requesting to be assigned to a General ACDP Attachment, according to OAR 340-216-0062, for a source category in a higher annual fee class than the General ACDP to which the source is currently assigned, must be reassigned to the General ACDP for the source category in the higher annual fee class. </w:t>
      </w:r>
    </w:p>
    <w:p w14:paraId="42309FE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DEQ Initiated Modification. If DEQ determines that the conditions have changed such that a General ACDP for a category needs to be modified, DEQ may issue a new General ACDP for that category and assign all existing General ACDP permit holders to the new General ACDP. </w:t>
      </w:r>
    </w:p>
    <w:p w14:paraId="5E72C0E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Rescission. DEQ may rescind an individual source's assignment to a General ACDP if the source no longer meets the requirements of the permit. In such case, the source must submit an application within 60 days 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 </w:t>
      </w:r>
    </w:p>
    <w:p w14:paraId="7360086E"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 </w:t>
      </w:r>
    </w:p>
    <w:p w14:paraId="463056F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478587C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Stat. Auth.: ORS 468.020, 468.065, 468A.025, 468A.040, 468A.310 &amp; 468A.315 </w:t>
      </w:r>
      <w:r w:rsidRPr="007F75E4">
        <w:rPr>
          <w:color w:val="000000"/>
        </w:rPr>
        <w:br/>
        <w:t xml:space="preserve">Stats. Implemented: ORS 468 &amp; 468A </w:t>
      </w:r>
      <w:r w:rsidRPr="007F75E4">
        <w:rPr>
          <w:color w:val="000000"/>
        </w:rPr>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DEQ 9-2014, f. &amp; cert. ef. 6-26-14; DEQ 7-2015, f. &amp; cert. ef. 4-16-15</w:t>
      </w:r>
    </w:p>
    <w:p w14:paraId="68B646F6"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340-216-0062</w:t>
      </w:r>
    </w:p>
    <w:p w14:paraId="33CD46A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General ACDP Attachments</w:t>
      </w:r>
    </w:p>
    <w:p w14:paraId="651B3A3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This rule allows a source to be assigned to one General ACDP and one or more General ACDP Attachments, as long as the General ACDP and General ACDP Attachment contain all requirements applicable to the source. This would allow a source to avoid having to obtain a more costly Simple or Standard ACDP if there are no General ACDPs that contain all requirements applicable to the source. </w:t>
      </w:r>
    </w:p>
    <w:p w14:paraId="60965FB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Applicability. </w:t>
      </w:r>
    </w:p>
    <w:p w14:paraId="03E3181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DEQ may issue a General ACDP Attachment under the following circumstances: </w:t>
      </w:r>
    </w:p>
    <w:p w14:paraId="3A1F388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There are multiple sources that involve the same or substantially similar types of operations; </w:t>
      </w:r>
    </w:p>
    <w:p w14:paraId="5AC8E35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All requirements applicable to the covered operations can be contained in a General ACDP Attachment; </w:t>
      </w:r>
    </w:p>
    <w:p w14:paraId="67C67F4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emission limitations, monitoring, recordkeeping, reporting and other enforceable conditions are the same for all operations covered by the General ACDP Attachment; </w:t>
      </w:r>
    </w:p>
    <w:p w14:paraId="450ED97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regulated pollutants emitted are of the same type for all covered operations. If a General ACDP and a General ACDP Attachment cannot address all activities at a source, the owner or operator of the source must apply for a Simple or Standard ACDP according to this division. </w:t>
      </w:r>
    </w:p>
    <w:p w14:paraId="65B93C9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Attachment content. Each General ACDP Attachment must include the following: </w:t>
      </w:r>
    </w:p>
    <w:p w14:paraId="0E56339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requirements for the operations covered by the General ACDP Attachment, excluding any federal requirements not adopted by the EQC; </w:t>
      </w:r>
    </w:p>
    <w:p w14:paraId="1C05ED5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Testing, monitoring, recordkeeping, and reporting requirements necessary to ensure compliance with the applicable emissions limits and standards; and </w:t>
      </w:r>
    </w:p>
    <w:p w14:paraId="2A6DFE8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An attachment expiration date not to exceed 10 years from the date of issuance. </w:t>
      </w:r>
    </w:p>
    <w:p w14:paraId="58C9C95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(c) Attachment issuance public notice procedures: A General ACDP Attachment requires public notice as a Category II permit action according to OAR 340 division 209. </w:t>
      </w:r>
    </w:p>
    <w:p w14:paraId="503F1CE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DEQ will retain all General ACDP Attachments on file and make them available for public review at DEQ's headquarters. </w:t>
      </w:r>
    </w:p>
    <w:p w14:paraId="20457AA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Source assignment: </w:t>
      </w:r>
    </w:p>
    <w:p w14:paraId="247F283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 </w:t>
      </w:r>
    </w:p>
    <w:p w14:paraId="3D37A89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Fees. Applicants must pay the fees in OAR 340-216-8020 for each assigned General ACDP Attachment. The fee class for each General ACDP Attachment is Fee Class Five. </w:t>
      </w:r>
    </w:p>
    <w:p w14:paraId="1B4C83E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 procedures: </w:t>
      </w:r>
    </w:p>
    <w:p w14:paraId="616DDC5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Assignment to a General ACDP Attachment is a Category I permit action and is subject to the Category I public notice requirements under OAR 340 division 209. </w:t>
      </w:r>
    </w:p>
    <w:p w14:paraId="4EAB974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person is not a permittee under the General ACDP Attachment until DEQ assigns the General ACDP Attachment to the person. </w:t>
      </w:r>
    </w:p>
    <w:p w14:paraId="27D761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 to a General ACDP Attachment terminates when the General ACDP Attachment expires or is modified, terminated or revoked. </w:t>
      </w:r>
    </w:p>
    <w:p w14:paraId="0CB7C1C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according to OAR 340-216-0060(2)(c)(E) and may be assigned to one or more General ACDP Attachments associated with source categories in an equal or lower annual fee class. </w:t>
      </w:r>
    </w:p>
    <w:p w14:paraId="0091E59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(d) If all activities at a source cannot be addressed by a General ACDP and General ACDP Attachments, the owner or operator of the source must apply for a Simple or Standard ACDP according to this division.</w:t>
      </w:r>
    </w:p>
    <w:p w14:paraId="78223DE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54ACC10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8-2009, f. &amp; cert. ef. 12-16-09; DEQ 4-2013, f. &amp; cert. ef. 3-27-13; DEQ 9-2013(Temp), f. &amp; cert. ef. 10-24-13 thru 4-22-14; Administrative correction, 5-21-14; DEQ 9-2014, f. &amp; cert. ef. 6-26-14; DEQ 7-2015, f. &amp; cert. ef. 4-16-15</w:t>
      </w:r>
    </w:p>
    <w:p w14:paraId="0275D1EF"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lastRenderedPageBreak/>
        <w:t>340-216-0064</w:t>
      </w:r>
    </w:p>
    <w:p w14:paraId="7D036DA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Simple ACDP</w:t>
      </w:r>
    </w:p>
    <w:p w14:paraId="07918EF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new, modified, or renewed Simple ACDP must submit an application according to OAR 340-216-0040. </w:t>
      </w:r>
    </w:p>
    <w:p w14:paraId="76272DB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new or modified Simple ACDP must pay the fees in OAR 340-216-8020. Applicants for a new Simple ACDP must initially pay the High Annual Fee. Once the initial permit is issued, annual fees for Simple ACDPs will be assessed based on the following: </w:t>
      </w:r>
    </w:p>
    <w:p w14:paraId="5810B87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Low Fee — </w:t>
      </w:r>
      <w:proofErr w:type="gramStart"/>
      <w:r w:rsidRPr="007F75E4">
        <w:rPr>
          <w:color w:val="000000"/>
        </w:rPr>
        <w:t>A</w:t>
      </w:r>
      <w:proofErr w:type="gramEnd"/>
      <w:r w:rsidRPr="007F75E4">
        <w:rPr>
          <w:color w:val="000000"/>
        </w:rPr>
        <w:t xml:space="preserve"> source may qualify for the low fee if: </w:t>
      </w:r>
    </w:p>
    <w:p w14:paraId="14818D1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source is, or will be, permitted under only one of the following categories in OAR 340-216-8010 Part B: </w:t>
      </w:r>
    </w:p>
    <w:p w14:paraId="490D84D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w:t>
      </w:r>
      <w:proofErr w:type="spellStart"/>
      <w:r w:rsidRPr="007F75E4">
        <w:rPr>
          <w:color w:val="000000"/>
        </w:rPr>
        <w:t>i</w:t>
      </w:r>
      <w:proofErr w:type="spellEnd"/>
      <w:r w:rsidRPr="007F75E4">
        <w:rPr>
          <w:color w:val="000000"/>
        </w:rPr>
        <w:t xml:space="preserve">) Category 7. Asphalt felt and coatings; </w:t>
      </w:r>
    </w:p>
    <w:p w14:paraId="26AEFB4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 Category 13. Boilers and other fuel burning equipment (can be combined with category 27. Electric power generation); </w:t>
      </w:r>
    </w:p>
    <w:p w14:paraId="21E9FF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(iii) Category 27. Electric power generation; </w:t>
      </w:r>
    </w:p>
    <w:p w14:paraId="28EF1FEA" w14:textId="77777777"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t>(iv) Category</w:t>
      </w:r>
      <w:proofErr w:type="gramEnd"/>
      <w:r w:rsidRPr="007F75E4">
        <w:rPr>
          <w:color w:val="000000"/>
        </w:rPr>
        <w:t xml:space="preserve"> 33. Galvanizing &amp; pipe coating; </w:t>
      </w:r>
    </w:p>
    <w:p w14:paraId="78A8212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 Category 39. Gray iron and steel foundries, malleable iron foundries, steel investment foundries, steel foundries 100 or more tons/yr. metal charged (not elsewhere identified); </w:t>
      </w:r>
    </w:p>
    <w:p w14:paraId="650DE55C" w14:textId="77777777"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t>(vi) Category</w:t>
      </w:r>
      <w:proofErr w:type="gramEnd"/>
      <w:r w:rsidRPr="007F75E4">
        <w:rPr>
          <w:color w:val="000000"/>
        </w:rPr>
        <w:t xml:space="preserve"> 40. Gypsum products; </w:t>
      </w:r>
    </w:p>
    <w:p w14:paraId="6124D9C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(vii) Category 45. Liquid storage tanks subject to OAR 340 division 232; </w:t>
      </w:r>
    </w:p>
    <w:p w14:paraId="5DC4967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(viii) Category 56. Non-ferrous metal foundries 100 or more tons/year of metal charged; </w:t>
      </w:r>
    </w:p>
    <w:p w14:paraId="59CC486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(ix) Category 57. Organic or inorganic industrial chemical manufacturing; </w:t>
      </w:r>
    </w:p>
    <w:p w14:paraId="0D01E7E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 Category 62. </w:t>
      </w:r>
      <w:proofErr w:type="spellStart"/>
      <w:r w:rsidRPr="007F75E4">
        <w:rPr>
          <w:color w:val="000000"/>
        </w:rPr>
        <w:t>Perchloroethylene</w:t>
      </w:r>
      <w:proofErr w:type="spellEnd"/>
      <w:r w:rsidRPr="007F75E4">
        <w:rPr>
          <w:color w:val="000000"/>
        </w:rPr>
        <w:t xml:space="preserve"> dry cleaning; </w:t>
      </w:r>
    </w:p>
    <w:p w14:paraId="1D2ACFB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(xi) Category 73. Secondary smelting and/or refining of ferrous and non-ferrous metals; or </w:t>
      </w:r>
    </w:p>
    <w:p w14:paraId="0E6F021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(xii) Category 85. All other sources not listed in OAR 340-216-8010 (can be combined with category 27. Electric Power Generation); and </w:t>
      </w:r>
    </w:p>
    <w:p w14:paraId="53B0BE3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actual emissions from the calendar year immediately preceding the invoice date are less than five tons/year of PM10 in a PM10 nonattainment or maintenance area or PM2.5 in a PM2.5 nonattainment or maintenance area, and less than 10 tons/year for each criteria pollutant; and </w:t>
      </w:r>
    </w:p>
    <w:p w14:paraId="3E7E403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(C) The source is not creating a nuisance under OAR 340-208-0310 or 340-208-0450. </w:t>
      </w:r>
    </w:p>
    <w:p w14:paraId="0C72379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High Fee — Any source required to have a Simple ACDP (OAR 340-216-8010 Part B) that does not qualify for the low fee under subsection (2</w:t>
      </w:r>
      <w:proofErr w:type="gramStart"/>
      <w:r w:rsidRPr="007F75E4">
        <w:rPr>
          <w:color w:val="000000"/>
        </w:rPr>
        <w:t>)(</w:t>
      </w:r>
      <w:proofErr w:type="gramEnd"/>
      <w:r w:rsidRPr="007F75E4">
        <w:rPr>
          <w:color w:val="000000"/>
        </w:rPr>
        <w:t xml:space="preserve">a) will be assessed the high fee. </w:t>
      </w:r>
    </w:p>
    <w:p w14:paraId="14CBDC9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If DEQ determines that a source was invoiced for the low annual fee but does not meet the low fee criteria outlined above, the source will be required to pay the difference between the low and high fees, plus applicable late fees in OAR 340-216-8020 Part 4. Late fees start upon issuance of the initial invoice. In this case, DEQ will issue a new invoice specifying applicable fees. </w:t>
      </w:r>
    </w:p>
    <w:p w14:paraId="6BD9ADC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Each Simple ACDP must include the following: </w:t>
      </w:r>
    </w:p>
    <w:p w14:paraId="18EC4B8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applicable requirements for source operation, including general ACDP conditions for incorporating generally applicable requirements, but excluding any federal requirements not adopted by the EQC; </w:t>
      </w:r>
    </w:p>
    <w:p w14:paraId="3C19BEA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w:t>
      </w:r>
      <w:proofErr w:type="spellStart"/>
      <w:r w:rsidRPr="007F75E4">
        <w:rPr>
          <w:color w:val="000000"/>
        </w:rPr>
        <w:t>minimis</w:t>
      </w:r>
      <w:proofErr w:type="spellEnd"/>
      <w:r w:rsidRPr="007F75E4">
        <w:rPr>
          <w:color w:val="000000"/>
        </w:rPr>
        <w:t xml:space="preserve"> emission level according to OAR 340 division 222; </w:t>
      </w:r>
    </w:p>
    <w:p w14:paraId="42B2D86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62244D1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duration not to exceed 5 years. </w:t>
      </w:r>
    </w:p>
    <w:p w14:paraId="25AF5B1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issuance public notice procedures: </w:t>
      </w:r>
    </w:p>
    <w:p w14:paraId="5346E12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new or renewed Simple ACDP requires public notice as a Category II permit according to OAR 340 division 209. </w:t>
      </w:r>
    </w:p>
    <w:p w14:paraId="6138F79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Issuance of a modification to a Simple ACDP requires one of the following procedures, as applicable: </w:t>
      </w:r>
    </w:p>
    <w:p w14:paraId="617FA5A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for non-technical and basic and simple technical modifications according to OAR 340 division 209; or </w:t>
      </w:r>
    </w:p>
    <w:p w14:paraId="79023E1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Public notice as a Category II permit action for moderate and complex technical modifications according to OAR 340 division 209.</w:t>
      </w:r>
    </w:p>
    <w:p w14:paraId="66161848"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78AE671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4-2002, f. &amp; cert. ef. 3-14-02; DEQ 8-2009, f. &amp; cert. ef. 12-16-09; DEQ 1-2011, f. &amp; cert. ef. 2-24-11; DEQ 5-2011, f. 4-29-11, cert. ef. 5-1-</w:t>
      </w:r>
      <w:r w:rsidRPr="007F75E4">
        <w:rPr>
          <w:color w:val="000000"/>
        </w:rPr>
        <w:lastRenderedPageBreak/>
        <w:t>11; DEQ 4-2013, f. &amp; cert. ef. 3-27-13; DEQ 9-2013(Temp), f. &amp; cert. ef. 10-24-13 thru 4-22-14; Administrative correction, 5-21-14; DEQ 9-2014, f. &amp; cert. ef. 6-26-14; DEQ 7-2015, f. &amp; cert. ef. 4-16-15</w:t>
      </w:r>
    </w:p>
    <w:p w14:paraId="55B5842B"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340-216-0066</w:t>
      </w:r>
    </w:p>
    <w:p w14:paraId="2F9C430F"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Standard ACDPs</w:t>
      </w:r>
    </w:p>
    <w:p w14:paraId="18C55D5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new, modified, or renewed Standard ACDP must submit an application according to OAR 340-216-0040 and include the following additional information as applicable: </w:t>
      </w:r>
    </w:p>
    <w:p w14:paraId="669A594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New or modified Standard ACDPs that are not subject to Major NSR, but have emissions increases above the significant emissions rate are subject to the requirements of State NSR. The application must include an analysis of the air quality and, for federal major sources only, the visibility impacts of the source or modification, including meteorological and topographical data, specific details of models used, and other information necessary to estimate air quality impacts. </w:t>
      </w:r>
    </w:p>
    <w:p w14:paraId="4A5FB2A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For new or modified Standard ACDPs that are subject to Major NSR</w:t>
      </w:r>
      <w:proofErr w:type="gramStart"/>
      <w:r w:rsidRPr="007F75E4">
        <w:rPr>
          <w:color w:val="000000"/>
        </w:rPr>
        <w:t>, ,</w:t>
      </w:r>
      <w:proofErr w:type="gramEnd"/>
      <w:r w:rsidRPr="007F75E4">
        <w:rPr>
          <w:color w:val="000000"/>
        </w:rPr>
        <w:t xml:space="preserve"> the application must include the following information as applicable: </w:t>
      </w:r>
    </w:p>
    <w:p w14:paraId="5454F9B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detailed description of the air pollution control devices and emission reductions processes that are planned for the major source or major modification, and any other information necessary to determine that BACT or LAER technology, whichever is applicable, would be applied; </w:t>
      </w:r>
    </w:p>
    <w:p w14:paraId="5AFDE8C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analysis of the air quality and, for federal major sources only, the visibility impacts of the major source or major modification, including meteorological and topographical data, specific details of models used, and other information necessary to estimate air quality impacts; and </w:t>
      </w:r>
    </w:p>
    <w:p w14:paraId="59D7222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major source or major modification would affect. </w:t>
      </w:r>
    </w:p>
    <w:p w14:paraId="2D47386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Standard ACDP must pay the fees in OAR 340-216-8020. </w:t>
      </w:r>
    </w:p>
    <w:p w14:paraId="204B53E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Each Standard ACDP must include the following: </w:t>
      </w:r>
    </w:p>
    <w:p w14:paraId="04DFB81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applicable requirements, including general ACDP conditions for incorporating generally applicable requirements, but excluding any federal requirements not adopted by the EQC; </w:t>
      </w:r>
    </w:p>
    <w:p w14:paraId="15A7048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 specific PSELs or Generic PSEL levels, whichever are applicable, under OAR 340 division 222; </w:t>
      </w:r>
    </w:p>
    <w:p w14:paraId="4365A0A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2CD04EC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(d) A permit duration not to exceed 5 years. </w:t>
      </w:r>
    </w:p>
    <w:p w14:paraId="4E6AFFA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issuance procedures. </w:t>
      </w:r>
    </w:p>
    <w:p w14:paraId="79DEC84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new or renewed Standard ACDP requires public notice under OAR 340 division 209 as follows: </w:t>
      </w:r>
    </w:p>
    <w:p w14:paraId="72B6AD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III permit action for permit actions that will increase allowed emissions but that are not Major NSR or Type </w:t>
      </w:r>
      <w:proofErr w:type="gramStart"/>
      <w:r w:rsidRPr="007F75E4">
        <w:rPr>
          <w:color w:val="000000"/>
        </w:rPr>
        <w:t>A</w:t>
      </w:r>
      <w:proofErr w:type="gramEnd"/>
      <w:r w:rsidRPr="007F75E4">
        <w:rPr>
          <w:color w:val="000000"/>
        </w:rPr>
        <w:t xml:space="preserve"> State NSR permit actions under OAR 340 division 224, or as a Category II permit action if the permit will not increase allowed emissions. </w:t>
      </w:r>
    </w:p>
    <w:p w14:paraId="651E7F9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IV permit action for permit actions that are Major NSR or Type A State NSR permit actions under OAR 340 division 224. </w:t>
      </w:r>
    </w:p>
    <w:p w14:paraId="5E10F75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Issuance of a modified Standard ACDP requires public notice under OAR 340 division 209 as follows: </w:t>
      </w:r>
    </w:p>
    <w:p w14:paraId="4BEE267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for non-technical modifications and basic and simple technical modifications according to OAR 340 division 209. </w:t>
      </w:r>
    </w:p>
    <w:p w14:paraId="0A45825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II permit action for moderate and complex technical modifications if there will be no increase in allowed emissions, or as a Category III permit action if there will be an increase in emissions; or </w:t>
      </w:r>
    </w:p>
    <w:p w14:paraId="27A6DDF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(C) Public notice as a Category IV permit action for major modifications subject to NSR under OAR 340 division 224.</w:t>
      </w:r>
    </w:p>
    <w:p w14:paraId="479D03D9"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6DA9767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4-2002, f. &amp; cert. ef. 3-14-02; DEQ 5-2011, f. 4-29-11, cert. ef. 5-1-11; DEQ 4-2013, f. &amp; cert. ef. 3-27-13; DEQ 9-2014, f. &amp; cert. ef. 6-26-14; DEQ 7-2015, f. &amp; cert. ef. 4-16-15</w:t>
      </w:r>
    </w:p>
    <w:p w14:paraId="1933B7B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340-216-0068</w:t>
      </w:r>
    </w:p>
    <w:p w14:paraId="701C79CA"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Simple and Standard ACDP Attachments</w:t>
      </w:r>
    </w:p>
    <w:p w14:paraId="0F793A1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 </w:t>
      </w:r>
    </w:p>
    <w:p w14:paraId="38B53F1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(2) ACDP Attachment issuance procedures: </w:t>
      </w:r>
    </w:p>
    <w:p w14:paraId="1C41656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An ACDP Attachment requires public notice as a Category II permit action under OAR 340 division 209, except that ACDP Attachments to Simple or Standard ACDPs require notice as Category I permit actions. </w:t>
      </w:r>
    </w:p>
    <w:p w14:paraId="13DC5F1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DEQ may issue an ACDP Attachment when there are multiple sources that are subject to the new requirements. </w:t>
      </w:r>
    </w:p>
    <w:p w14:paraId="0839999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Attachment content. Each ACDP Attachment must include the following: </w:t>
      </w:r>
    </w:p>
    <w:p w14:paraId="24C5858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Testing, monitoring, recordkeeping, and reporting requirements necessary to ensure compliance with the applicable emissions limits and standards; and </w:t>
      </w:r>
    </w:p>
    <w:p w14:paraId="48A05FD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attachment expiration date not to exceed 5 years from the date of issuance. </w:t>
      </w:r>
    </w:p>
    <w:p w14:paraId="4B888B4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Assignment to ACDP Attachment: </w:t>
      </w:r>
    </w:p>
    <w:p w14:paraId="5052E4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source is not a permittee under the ACDP Attachment until DEQ assigns the ACDP Attachment to the source. </w:t>
      </w:r>
    </w:p>
    <w:p w14:paraId="1708689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ACDP Attachment is removed from the Simple or Standards ACDP when the requirements of the ACDP Attachment are incorporated into the source’s Simple or Standard ACDP at the time of renewal or of a modification. </w:t>
      </w:r>
    </w:p>
    <w:p w14:paraId="38A1455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(c) If an EPA or DEQ action causes a source to be subject to the requirements in an ACDP Attachment, assignment to the ACDP Attachment is a DEQ initiated modification to the Simple or Standard ACDP 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14:paraId="1DED13D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 </w:t>
      </w:r>
      <w:r w:rsidRPr="007F75E4">
        <w:rPr>
          <w:color w:val="000000"/>
        </w:rPr>
        <w:br/>
        <w:t>Hist.: DEQ 4-2013, f. &amp; cert. ef. 3-27-13; DEQ 7-2015, f. &amp; cert. ef. 4-16-15</w:t>
      </w:r>
    </w:p>
    <w:p w14:paraId="2B1DCECE"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340-216-0070</w:t>
      </w:r>
    </w:p>
    <w:p w14:paraId="3193902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Permitting Multiple Sources at a Single Adjacent or Contiguous Site</w:t>
      </w:r>
    </w:p>
    <w:p w14:paraId="050ED1F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A single or contiguous site containing activities or processes that are covered by more than one General ACDP, or a source that contains processes or activities listed in more than one part of OAR 340-216-8010 may obtain a Standard ACDP, even if not otherwise required to obtain a Standard ACDP under this division.</w:t>
      </w:r>
    </w:p>
    <w:p w14:paraId="2498918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lastRenderedPageBreak/>
        <w:t>NOTE:</w:t>
      </w:r>
      <w:r w:rsidRPr="007F75E4">
        <w:rPr>
          <w:color w:val="000000"/>
        </w:rPr>
        <w:t xml:space="preserve"> This rule is included in the State of Oregon Clean Air Act Implementation Plan as adopted by the EQC under OAR 340-200-0040.</w:t>
      </w:r>
    </w:p>
    <w:p w14:paraId="0C13710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60E4385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 &amp; 468A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4-1993, f. &amp; cert. ef. 3-10-93; DEQ 12-1993, f. &amp; cert. ef. 9-24-93, Renumbered from 340-020-0160; DEQ 19-1993, f. &amp; cert. ef. 11-4-93; DEQ 14-1999, f. &amp; cert. ef. 10-14-99, Renumbered from 340-028-1730; DEQ 6-2001, f. 6-18-01, cert. ef. 7-1-01; DEQ 5-2011, f. 4-29-11, cert. ef. 5-1-11; DEQ 9-2014, f. &amp; cert. ef. 6-26-14; DEQ 7-2015, f. &amp; cert. ef. 4-16-15</w:t>
      </w:r>
    </w:p>
    <w:p w14:paraId="2E51514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340-216-0082</w:t>
      </w:r>
    </w:p>
    <w:p w14:paraId="00A88A3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Termination or Revocation of an ACDP</w:t>
      </w:r>
    </w:p>
    <w:p w14:paraId="5CCBC70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Expiration. </w:t>
      </w:r>
    </w:p>
    <w:p w14:paraId="10A06B3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source may not be operated after the expiration date of a permit, unless any of the following occur prior to the expiration date of the permit: </w:t>
      </w:r>
    </w:p>
    <w:p w14:paraId="753CBC1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timely and complete application for renewal has been submitted; or </w:t>
      </w:r>
    </w:p>
    <w:p w14:paraId="3609C72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Another type of permit, ACDP or Oregon Title V Operating Permit, has been issued authorizing operation of the source. </w:t>
      </w:r>
    </w:p>
    <w:p w14:paraId="30291D1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If a timely and complete renewal application has been submitted, the existing permit will remain in effect until final action has been taken on the renewal application to issue or deny a permit. </w:t>
      </w:r>
    </w:p>
    <w:p w14:paraId="344F09D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 </w:t>
      </w:r>
    </w:p>
    <w:p w14:paraId="5738BC2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Automatic Termination. A permit is automatically terminated upon: </w:t>
      </w:r>
    </w:p>
    <w:p w14:paraId="36969EC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renewal or new ACDP for the same activity or operation; </w:t>
      </w:r>
    </w:p>
    <w:p w14:paraId="4B55E8C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Written request of the permittee, if DEQ determines that a permit is no longer required; </w:t>
      </w:r>
    </w:p>
    <w:p w14:paraId="39CFBB6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Failure to submit a timely application for permit renewal. Termination is effective on the permit expiration date; or </w:t>
      </w:r>
    </w:p>
    <w:p w14:paraId="71558FE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(d) Failure to pay annual fees within 90 days of invoice by DEQ, unless prior arrangements for payment have been approved in writing by DEQ. </w:t>
      </w:r>
    </w:p>
    <w:p w14:paraId="7A7F365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(3) Reinstatement of Terminated Permit: A permit automatically terminated under any of subsections (2</w:t>
      </w:r>
      <w:proofErr w:type="gramStart"/>
      <w:r w:rsidRPr="007F75E4">
        <w:rPr>
          <w:color w:val="000000"/>
        </w:rPr>
        <w:t>)(</w:t>
      </w:r>
      <w:proofErr w:type="gramEnd"/>
      <w:r w:rsidRPr="007F75E4">
        <w:rPr>
          <w:color w:val="000000"/>
        </w:rPr>
        <w:t xml:space="preserve">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 </w:t>
      </w:r>
    </w:p>
    <w:p w14:paraId="7D5466C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Revocation: </w:t>
      </w:r>
    </w:p>
    <w:p w14:paraId="29F7723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 </w:t>
      </w:r>
    </w:p>
    <w:p w14:paraId="14E4F84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p>
    <w:p w14:paraId="2F14946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183.468 &amp; 468A </w:t>
      </w:r>
      <w:r w:rsidRPr="007F75E4">
        <w:rPr>
          <w:color w:val="000000"/>
        </w:rPr>
        <w:br/>
        <w:t>Hist.: DEQ 42, f. 4-5-72, ef. 4-15-72; DEQ 125, f. &amp; ef. 12-16-76; DEQ 21-1990, f. &amp; cert. ef. 7-6-90; DEQ 4-1993, f. &amp; cert. ef. 3-10-93; DEQ 6-2001, f. 6-18-01, cert. ef. 7-1-01, Renumbered from 340-014-0015 &amp; 340-014-0045; DEQ 8-2007, f. &amp; cert. ef. 11-8-07; DEQ 7-2015, f. &amp; cert. ef. 4-16-15</w:t>
      </w:r>
    </w:p>
    <w:p w14:paraId="438E158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340-216-0084</w:t>
      </w:r>
    </w:p>
    <w:p w14:paraId="3CDBA06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Department Initiated Modification</w:t>
      </w:r>
    </w:p>
    <w:p w14:paraId="50A62FA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340 division 011. If a hearing is requested, the existing permit will remain in effect until after a final order is issued following the hearing.</w:t>
      </w:r>
    </w:p>
    <w:p w14:paraId="127F843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183 &amp; 468A </w:t>
      </w:r>
      <w:r w:rsidRPr="007F75E4">
        <w:rPr>
          <w:color w:val="000000"/>
        </w:rPr>
        <w:br/>
        <w:t>Hist.: DEQ 42, f. 4-5-72, ef. 4-15-72; DEQ 4-1993, f. &amp; cert. ef. 3-10-93; DEQ 6-2001, f. 6-18-01, cert. ef. 7-1-01, Renumbered from 340-014-0040; DEQ 7-2015, f. &amp; cert. ef. 4-16-15</w:t>
      </w:r>
    </w:p>
    <w:p w14:paraId="40FF3A2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340-216-0090</w:t>
      </w:r>
    </w:p>
    <w:p w14:paraId="1A6772D1"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Sources Subject to ACDPs and Fees</w:t>
      </w:r>
    </w:p>
    <w:p w14:paraId="0DAC84A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All air contaminant discharge sources listed in OAR 340-216-8010 must obtain a permit from DEQ and are subject to fees in OAR 340-216-8020.</w:t>
      </w:r>
    </w:p>
    <w:p w14:paraId="2E6AEF5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576D88B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468A.040, 468A.310 &amp; 468A.315 </w:t>
      </w:r>
      <w:r w:rsidRPr="007F75E4">
        <w:rPr>
          <w:color w:val="000000"/>
        </w:rPr>
        <w:br/>
        <w:t xml:space="preserve">Stats. Implemented: ORS 468.065, 468A.040, 468A.310 &amp; 468A.315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 DEQ 9-2014, f. &amp; cert. ef. 6-26-14; DEQ 7-2015, f. &amp; cert. ef. 4-16-15</w:t>
      </w:r>
    </w:p>
    <w:p w14:paraId="2021DA3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340-216-0094</w:t>
      </w:r>
    </w:p>
    <w:p w14:paraId="4DBC9F9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Temporary Closure</w:t>
      </w:r>
    </w:p>
    <w:p w14:paraId="5842F4C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lastRenderedPageBreak/>
        <w:t xml:space="preserve">(1) A permittees that temporarily suspends activities for which an ACDP is required may apply for a fee reduction due to temporary closure. However, the anticipated period of closure must exceed six months and must not be due to regular maintenance or seasonal limitations. </w:t>
      </w:r>
    </w:p>
    <w:p w14:paraId="1BB5C52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DEQ will prorate annual fees for temporary closure based on the length of the closure in a calendar year, but will not be less than one half of the regular annual fee for the source. </w:t>
      </w:r>
    </w:p>
    <w:p w14:paraId="2759F00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earliest anticipated startup date.</w:t>
      </w:r>
    </w:p>
    <w:p w14:paraId="4059AAC9"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This rule is included in the State of Oregon Clean Air Act Implementation Plan that EQC adopted under OAR 340-200-0040.</w:t>
      </w:r>
    </w:p>
    <w:p w14:paraId="4AF9B8F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468A.040, 468A.310 &amp; 468A.315 </w:t>
      </w:r>
      <w:r w:rsidRPr="007F75E4">
        <w:rPr>
          <w:color w:val="000000"/>
        </w:rPr>
        <w:br/>
        <w:t xml:space="preserve">Stats. Implemented: ORS 468 &amp; 468A </w:t>
      </w:r>
      <w:r w:rsidRPr="007F75E4">
        <w:rPr>
          <w:color w:val="000000"/>
        </w:rPr>
        <w:br/>
        <w:t>Hist.: DEQ 6-2001, f. 6-18-01, cert. ef. 7-1-01; DEQ 7-2015, f. &amp; cert. ef. 4-16-15</w:t>
      </w:r>
    </w:p>
    <w:p w14:paraId="693A7ED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340-216-8010</w:t>
      </w:r>
    </w:p>
    <w:p w14:paraId="04205858"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Table 1 — Activities and Sources</w:t>
      </w:r>
    </w:p>
    <w:p w14:paraId="67E9ECD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 </w:t>
      </w:r>
    </w:p>
    <w:p w14:paraId="142F5816"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See history of these tables under OAR 340-216-0020.</w:t>
      </w:r>
    </w:p>
    <w:p w14:paraId="7752FA0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not included in rule text. </w:t>
      </w:r>
      <w:hyperlink r:id="rId13" w:history="1">
        <w:r w:rsidRPr="007F75E4">
          <w:rPr>
            <w:color w:val="306E9D"/>
          </w:rPr>
          <w:t>Click here for PDF copy of table(s)</w:t>
        </w:r>
      </w:hyperlink>
      <w:r w:rsidRPr="007F75E4">
        <w:rPr>
          <w:color w:val="000000"/>
        </w:rPr>
        <w:t>.]</w:t>
      </w:r>
    </w:p>
    <w:p w14:paraId="454E43D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468A.310 </w:t>
      </w:r>
      <w:r w:rsidRPr="007F75E4">
        <w:rPr>
          <w:color w:val="000000"/>
        </w:rPr>
        <w:br/>
        <w:t xml:space="preserve">Stats. Implemented: ORS 468A </w:t>
      </w:r>
      <w:r w:rsidRPr="007F75E4">
        <w:rPr>
          <w:color w:val="000000"/>
        </w:rPr>
        <w:br/>
        <w:t>Hist.: DEQ 9-2014, f. &amp; cert. ef. 6-26-14; DEQ 12-2014(Temp), f. &amp; cert. ef. 11-12-14 thru 5-10-15; DEQ 7-2015, f. &amp; cert. ef. 4-16-15</w:t>
      </w:r>
    </w:p>
    <w:p w14:paraId="668E826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340-216-8020</w:t>
      </w:r>
    </w:p>
    <w:p w14:paraId="042C77D8"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Table 2 — Air Contaminant Discharge Permits</w:t>
      </w:r>
      <w:r w:rsidRPr="007F75E4">
        <w:rPr>
          <w:color w:val="000000"/>
        </w:rPr>
        <w:t xml:space="preserve"> </w:t>
      </w:r>
    </w:p>
    <w:p w14:paraId="38FE3A3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Sources referred to in Table 1 of OAR 340-216-8010 are subject to air contaminant discharge permit fees in Table 2. </w:t>
      </w:r>
    </w:p>
    <w:p w14:paraId="0C0C11E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 </w:t>
      </w:r>
    </w:p>
    <w:p w14:paraId="4618383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lastRenderedPageBreak/>
        <w:t>NOTE</w:t>
      </w:r>
      <w:r w:rsidRPr="007F75E4">
        <w:rPr>
          <w:color w:val="000000"/>
        </w:rPr>
        <w:t>: See history of this table under OAR 340-216-0020.</w:t>
      </w:r>
    </w:p>
    <w:p w14:paraId="2A3179A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[ED. NOTE: Tables referenced are not included in rule text.</w:t>
      </w:r>
      <w:hyperlink r:id="rId14" w:history="1">
        <w:r w:rsidRPr="007F75E4">
          <w:rPr>
            <w:color w:val="306E9D"/>
          </w:rPr>
          <w:t xml:space="preserve"> </w:t>
        </w:r>
        <w:r w:rsidRPr="007F75E4">
          <w:rPr>
            <w:color w:val="306E9D"/>
            <w:u w:val="single"/>
          </w:rPr>
          <w:t>Click here for PDF copy of table(s)</w:t>
        </w:r>
      </w:hyperlink>
      <w:r w:rsidRPr="007F75E4">
        <w:rPr>
          <w:color w:val="000000"/>
        </w:rPr>
        <w:t>.]</w:t>
      </w:r>
    </w:p>
    <w:p w14:paraId="47142C0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468A.310 </w:t>
      </w:r>
      <w:r w:rsidRPr="007F75E4">
        <w:rPr>
          <w:color w:val="000000"/>
        </w:rPr>
        <w:br/>
        <w:t xml:space="preserve">Stats. Implemented: ORS 468A </w:t>
      </w:r>
      <w:r w:rsidRPr="007F75E4">
        <w:rPr>
          <w:color w:val="000000"/>
        </w:rPr>
        <w:br/>
        <w:t xml:space="preserve">Hist.: DEQ 9-2014, f. &amp; cert. ef. 6-26-14; DEQ 7-2015, f. &amp; cert. ef. 4-16-15 </w:t>
      </w:r>
    </w:p>
    <w:p w14:paraId="6779D144" w14:textId="77777777" w:rsidR="00164F3F" w:rsidRPr="00164F3F" w:rsidRDefault="00164F3F" w:rsidP="00164F3F">
      <w:pPr>
        <w:pStyle w:val="NormalWeb"/>
        <w:jc w:val="center"/>
        <w:rPr>
          <w:color w:val="000000"/>
        </w:rPr>
      </w:pPr>
      <w:r w:rsidRPr="00164F3F">
        <w:rPr>
          <w:rStyle w:val="Strong"/>
          <w:color w:val="000000"/>
        </w:rPr>
        <w:t>DIVISION 226</w:t>
      </w:r>
    </w:p>
    <w:p w14:paraId="475E0C72" w14:textId="77777777" w:rsidR="00164F3F" w:rsidRPr="00164F3F" w:rsidRDefault="00164F3F" w:rsidP="00164F3F">
      <w:pPr>
        <w:pStyle w:val="NormalWeb"/>
        <w:jc w:val="center"/>
        <w:rPr>
          <w:color w:val="000000"/>
        </w:rPr>
      </w:pPr>
      <w:r w:rsidRPr="00164F3F">
        <w:rPr>
          <w:rStyle w:val="Strong"/>
          <w:color w:val="000000"/>
        </w:rPr>
        <w:t xml:space="preserve">GENERAL EMISSION STANDARDS </w:t>
      </w:r>
    </w:p>
    <w:p w14:paraId="7E105D15"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These rules are included in the State of Oregon Clean Air Act Implementation Plan as adopted by the EQC under OAR 340-200-0040.</w:t>
      </w:r>
    </w:p>
    <w:p w14:paraId="54CFEF81" w14:textId="77777777" w:rsidR="00164F3F" w:rsidRPr="00164F3F" w:rsidRDefault="00164F3F" w:rsidP="00164F3F">
      <w:pPr>
        <w:pStyle w:val="NormalWeb"/>
        <w:rPr>
          <w:color w:val="000000"/>
        </w:rPr>
      </w:pPr>
      <w:r w:rsidRPr="00164F3F">
        <w:rPr>
          <w:rStyle w:val="tofcheader"/>
          <w:b/>
          <w:bCs/>
          <w:color w:val="000000"/>
        </w:rPr>
        <w:t>340-226-0005</w:t>
      </w:r>
    </w:p>
    <w:p w14:paraId="482411E3" w14:textId="77777777" w:rsidR="00164F3F" w:rsidRPr="00164F3F" w:rsidRDefault="00164F3F" w:rsidP="00164F3F">
      <w:pPr>
        <w:pStyle w:val="NormalWeb"/>
        <w:rPr>
          <w:color w:val="000000"/>
        </w:rPr>
      </w:pPr>
      <w:r w:rsidRPr="00164F3F">
        <w:rPr>
          <w:rStyle w:val="rulenumber"/>
          <w:b/>
          <w:bCs/>
          <w:color w:val="000000"/>
        </w:rPr>
        <w:t>Applicability and Jurisdiction</w:t>
      </w:r>
    </w:p>
    <w:p w14:paraId="2ACF0C21" w14:textId="77777777" w:rsidR="00164F3F" w:rsidRPr="00164F3F" w:rsidRDefault="00164F3F" w:rsidP="00164F3F">
      <w:pPr>
        <w:pStyle w:val="NormalWeb"/>
        <w:rPr>
          <w:color w:val="000000"/>
        </w:rPr>
      </w:pPr>
      <w:r w:rsidRPr="00164F3F">
        <w:rPr>
          <w:rStyle w:val="ruletitle"/>
          <w:color w:val="000000"/>
        </w:rPr>
        <w:t xml:space="preserve">(1) This division applies in all areas of the state. </w:t>
      </w:r>
    </w:p>
    <w:p w14:paraId="64111F95" w14:textId="77777777" w:rsidR="00164F3F" w:rsidRPr="00164F3F" w:rsidRDefault="00164F3F" w:rsidP="00164F3F">
      <w:pPr>
        <w:pStyle w:val="NormalWeb"/>
        <w:rPr>
          <w:color w:val="000000"/>
        </w:rPr>
      </w:pPr>
      <w:r w:rsidRPr="00164F3F">
        <w:rPr>
          <w:rStyle w:val="ruletitle"/>
          <w:color w:val="000000"/>
        </w:rPr>
        <w:t xml:space="preserve">(2) Subject to the requirements in this division and OAR 340-200-0010(3), LRAPA is designated by the EQC to implement the rules in this division within its area of jurisdiction. </w:t>
      </w:r>
    </w:p>
    <w:p w14:paraId="7FF58FE9"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14:paraId="0A9ED65C" w14:textId="77777777" w:rsidR="00164F3F" w:rsidRPr="00164F3F" w:rsidRDefault="00164F3F" w:rsidP="00164F3F">
      <w:pPr>
        <w:pStyle w:val="NormalWeb"/>
        <w:rPr>
          <w:color w:val="000000"/>
        </w:rPr>
      </w:pPr>
      <w:r w:rsidRPr="00164F3F">
        <w:rPr>
          <w:rStyle w:val="notesetup"/>
          <w:color w:val="000000"/>
        </w:rPr>
        <w:t xml:space="preserve">Stat. Auth.: ORS 468A </w:t>
      </w:r>
      <w:r w:rsidRPr="00164F3F">
        <w:rPr>
          <w:color w:val="000000"/>
        </w:rPr>
        <w:br/>
      </w:r>
      <w:r w:rsidRPr="00164F3F">
        <w:rPr>
          <w:rStyle w:val="notesetup"/>
          <w:color w:val="000000"/>
        </w:rPr>
        <w:t xml:space="preserve">Stats. Implemented: ORS 468 &amp; 468A </w:t>
      </w:r>
      <w:r w:rsidRPr="00164F3F">
        <w:rPr>
          <w:color w:val="000000"/>
        </w:rPr>
        <w:br/>
      </w:r>
      <w:r w:rsidRPr="00164F3F">
        <w:rPr>
          <w:rStyle w:val="notesetup"/>
          <w:color w:val="000000"/>
        </w:rPr>
        <w:t>Hist.: DEQ 7-2015, f. &amp; cert. ef. 4-16-15</w:t>
      </w:r>
    </w:p>
    <w:p w14:paraId="0A922C84" w14:textId="77777777" w:rsidR="00164F3F" w:rsidRPr="00164F3F" w:rsidRDefault="00164F3F" w:rsidP="00164F3F">
      <w:pPr>
        <w:pStyle w:val="NormalWeb"/>
        <w:rPr>
          <w:color w:val="000000"/>
        </w:rPr>
      </w:pPr>
      <w:r w:rsidRPr="00164F3F">
        <w:rPr>
          <w:rStyle w:val="tofcheader"/>
          <w:b/>
          <w:bCs/>
          <w:color w:val="000000"/>
        </w:rPr>
        <w:t>340-226-0010</w:t>
      </w:r>
    </w:p>
    <w:p w14:paraId="24C2740F" w14:textId="77777777" w:rsidR="00164F3F" w:rsidRPr="00164F3F" w:rsidRDefault="00164F3F" w:rsidP="00164F3F">
      <w:pPr>
        <w:pStyle w:val="NormalWeb"/>
        <w:rPr>
          <w:color w:val="000000"/>
        </w:rPr>
      </w:pPr>
      <w:r w:rsidRPr="00164F3F">
        <w:rPr>
          <w:rStyle w:val="rulenumber"/>
          <w:b/>
          <w:bCs/>
          <w:color w:val="000000"/>
        </w:rPr>
        <w:t>Definitions</w:t>
      </w:r>
    </w:p>
    <w:p w14:paraId="52EB2E74" w14:textId="77777777" w:rsidR="00164F3F" w:rsidRPr="00164F3F" w:rsidRDefault="00164F3F" w:rsidP="00164F3F">
      <w:pPr>
        <w:pStyle w:val="NormalWeb"/>
        <w:rPr>
          <w:color w:val="000000"/>
        </w:rPr>
      </w:pPr>
      <w:r w:rsidRPr="00164F3F">
        <w:rPr>
          <w:rStyle w:val="ruletitle"/>
          <w:color w:val="000000"/>
        </w:rPr>
        <w:t xml:space="preserve">The definitions in OAR 340-200-0020, 340-204-0010 and this rule apply to this division. If the same term is defined in this rule and 340-200-0020 or 340-204-0010, the definition in this rule applies to this division. </w:t>
      </w:r>
    </w:p>
    <w:p w14:paraId="2361EB2A" w14:textId="77777777" w:rsidR="00164F3F" w:rsidRPr="00164F3F" w:rsidRDefault="00164F3F" w:rsidP="00164F3F">
      <w:pPr>
        <w:pStyle w:val="NormalWeb"/>
        <w:rPr>
          <w:color w:val="000000"/>
        </w:rPr>
      </w:pPr>
      <w:r w:rsidRPr="00164F3F">
        <w:rPr>
          <w:rStyle w:val="ruletitle"/>
          <w:color w:val="000000"/>
        </w:rPr>
        <w:t xml:space="preserve">(1) "Refuse" means unwanted matter. </w:t>
      </w:r>
    </w:p>
    <w:p w14:paraId="7E87679F" w14:textId="77777777" w:rsidR="00164F3F" w:rsidRPr="00164F3F" w:rsidRDefault="00164F3F" w:rsidP="00164F3F">
      <w:pPr>
        <w:pStyle w:val="NormalWeb"/>
        <w:rPr>
          <w:color w:val="000000"/>
        </w:rPr>
      </w:pPr>
      <w:r w:rsidRPr="00164F3F">
        <w:rPr>
          <w:rStyle w:val="ruletitle"/>
          <w:color w:val="000000"/>
        </w:rPr>
        <w:t xml:space="preserve">(2) "Refuse burning equipment" means a device designed to reduce the volume of solid, liquid, or gaseous refuse by combustion. </w:t>
      </w:r>
    </w:p>
    <w:p w14:paraId="2B9F35E6" w14:textId="77777777" w:rsidR="00164F3F" w:rsidRPr="00164F3F" w:rsidRDefault="00164F3F" w:rsidP="00164F3F">
      <w:pPr>
        <w:pStyle w:val="NormalWeb"/>
        <w:rPr>
          <w:color w:val="000000"/>
        </w:rPr>
      </w:pPr>
      <w:r w:rsidRPr="00164F3F">
        <w:rPr>
          <w:rStyle w:val="body"/>
          <w:b/>
          <w:bCs/>
          <w:color w:val="000000"/>
        </w:rPr>
        <w:lastRenderedPageBreak/>
        <w:t>NOTE:</w:t>
      </w:r>
      <w:r w:rsidRPr="00164F3F">
        <w:rPr>
          <w:rStyle w:val="body"/>
          <w:color w:val="000000"/>
        </w:rPr>
        <w:t xml:space="preserve"> This rule is included in the State of Oregon Clean Air Act Implementation Plan that EQC adopted under OAR 340-200-0040.</w:t>
      </w:r>
    </w:p>
    <w:p w14:paraId="15E38B34" w14:textId="77777777" w:rsidR="00164F3F" w:rsidRPr="00164F3F" w:rsidRDefault="00164F3F" w:rsidP="00164F3F">
      <w:pPr>
        <w:pStyle w:val="NormalWeb"/>
        <w:rPr>
          <w:color w:val="000000"/>
        </w:rPr>
      </w:pPr>
      <w:r w:rsidRPr="00164F3F">
        <w:rPr>
          <w:rStyle w:val="notesetup"/>
          <w:color w:val="000000"/>
        </w:rPr>
        <w:t xml:space="preserve">[Publications: Publications referenced are available from the agency.] </w:t>
      </w:r>
    </w:p>
    <w:p w14:paraId="55600AC7" w14:textId="77777777"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16, f. 6-12-70, ef. 7-11-70; DEQ 1-1984, f. &amp; ef. 1-16-84; DEQ 4-1993, f. &amp; cert. ef. 3-10-93; DEQ 3-1996, f. &amp; cert. ef. 1-29-96; DEQ 14-1999, f. &amp; cert. ef. 10-14-99, Renumbered from 340-021-0005; DEQ 6-2001, f. 6-18-01, cert. ef. 7-1-01; DEQ 7-2015, f. &amp; cert. ef. 4-16-15</w:t>
      </w:r>
    </w:p>
    <w:p w14:paraId="608A59AB" w14:textId="77777777" w:rsidR="00164F3F" w:rsidRPr="00164F3F" w:rsidRDefault="00164F3F" w:rsidP="00164F3F">
      <w:pPr>
        <w:pStyle w:val="NormalWeb"/>
        <w:jc w:val="center"/>
        <w:rPr>
          <w:color w:val="000000"/>
        </w:rPr>
      </w:pPr>
      <w:r w:rsidRPr="00164F3F">
        <w:rPr>
          <w:rStyle w:val="tofcsubtitle"/>
          <w:b/>
          <w:bCs/>
          <w:color w:val="000000"/>
        </w:rPr>
        <w:t>Highest and Best Practicable Treatment and Control</w:t>
      </w:r>
    </w:p>
    <w:p w14:paraId="369EEC1C" w14:textId="77777777" w:rsidR="00164F3F" w:rsidRPr="00164F3F" w:rsidRDefault="00164F3F" w:rsidP="00164F3F">
      <w:pPr>
        <w:pStyle w:val="NormalWeb"/>
        <w:rPr>
          <w:color w:val="000000"/>
        </w:rPr>
      </w:pPr>
      <w:r w:rsidRPr="00164F3F">
        <w:rPr>
          <w:rStyle w:val="tofcheader"/>
          <w:b/>
          <w:bCs/>
          <w:color w:val="000000"/>
        </w:rPr>
        <w:t>340-226-0100</w:t>
      </w:r>
    </w:p>
    <w:p w14:paraId="09D4B2BC" w14:textId="77777777" w:rsidR="00164F3F" w:rsidRPr="00164F3F" w:rsidRDefault="00164F3F" w:rsidP="00164F3F">
      <w:pPr>
        <w:pStyle w:val="NormalWeb"/>
        <w:rPr>
          <w:color w:val="000000"/>
        </w:rPr>
      </w:pPr>
      <w:r w:rsidRPr="00164F3F">
        <w:rPr>
          <w:rStyle w:val="rulenumber"/>
          <w:b/>
          <w:bCs/>
          <w:color w:val="000000"/>
        </w:rPr>
        <w:t>Policy and Application</w:t>
      </w:r>
    </w:p>
    <w:p w14:paraId="3FD9917E" w14:textId="77777777" w:rsidR="00164F3F" w:rsidRPr="00164F3F" w:rsidRDefault="00164F3F" w:rsidP="00164F3F">
      <w:pPr>
        <w:pStyle w:val="NormalWeb"/>
        <w:rPr>
          <w:color w:val="000000"/>
        </w:rPr>
      </w:pPr>
      <w:r w:rsidRPr="00164F3F">
        <w:rPr>
          <w:rStyle w:val="ruletitle"/>
          <w:color w:val="000000"/>
        </w:rPr>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 the greatest extent possible. </w:t>
      </w:r>
    </w:p>
    <w:p w14:paraId="18AF5549" w14:textId="77777777" w:rsidR="00164F3F" w:rsidRPr="00164F3F" w:rsidRDefault="00164F3F" w:rsidP="00164F3F">
      <w:pPr>
        <w:pStyle w:val="NormalWeb"/>
        <w:rPr>
          <w:color w:val="000000"/>
        </w:rPr>
      </w:pPr>
      <w:r w:rsidRPr="00164F3F">
        <w:rPr>
          <w:rStyle w:val="ruletitle"/>
          <w:color w:val="000000"/>
        </w:rPr>
        <w:t xml:space="preserve">(2) A source is in compliance with section (1) if the source is in compliance with all other applicable emission standards and requirements contained in OAR 340 divisions 200 through 268. </w:t>
      </w:r>
    </w:p>
    <w:p w14:paraId="19678213" w14:textId="77777777" w:rsidR="00164F3F" w:rsidRPr="00164F3F" w:rsidRDefault="00164F3F" w:rsidP="00164F3F">
      <w:pPr>
        <w:pStyle w:val="NormalWeb"/>
        <w:rPr>
          <w:color w:val="000000"/>
        </w:rPr>
      </w:pPr>
      <w:r w:rsidRPr="00164F3F">
        <w:rPr>
          <w:rStyle w:val="ruletitle"/>
          <w:color w:val="000000"/>
        </w:rPr>
        <w:t xml:space="preserve">(3) The EQC may adopt additional rules as necessary to ensure that the highest and best practicable treatment and control is provided as specified in section (1). Such rules may include, but are not limited to, requirements: </w:t>
      </w:r>
    </w:p>
    <w:p w14:paraId="32F5E15A" w14:textId="77777777" w:rsidR="00164F3F" w:rsidRPr="00164F3F" w:rsidRDefault="00164F3F" w:rsidP="00164F3F">
      <w:pPr>
        <w:pStyle w:val="NormalWeb"/>
        <w:rPr>
          <w:color w:val="000000"/>
        </w:rPr>
      </w:pPr>
      <w:r w:rsidRPr="00164F3F">
        <w:rPr>
          <w:rStyle w:val="ruletitle"/>
          <w:color w:val="000000"/>
        </w:rPr>
        <w:t>(</w:t>
      </w:r>
      <w:proofErr w:type="gramStart"/>
      <w:r w:rsidRPr="00164F3F">
        <w:rPr>
          <w:rStyle w:val="ruletitle"/>
          <w:color w:val="000000"/>
        </w:rPr>
        <w:t>a</w:t>
      </w:r>
      <w:proofErr w:type="gramEnd"/>
      <w:r w:rsidRPr="00164F3F">
        <w:rPr>
          <w:rStyle w:val="ruletitle"/>
          <w:color w:val="000000"/>
        </w:rPr>
        <w:t xml:space="preserve">) Applicable to a source category, regulated pollutant or geographic area of the state; </w:t>
      </w:r>
    </w:p>
    <w:p w14:paraId="1DD31A5B" w14:textId="77777777" w:rsidR="00164F3F" w:rsidRPr="00164F3F" w:rsidRDefault="00164F3F" w:rsidP="00164F3F">
      <w:pPr>
        <w:pStyle w:val="NormalWeb"/>
        <w:rPr>
          <w:color w:val="000000"/>
        </w:rPr>
      </w:pPr>
      <w:r w:rsidRPr="00164F3F">
        <w:rPr>
          <w:rStyle w:val="ruletitle"/>
          <w:color w:val="000000"/>
        </w:rPr>
        <w:t xml:space="preserve">(b) Necessary to protect public health and welfare for air contaminants that are not otherwise regulated by the EQC; or </w:t>
      </w:r>
    </w:p>
    <w:p w14:paraId="46A6D4AC" w14:textId="77777777" w:rsidR="00164F3F" w:rsidRPr="00164F3F" w:rsidRDefault="00164F3F" w:rsidP="00164F3F">
      <w:pPr>
        <w:pStyle w:val="NormalWeb"/>
        <w:rPr>
          <w:color w:val="000000"/>
        </w:rPr>
      </w:pPr>
      <w:r w:rsidRPr="00164F3F">
        <w:rPr>
          <w:rStyle w:val="ruletitle"/>
          <w:color w:val="000000"/>
        </w:rPr>
        <w:t xml:space="preserve">(c) Necessary to address the cumulative impact of sources on air quality. </w:t>
      </w:r>
    </w:p>
    <w:p w14:paraId="0939AC7F" w14:textId="77777777" w:rsidR="00164F3F" w:rsidRPr="00164F3F" w:rsidRDefault="00164F3F" w:rsidP="00164F3F">
      <w:pPr>
        <w:pStyle w:val="NormalWeb"/>
        <w:rPr>
          <w:color w:val="000000"/>
        </w:rPr>
      </w:pPr>
      <w:r w:rsidRPr="00164F3F">
        <w:rPr>
          <w:rStyle w:val="ruletitle"/>
          <w:color w:val="000000"/>
        </w:rPr>
        <w:t xml:space="preserve">(4) The EQC encourages the owner or operator of a source to further reduce emissions from the source beyond applicable control requirements where feasible. </w:t>
      </w:r>
    </w:p>
    <w:p w14:paraId="049B27BB" w14:textId="77777777" w:rsidR="00164F3F" w:rsidRPr="00164F3F" w:rsidRDefault="00164F3F" w:rsidP="00164F3F">
      <w:pPr>
        <w:pStyle w:val="NormalWeb"/>
        <w:rPr>
          <w:color w:val="000000"/>
        </w:rPr>
      </w:pPr>
      <w:r w:rsidRPr="00164F3F">
        <w:rPr>
          <w:rStyle w:val="ruletitle"/>
          <w:color w:val="000000"/>
        </w:rPr>
        <w:lastRenderedPageBreak/>
        <w:t>(5) Nothing in OAR 340-226-0100 through 340-226-0140 revokes or modifies any existing permit term or condition unless or until DEQ revokes or modifies the term or condition by a permit revision.</w:t>
      </w:r>
    </w:p>
    <w:p w14:paraId="4F4FEF20"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48956F53" w14:textId="77777777"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37, f. 2-15-72, ef. 3-1-72; DEQ 4-1993, f. &amp; cert. ef. 3-10-93; DEQ 12-1993, f. &amp; cert. ef. 9-24-93, Renumbered from 340-020-0001; DEQ 19-1993, f. 11-4-93 &amp; cert. ef. 1-1-94; DEQ 14-1999, f. &amp; cert. ef. 10-14-99, Renumbered from 340-028-0600; DEQ 6-2001, f. 6-18-01, cert. ef. 7-1-01; DEQ 7-2015, f. &amp; cert. ef. 4-16-15</w:t>
      </w:r>
    </w:p>
    <w:p w14:paraId="27DC8EAF" w14:textId="77777777" w:rsidR="00164F3F" w:rsidRPr="00164F3F" w:rsidRDefault="00164F3F" w:rsidP="00164F3F">
      <w:pPr>
        <w:pStyle w:val="NormalWeb"/>
        <w:rPr>
          <w:color w:val="000000"/>
        </w:rPr>
      </w:pPr>
      <w:r w:rsidRPr="00164F3F">
        <w:rPr>
          <w:rStyle w:val="tofcheader"/>
          <w:b/>
          <w:bCs/>
          <w:color w:val="000000"/>
        </w:rPr>
        <w:t>340-226-0110</w:t>
      </w:r>
    </w:p>
    <w:p w14:paraId="535A86A5" w14:textId="77777777" w:rsidR="00164F3F" w:rsidRPr="00164F3F" w:rsidRDefault="00164F3F" w:rsidP="00164F3F">
      <w:pPr>
        <w:pStyle w:val="NormalWeb"/>
        <w:rPr>
          <w:color w:val="000000"/>
        </w:rPr>
      </w:pPr>
      <w:r w:rsidRPr="00164F3F">
        <w:rPr>
          <w:rStyle w:val="rulenumber"/>
          <w:b/>
          <w:bCs/>
          <w:color w:val="000000"/>
        </w:rPr>
        <w:t>Pollution Prevention</w:t>
      </w:r>
    </w:p>
    <w:p w14:paraId="52EC5530" w14:textId="77777777" w:rsidR="00164F3F" w:rsidRPr="00164F3F" w:rsidRDefault="00164F3F" w:rsidP="00164F3F">
      <w:pPr>
        <w:pStyle w:val="NormalWeb"/>
        <w:rPr>
          <w:color w:val="000000"/>
        </w:rPr>
      </w:pPr>
      <w:r w:rsidRPr="00164F3F">
        <w:rPr>
          <w:rStyle w:val="ruletitle"/>
          <w:color w:val="000000"/>
        </w:rPr>
        <w:t xml:space="preserve">The owner or operator of a source is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14:paraId="4F8CE5D5" w14:textId="77777777" w:rsidR="00164F3F" w:rsidRPr="00164F3F" w:rsidRDefault="00164F3F" w:rsidP="00164F3F">
      <w:pPr>
        <w:pStyle w:val="NormalWeb"/>
        <w:rPr>
          <w:color w:val="000000"/>
        </w:rPr>
      </w:pPr>
      <w:r w:rsidRPr="00164F3F">
        <w:rPr>
          <w:rStyle w:val="ruletitle"/>
          <w:color w:val="000000"/>
        </w:rPr>
        <w:t xml:space="preserve">(1) Modify the process, raw materials or product to reduce the toxicity and quantity of air contaminants generated; </w:t>
      </w:r>
    </w:p>
    <w:p w14:paraId="6B59FC96" w14:textId="77777777" w:rsidR="00164F3F" w:rsidRPr="00164F3F" w:rsidRDefault="00164F3F" w:rsidP="00164F3F">
      <w:pPr>
        <w:pStyle w:val="NormalWeb"/>
        <w:rPr>
          <w:color w:val="000000"/>
        </w:rPr>
      </w:pPr>
      <w:r w:rsidRPr="00164F3F">
        <w:rPr>
          <w:rStyle w:val="ruletitle"/>
          <w:color w:val="000000"/>
        </w:rPr>
        <w:t xml:space="preserve">(2) Capture and reuse air contaminants; </w:t>
      </w:r>
    </w:p>
    <w:p w14:paraId="763BE905" w14:textId="77777777" w:rsidR="00164F3F" w:rsidRPr="00164F3F" w:rsidRDefault="00164F3F" w:rsidP="00164F3F">
      <w:pPr>
        <w:pStyle w:val="NormalWeb"/>
        <w:rPr>
          <w:color w:val="000000"/>
        </w:rPr>
      </w:pPr>
      <w:r w:rsidRPr="00164F3F">
        <w:rPr>
          <w:rStyle w:val="ruletitle"/>
          <w:color w:val="000000"/>
        </w:rPr>
        <w:t xml:space="preserve">(3) Treat to reduce the toxicity and quantity of air contaminants released; or </w:t>
      </w:r>
    </w:p>
    <w:p w14:paraId="73675F9F" w14:textId="77777777" w:rsidR="00164F3F" w:rsidRPr="00164F3F" w:rsidRDefault="00164F3F" w:rsidP="00164F3F">
      <w:pPr>
        <w:pStyle w:val="NormalWeb"/>
        <w:rPr>
          <w:color w:val="000000"/>
        </w:rPr>
      </w:pPr>
      <w:r w:rsidRPr="00164F3F">
        <w:rPr>
          <w:rStyle w:val="ruletitle"/>
          <w:color w:val="000000"/>
        </w:rPr>
        <w:t xml:space="preserve">(4) Otherwise control emissions. </w:t>
      </w:r>
    </w:p>
    <w:p w14:paraId="5FCC4BDF"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3B87A69E" w14:textId="77777777" w:rsidR="00164F3F" w:rsidRPr="00164F3F" w:rsidRDefault="00164F3F" w:rsidP="00164F3F">
      <w:pPr>
        <w:pStyle w:val="NormalWeb"/>
        <w:rPr>
          <w:color w:val="000000"/>
        </w:rPr>
      </w:pPr>
      <w:r w:rsidRPr="00164F3F">
        <w:rPr>
          <w:rStyle w:val="notesetup"/>
          <w:color w:val="000000"/>
        </w:rPr>
        <w:t xml:space="preserve">Stat. </w:t>
      </w:r>
      <w:proofErr w:type="spellStart"/>
      <w:r w:rsidRPr="00164F3F">
        <w:rPr>
          <w:rStyle w:val="notesetup"/>
          <w:color w:val="000000"/>
        </w:rPr>
        <w:t>Auth</w:t>
      </w:r>
      <w:proofErr w:type="spellEnd"/>
      <w:r w:rsidRPr="00164F3F">
        <w:rPr>
          <w:rStyle w:val="notesetup"/>
          <w:color w:val="000000"/>
        </w:rPr>
        <w:t xml:space="preserve">: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19-1993, f. 11-4-93 &amp; cert. ef. 1-1-94; DEQ 14-1999, f. &amp; cert. ef. 10-14-99, Renumbered from 340-028-0610; DEQ 6-2001, f. 6-18-01, cert. ef. 7-1-01; DEQ 7-2015, f. &amp; cert. ef. 4-16-15</w:t>
      </w:r>
    </w:p>
    <w:p w14:paraId="5E0FD7DC" w14:textId="77777777" w:rsidR="00164F3F" w:rsidRPr="00164F3F" w:rsidRDefault="00164F3F" w:rsidP="00164F3F">
      <w:pPr>
        <w:pStyle w:val="NormalWeb"/>
        <w:rPr>
          <w:color w:val="000000"/>
        </w:rPr>
      </w:pPr>
      <w:r w:rsidRPr="00164F3F">
        <w:rPr>
          <w:rStyle w:val="tofcheader"/>
          <w:b/>
          <w:bCs/>
          <w:color w:val="000000"/>
        </w:rPr>
        <w:t>340-226-0120</w:t>
      </w:r>
    </w:p>
    <w:p w14:paraId="20D8F24F" w14:textId="77777777" w:rsidR="00164F3F" w:rsidRPr="00164F3F" w:rsidRDefault="00164F3F" w:rsidP="00164F3F">
      <w:pPr>
        <w:pStyle w:val="NormalWeb"/>
        <w:rPr>
          <w:color w:val="000000"/>
        </w:rPr>
      </w:pPr>
      <w:r w:rsidRPr="00164F3F">
        <w:rPr>
          <w:rStyle w:val="rulenumber"/>
          <w:b/>
          <w:bCs/>
          <w:color w:val="000000"/>
        </w:rPr>
        <w:t>Operating and Maintenance Requirements</w:t>
      </w:r>
    </w:p>
    <w:p w14:paraId="3DD47CF1" w14:textId="77777777" w:rsidR="00164F3F" w:rsidRPr="00164F3F" w:rsidRDefault="00164F3F" w:rsidP="00164F3F">
      <w:pPr>
        <w:pStyle w:val="NormalWeb"/>
        <w:rPr>
          <w:color w:val="000000"/>
        </w:rPr>
      </w:pPr>
      <w:r w:rsidRPr="00164F3F">
        <w:rPr>
          <w:rStyle w:val="ruletitle"/>
          <w:color w:val="000000"/>
        </w:rPr>
        <w:t xml:space="preserve">(1) Operational, Maintenance and Work Practice Requirements: </w:t>
      </w:r>
    </w:p>
    <w:p w14:paraId="1BCA04E4" w14:textId="77777777" w:rsidR="00164F3F" w:rsidRPr="00164F3F" w:rsidRDefault="00164F3F" w:rsidP="00164F3F">
      <w:pPr>
        <w:pStyle w:val="NormalWeb"/>
        <w:rPr>
          <w:color w:val="000000"/>
        </w:rPr>
      </w:pPr>
      <w:r w:rsidRPr="00164F3F">
        <w:rPr>
          <w:rStyle w:val="ruletitle"/>
          <w:color w:val="000000"/>
        </w:rPr>
        <w:lastRenderedPageBreak/>
        <w:t xml:space="preserve">(a) Where DEQ has determined that specific operational, maintenance, or work practice requirements are appropriate to ensure that the owner or operator of a source is operating and maintaining air pollution control devices and emission reduction processes at the highest reasonable efficiency and effectiveness to minimize emissions, DEQ will establish such requirements by permit condition or notice of construction approval; </w:t>
      </w:r>
    </w:p>
    <w:p w14:paraId="302A626A" w14:textId="77777777" w:rsidR="00164F3F" w:rsidRPr="00164F3F" w:rsidRDefault="00164F3F" w:rsidP="00164F3F">
      <w:pPr>
        <w:pStyle w:val="NormalWeb"/>
        <w:rPr>
          <w:color w:val="000000"/>
        </w:rPr>
      </w:pPr>
      <w:r w:rsidRPr="00164F3F">
        <w:rPr>
          <w:rStyle w:val="ruletitle"/>
          <w:color w:val="000000"/>
        </w:rPr>
        <w:t xml:space="preserve">(b) Operational, maintenance, and work practice requirements include: </w:t>
      </w:r>
    </w:p>
    <w:p w14:paraId="650E5033" w14:textId="77777777" w:rsidR="00164F3F" w:rsidRPr="00164F3F" w:rsidRDefault="00164F3F" w:rsidP="00164F3F">
      <w:pPr>
        <w:pStyle w:val="NormalWeb"/>
        <w:rPr>
          <w:color w:val="000000"/>
        </w:rPr>
      </w:pPr>
      <w:r w:rsidRPr="00164F3F">
        <w:rPr>
          <w:rStyle w:val="ruletitle"/>
          <w:color w:val="000000"/>
        </w:rPr>
        <w:t xml:space="preserve">(A) Flow rates, temperatures, pressure drop, ammonia slip, and other physical or chemical parameters related to the operation of air pollution control devices and emission reduction processes; </w:t>
      </w:r>
    </w:p>
    <w:p w14:paraId="7127B09B" w14:textId="77777777" w:rsidR="00164F3F" w:rsidRPr="00164F3F" w:rsidRDefault="00164F3F" w:rsidP="00164F3F">
      <w:pPr>
        <w:pStyle w:val="NormalWeb"/>
        <w:rPr>
          <w:color w:val="000000"/>
        </w:rPr>
      </w:pPr>
      <w:r w:rsidRPr="00164F3F">
        <w:rPr>
          <w:rStyle w:val="ruletitle"/>
          <w:color w:val="000000"/>
        </w:rPr>
        <w:t xml:space="preserve">(B) Monitoring, record-keeping, testing, and sampling requirements and schedules; </w:t>
      </w:r>
    </w:p>
    <w:p w14:paraId="1AAF22B9" w14:textId="77777777" w:rsidR="00164F3F" w:rsidRPr="00164F3F" w:rsidRDefault="00164F3F" w:rsidP="00164F3F">
      <w:pPr>
        <w:pStyle w:val="NormalWeb"/>
        <w:rPr>
          <w:color w:val="000000"/>
        </w:rPr>
      </w:pPr>
      <w:r w:rsidRPr="00164F3F">
        <w:rPr>
          <w:rStyle w:val="ruletitle"/>
          <w:color w:val="000000"/>
        </w:rPr>
        <w:t xml:space="preserve">(C) Maintenance requirements and schedules; and </w:t>
      </w:r>
    </w:p>
    <w:p w14:paraId="4BD3C2C9" w14:textId="77777777" w:rsidR="00164F3F" w:rsidRPr="00164F3F" w:rsidRDefault="00164F3F" w:rsidP="00164F3F">
      <w:pPr>
        <w:pStyle w:val="NormalWeb"/>
        <w:rPr>
          <w:color w:val="000000"/>
        </w:rPr>
      </w:pPr>
      <w:r w:rsidRPr="00164F3F">
        <w:rPr>
          <w:rStyle w:val="ruletitle"/>
          <w:color w:val="000000"/>
        </w:rPr>
        <w:t xml:space="preserve">(D) Requirements that components of air pollution control devices be functioning properly. </w:t>
      </w:r>
    </w:p>
    <w:p w14:paraId="15E47FF9" w14:textId="77777777" w:rsidR="00164F3F" w:rsidRPr="00164F3F" w:rsidRDefault="00164F3F" w:rsidP="00164F3F">
      <w:pPr>
        <w:pStyle w:val="NormalWeb"/>
        <w:rPr>
          <w:color w:val="000000"/>
        </w:rPr>
      </w:pPr>
      <w:r w:rsidRPr="00164F3F">
        <w:rPr>
          <w:rStyle w:val="ruletitle"/>
          <w:color w:val="000000"/>
        </w:rPr>
        <w:t xml:space="preserve">(2) Emission Action Levels: </w:t>
      </w:r>
    </w:p>
    <w:p w14:paraId="7A0E3CF5" w14:textId="77777777" w:rsidR="00164F3F" w:rsidRPr="00164F3F" w:rsidRDefault="00164F3F" w:rsidP="00164F3F">
      <w:pPr>
        <w:pStyle w:val="NormalWeb"/>
        <w:rPr>
          <w:color w:val="000000"/>
        </w:rPr>
      </w:pPr>
      <w:r w:rsidRPr="00164F3F">
        <w:rPr>
          <w:rStyle w:val="ruletitle"/>
          <w:color w:val="000000"/>
        </w:rPr>
        <w:t xml:space="preserve">(a) Where DEQ has determined that specific operational, maintenance, or work practice requirements considered or required under section (1) are insufficient to ensure that the owner or operator is operating and maintaining air pollution control devices and emission reduction processes at the highest reasonable efficiency and effectiveness, DEQ may establish, by permit or Notice of Construction approval, specific emission action levels in addition to applicable emission standards. An emission action level will be established that ensures an air pollution control device or emission reduction process is operated at the highest reasonable efficiency and effectiveness to minimize emissions; </w:t>
      </w:r>
    </w:p>
    <w:p w14:paraId="0F458A7A" w14:textId="77777777" w:rsidR="00164F3F" w:rsidRPr="00164F3F" w:rsidRDefault="00164F3F" w:rsidP="00164F3F">
      <w:pPr>
        <w:pStyle w:val="NormalWeb"/>
        <w:rPr>
          <w:color w:val="000000"/>
        </w:rPr>
      </w:pPr>
      <w:r w:rsidRPr="00164F3F">
        <w:rPr>
          <w:rStyle w:val="ruletitle"/>
          <w:color w:val="000000"/>
        </w:rPr>
        <w:t xml:space="preserve">(b) If emissions from a source equal or exceed the applicable emission action level, the owner or operator of the source must: </w:t>
      </w:r>
    </w:p>
    <w:p w14:paraId="79DE2D61" w14:textId="77777777" w:rsidR="00164F3F" w:rsidRPr="00164F3F" w:rsidRDefault="00164F3F" w:rsidP="00164F3F">
      <w:pPr>
        <w:pStyle w:val="NormalWeb"/>
        <w:rPr>
          <w:color w:val="000000"/>
        </w:rPr>
      </w:pPr>
      <w:r w:rsidRPr="00164F3F">
        <w:rPr>
          <w:rStyle w:val="ruletitle"/>
          <w:color w:val="000000"/>
        </w:rPr>
        <w:t xml:space="preserve">(A) Take corrective action as expeditiously as practical to reduce emissions to below the emission action level; </w:t>
      </w:r>
    </w:p>
    <w:p w14:paraId="5B7FD1E1" w14:textId="77777777" w:rsidR="00164F3F" w:rsidRPr="00164F3F" w:rsidRDefault="00164F3F" w:rsidP="00164F3F">
      <w:pPr>
        <w:pStyle w:val="NormalWeb"/>
        <w:rPr>
          <w:color w:val="000000"/>
        </w:rPr>
      </w:pPr>
      <w:r w:rsidRPr="00164F3F">
        <w:rPr>
          <w:rStyle w:val="ruletitle"/>
          <w:color w:val="000000"/>
        </w:rPr>
        <w:t xml:space="preserve">(B) Maintain records at the plant site for two years which document the exceedance, the cause of the exceedance, and the corrective action taken; </w:t>
      </w:r>
    </w:p>
    <w:p w14:paraId="51A39774" w14:textId="77777777" w:rsidR="00164F3F" w:rsidRPr="00164F3F" w:rsidRDefault="00164F3F" w:rsidP="00164F3F">
      <w:pPr>
        <w:pStyle w:val="NormalWeb"/>
        <w:rPr>
          <w:color w:val="000000"/>
        </w:rPr>
      </w:pPr>
      <w:r w:rsidRPr="00164F3F">
        <w:rPr>
          <w:rStyle w:val="ruletitle"/>
          <w:color w:val="000000"/>
        </w:rPr>
        <w:t xml:space="preserve">(C) Make such records available for inspection by DEQ during normal business hours; and </w:t>
      </w:r>
    </w:p>
    <w:p w14:paraId="0BF61A81" w14:textId="77777777" w:rsidR="00164F3F" w:rsidRPr="00164F3F" w:rsidRDefault="00164F3F" w:rsidP="00164F3F">
      <w:pPr>
        <w:pStyle w:val="NormalWeb"/>
        <w:rPr>
          <w:color w:val="000000"/>
        </w:rPr>
      </w:pPr>
      <w:r w:rsidRPr="00164F3F">
        <w:rPr>
          <w:rStyle w:val="ruletitle"/>
          <w:color w:val="000000"/>
        </w:rPr>
        <w:t xml:space="preserve">(D) Submit such records to DEQ upon request. </w:t>
      </w:r>
    </w:p>
    <w:p w14:paraId="7B6386C6" w14:textId="77777777" w:rsidR="00164F3F" w:rsidRPr="00164F3F" w:rsidRDefault="00164F3F" w:rsidP="00164F3F">
      <w:pPr>
        <w:pStyle w:val="NormalWeb"/>
        <w:rPr>
          <w:color w:val="000000"/>
        </w:rPr>
      </w:pPr>
      <w:r w:rsidRPr="00164F3F">
        <w:rPr>
          <w:rStyle w:val="ruletitle"/>
          <w:color w:val="000000"/>
        </w:rPr>
        <w:t xml:space="preserve">(c) DEQ will revise an emission action level if it finds that such level does not reflect the highest reasonable efficiency and effectiveness of air pollution control devices and emission reduction processes; </w:t>
      </w:r>
    </w:p>
    <w:p w14:paraId="343657CF" w14:textId="77777777" w:rsidR="00164F3F" w:rsidRPr="00164F3F" w:rsidRDefault="00164F3F" w:rsidP="00164F3F">
      <w:pPr>
        <w:pStyle w:val="NormalWeb"/>
        <w:rPr>
          <w:color w:val="000000"/>
        </w:rPr>
      </w:pPr>
      <w:r w:rsidRPr="00164F3F">
        <w:rPr>
          <w:rStyle w:val="ruletitle"/>
          <w:color w:val="000000"/>
        </w:rPr>
        <w:lastRenderedPageBreak/>
        <w:t xml:space="preserve">(d) An exceedance of an emission action level that is more stringent than an applicable emission standard is not a violation of such emission standard. </w:t>
      </w:r>
    </w:p>
    <w:p w14:paraId="23D38009" w14:textId="77777777" w:rsidR="00164F3F" w:rsidRPr="00164F3F" w:rsidRDefault="00164F3F" w:rsidP="00164F3F">
      <w:pPr>
        <w:pStyle w:val="NormalWeb"/>
        <w:rPr>
          <w:color w:val="000000"/>
        </w:rPr>
      </w:pPr>
      <w:r w:rsidRPr="00164F3F">
        <w:rPr>
          <w:rStyle w:val="ruletitle"/>
          <w:color w:val="000000"/>
        </w:rPr>
        <w:t xml:space="preserve">(3) In determining the highest reasonable efficiency and effectiveness for purposes of this rule, DEQ considers operational variability and the capability of air pollution control devices and emission reduction processes. If the performance of air pollution control devices and emission reduction processes during startup or shutdown differs from the performance under normal operating conditions, DEQ determines the highest reasonable efficiency and effectiveness separately for these operating modes. </w:t>
      </w:r>
    </w:p>
    <w:p w14:paraId="03E398F6"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4D6FD7FA" w14:textId="77777777" w:rsidR="00164F3F" w:rsidRPr="00164F3F" w:rsidRDefault="00164F3F" w:rsidP="00164F3F">
      <w:pPr>
        <w:pStyle w:val="NormalWeb"/>
        <w:rPr>
          <w:color w:val="000000"/>
        </w:rPr>
      </w:pPr>
      <w:r w:rsidRPr="00164F3F">
        <w:rPr>
          <w:rStyle w:val="notesetup"/>
          <w:color w:val="000000"/>
        </w:rPr>
        <w:t xml:space="preserve">Stat. Auth.: ORS 468.020, 468A.025, 468A.040 &amp; 468A.055 </w:t>
      </w:r>
      <w:r w:rsidRPr="00164F3F">
        <w:rPr>
          <w:color w:val="000000"/>
        </w:rPr>
        <w:br/>
      </w:r>
      <w:r w:rsidRPr="00164F3F">
        <w:rPr>
          <w:rStyle w:val="notesetup"/>
          <w:color w:val="000000"/>
        </w:rPr>
        <w:t xml:space="preserve">Stats. Implemented: ORS 468A.025, 468A.040 &amp; 468A.055 </w:t>
      </w:r>
      <w:r w:rsidRPr="00164F3F">
        <w:rPr>
          <w:color w:val="000000"/>
        </w:rPr>
        <w:br/>
      </w:r>
      <w:r w:rsidRPr="00164F3F">
        <w:rPr>
          <w:rStyle w:val="notesetup"/>
          <w:color w:val="000000"/>
        </w:rPr>
        <w:t>Hist.: DEQ 19-1993, f. 11-4-93 &amp; cert. ef. 1-1-94; DEQ 14-1999, f. &amp; cert. ef. 10-14-99, Renumbered from 340-028-0620; DEQ 6-2001, f. 6-18-01, cert. ef. 7-1-01; DEQ 7-2015, f. &amp; cert. ef. 4-16-15</w:t>
      </w:r>
    </w:p>
    <w:p w14:paraId="56BD7E04" w14:textId="77777777" w:rsidR="00164F3F" w:rsidRPr="00164F3F" w:rsidRDefault="00164F3F" w:rsidP="00164F3F">
      <w:pPr>
        <w:pStyle w:val="NormalWeb"/>
        <w:rPr>
          <w:color w:val="000000"/>
        </w:rPr>
      </w:pPr>
      <w:r w:rsidRPr="00164F3F">
        <w:rPr>
          <w:rStyle w:val="tofcheader"/>
          <w:b/>
          <w:bCs/>
          <w:color w:val="000000"/>
        </w:rPr>
        <w:t>340-226-0130</w:t>
      </w:r>
    </w:p>
    <w:p w14:paraId="3E984462" w14:textId="77777777" w:rsidR="00164F3F" w:rsidRPr="00164F3F" w:rsidRDefault="00164F3F" w:rsidP="00164F3F">
      <w:pPr>
        <w:pStyle w:val="NormalWeb"/>
        <w:rPr>
          <w:color w:val="000000"/>
        </w:rPr>
      </w:pPr>
      <w:r w:rsidRPr="00164F3F">
        <w:rPr>
          <w:rStyle w:val="rulenumber"/>
          <w:b/>
          <w:bCs/>
          <w:color w:val="000000"/>
        </w:rPr>
        <w:t>Typically Achievable Control Technology (TACT)</w:t>
      </w:r>
    </w:p>
    <w:p w14:paraId="728430C6" w14:textId="77777777" w:rsidR="00164F3F" w:rsidRPr="00164F3F" w:rsidRDefault="00164F3F" w:rsidP="00164F3F">
      <w:pPr>
        <w:pStyle w:val="NormalWeb"/>
        <w:rPr>
          <w:color w:val="000000"/>
        </w:rPr>
      </w:pPr>
      <w:r w:rsidRPr="00164F3F">
        <w:rPr>
          <w:rStyle w:val="ruletitle"/>
          <w:color w:val="000000"/>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devices.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14:paraId="54501F94" w14:textId="77777777" w:rsidR="00164F3F" w:rsidRPr="00164F3F" w:rsidRDefault="00164F3F" w:rsidP="00164F3F">
      <w:pPr>
        <w:pStyle w:val="NormalWeb"/>
        <w:rPr>
          <w:color w:val="000000"/>
        </w:rPr>
      </w:pPr>
      <w:r w:rsidRPr="00164F3F">
        <w:rPr>
          <w:rStyle w:val="ruletitle"/>
          <w:color w:val="000000"/>
        </w:rPr>
        <w:t xml:space="preserve">(1) Existing Sources. An existing emissions unit must meet TACT for existing sources if: </w:t>
      </w:r>
    </w:p>
    <w:p w14:paraId="20D85027" w14:textId="77777777" w:rsidR="00164F3F" w:rsidRPr="00164F3F" w:rsidRDefault="00164F3F" w:rsidP="00164F3F">
      <w:pPr>
        <w:pStyle w:val="NormalWeb"/>
        <w:rPr>
          <w:color w:val="000000"/>
        </w:rPr>
      </w:pPr>
      <w:r w:rsidRPr="00164F3F">
        <w:rPr>
          <w:rStyle w:val="ruletitle"/>
          <w:color w:val="000000"/>
        </w:rPr>
        <w:t xml:space="preserve">(a) The emissions unit is not already subject to emission standards for the regulated pollutant under OAR 340 divisions 224, 230, 340-232-0010 through 340-232-0240, OAR 340 divisions 234, 236, or 238, 340-240-0110 through 340-240-0180, 340-240-0310(1), 340-240-0320 through 340-240-0430; </w:t>
      </w:r>
    </w:p>
    <w:p w14:paraId="2587A46A" w14:textId="77777777" w:rsidR="00164F3F" w:rsidRPr="00164F3F" w:rsidRDefault="00164F3F" w:rsidP="00164F3F">
      <w:pPr>
        <w:pStyle w:val="NormalWeb"/>
        <w:rPr>
          <w:color w:val="000000"/>
        </w:rPr>
      </w:pPr>
      <w:r w:rsidRPr="00164F3F">
        <w:rPr>
          <w:rStyle w:val="ruletitle"/>
          <w:color w:val="000000"/>
        </w:rPr>
        <w:t xml:space="preserve">(b) The source is required to have a permit; </w:t>
      </w:r>
    </w:p>
    <w:p w14:paraId="5FBB2B7B" w14:textId="77777777" w:rsidR="00164F3F" w:rsidRPr="00164F3F" w:rsidRDefault="00164F3F" w:rsidP="00164F3F">
      <w:pPr>
        <w:pStyle w:val="NormalWeb"/>
        <w:rPr>
          <w:color w:val="000000"/>
        </w:rPr>
      </w:pPr>
      <w:r w:rsidRPr="00164F3F">
        <w:rPr>
          <w:rStyle w:val="ruletitle"/>
          <w:color w:val="000000"/>
        </w:rPr>
        <w:t xml:space="preserve">(c) The emissions unit has emissions of criteria pollutants equal to or greater than 5 tons per year of particulate or 10 tons per year of any gaseous pollutant; and </w:t>
      </w:r>
    </w:p>
    <w:p w14:paraId="2A7FF7A2" w14:textId="77777777" w:rsidR="00164F3F" w:rsidRPr="00164F3F" w:rsidRDefault="00164F3F" w:rsidP="00164F3F">
      <w:pPr>
        <w:pStyle w:val="NormalWeb"/>
        <w:rPr>
          <w:color w:val="000000"/>
        </w:rPr>
      </w:pPr>
      <w:r w:rsidRPr="00164F3F">
        <w:rPr>
          <w:rStyle w:val="ruletitle"/>
          <w:color w:val="000000"/>
        </w:rPr>
        <w:lastRenderedPageBreak/>
        <w:t xml:space="preserve">(d) DEQ determines that air pollution control devices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14:paraId="0A4BD58D" w14:textId="77777777" w:rsidR="00164F3F" w:rsidRPr="00164F3F" w:rsidRDefault="00164F3F" w:rsidP="00164F3F">
      <w:pPr>
        <w:pStyle w:val="NormalWeb"/>
        <w:rPr>
          <w:color w:val="000000"/>
        </w:rPr>
      </w:pPr>
      <w:r w:rsidRPr="00164F3F">
        <w:rPr>
          <w:rStyle w:val="ruletitle"/>
          <w:color w:val="000000"/>
        </w:rPr>
        <w:t xml:space="preserve">(2) New and Modified Sources. A new or modified emissions unit must meet TACT for new or modified sources if: </w:t>
      </w:r>
    </w:p>
    <w:p w14:paraId="1A4C3194" w14:textId="77777777" w:rsidR="00164F3F" w:rsidRPr="00164F3F" w:rsidRDefault="00164F3F" w:rsidP="00164F3F">
      <w:pPr>
        <w:pStyle w:val="NormalWeb"/>
        <w:rPr>
          <w:color w:val="000000"/>
        </w:rPr>
      </w:pPr>
      <w:r w:rsidRPr="00164F3F">
        <w:rPr>
          <w:rStyle w:val="ruletitle"/>
          <w:color w:val="000000"/>
        </w:rPr>
        <w:t xml:space="preserve">(a) The new or modified emissions unit is not subject to Major NSR in OAR 340 division 224, a Type A State NSR action under OAR 340 division 224, an applicable Standard of Performance for New Stationary Sources in OAR 340 division 238, 340-240-0110 through 340-240-0180, 340-240-0310(1), 340-240-320 through 340-240-0430, or any other standard applicable only to new or modified sources in OAR 340 divisions 230, 234, 236, or 238 for the regulated pollutant emitted; </w:t>
      </w:r>
    </w:p>
    <w:p w14:paraId="7816CCCF" w14:textId="77777777" w:rsidR="00164F3F" w:rsidRPr="00164F3F" w:rsidRDefault="00164F3F" w:rsidP="00164F3F">
      <w:pPr>
        <w:pStyle w:val="NormalWeb"/>
        <w:rPr>
          <w:color w:val="000000"/>
        </w:rPr>
      </w:pPr>
      <w:r w:rsidRPr="00164F3F">
        <w:rPr>
          <w:rStyle w:val="ruletitle"/>
          <w:color w:val="000000"/>
        </w:rPr>
        <w:t xml:space="preserve">(b) The source is required to have a permit; </w:t>
      </w:r>
    </w:p>
    <w:p w14:paraId="1DBC1D6F" w14:textId="77777777" w:rsidR="00164F3F" w:rsidRPr="00164F3F" w:rsidRDefault="00164F3F" w:rsidP="00164F3F">
      <w:pPr>
        <w:pStyle w:val="NormalWeb"/>
        <w:rPr>
          <w:color w:val="000000"/>
        </w:rPr>
      </w:pPr>
      <w:r w:rsidRPr="00164F3F">
        <w:rPr>
          <w:rStyle w:val="ruletitle"/>
          <w:color w:val="000000"/>
        </w:rPr>
        <w:t xml:space="preserve">(c) The emissions unit: </w:t>
      </w:r>
    </w:p>
    <w:p w14:paraId="54C1E518" w14:textId="77777777" w:rsidR="00164F3F" w:rsidRPr="00164F3F" w:rsidRDefault="00164F3F" w:rsidP="00164F3F">
      <w:pPr>
        <w:pStyle w:val="NormalWeb"/>
        <w:rPr>
          <w:color w:val="000000"/>
        </w:rPr>
      </w:pPr>
      <w:r w:rsidRPr="00164F3F">
        <w:rPr>
          <w:rStyle w:val="ruletitle"/>
          <w:color w:val="000000"/>
        </w:rPr>
        <w:t xml:space="preserve">(A) If new, would have emissions of any criteria pollutant equal to or greater than 1 ton per year in any area, or of PM10 equal to or greater than 500 pounds per year in a PM10 nonattainment area; or </w:t>
      </w:r>
    </w:p>
    <w:p w14:paraId="2D7EA548" w14:textId="77777777" w:rsidR="00164F3F" w:rsidRPr="00164F3F" w:rsidRDefault="00164F3F" w:rsidP="00164F3F">
      <w:pPr>
        <w:pStyle w:val="NormalWeb"/>
        <w:rPr>
          <w:color w:val="000000"/>
        </w:rPr>
      </w:pPr>
      <w:r w:rsidRPr="00164F3F">
        <w:rPr>
          <w:rStyle w:val="ruletitle"/>
          <w:color w:val="000000"/>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14:paraId="6E9793A5" w14:textId="77777777" w:rsidR="00164F3F" w:rsidRPr="00164F3F" w:rsidRDefault="00164F3F" w:rsidP="00164F3F">
      <w:pPr>
        <w:pStyle w:val="NormalWeb"/>
        <w:rPr>
          <w:color w:val="000000"/>
        </w:rPr>
      </w:pPr>
      <w:r w:rsidRPr="00164F3F">
        <w:rPr>
          <w:rStyle w:val="ruletitle"/>
          <w:color w:val="000000"/>
        </w:rPr>
        <w:t xml:space="preserve">(d) DEQ determines that the proposed air pollution control devices and emission reduction processes do not represent TACT. </w:t>
      </w:r>
    </w:p>
    <w:p w14:paraId="48080EA3" w14:textId="77777777" w:rsidR="00164F3F" w:rsidRPr="00164F3F" w:rsidRDefault="00164F3F" w:rsidP="00164F3F">
      <w:pPr>
        <w:pStyle w:val="NormalWeb"/>
        <w:rPr>
          <w:color w:val="000000"/>
        </w:rPr>
      </w:pPr>
      <w:r w:rsidRPr="00164F3F">
        <w:rPr>
          <w:rStyle w:val="ruletitle"/>
          <w:color w:val="000000"/>
        </w:rPr>
        <w:t xml:space="preserve">(3) Before making a TACT determination, DEQ will notify the owner or operator of a source that it intends to make such a determination using information known to DEQ. The owner or operator of the source may supply DEQ with additional information by a reasonable date set by DEQ. </w:t>
      </w:r>
    </w:p>
    <w:p w14:paraId="78265A0E" w14:textId="77777777" w:rsidR="00164F3F" w:rsidRPr="00164F3F" w:rsidRDefault="00164F3F" w:rsidP="00164F3F">
      <w:pPr>
        <w:pStyle w:val="NormalWeb"/>
        <w:rPr>
          <w:color w:val="000000"/>
        </w:rPr>
      </w:pPr>
      <w:r w:rsidRPr="00164F3F">
        <w:rPr>
          <w:rStyle w:val="ruletitle"/>
          <w:color w:val="000000"/>
        </w:rPr>
        <w:t xml:space="preserve">(4) The owner or operator of a source subject to TACT must submit, by a reasonable date established by DEQ, compliance plans and specifications for DEQ's approval. The owner or operator of the source must demonstrate compliance in accordance with a method and compliance schedule approved by DEQ. </w:t>
      </w:r>
    </w:p>
    <w:p w14:paraId="7259B8EE"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77186763" w14:textId="77777777" w:rsidR="00164F3F" w:rsidRPr="00164F3F" w:rsidRDefault="00164F3F" w:rsidP="00164F3F">
      <w:pPr>
        <w:pStyle w:val="NormalWeb"/>
        <w:rPr>
          <w:color w:val="000000"/>
        </w:rPr>
      </w:pPr>
      <w:r w:rsidRPr="00164F3F">
        <w:rPr>
          <w:rStyle w:val="notesetup"/>
          <w:color w:val="000000"/>
        </w:rPr>
        <w:t xml:space="preserve">Stat. Auth.: ORS 468 &amp; 468A </w:t>
      </w:r>
      <w:r w:rsidRPr="00164F3F">
        <w:rPr>
          <w:color w:val="000000"/>
        </w:rPr>
        <w:br/>
      </w:r>
      <w:r w:rsidRPr="00164F3F">
        <w:rPr>
          <w:rStyle w:val="notesetup"/>
          <w:color w:val="000000"/>
        </w:rPr>
        <w:t xml:space="preserve">Stats. Implemented: ORS 468.020 &amp; 468A.025 </w:t>
      </w:r>
      <w:r w:rsidRPr="00164F3F">
        <w:rPr>
          <w:color w:val="000000"/>
        </w:rPr>
        <w:br/>
      </w:r>
      <w:r w:rsidRPr="00164F3F">
        <w:rPr>
          <w:rStyle w:val="notesetup"/>
          <w:color w:val="000000"/>
        </w:rPr>
        <w:lastRenderedPageBreak/>
        <w:t>Hist.: DEQ 19-1993, f. 11-4-93 &amp; cert. ef. 1-1-94; DEQ 22-1996, f. &amp; cert. ef. 10-22-96; DEQ 14-1999, f. &amp; cert. ef. 10-14-99, Renumbered from 340-028-0630; DEQ 6-2001, f. 6-18-01, cert. ef. 7-1-01; DEQ 7-2015, f. &amp; cert. ef. 4-16-15</w:t>
      </w:r>
    </w:p>
    <w:p w14:paraId="7E433493" w14:textId="77777777" w:rsidR="00164F3F" w:rsidRPr="00164F3F" w:rsidRDefault="00164F3F" w:rsidP="00164F3F">
      <w:pPr>
        <w:pStyle w:val="NormalWeb"/>
        <w:rPr>
          <w:color w:val="000000"/>
        </w:rPr>
      </w:pPr>
      <w:r w:rsidRPr="00164F3F">
        <w:rPr>
          <w:rStyle w:val="tofcheader"/>
          <w:b/>
          <w:bCs/>
          <w:color w:val="000000"/>
        </w:rPr>
        <w:t>340-226-0140</w:t>
      </w:r>
    </w:p>
    <w:p w14:paraId="7344F618" w14:textId="77777777" w:rsidR="00164F3F" w:rsidRPr="00164F3F" w:rsidRDefault="00164F3F" w:rsidP="00164F3F">
      <w:pPr>
        <w:pStyle w:val="NormalWeb"/>
        <w:rPr>
          <w:color w:val="000000"/>
        </w:rPr>
      </w:pPr>
      <w:r w:rsidRPr="00164F3F">
        <w:rPr>
          <w:rStyle w:val="rulenumber"/>
          <w:b/>
          <w:bCs/>
          <w:color w:val="000000"/>
        </w:rPr>
        <w:t>Additional Control Requirements for Stationary Sources of Air Contaminants</w:t>
      </w:r>
    </w:p>
    <w:p w14:paraId="37A1D8F3" w14:textId="77777777" w:rsidR="00164F3F" w:rsidRPr="00164F3F" w:rsidRDefault="00164F3F" w:rsidP="00164F3F">
      <w:pPr>
        <w:pStyle w:val="NormalWeb"/>
        <w:rPr>
          <w:color w:val="000000"/>
        </w:rPr>
      </w:pPr>
      <w:r w:rsidRPr="00164F3F">
        <w:rPr>
          <w:rStyle w:val="ruletitle"/>
          <w:color w:val="000000"/>
        </w:rPr>
        <w:t xml:space="preserve">In addition to other applicable requirements, DEQ may establish control requirements by permit if necessary as specified in sections (1) through (5): </w:t>
      </w:r>
    </w:p>
    <w:p w14:paraId="570CC136" w14:textId="77777777" w:rsidR="00164F3F" w:rsidRPr="00164F3F" w:rsidRDefault="00164F3F" w:rsidP="00164F3F">
      <w:pPr>
        <w:pStyle w:val="NormalWeb"/>
        <w:rPr>
          <w:color w:val="000000"/>
        </w:rPr>
      </w:pPr>
      <w:r w:rsidRPr="00164F3F">
        <w:rPr>
          <w:rStyle w:val="ruletitle"/>
          <w:color w:val="000000"/>
        </w:rPr>
        <w:t xml:space="preserve">(1) Requirements will be established to prevent violation of an ambient air quality standard caused or projected to be caused substantially by emissions from the source as determined by modeling, monitoring, or a combination thereof. For existing sources, DEQ will conduct monitoring to confirm a violation of an ambient air quality standard. </w:t>
      </w:r>
    </w:p>
    <w:p w14:paraId="1F5D13C7" w14:textId="77777777" w:rsidR="00164F3F" w:rsidRPr="00164F3F" w:rsidRDefault="00164F3F" w:rsidP="00164F3F">
      <w:pPr>
        <w:pStyle w:val="NormalWeb"/>
        <w:rPr>
          <w:color w:val="000000"/>
        </w:rPr>
      </w:pPr>
      <w:r w:rsidRPr="00164F3F">
        <w:rPr>
          <w:rStyle w:val="ruletitle"/>
          <w:color w:val="000000"/>
        </w:rPr>
        <w:t xml:space="preserve">(2) Requirements will be established to prevent significant impairment of visibility in Class I areas caused or projected to be caused substantially by a source as determined by modeling, monitoring, or a combination thereof. For existing sources, DEQ will conduct monitoring to confirm visibility impairment. </w:t>
      </w:r>
    </w:p>
    <w:p w14:paraId="50CC86FE" w14:textId="77777777" w:rsidR="00164F3F" w:rsidRPr="00164F3F" w:rsidRDefault="00164F3F" w:rsidP="00164F3F">
      <w:pPr>
        <w:pStyle w:val="NormalWeb"/>
        <w:rPr>
          <w:color w:val="000000"/>
        </w:rPr>
      </w:pPr>
      <w:r w:rsidRPr="00164F3F">
        <w:rPr>
          <w:rStyle w:val="ruletitle"/>
          <w:color w:val="000000"/>
        </w:rPr>
        <w:t xml:space="preserve">(3) A requirement applicable to a major source will be established if it has been adopted by EPA but has not otherwise been adopted by the EQC. </w:t>
      </w:r>
    </w:p>
    <w:p w14:paraId="5163A5F9" w14:textId="77777777" w:rsidR="00164F3F" w:rsidRPr="00164F3F" w:rsidRDefault="00164F3F" w:rsidP="00164F3F">
      <w:pPr>
        <w:pStyle w:val="NormalWeb"/>
        <w:rPr>
          <w:color w:val="000000"/>
        </w:rPr>
      </w:pPr>
      <w:r w:rsidRPr="00164F3F">
        <w:rPr>
          <w:rStyle w:val="ruletitle"/>
          <w:color w:val="000000"/>
        </w:rPr>
        <w:t xml:space="preserve">(4) An additional control requirement will be established if requested by the owner or operator of a source. </w:t>
      </w:r>
    </w:p>
    <w:p w14:paraId="76E32A47" w14:textId="77777777" w:rsidR="00164F3F" w:rsidRPr="00164F3F" w:rsidRDefault="00164F3F" w:rsidP="00164F3F">
      <w:pPr>
        <w:pStyle w:val="NormalWeb"/>
        <w:rPr>
          <w:color w:val="000000"/>
        </w:rPr>
      </w:pPr>
      <w:r w:rsidRPr="00164F3F">
        <w:rPr>
          <w:rStyle w:val="ruletitle"/>
          <w:color w:val="000000"/>
        </w:rPr>
        <w:t xml:space="preserve">(5) Requirements will be established if necessary to protect public health or welfare for the following air contaminants and sources not otherwise regulated under OAR 340 divisions 200 through 268: </w:t>
      </w:r>
    </w:p>
    <w:p w14:paraId="03D9EA6C" w14:textId="77777777" w:rsidR="00164F3F" w:rsidRPr="00164F3F" w:rsidRDefault="00164F3F" w:rsidP="00164F3F">
      <w:pPr>
        <w:pStyle w:val="NormalWeb"/>
        <w:rPr>
          <w:color w:val="000000"/>
        </w:rPr>
      </w:pPr>
      <w:r w:rsidRPr="00164F3F">
        <w:rPr>
          <w:rStyle w:val="ruletitle"/>
          <w:color w:val="000000"/>
        </w:rPr>
        <w:t xml:space="preserve">(a) Chemical weapons; and </w:t>
      </w:r>
    </w:p>
    <w:p w14:paraId="5A02D1D4" w14:textId="77777777" w:rsidR="00164F3F" w:rsidRPr="00164F3F" w:rsidRDefault="00164F3F" w:rsidP="00164F3F">
      <w:pPr>
        <w:pStyle w:val="NormalWeb"/>
        <w:rPr>
          <w:color w:val="000000"/>
        </w:rPr>
      </w:pPr>
      <w:r w:rsidRPr="00164F3F">
        <w:rPr>
          <w:rStyle w:val="ruletitle"/>
          <w:color w:val="000000"/>
        </w:rPr>
        <w:t xml:space="preserve">(b) Combustion and degradation by-products of chemical weapons. </w:t>
      </w:r>
    </w:p>
    <w:p w14:paraId="39388C61"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496E4153" w14:textId="77777777" w:rsidR="00164F3F" w:rsidRPr="00164F3F" w:rsidRDefault="00164F3F" w:rsidP="00164F3F">
      <w:pPr>
        <w:pStyle w:val="NormalWeb"/>
        <w:rPr>
          <w:color w:val="000000"/>
        </w:rPr>
      </w:pPr>
      <w:r w:rsidRPr="00164F3F">
        <w:rPr>
          <w:rStyle w:val="notesetup"/>
          <w:color w:val="000000"/>
        </w:rPr>
        <w:t xml:space="preserve">Stat. Auth.: ORS 468.020, 468A.025 &amp; 468A.040 </w:t>
      </w:r>
      <w:r w:rsidRPr="00164F3F">
        <w:rPr>
          <w:color w:val="000000"/>
        </w:rPr>
        <w:br/>
      </w:r>
      <w:r w:rsidRPr="00164F3F">
        <w:rPr>
          <w:rStyle w:val="notesetup"/>
          <w:color w:val="000000"/>
        </w:rPr>
        <w:t xml:space="preserve">Stats. Implemented: ORS 468A.025 &amp; 468A.040 </w:t>
      </w:r>
      <w:r w:rsidRPr="00164F3F">
        <w:rPr>
          <w:color w:val="000000"/>
        </w:rPr>
        <w:br/>
      </w:r>
      <w:r w:rsidRPr="00164F3F">
        <w:rPr>
          <w:rStyle w:val="notesetup"/>
          <w:color w:val="000000"/>
        </w:rPr>
        <w:t>Hist.: DEQ 19-1993, f. 11-4-93 &amp; cert. ef. 1-1-94; DEQ 14-1999, f. &amp; cert. ef. 10-14-99, Renumbered from 340-028-0640; DEQ 6-2001, f. 6-18-01, cert. ef. 7-1-01; DEQ 15-2001, f. &amp; cert. ef. 12-26-01; DEQ 7-2015, f. &amp; cert. ef. 4-16-15</w:t>
      </w:r>
    </w:p>
    <w:p w14:paraId="25CCF00F" w14:textId="77777777" w:rsidR="00164F3F" w:rsidRPr="00164F3F" w:rsidRDefault="00164F3F" w:rsidP="00164F3F">
      <w:pPr>
        <w:pStyle w:val="NormalWeb"/>
        <w:jc w:val="center"/>
        <w:rPr>
          <w:color w:val="000000"/>
        </w:rPr>
      </w:pPr>
      <w:r w:rsidRPr="00164F3F">
        <w:rPr>
          <w:rStyle w:val="tofcsubtitle"/>
          <w:b/>
          <w:bCs/>
          <w:color w:val="000000"/>
        </w:rPr>
        <w:t>Grain Loading Standards</w:t>
      </w:r>
    </w:p>
    <w:p w14:paraId="4222404C" w14:textId="77777777" w:rsidR="00164F3F" w:rsidRPr="00164F3F" w:rsidRDefault="00164F3F" w:rsidP="00164F3F">
      <w:pPr>
        <w:pStyle w:val="NormalWeb"/>
        <w:rPr>
          <w:color w:val="000000"/>
        </w:rPr>
      </w:pPr>
      <w:r w:rsidRPr="00164F3F">
        <w:rPr>
          <w:rStyle w:val="tofcheader"/>
          <w:b/>
          <w:bCs/>
          <w:color w:val="000000"/>
        </w:rPr>
        <w:lastRenderedPageBreak/>
        <w:t>340-226-0210</w:t>
      </w:r>
    </w:p>
    <w:p w14:paraId="37097D13" w14:textId="77777777" w:rsidR="00164F3F" w:rsidRPr="00164F3F" w:rsidRDefault="00164F3F" w:rsidP="00164F3F">
      <w:pPr>
        <w:pStyle w:val="NormalWeb"/>
        <w:rPr>
          <w:color w:val="000000"/>
        </w:rPr>
      </w:pPr>
      <w:r w:rsidRPr="00164F3F">
        <w:rPr>
          <w:rStyle w:val="rulenumber"/>
          <w:b/>
          <w:bCs/>
          <w:color w:val="000000"/>
        </w:rPr>
        <w:t>Particulate Emission Limitations for Sources Other Than Fuel Burning Equipment, Refuse Burning Equipment and Fugitive Emissions</w:t>
      </w:r>
    </w:p>
    <w:p w14:paraId="0210171A" w14:textId="77777777" w:rsidR="00164F3F" w:rsidRPr="00164F3F" w:rsidRDefault="00164F3F" w:rsidP="00164F3F">
      <w:pPr>
        <w:pStyle w:val="NormalWeb"/>
        <w:rPr>
          <w:color w:val="000000"/>
        </w:rPr>
      </w:pPr>
      <w:r w:rsidRPr="00164F3F">
        <w:rPr>
          <w:rStyle w:val="ruletitle"/>
          <w:color w:val="000000"/>
        </w:rPr>
        <w:t xml:space="preserve">(1) This rule does not apply to fugitive emissions sources, fuel burning equipment, refuse burning equipment, or to solid fuel burning devices certified under OAR 340-262-0500. </w:t>
      </w:r>
    </w:p>
    <w:p w14:paraId="3E52E1B7" w14:textId="77777777" w:rsidR="00164F3F" w:rsidRPr="00164F3F" w:rsidRDefault="00164F3F" w:rsidP="00164F3F">
      <w:pPr>
        <w:pStyle w:val="NormalWeb"/>
        <w:rPr>
          <w:color w:val="000000"/>
        </w:rPr>
      </w:pPr>
      <w:r w:rsidRPr="00164F3F">
        <w:rPr>
          <w:rStyle w:val="ruletitle"/>
          <w:color w:val="000000"/>
        </w:rPr>
        <w:t xml:space="preserve">(2) No person may cause, suffer, allow, or permit particulate matter emissions from any air contaminant source in excess of the following limits: </w:t>
      </w:r>
    </w:p>
    <w:p w14:paraId="0CA9F5D7" w14:textId="77777777" w:rsidR="00164F3F" w:rsidRPr="00164F3F" w:rsidRDefault="00164F3F" w:rsidP="00164F3F">
      <w:pPr>
        <w:pStyle w:val="NormalWeb"/>
        <w:rPr>
          <w:color w:val="000000"/>
        </w:rPr>
      </w:pPr>
      <w:r w:rsidRPr="00164F3F">
        <w:rPr>
          <w:rStyle w:val="ruletitle"/>
          <w:color w:val="000000"/>
        </w:rPr>
        <w:t xml:space="preserve">(a) For sources installed, constructed, or modified before June 1, 1970: </w:t>
      </w:r>
    </w:p>
    <w:p w14:paraId="6F48E0BD" w14:textId="77777777" w:rsidR="00164F3F" w:rsidRPr="00164F3F" w:rsidRDefault="00164F3F" w:rsidP="00164F3F">
      <w:pPr>
        <w:pStyle w:val="NormalWeb"/>
        <w:rPr>
          <w:color w:val="000000"/>
        </w:rPr>
      </w:pPr>
      <w:r w:rsidRPr="00164F3F">
        <w:rPr>
          <w:rStyle w:val="ruletitle"/>
          <w:color w:val="000000"/>
        </w:rPr>
        <w:t xml:space="preserve">(A) 0.10 grains per dry standard cubic foot provided that all representative compliance source test results collected prior to April 16, 2015, demonstrate emissions no greater than 0.080 grains per dry standard cubic foot; </w:t>
      </w:r>
    </w:p>
    <w:p w14:paraId="59E2B63C" w14:textId="77777777" w:rsidR="00164F3F" w:rsidRPr="00164F3F" w:rsidRDefault="00164F3F" w:rsidP="00164F3F">
      <w:pPr>
        <w:pStyle w:val="NormalWeb"/>
        <w:rPr>
          <w:color w:val="000000"/>
        </w:rPr>
      </w:pPr>
      <w:r w:rsidRPr="00164F3F">
        <w:rPr>
          <w:rStyle w:val="ruletitle"/>
          <w:color w:val="000000"/>
        </w:rPr>
        <w:t xml:space="preserve">(B) If any representative compliance source test results collected prior to April 16, 2015 demonstrate emissions greater than 0.080 grains per dry standard cubic foot, or if there are no representative compliance source test results, then: </w:t>
      </w:r>
    </w:p>
    <w:p w14:paraId="6975F423" w14:textId="77777777" w:rsidR="00164F3F" w:rsidRPr="00164F3F" w:rsidRDefault="00164F3F" w:rsidP="00164F3F">
      <w:pPr>
        <w:pStyle w:val="NormalWeb"/>
        <w:rPr>
          <w:color w:val="000000"/>
        </w:rPr>
      </w:pPr>
      <w:r w:rsidRPr="00164F3F">
        <w:rPr>
          <w:rStyle w:val="ruletitle"/>
          <w:color w:val="000000"/>
        </w:rPr>
        <w:t>(</w:t>
      </w:r>
      <w:proofErr w:type="spellStart"/>
      <w:r w:rsidRPr="00164F3F">
        <w:rPr>
          <w:rStyle w:val="ruletitle"/>
          <w:color w:val="000000"/>
        </w:rPr>
        <w:t>i</w:t>
      </w:r>
      <w:proofErr w:type="spellEnd"/>
      <w:r w:rsidRPr="00164F3F">
        <w:rPr>
          <w:rStyle w:val="ruletitle"/>
          <w:color w:val="000000"/>
        </w:rPr>
        <w:t xml:space="preserve">) 0.24 grains per dry standard cubic foot prior to Dec. 31, 2019; and </w:t>
      </w:r>
    </w:p>
    <w:p w14:paraId="6D23C279" w14:textId="77777777" w:rsidR="00164F3F" w:rsidRPr="00164F3F" w:rsidRDefault="00164F3F" w:rsidP="00164F3F">
      <w:pPr>
        <w:pStyle w:val="NormalWeb"/>
        <w:rPr>
          <w:color w:val="000000"/>
        </w:rPr>
      </w:pPr>
      <w:r w:rsidRPr="00164F3F">
        <w:rPr>
          <w:rStyle w:val="ruletitle"/>
          <w:color w:val="000000"/>
        </w:rPr>
        <w:t xml:space="preserve">(ii) 0.15 grains per dry standard cubic foot on or after Jan. 1, 2020; and </w:t>
      </w:r>
    </w:p>
    <w:p w14:paraId="0FE87B0B" w14:textId="77777777" w:rsidR="00164F3F" w:rsidRPr="00164F3F" w:rsidRDefault="00164F3F" w:rsidP="00164F3F">
      <w:pPr>
        <w:pStyle w:val="NormalWeb"/>
        <w:rPr>
          <w:color w:val="000000"/>
        </w:rPr>
      </w:pPr>
      <w:r w:rsidRPr="00164F3F">
        <w:rPr>
          <w:rStyle w:val="ruletitle"/>
          <w:color w:val="000000"/>
        </w:rPr>
        <w:t xml:space="preserve">(C) In addition to the limits in paragraphs (A) or (B), for equipment or a mode of operation that is used less than 876 hours per calendar year, 0.24 grains per dry standard cubic foot from April 16, 2015 through December 31, 2019, and 0.20 grains per dry standard cubic foot on or after Jan. 1, 2020. </w:t>
      </w:r>
    </w:p>
    <w:p w14:paraId="64C51BCD" w14:textId="77777777" w:rsidR="00164F3F" w:rsidRPr="00164F3F" w:rsidRDefault="00164F3F" w:rsidP="00164F3F">
      <w:pPr>
        <w:pStyle w:val="NormalWeb"/>
        <w:rPr>
          <w:color w:val="000000"/>
        </w:rPr>
      </w:pPr>
      <w:r w:rsidRPr="00164F3F">
        <w:rPr>
          <w:rStyle w:val="ruletitle"/>
          <w:color w:val="000000"/>
        </w:rPr>
        <w:t xml:space="preserve">(b) For sources installed, constructed, or modified on or after June 1, 1970 but prior to April 16, 2015: </w:t>
      </w:r>
    </w:p>
    <w:p w14:paraId="78C87A42" w14:textId="77777777" w:rsidR="00164F3F" w:rsidRPr="00164F3F" w:rsidRDefault="00164F3F" w:rsidP="00164F3F">
      <w:pPr>
        <w:pStyle w:val="NormalWeb"/>
        <w:rPr>
          <w:color w:val="000000"/>
        </w:rPr>
      </w:pPr>
      <w:r w:rsidRPr="00164F3F">
        <w:rPr>
          <w:rStyle w:val="ruletitle"/>
          <w:color w:val="000000"/>
        </w:rPr>
        <w:t xml:space="preserve">(A) 0.10 grains per dry standard cubic foot provided that all representative compliance source test results prior to April 16, 2015 demonstrate emissions no greater than 0.080 grains per dry standard cubic foot; or; </w:t>
      </w:r>
    </w:p>
    <w:p w14:paraId="3E0740AB" w14:textId="77777777" w:rsidR="00164F3F" w:rsidRPr="00164F3F" w:rsidRDefault="00164F3F" w:rsidP="00164F3F">
      <w:pPr>
        <w:pStyle w:val="NormalWeb"/>
        <w:rPr>
          <w:color w:val="000000"/>
        </w:rPr>
      </w:pPr>
      <w:r w:rsidRPr="00164F3F">
        <w:rPr>
          <w:rStyle w:val="ruletitle"/>
          <w:color w:val="000000"/>
        </w:rPr>
        <w:t xml:space="preserve">(B) If any representative compliance source test results prior to April 16, 2015 are greater than 0.080 grains per dry standard cubic foot, or if there are no representative compliance source test results, then 0.14 grains per dry standard cubic foot. </w:t>
      </w:r>
    </w:p>
    <w:p w14:paraId="3748C25A" w14:textId="77777777" w:rsidR="00164F3F" w:rsidRPr="00164F3F" w:rsidRDefault="00164F3F" w:rsidP="00164F3F">
      <w:pPr>
        <w:pStyle w:val="NormalWeb"/>
        <w:rPr>
          <w:color w:val="000000"/>
        </w:rPr>
      </w:pPr>
      <w:r w:rsidRPr="00164F3F">
        <w:rPr>
          <w:rStyle w:val="ruletitle"/>
          <w:color w:val="000000"/>
        </w:rPr>
        <w:t xml:space="preserve">(c) For sources installed, constructed or modified after April 16, 2015, 0.10 grains per dry standard cubic foot. </w:t>
      </w:r>
    </w:p>
    <w:p w14:paraId="7D54D58D" w14:textId="77777777" w:rsidR="00164F3F" w:rsidRPr="00164F3F" w:rsidRDefault="00164F3F" w:rsidP="00164F3F">
      <w:pPr>
        <w:pStyle w:val="NormalWeb"/>
        <w:rPr>
          <w:color w:val="000000"/>
        </w:rPr>
      </w:pPr>
      <w:r w:rsidRPr="00164F3F">
        <w:rPr>
          <w:rStyle w:val="ruletitle"/>
          <w:color w:val="000000"/>
        </w:rPr>
        <w:t>(d) The owner or operator of a source installed, constructed, or modified before June 1, 1970 who is unable to comply with the standard in subparagraph (a</w:t>
      </w:r>
      <w:proofErr w:type="gramStart"/>
      <w:r w:rsidRPr="00164F3F">
        <w:rPr>
          <w:rStyle w:val="ruletitle"/>
          <w:color w:val="000000"/>
        </w:rPr>
        <w:t>)(</w:t>
      </w:r>
      <w:proofErr w:type="gramEnd"/>
      <w:r w:rsidRPr="00164F3F">
        <w:rPr>
          <w:rStyle w:val="ruletitle"/>
          <w:color w:val="000000"/>
        </w:rPr>
        <w:t xml:space="preserve">B)(ii) may request that DEQ </w:t>
      </w:r>
      <w:r w:rsidRPr="00164F3F">
        <w:rPr>
          <w:rStyle w:val="ruletitle"/>
          <w:color w:val="000000"/>
        </w:rPr>
        <w:lastRenderedPageBreak/>
        <w:t xml:space="preserve">grant an extension allowing the source up to one additional year to comply with the standard. The request for an extension must be submitted no later than Oct. 1, 2019. </w:t>
      </w:r>
    </w:p>
    <w:p w14:paraId="3A9180C7" w14:textId="77777777" w:rsidR="00164F3F" w:rsidRPr="00164F3F" w:rsidRDefault="00164F3F" w:rsidP="00164F3F">
      <w:pPr>
        <w:pStyle w:val="NormalWeb"/>
        <w:rPr>
          <w:color w:val="000000"/>
        </w:rPr>
      </w:pPr>
      <w:r w:rsidRPr="00164F3F">
        <w:rPr>
          <w:rStyle w:val="ruletitle"/>
          <w:color w:val="000000"/>
        </w:rPr>
        <w:t xml:space="preserve">(3) Compliance with the emissions standards in section (2) is determined using: </w:t>
      </w:r>
    </w:p>
    <w:p w14:paraId="7B062430" w14:textId="77777777" w:rsidR="00164F3F" w:rsidRPr="00164F3F" w:rsidRDefault="00164F3F" w:rsidP="00164F3F">
      <w:pPr>
        <w:pStyle w:val="NormalWeb"/>
        <w:rPr>
          <w:color w:val="000000"/>
        </w:rPr>
      </w:pPr>
      <w:r w:rsidRPr="00164F3F">
        <w:rPr>
          <w:rStyle w:val="ruletitle"/>
          <w:color w:val="000000"/>
        </w:rPr>
        <w:t xml:space="preserve">(a) Oregon Method 5; </w:t>
      </w:r>
    </w:p>
    <w:p w14:paraId="35A733BC" w14:textId="77777777" w:rsidR="00164F3F" w:rsidRPr="00164F3F" w:rsidRDefault="00164F3F" w:rsidP="00164F3F">
      <w:pPr>
        <w:pStyle w:val="NormalWeb"/>
        <w:rPr>
          <w:color w:val="000000"/>
        </w:rPr>
      </w:pPr>
      <w:r w:rsidRPr="00164F3F">
        <w:rPr>
          <w:rStyle w:val="ruletitle"/>
          <w:color w:val="000000"/>
        </w:rPr>
        <w:t xml:space="preserve">(b) DEQ Method 8, as approved by DEQ for sources with exhaust gases at or near ambient conditions; </w:t>
      </w:r>
    </w:p>
    <w:p w14:paraId="6A787528" w14:textId="77777777" w:rsidR="00164F3F" w:rsidRPr="00164F3F" w:rsidRDefault="00164F3F" w:rsidP="00164F3F">
      <w:pPr>
        <w:pStyle w:val="NormalWeb"/>
        <w:rPr>
          <w:color w:val="000000"/>
        </w:rPr>
      </w:pPr>
      <w:r w:rsidRPr="00164F3F">
        <w:rPr>
          <w:rStyle w:val="ruletitle"/>
          <w:color w:val="000000"/>
        </w:rPr>
        <w:t xml:space="preserve">(c) DEQ Method 7 for direct heat transfer sources; or </w:t>
      </w:r>
    </w:p>
    <w:p w14:paraId="2A3372C6" w14:textId="77777777" w:rsidR="00164F3F" w:rsidRPr="00164F3F" w:rsidRDefault="00164F3F" w:rsidP="00164F3F">
      <w:pPr>
        <w:pStyle w:val="NormalWeb"/>
        <w:rPr>
          <w:color w:val="000000"/>
        </w:rPr>
      </w:pPr>
      <w:r w:rsidRPr="00164F3F">
        <w:rPr>
          <w:rStyle w:val="ruletitle"/>
          <w:color w:val="000000"/>
        </w:rPr>
        <w:t xml:space="preserve">(d) An alternative method approved by DEQ. </w:t>
      </w:r>
    </w:p>
    <w:p w14:paraId="12C6D758" w14:textId="77777777" w:rsidR="00164F3F" w:rsidRPr="00164F3F" w:rsidRDefault="00164F3F" w:rsidP="00164F3F">
      <w:pPr>
        <w:pStyle w:val="NormalWeb"/>
        <w:rPr>
          <w:color w:val="000000"/>
        </w:rPr>
      </w:pPr>
      <w:r w:rsidRPr="00164F3F">
        <w:rPr>
          <w:rStyle w:val="ruletitle"/>
          <w:color w:val="000000"/>
        </w:rPr>
        <w:t xml:space="preserve">(e) For purposes of this rule, representative compliance source test results are data that was obtained: </w:t>
      </w:r>
    </w:p>
    <w:p w14:paraId="71401465" w14:textId="77777777" w:rsidR="00164F3F" w:rsidRPr="00164F3F" w:rsidRDefault="00164F3F" w:rsidP="00164F3F">
      <w:pPr>
        <w:pStyle w:val="NormalWeb"/>
        <w:rPr>
          <w:color w:val="000000"/>
        </w:rPr>
      </w:pPr>
      <w:r w:rsidRPr="00164F3F">
        <w:rPr>
          <w:rStyle w:val="ruletitle"/>
          <w:color w:val="000000"/>
        </w:rPr>
        <w:t xml:space="preserve">(A) No more than ten years before April 16, 2015; and </w:t>
      </w:r>
    </w:p>
    <w:p w14:paraId="425B6732" w14:textId="77777777" w:rsidR="00164F3F" w:rsidRPr="00164F3F" w:rsidRDefault="00164F3F" w:rsidP="00164F3F">
      <w:pPr>
        <w:pStyle w:val="NormalWeb"/>
        <w:rPr>
          <w:color w:val="000000"/>
        </w:rPr>
      </w:pPr>
      <w:r w:rsidRPr="00164F3F">
        <w:rPr>
          <w:rStyle w:val="ruletitle"/>
          <w:color w:val="000000"/>
        </w:rPr>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p w14:paraId="4792B06C"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6186EF1B" w14:textId="77777777" w:rsidR="00164F3F" w:rsidRPr="00164F3F" w:rsidRDefault="00164F3F" w:rsidP="00164F3F">
      <w:pPr>
        <w:pStyle w:val="NormalWeb"/>
        <w:rPr>
          <w:color w:val="000000"/>
        </w:rPr>
      </w:pPr>
      <w:r w:rsidRPr="00164F3F">
        <w:rPr>
          <w:rStyle w:val="notesetup"/>
          <w:color w:val="000000"/>
        </w:rPr>
        <w:t xml:space="preserve">Stat. Auth.: ORS 468.020, 468A.025 &amp; 468A.070 </w:t>
      </w:r>
      <w:r w:rsidRPr="00164F3F">
        <w:rPr>
          <w:color w:val="000000"/>
        </w:rPr>
        <w:br/>
      </w:r>
      <w:r w:rsidRPr="00164F3F">
        <w:rPr>
          <w:rStyle w:val="notesetup"/>
          <w:color w:val="000000"/>
        </w:rPr>
        <w:t xml:space="preserve">Stats. Implemented: ORS 468A.025 &amp; 468A.070 </w:t>
      </w:r>
      <w:r w:rsidRPr="00164F3F">
        <w:rPr>
          <w:color w:val="000000"/>
        </w:rPr>
        <w:br/>
      </w:r>
      <w:r w:rsidRPr="00164F3F">
        <w:rPr>
          <w:rStyle w:val="notesetup"/>
          <w:color w:val="000000"/>
        </w:rPr>
        <w:t>Hist.: DEQ 37, f. 2-15-72, ef. 3-1-72; DEQ 4-1993, f. &amp; cert. ef. 3-10-93; DEQ 3-1996, f. &amp; cert. ef. 1-29-96; DEQ 14-1999, f. &amp; cert. ef. 10-14-99, Renumbered from 340-021-0030; DEQ 6-2001, f. 6-18-01, cert. ef. 7-1-01; DEQ 7-2015, f. &amp; cert. ef. 4-16-15</w:t>
      </w:r>
    </w:p>
    <w:p w14:paraId="108FD0C7" w14:textId="77777777" w:rsidR="00164F3F" w:rsidRPr="00164F3F" w:rsidRDefault="00164F3F" w:rsidP="00164F3F">
      <w:pPr>
        <w:pStyle w:val="NormalWeb"/>
        <w:jc w:val="center"/>
        <w:rPr>
          <w:color w:val="000000"/>
        </w:rPr>
      </w:pPr>
      <w:r w:rsidRPr="00164F3F">
        <w:rPr>
          <w:rStyle w:val="tofcsubtitle"/>
          <w:b/>
          <w:bCs/>
          <w:color w:val="000000"/>
        </w:rPr>
        <w:t>Particulate Emissions from Process Equipment</w:t>
      </w:r>
    </w:p>
    <w:p w14:paraId="78492055" w14:textId="77777777" w:rsidR="00164F3F" w:rsidRPr="00164F3F" w:rsidRDefault="00164F3F" w:rsidP="00164F3F">
      <w:pPr>
        <w:pStyle w:val="NormalWeb"/>
        <w:rPr>
          <w:color w:val="000000"/>
        </w:rPr>
      </w:pPr>
      <w:r w:rsidRPr="00164F3F">
        <w:rPr>
          <w:rStyle w:val="tofcheader"/>
          <w:b/>
          <w:bCs/>
          <w:color w:val="000000"/>
        </w:rPr>
        <w:t>340-226-0300</w:t>
      </w:r>
    </w:p>
    <w:p w14:paraId="286A4601" w14:textId="77777777" w:rsidR="00164F3F" w:rsidRPr="00164F3F" w:rsidRDefault="00164F3F" w:rsidP="00164F3F">
      <w:pPr>
        <w:pStyle w:val="NormalWeb"/>
        <w:rPr>
          <w:color w:val="000000"/>
        </w:rPr>
      </w:pPr>
      <w:r w:rsidRPr="00164F3F">
        <w:rPr>
          <w:rStyle w:val="rulenumber"/>
          <w:b/>
          <w:bCs/>
          <w:color w:val="000000"/>
        </w:rPr>
        <w:t>Applicability</w:t>
      </w:r>
    </w:p>
    <w:p w14:paraId="100C6836" w14:textId="77777777" w:rsidR="00164F3F" w:rsidRPr="00164F3F" w:rsidRDefault="00164F3F" w:rsidP="00164F3F">
      <w:pPr>
        <w:pStyle w:val="NormalWeb"/>
        <w:rPr>
          <w:color w:val="000000"/>
        </w:rPr>
      </w:pPr>
      <w:r w:rsidRPr="00164F3F">
        <w:rPr>
          <w:rStyle w:val="ruletitle"/>
          <w:color w:val="000000"/>
        </w:rPr>
        <w:t xml:space="preserve">OAR 340-226-0300 through 340-226-0320 apply to all non-fugitive emissions from the following process equipment: </w:t>
      </w:r>
    </w:p>
    <w:p w14:paraId="47069CE9" w14:textId="77777777" w:rsidR="00164F3F" w:rsidRPr="00164F3F" w:rsidRDefault="00164F3F" w:rsidP="00164F3F">
      <w:pPr>
        <w:pStyle w:val="NormalWeb"/>
        <w:rPr>
          <w:color w:val="000000"/>
        </w:rPr>
      </w:pPr>
      <w:r w:rsidRPr="00164F3F">
        <w:rPr>
          <w:rStyle w:val="ruletitle"/>
          <w:color w:val="000000"/>
        </w:rPr>
        <w:t xml:space="preserve">(1) Inertial separators without baghouses; </w:t>
      </w:r>
    </w:p>
    <w:p w14:paraId="63BE6072" w14:textId="77777777" w:rsidR="00164F3F" w:rsidRPr="00164F3F" w:rsidRDefault="00164F3F" w:rsidP="00164F3F">
      <w:pPr>
        <w:pStyle w:val="NormalWeb"/>
        <w:rPr>
          <w:color w:val="000000"/>
        </w:rPr>
      </w:pPr>
      <w:r w:rsidRPr="00164F3F">
        <w:rPr>
          <w:rStyle w:val="ruletitle"/>
          <w:color w:val="000000"/>
        </w:rPr>
        <w:t xml:space="preserve">(2) </w:t>
      </w:r>
      <w:proofErr w:type="spellStart"/>
      <w:r w:rsidRPr="00164F3F">
        <w:rPr>
          <w:rStyle w:val="ruletitle"/>
          <w:color w:val="000000"/>
        </w:rPr>
        <w:t>Calciners</w:t>
      </w:r>
      <w:proofErr w:type="spellEnd"/>
      <w:r w:rsidRPr="00164F3F">
        <w:rPr>
          <w:rStyle w:val="ruletitle"/>
          <w:color w:val="000000"/>
        </w:rPr>
        <w:t xml:space="preserve">; </w:t>
      </w:r>
    </w:p>
    <w:p w14:paraId="1986F266" w14:textId="77777777" w:rsidR="00164F3F" w:rsidRPr="00164F3F" w:rsidRDefault="00164F3F" w:rsidP="00164F3F">
      <w:pPr>
        <w:pStyle w:val="NormalWeb"/>
        <w:rPr>
          <w:color w:val="000000"/>
        </w:rPr>
      </w:pPr>
      <w:r w:rsidRPr="00164F3F">
        <w:rPr>
          <w:rStyle w:val="ruletitle"/>
          <w:color w:val="000000"/>
        </w:rPr>
        <w:t xml:space="preserve">(3) Material dryers; </w:t>
      </w:r>
    </w:p>
    <w:p w14:paraId="690DE5A1" w14:textId="77777777" w:rsidR="00164F3F" w:rsidRPr="00164F3F" w:rsidRDefault="00164F3F" w:rsidP="00164F3F">
      <w:pPr>
        <w:pStyle w:val="NormalWeb"/>
        <w:rPr>
          <w:color w:val="000000"/>
        </w:rPr>
      </w:pPr>
      <w:r w:rsidRPr="00164F3F">
        <w:rPr>
          <w:rStyle w:val="ruletitle"/>
          <w:color w:val="000000"/>
        </w:rPr>
        <w:lastRenderedPageBreak/>
        <w:t xml:space="preserve">(4) Material classifiers; </w:t>
      </w:r>
    </w:p>
    <w:p w14:paraId="552F42A1" w14:textId="77777777" w:rsidR="00164F3F" w:rsidRPr="00164F3F" w:rsidRDefault="00164F3F" w:rsidP="00164F3F">
      <w:pPr>
        <w:pStyle w:val="NormalWeb"/>
        <w:rPr>
          <w:color w:val="000000"/>
        </w:rPr>
      </w:pPr>
      <w:r w:rsidRPr="00164F3F">
        <w:rPr>
          <w:rStyle w:val="ruletitle"/>
          <w:color w:val="000000"/>
        </w:rPr>
        <w:t xml:space="preserve">(5) Conveyors; </w:t>
      </w:r>
    </w:p>
    <w:p w14:paraId="111BFEF8" w14:textId="77777777" w:rsidR="00164F3F" w:rsidRPr="00164F3F" w:rsidRDefault="00164F3F" w:rsidP="00164F3F">
      <w:pPr>
        <w:pStyle w:val="NormalWeb"/>
        <w:rPr>
          <w:color w:val="000000"/>
        </w:rPr>
      </w:pPr>
      <w:r w:rsidRPr="00164F3F">
        <w:rPr>
          <w:rStyle w:val="ruletitle"/>
          <w:color w:val="000000"/>
        </w:rPr>
        <w:t xml:space="preserve">(6) Size reduction equipment; </w:t>
      </w:r>
    </w:p>
    <w:p w14:paraId="7A1139D2" w14:textId="77777777" w:rsidR="00164F3F" w:rsidRPr="00164F3F" w:rsidRDefault="00164F3F" w:rsidP="00164F3F">
      <w:pPr>
        <w:pStyle w:val="NormalWeb"/>
        <w:rPr>
          <w:color w:val="000000"/>
        </w:rPr>
      </w:pPr>
      <w:r w:rsidRPr="00164F3F">
        <w:rPr>
          <w:rStyle w:val="ruletitle"/>
          <w:color w:val="000000"/>
        </w:rPr>
        <w:t xml:space="preserve">(7) Material storage structures; </w:t>
      </w:r>
    </w:p>
    <w:p w14:paraId="01E4234E" w14:textId="77777777" w:rsidR="00164F3F" w:rsidRPr="00164F3F" w:rsidRDefault="00164F3F" w:rsidP="00164F3F">
      <w:pPr>
        <w:pStyle w:val="NormalWeb"/>
        <w:rPr>
          <w:color w:val="000000"/>
        </w:rPr>
      </w:pPr>
      <w:r w:rsidRPr="00164F3F">
        <w:rPr>
          <w:rStyle w:val="ruletitle"/>
          <w:color w:val="000000"/>
        </w:rPr>
        <w:t xml:space="preserve">(8) Seed cleaning devices; and </w:t>
      </w:r>
    </w:p>
    <w:p w14:paraId="282B1E1C" w14:textId="77777777" w:rsidR="00164F3F" w:rsidRPr="00164F3F" w:rsidRDefault="00164F3F" w:rsidP="00164F3F">
      <w:pPr>
        <w:pStyle w:val="NormalWeb"/>
        <w:rPr>
          <w:color w:val="000000"/>
        </w:rPr>
      </w:pPr>
      <w:r w:rsidRPr="00164F3F">
        <w:rPr>
          <w:rStyle w:val="ruletitle"/>
          <w:color w:val="000000"/>
        </w:rPr>
        <w:t>(9) Equipment other than that for which specific emission standards have been adopted.</w:t>
      </w:r>
    </w:p>
    <w:p w14:paraId="192EE98D" w14:textId="77777777" w:rsidR="00164F3F" w:rsidRPr="00164F3F" w:rsidRDefault="00164F3F" w:rsidP="00164F3F">
      <w:pPr>
        <w:pStyle w:val="NormalWeb"/>
        <w:rPr>
          <w:color w:val="000000"/>
        </w:rPr>
      </w:pPr>
      <w:r w:rsidRPr="00164F3F">
        <w:rPr>
          <w:rStyle w:val="notesetup"/>
          <w:color w:val="000000"/>
        </w:rPr>
        <w:t xml:space="preserve">Stat. Auth.: ORS 468 &amp; 468A </w:t>
      </w:r>
      <w:r w:rsidRPr="00164F3F">
        <w:rPr>
          <w:color w:val="000000"/>
        </w:rPr>
        <w:br/>
      </w:r>
      <w:r w:rsidRPr="00164F3F">
        <w:rPr>
          <w:rStyle w:val="notesetup"/>
          <w:color w:val="000000"/>
        </w:rPr>
        <w:t xml:space="preserve">Stats. Implemented: ORS 468.020 &amp; 468A.025 </w:t>
      </w:r>
      <w:r w:rsidRPr="00164F3F">
        <w:rPr>
          <w:color w:val="000000"/>
        </w:rPr>
        <w:br/>
      </w:r>
      <w:r w:rsidRPr="00164F3F">
        <w:rPr>
          <w:rStyle w:val="notesetup"/>
          <w:color w:val="000000"/>
        </w:rPr>
        <w:t>Hist.: DEQ 37, f. 2-15-72, ef. 3-1-72; DEQ 4-1993, f. &amp; cert. ef. 3-10-93; DEQ 3-1996, f. &amp; cert. ef. 1-29-96; DEQ 14-1999, f. &amp; cert. ef. 10-14-99, Renumbered from 340-021-0035; DEQ 6-2001, f. 6-18-01, cert. ef. 7-1-01</w:t>
      </w:r>
    </w:p>
    <w:p w14:paraId="37C27461" w14:textId="77777777" w:rsidR="00164F3F" w:rsidRPr="00164F3F" w:rsidRDefault="00164F3F" w:rsidP="00164F3F">
      <w:pPr>
        <w:pStyle w:val="NormalWeb"/>
        <w:rPr>
          <w:color w:val="000000"/>
        </w:rPr>
      </w:pPr>
      <w:r w:rsidRPr="00164F3F">
        <w:rPr>
          <w:rStyle w:val="tofcheader"/>
          <w:b/>
          <w:bCs/>
          <w:color w:val="000000"/>
        </w:rPr>
        <w:t>340-226-0310</w:t>
      </w:r>
    </w:p>
    <w:p w14:paraId="39F782E2" w14:textId="77777777" w:rsidR="00164F3F" w:rsidRPr="00164F3F" w:rsidRDefault="00164F3F" w:rsidP="00164F3F">
      <w:pPr>
        <w:pStyle w:val="NormalWeb"/>
        <w:rPr>
          <w:color w:val="000000"/>
        </w:rPr>
      </w:pPr>
      <w:r w:rsidRPr="00164F3F">
        <w:rPr>
          <w:rStyle w:val="rulenumber"/>
          <w:b/>
          <w:bCs/>
          <w:color w:val="000000"/>
        </w:rPr>
        <w:t>Emission Standard</w:t>
      </w:r>
    </w:p>
    <w:p w14:paraId="6764E32D" w14:textId="77777777" w:rsidR="00164F3F" w:rsidRPr="00164F3F" w:rsidRDefault="00164F3F" w:rsidP="00164F3F">
      <w:pPr>
        <w:pStyle w:val="NormalWeb"/>
        <w:rPr>
          <w:color w:val="000000"/>
        </w:rPr>
      </w:pPr>
      <w:r w:rsidRPr="00164F3F">
        <w:rPr>
          <w:rStyle w:val="ruletitle"/>
          <w:color w:val="000000"/>
        </w:rPr>
        <w:t xml:space="preserve">No person may cause, suffer, allow, or permit the emissions of particulate matter in any one hour from any process in excess of the amount shown in OAR 340-226-8010, for the process weight rate allocated to such process. </w:t>
      </w:r>
    </w:p>
    <w:p w14:paraId="246C35B4"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14:paraId="6654F3A2" w14:textId="77777777" w:rsidR="00164F3F" w:rsidRPr="00164F3F" w:rsidRDefault="00164F3F" w:rsidP="00164F3F">
      <w:pPr>
        <w:pStyle w:val="NormalWeb"/>
        <w:rPr>
          <w:color w:val="000000"/>
        </w:rPr>
      </w:pPr>
      <w:r w:rsidRPr="00164F3F">
        <w:rPr>
          <w:rStyle w:val="notesetup"/>
          <w:color w:val="000000"/>
        </w:rPr>
        <w:t xml:space="preserve">Stat. Auth.: ORS 468.020,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37, f. 2-15-72, ef. 3-1-72; DEQ 4-1993, f. &amp; cert. ef. 3-10-93; DEQ 14-1999, f. &amp; cert. ef. 10-14-99, Renumbered from 340-021-0040; DEQ 6-2001, f. 6-18-01, cert. ef. 7-1-01; DEQ 7-2015, f. &amp; cert. ef. 4-16-15</w:t>
      </w:r>
    </w:p>
    <w:p w14:paraId="6413855C" w14:textId="77777777" w:rsidR="00164F3F" w:rsidRPr="00164F3F" w:rsidRDefault="00164F3F" w:rsidP="00164F3F">
      <w:pPr>
        <w:pStyle w:val="NormalWeb"/>
        <w:rPr>
          <w:color w:val="000000"/>
        </w:rPr>
      </w:pPr>
      <w:r w:rsidRPr="00164F3F">
        <w:rPr>
          <w:rStyle w:val="tofcheader"/>
          <w:b/>
          <w:bCs/>
          <w:color w:val="000000"/>
        </w:rPr>
        <w:t>340-226-0320</w:t>
      </w:r>
    </w:p>
    <w:p w14:paraId="5BF00FC2" w14:textId="77777777" w:rsidR="00164F3F" w:rsidRPr="00164F3F" w:rsidRDefault="00164F3F" w:rsidP="00164F3F">
      <w:pPr>
        <w:pStyle w:val="NormalWeb"/>
        <w:rPr>
          <w:color w:val="000000"/>
        </w:rPr>
      </w:pPr>
      <w:r w:rsidRPr="00164F3F">
        <w:rPr>
          <w:rStyle w:val="rulenumber"/>
          <w:b/>
          <w:bCs/>
          <w:color w:val="000000"/>
        </w:rPr>
        <w:t>Determination of Process Weight</w:t>
      </w:r>
    </w:p>
    <w:p w14:paraId="2399708D" w14:textId="77777777" w:rsidR="00164F3F" w:rsidRPr="00164F3F" w:rsidRDefault="00164F3F" w:rsidP="00164F3F">
      <w:pPr>
        <w:pStyle w:val="NormalWeb"/>
        <w:rPr>
          <w:color w:val="000000"/>
        </w:rPr>
      </w:pPr>
      <w:r w:rsidRPr="00164F3F">
        <w:rPr>
          <w:rStyle w:val="ruletitle"/>
          <w:color w:val="000000"/>
        </w:rPr>
        <w:t xml:space="preserve">(1) Process weight is the total weight of all materials introduced into a piece of process equipment. Solid fuels charged are considered part of the process weight, but liquid and gaseous fuels and combustion air are not. </w:t>
      </w:r>
    </w:p>
    <w:p w14:paraId="507F9A5A" w14:textId="77777777" w:rsidR="00164F3F" w:rsidRPr="00164F3F" w:rsidRDefault="00164F3F" w:rsidP="00164F3F">
      <w:pPr>
        <w:pStyle w:val="NormalWeb"/>
        <w:rPr>
          <w:color w:val="000000"/>
        </w:rPr>
      </w:pPr>
      <w:r w:rsidRPr="00164F3F">
        <w:rPr>
          <w:rStyle w:val="ruletitle"/>
          <w:color w:val="000000"/>
        </w:rPr>
        <w:t xml:space="preserve">(a) For a cyclical or batch operation, the process weight per hour is derived by dividing the total process weight by the number of hours in one complete operation, excluding any time during which the equipment is idle. </w:t>
      </w:r>
    </w:p>
    <w:p w14:paraId="4A515353" w14:textId="77777777" w:rsidR="00164F3F" w:rsidRPr="00164F3F" w:rsidRDefault="00164F3F" w:rsidP="00164F3F">
      <w:pPr>
        <w:pStyle w:val="NormalWeb"/>
        <w:rPr>
          <w:color w:val="000000"/>
        </w:rPr>
      </w:pPr>
      <w:r w:rsidRPr="00164F3F">
        <w:rPr>
          <w:rStyle w:val="ruletitle"/>
          <w:color w:val="000000"/>
        </w:rPr>
        <w:lastRenderedPageBreak/>
        <w:t xml:space="preserve">(b) For a continuous operation, the process weight per hour is derived by dividing the process weight by a typical period of time, as approved by DEQ. </w:t>
      </w:r>
    </w:p>
    <w:p w14:paraId="2CF66ED2" w14:textId="77777777" w:rsidR="00164F3F" w:rsidRPr="00164F3F" w:rsidRDefault="00164F3F" w:rsidP="00164F3F">
      <w:pPr>
        <w:pStyle w:val="NormalWeb"/>
        <w:rPr>
          <w:color w:val="000000"/>
        </w:rPr>
      </w:pPr>
      <w:r w:rsidRPr="00164F3F">
        <w:rPr>
          <w:rStyle w:val="ruletitle"/>
          <w:color w:val="000000"/>
        </w:rPr>
        <w:t xml:space="preserve">(2) Where the nature of any process or operation or the design of any equipment permits more than one interpretation of this rule, the interpretation that results in the minimum value for allowable emission applies. </w:t>
      </w:r>
    </w:p>
    <w:p w14:paraId="050635B3"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14:paraId="5A46CB79" w14:textId="77777777" w:rsidR="00164F3F" w:rsidRPr="00164F3F" w:rsidRDefault="00164F3F" w:rsidP="00164F3F">
      <w:pPr>
        <w:pStyle w:val="NormalWeb"/>
        <w:rPr>
          <w:color w:val="000000"/>
        </w:rPr>
      </w:pPr>
      <w:r w:rsidRPr="00164F3F">
        <w:rPr>
          <w:rStyle w:val="notesetup"/>
          <w:color w:val="000000"/>
        </w:rPr>
        <w:t xml:space="preserve">Stat. Auth.: ORS 468.020, 468A.025 &amp; 468A.070 </w:t>
      </w:r>
      <w:r w:rsidRPr="00164F3F">
        <w:rPr>
          <w:color w:val="000000"/>
        </w:rPr>
        <w:br/>
      </w:r>
      <w:r w:rsidRPr="00164F3F">
        <w:rPr>
          <w:rStyle w:val="notesetup"/>
          <w:color w:val="000000"/>
        </w:rPr>
        <w:t xml:space="preserve">Stats. Implemented: ORS 468A.025 &amp; 468A.070 </w:t>
      </w:r>
      <w:r w:rsidRPr="00164F3F">
        <w:rPr>
          <w:color w:val="000000"/>
        </w:rPr>
        <w:br/>
      </w:r>
      <w:r w:rsidRPr="00164F3F">
        <w:rPr>
          <w:rStyle w:val="notesetup"/>
          <w:color w:val="000000"/>
        </w:rPr>
        <w:t>Hist.: DEQ 37, f. 2-15-72, ef. 3-1-72; DEQ 4-1993, f. &amp; cert. ef. 3-10-93; DEQ 3-1996, f. &amp; cert. ef. 1-29-96; DEQ 14-1999, f. &amp; cert. ef. 10-14-99, Renumbered from 340-021-0045; DEQ 6-2001, f. 6-18-01, cert. ef. 7-1-01; DEQ 7-2015, f. &amp; cert. ef. 4-16-15</w:t>
      </w:r>
    </w:p>
    <w:p w14:paraId="68F8CAAE" w14:textId="77777777" w:rsidR="00164F3F" w:rsidRPr="00164F3F" w:rsidRDefault="00164F3F" w:rsidP="00164F3F">
      <w:pPr>
        <w:pStyle w:val="NormalWeb"/>
        <w:jc w:val="center"/>
        <w:rPr>
          <w:color w:val="000000"/>
        </w:rPr>
      </w:pPr>
      <w:r w:rsidRPr="00164F3F">
        <w:rPr>
          <w:rStyle w:val="tofcsubtitle"/>
          <w:b/>
          <w:bCs/>
          <w:color w:val="000000"/>
        </w:rPr>
        <w:t>Alternative Emission Controls</w:t>
      </w:r>
    </w:p>
    <w:p w14:paraId="2B845A5E" w14:textId="77777777" w:rsidR="00164F3F" w:rsidRPr="00164F3F" w:rsidRDefault="00164F3F" w:rsidP="00164F3F">
      <w:pPr>
        <w:pStyle w:val="NormalWeb"/>
        <w:rPr>
          <w:color w:val="000000"/>
        </w:rPr>
      </w:pPr>
      <w:r w:rsidRPr="00164F3F">
        <w:rPr>
          <w:rStyle w:val="tofcheader"/>
          <w:b/>
          <w:bCs/>
          <w:color w:val="000000"/>
        </w:rPr>
        <w:t>340-226-0400</w:t>
      </w:r>
    </w:p>
    <w:p w14:paraId="0F8B83DF" w14:textId="77777777" w:rsidR="00164F3F" w:rsidRPr="00164F3F" w:rsidRDefault="00164F3F" w:rsidP="00164F3F">
      <w:pPr>
        <w:pStyle w:val="NormalWeb"/>
        <w:rPr>
          <w:color w:val="000000"/>
        </w:rPr>
      </w:pPr>
      <w:r w:rsidRPr="00164F3F">
        <w:rPr>
          <w:rStyle w:val="rulenumber"/>
          <w:b/>
          <w:bCs/>
          <w:color w:val="000000"/>
        </w:rPr>
        <w:t>Alternative Emission Controls (Bubble)</w:t>
      </w:r>
    </w:p>
    <w:p w14:paraId="764EAC91" w14:textId="77777777" w:rsidR="00164F3F" w:rsidRPr="00164F3F" w:rsidRDefault="00164F3F" w:rsidP="00164F3F">
      <w:pPr>
        <w:pStyle w:val="NormalWeb"/>
        <w:rPr>
          <w:color w:val="000000"/>
        </w:rPr>
      </w:pPr>
      <w:r w:rsidRPr="00164F3F">
        <w:rPr>
          <w:rStyle w:val="ruletitle"/>
          <w:color w:val="000000"/>
        </w:rPr>
        <w:t xml:space="preserve">(1) DEQ may approve alternative emission controls for VOC and NOx emissions in a Standard ACDP or Oregon Title V Operating Permit for use within a single source such that a specific emission limit is exceeded, provided that: </w:t>
      </w:r>
    </w:p>
    <w:p w14:paraId="433F3D79" w14:textId="77777777" w:rsidR="00164F3F" w:rsidRPr="00164F3F" w:rsidRDefault="00164F3F" w:rsidP="00164F3F">
      <w:pPr>
        <w:pStyle w:val="NormalWeb"/>
        <w:rPr>
          <w:color w:val="000000"/>
        </w:rPr>
      </w:pPr>
      <w:r w:rsidRPr="00164F3F">
        <w:rPr>
          <w:rStyle w:val="ruletitle"/>
          <w:color w:val="000000"/>
        </w:rPr>
        <w:t xml:space="preserve">(a) Such alternatives are not specifically prohibited by a rule or permit condition. </w:t>
      </w:r>
    </w:p>
    <w:p w14:paraId="6C261C1A" w14:textId="77777777" w:rsidR="00164F3F" w:rsidRPr="00164F3F" w:rsidRDefault="00164F3F" w:rsidP="00164F3F">
      <w:pPr>
        <w:pStyle w:val="NormalWeb"/>
        <w:rPr>
          <w:color w:val="000000"/>
        </w:rPr>
      </w:pPr>
      <w:r w:rsidRPr="00164F3F">
        <w:rPr>
          <w:rStyle w:val="ruletitle"/>
          <w:color w:val="000000"/>
        </w:rPr>
        <w:t xml:space="preserve">(b) Net total emissions for each regulated pollutant from all emissions units involved (i.e., “under the bubble”) are not increased above the PSEL. </w:t>
      </w:r>
    </w:p>
    <w:p w14:paraId="0D1106C9" w14:textId="77777777" w:rsidR="00164F3F" w:rsidRPr="00164F3F" w:rsidRDefault="00164F3F" w:rsidP="00164F3F">
      <w:pPr>
        <w:pStyle w:val="NormalWeb"/>
        <w:rPr>
          <w:color w:val="000000"/>
        </w:rPr>
      </w:pPr>
      <w:r w:rsidRPr="00164F3F">
        <w:rPr>
          <w:rStyle w:val="ruletitle"/>
          <w:color w:val="000000"/>
        </w:rPr>
        <w:t xml:space="preserve">(c) The owner or operator of the source demonstrates the net air quality benefit under OAR 340-224-0520. </w:t>
      </w:r>
    </w:p>
    <w:p w14:paraId="613E11E0" w14:textId="77777777" w:rsidR="00164F3F" w:rsidRPr="00164F3F" w:rsidRDefault="00164F3F" w:rsidP="00164F3F">
      <w:pPr>
        <w:pStyle w:val="NormalWeb"/>
        <w:rPr>
          <w:color w:val="000000"/>
        </w:rPr>
      </w:pPr>
      <w:r w:rsidRPr="00164F3F">
        <w:rPr>
          <w:rStyle w:val="ruletitle"/>
          <w:color w:val="000000"/>
        </w:rPr>
        <w:t xml:space="preserve">(d) No other air contaminants including malodorous, toxic or hazardous pollutants are substituted. </w:t>
      </w:r>
    </w:p>
    <w:p w14:paraId="2540BBCF" w14:textId="77777777" w:rsidR="00164F3F" w:rsidRPr="00164F3F" w:rsidRDefault="00164F3F" w:rsidP="00164F3F">
      <w:pPr>
        <w:pStyle w:val="NormalWeb"/>
        <w:rPr>
          <w:color w:val="000000"/>
        </w:rPr>
      </w:pPr>
      <w:r w:rsidRPr="00164F3F">
        <w:rPr>
          <w:rStyle w:val="ruletitle"/>
          <w:color w:val="000000"/>
        </w:rPr>
        <w:t xml:space="preserve">(e) BACT and LAER, where required by a previously issued permit pursuant to OAR 340 division 224 (NSR), OAR 340 division 238 (NSPS), and OAR 340 division 244 (NESHAP), where required, are not relaxed; </w:t>
      </w:r>
    </w:p>
    <w:p w14:paraId="3F71AA39" w14:textId="77777777" w:rsidR="00164F3F" w:rsidRPr="00164F3F" w:rsidRDefault="00164F3F" w:rsidP="00164F3F">
      <w:pPr>
        <w:pStyle w:val="NormalWeb"/>
        <w:rPr>
          <w:color w:val="000000"/>
        </w:rPr>
      </w:pPr>
      <w:r w:rsidRPr="00164F3F">
        <w:rPr>
          <w:rStyle w:val="ruletitle"/>
          <w:color w:val="000000"/>
        </w:rPr>
        <w:t xml:space="preserve">(f) Specific emission limits are established for each emission unit involved (“under the bubble”) such that compliance with the PSEL can be readily determined; </w:t>
      </w:r>
    </w:p>
    <w:p w14:paraId="069C2520" w14:textId="77777777" w:rsidR="00164F3F" w:rsidRPr="00164F3F" w:rsidRDefault="00164F3F" w:rsidP="00164F3F">
      <w:pPr>
        <w:pStyle w:val="NormalWeb"/>
        <w:rPr>
          <w:color w:val="000000"/>
        </w:rPr>
      </w:pPr>
      <w:r w:rsidRPr="00164F3F">
        <w:rPr>
          <w:rStyle w:val="ruletitle"/>
          <w:color w:val="000000"/>
        </w:rPr>
        <w:t xml:space="preserve">(g) The owner or operator of the source applies for a permit or permit modification and such application is approved by DEQ. </w:t>
      </w:r>
    </w:p>
    <w:p w14:paraId="2F48FCFD" w14:textId="77777777" w:rsidR="00164F3F" w:rsidRPr="00164F3F" w:rsidRDefault="00164F3F" w:rsidP="00164F3F">
      <w:pPr>
        <w:pStyle w:val="NormalWeb"/>
        <w:rPr>
          <w:color w:val="000000"/>
        </w:rPr>
      </w:pPr>
      <w:r w:rsidRPr="00164F3F">
        <w:rPr>
          <w:rStyle w:val="ruletitle"/>
          <w:color w:val="000000"/>
        </w:rPr>
        <w:lastRenderedPageBreak/>
        <w:t xml:space="preserve">(h) The emissions unit that reduces its emissions achieves the reductions by reducing its allowable emission rate, and not by reducing production, throughput, or hours of operation. </w:t>
      </w:r>
    </w:p>
    <w:p w14:paraId="1E1E50E0" w14:textId="77777777" w:rsidR="00164F3F" w:rsidRPr="00164F3F" w:rsidRDefault="00164F3F" w:rsidP="00164F3F">
      <w:pPr>
        <w:pStyle w:val="NormalWeb"/>
        <w:rPr>
          <w:color w:val="000000"/>
        </w:rPr>
      </w:pPr>
      <w:r w:rsidRPr="00164F3F">
        <w:rPr>
          <w:rStyle w:val="ruletitle"/>
          <w:color w:val="000000"/>
        </w:rPr>
        <w:t xml:space="preserve">(2) The permit will include a net emissions limit on total emissions from all devices or emissions units involved (“under the bubble”). </w:t>
      </w:r>
    </w:p>
    <w:p w14:paraId="0C11687C" w14:textId="77777777" w:rsidR="00164F3F" w:rsidRPr="00164F3F" w:rsidRDefault="00164F3F" w:rsidP="00164F3F">
      <w:pPr>
        <w:pStyle w:val="NormalWeb"/>
        <w:rPr>
          <w:color w:val="000000"/>
        </w:rPr>
      </w:pPr>
      <w:r w:rsidRPr="00164F3F">
        <w:rPr>
          <w:rStyle w:val="ruletitle"/>
          <w:color w:val="000000"/>
        </w:rPr>
        <w:t xml:space="preserve">(3) Alternative emission controls, in addition to those allowed in section (1), may be approved by DEQ and EPA as a source specific SIP amendment. </w:t>
      </w:r>
    </w:p>
    <w:p w14:paraId="12E21EFD"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This rule is included in the State of Oregon Clean Air Act Implementation Plan that EQC adopted under OAR 340-200-0040.</w:t>
      </w:r>
    </w:p>
    <w:p w14:paraId="07CB7D65" w14:textId="77777777" w:rsidR="00164F3F" w:rsidRPr="00164F3F" w:rsidRDefault="00164F3F" w:rsidP="00164F3F">
      <w:pPr>
        <w:pStyle w:val="NormalWeb"/>
        <w:rPr>
          <w:color w:val="000000"/>
        </w:rPr>
      </w:pPr>
      <w:r w:rsidRPr="00164F3F">
        <w:rPr>
          <w:rStyle w:val="notesetup"/>
          <w:color w:val="000000"/>
        </w:rPr>
        <w:t xml:space="preserve">Stat. Auth.: ORS 468.020, 468A.025, 468A.040 &amp; 468A.310 </w:t>
      </w:r>
      <w:r w:rsidRPr="00164F3F">
        <w:rPr>
          <w:color w:val="000000"/>
        </w:rPr>
        <w:br/>
      </w:r>
      <w:r w:rsidRPr="00164F3F">
        <w:rPr>
          <w:rStyle w:val="notesetup"/>
          <w:color w:val="000000"/>
        </w:rPr>
        <w:t xml:space="preserve">Stats. Implemented: ORS 468A </w:t>
      </w:r>
      <w:r w:rsidRPr="00164F3F">
        <w:rPr>
          <w:color w:val="000000"/>
        </w:rPr>
        <w:br/>
      </w:r>
      <w:r w:rsidRPr="00164F3F">
        <w:rPr>
          <w:rStyle w:val="notesetup"/>
          <w:color w:val="000000"/>
        </w:rPr>
        <w:t>Hist.: DEQ 25-1981, f. &amp; ef. 9-8-81; DEQ 4-1993, f. &amp; cert. ef. 3-10-93; DEQ 12-1993, f. &amp; cert. ef. 9-24-93, Renumbered from 340-020-0315; DEQ 22-1995, f. &amp; cert. ef. 10-6-95; DEQ 14-1999, f. &amp; cert. ef. 10-14-99, Renumbered from 340-028-1030; DEQ 6-2001, f. 6-18-01, cert. ef. 7-1-</w:t>
      </w:r>
      <w:proofErr w:type="gramStart"/>
      <w:r w:rsidRPr="00164F3F">
        <w:rPr>
          <w:rStyle w:val="notesetup"/>
          <w:color w:val="000000"/>
        </w:rPr>
        <w:t>0 ;</w:t>
      </w:r>
      <w:proofErr w:type="gramEnd"/>
      <w:r w:rsidRPr="00164F3F">
        <w:rPr>
          <w:rStyle w:val="notesetup"/>
          <w:color w:val="000000"/>
        </w:rPr>
        <w:t xml:space="preserve"> DEQ 7-2015, f. &amp; cert. ef. 4-16-15</w:t>
      </w:r>
    </w:p>
    <w:p w14:paraId="249648FC" w14:textId="77777777" w:rsidR="00164F3F" w:rsidRPr="00164F3F" w:rsidRDefault="00164F3F" w:rsidP="00164F3F">
      <w:pPr>
        <w:pStyle w:val="NormalWeb"/>
        <w:rPr>
          <w:color w:val="000000"/>
        </w:rPr>
      </w:pPr>
      <w:r w:rsidRPr="00164F3F">
        <w:rPr>
          <w:rStyle w:val="tofcheader"/>
          <w:b/>
          <w:bCs/>
          <w:color w:val="000000"/>
        </w:rPr>
        <w:t>340-226-8010</w:t>
      </w:r>
    </w:p>
    <w:p w14:paraId="347AB55A" w14:textId="77777777" w:rsidR="00164F3F" w:rsidRPr="00164F3F" w:rsidRDefault="00164F3F" w:rsidP="00164F3F">
      <w:pPr>
        <w:pStyle w:val="NormalWeb"/>
        <w:rPr>
          <w:color w:val="000000"/>
        </w:rPr>
      </w:pPr>
      <w:r w:rsidRPr="00164F3F">
        <w:rPr>
          <w:rStyle w:val="rulenumber"/>
          <w:b/>
          <w:bCs/>
          <w:color w:val="000000"/>
        </w:rPr>
        <w:t>Table-Particulate Matter Emissions Standards for Process Equipment</w:t>
      </w:r>
    </w:p>
    <w:p w14:paraId="628C1450" w14:textId="77777777" w:rsidR="00164F3F" w:rsidRPr="00164F3F" w:rsidRDefault="00164F3F" w:rsidP="00164F3F">
      <w:pPr>
        <w:pStyle w:val="NormalWeb"/>
        <w:rPr>
          <w:color w:val="000000"/>
        </w:rPr>
      </w:pPr>
      <w:r w:rsidRPr="00164F3F">
        <w:rPr>
          <w:rStyle w:val="ruletitle"/>
          <w:color w:val="000000"/>
        </w:rPr>
        <w:t>[Table not included. See ED. NOTE.]</w:t>
      </w:r>
    </w:p>
    <w:p w14:paraId="32F41A01"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This rule is included in the State of Oregon Clean Air Act Implementation Plan that EQC adopted under OAR 340-200-0040.</w:t>
      </w:r>
    </w:p>
    <w:p w14:paraId="59966324" w14:textId="77777777" w:rsidR="00164F3F" w:rsidRPr="00164F3F" w:rsidRDefault="00164F3F" w:rsidP="00164F3F">
      <w:pPr>
        <w:pStyle w:val="NormalWeb"/>
        <w:rPr>
          <w:color w:val="000000"/>
        </w:rPr>
      </w:pPr>
      <w:r w:rsidRPr="00164F3F">
        <w:rPr>
          <w:color w:val="000000"/>
        </w:rPr>
        <w:t xml:space="preserve">[ED. NOTE: Tables referenced are not included in rule text. </w:t>
      </w:r>
      <w:hyperlink r:id="rId15" w:history="1">
        <w:r w:rsidRPr="00164F3F">
          <w:rPr>
            <w:rStyle w:val="Hyperlink"/>
            <w:rFonts w:ascii="Times New Roman" w:hAnsi="Times New Roman"/>
            <w:sz w:val="24"/>
            <w:szCs w:val="24"/>
          </w:rPr>
          <w:t>Click here for PDF copy of table(s)</w:t>
        </w:r>
      </w:hyperlink>
      <w:r w:rsidRPr="00164F3F">
        <w:rPr>
          <w:color w:val="000000"/>
        </w:rPr>
        <w:t>.]</w:t>
      </w:r>
    </w:p>
    <w:p w14:paraId="7966408E" w14:textId="77777777"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7-2015, f. &amp; cert. ef. 4-16-15</w:t>
      </w:r>
      <w:r w:rsidRPr="00164F3F">
        <w:rPr>
          <w:color w:val="000000"/>
        </w:rPr>
        <w:t xml:space="preserve"> </w:t>
      </w:r>
    </w:p>
    <w:p w14:paraId="30A47DBA" w14:textId="77777777"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DIVISION 246</w:t>
      </w:r>
    </w:p>
    <w:p w14:paraId="31782256" w14:textId="77777777"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OREGON STATE AIR TOXICS PROGRAM</w:t>
      </w:r>
    </w:p>
    <w:p w14:paraId="68CA07F2"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340-246-0010</w:t>
      </w:r>
    </w:p>
    <w:p w14:paraId="299FAC6D"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Policy and Purpose </w:t>
      </w:r>
    </w:p>
    <w:p w14:paraId="6DA69F7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The purpose of Oregon's state air toxics program is to address threats to public health and the environment from toxic air pollutants that remain after implementing the state delegated technology-based strategies of the federal air toxics program. Oregon's program meets the goals </w:t>
      </w:r>
      <w:r w:rsidRPr="00040BCF">
        <w:rPr>
          <w:color w:val="000000"/>
        </w:rPr>
        <w:lastRenderedPageBreak/>
        <w:t>of the federal Urban Air Toxics Strategy by using a community-based effort that focuses on geographic areas of concern. It also addresses cases of elevated health risks from unregulated air toxics emissions at stationary sources and source categories of air toxics emissions.</w:t>
      </w:r>
    </w:p>
    <w:p w14:paraId="2C3FCE0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26D0A97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340-246-0030</w:t>
      </w:r>
    </w:p>
    <w:p w14:paraId="2E01B416"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Definitions</w:t>
      </w:r>
    </w:p>
    <w:p w14:paraId="12668DE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The definitions in OAR 340-200-0020, 340-218-0030, 340-244-0030 and this rule apply to this division. If the same term is defined in this division and elsewhere, the definition in this division applies.</w:t>
      </w:r>
    </w:p>
    <w:p w14:paraId="035DBB1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"Air toxics" means those pollutants known or suspected to cause cancer or other serious health effects, including but not limited to "hazardous air pollutants" or "HAPs" listed by the EPA pursuant to section 112(b) of the Federal Clean Air Act.</w:t>
      </w:r>
    </w:p>
    <w:p w14:paraId="3DDE5C3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"Ambient benchmark" means the concentration of an air toxic in outdoor air that would result in an excess lifetime cancer risk level of one in a million (1 x 10-6) or a non-cancer hazard quotient of one.</w:t>
      </w:r>
    </w:p>
    <w:p w14:paraId="16843FB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"Bio-accumulation" means the net accumulation of a substance by an organism as a result of uptake from all routes of exposure (e.g., ingestion of food, intake of drinking water, direct contact, or inhalation).</w:t>
      </w:r>
    </w:p>
    <w:p w14:paraId="6A8CF68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"Geographic area" means an area identified by the Department where air toxics concentrations are estimated or measured at levels that exceed ambient benchmark concentrations.</w:t>
      </w:r>
    </w:p>
    <w:p w14:paraId="3CDA182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(5) "Hazard quotient" means the ratio of the potential exposure to a single air toxic to the reference concentration for that pollutant. If the hazard quotient is calculated to be less than or equal to 1, then no adverse health effects are expected as a result of exposure. If the hazard quotient is greater than 1, then adverse health effects are possible.</w:t>
      </w:r>
    </w:p>
    <w:p w14:paraId="15DD166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(6) "High priority geographic area" means an area identified by the Department where air toxics concentrations are estimated or measured at levels that exceed ambient benchmark concentrations and pose excess cancer risk above ten in a million, or non-cancer risk above a hazard quotient of one with the potential for serious adverse health effects.</w:t>
      </w:r>
    </w:p>
    <w:p w14:paraId="5DB0B0B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(7) "Public receptor" means any outdoor area where members of the public have unrestricted access, including but not limited to residences, institutions (e.g. schools, hospitals), industrial, commercial, or office buildings, parks, recreational areas, public lands, streets or sidewalks.</w:t>
      </w:r>
    </w:p>
    <w:p w14:paraId="5E78A47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(8) "Reference concentration" means an estimate of a continuous exposure or a daily exposure to the human population (including sensitive populations) that is likely to be without an appreciable risk of adverse non-cancer effects during a lifetime. The reference concentration can be derived from various types of human or animal data, with uncertainty factors generally applied to reflect limitations of the data used. </w:t>
      </w:r>
    </w:p>
    <w:p w14:paraId="554A3B5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(9) "Sensitive human populations" means humans with increased susceptibility to the adverse effects of air toxics, including humans in prenatal or postnatal periods of development.</w:t>
      </w:r>
    </w:p>
    <w:p w14:paraId="1BD3C88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(10) "Source" means:</w:t>
      </w:r>
    </w:p>
    <w:p w14:paraId="26C0E54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An activity conducted by a person at a point, area, on-road mobile, or off-road mobile operation that emits air toxics; or</w:t>
      </w:r>
    </w:p>
    <w:p w14:paraId="5128561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w:t>
      </w:r>
      <w:r w:rsidRPr="00040BCF">
        <w:rPr>
          <w:b/>
          <w:bCs/>
          <w:color w:val="000000"/>
        </w:rPr>
        <w:t>Standard Industrial Classification Manual</w:t>
      </w:r>
      <w:r w:rsidRPr="00040BCF">
        <w:rPr>
          <w:color w:val="000000"/>
        </w:rPr>
        <w:t>, (U.S. Office of Management and Budget, 1987) or that support the major industrial group.</w:t>
      </w:r>
    </w:p>
    <w:p w14:paraId="137AA76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(11) "Source Category" means: </w:t>
      </w:r>
    </w:p>
    <w:p w14:paraId="6374594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 source or group of sources that emit air toxics due to the use of the same or similar processes, including commercial, residential, public or private processes, which as a group can reduce air toxics emissions by employing similar control or prevention strategies or;</w:t>
      </w:r>
    </w:p>
    <w:p w14:paraId="0192E51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All the pollutant emitting activities that belong to the same industrial grouping (i.e., that have the same two-digit code) as described in the </w:t>
      </w:r>
      <w:r w:rsidRPr="00040BCF">
        <w:rPr>
          <w:b/>
          <w:bCs/>
          <w:color w:val="000000"/>
        </w:rPr>
        <w:t>Standard Industrial Classification Manual</w:t>
      </w:r>
      <w:r w:rsidRPr="00040BCF">
        <w:rPr>
          <w:color w:val="000000"/>
        </w:rPr>
        <w:t>, (U.S. Office of Management and Budget, 1987).</w:t>
      </w:r>
    </w:p>
    <w:p w14:paraId="7B6BA8C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(12) "Toxics Best Available Retrofit Technology", or "TBART" means an air toxics emissions limitation based on the maximum degree of reduction of air toxics, determined on a case-by-case basis, that is feasible taking into consideration:</w:t>
      </w:r>
    </w:p>
    <w:p w14:paraId="6C37AD9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What has been achieved in practice for that source category, or for similar processes or </w:t>
      </w:r>
      <w:proofErr w:type="gramStart"/>
      <w:r w:rsidRPr="00040BCF">
        <w:rPr>
          <w:color w:val="000000"/>
        </w:rPr>
        <w:t>emissions;</w:t>
      </w:r>
      <w:proofErr w:type="gramEnd"/>
      <w:r w:rsidRPr="00040BCF">
        <w:rPr>
          <w:color w:val="000000"/>
        </w:rPr>
        <w:t xml:space="preserve"> </w:t>
      </w:r>
    </w:p>
    <w:p w14:paraId="2F0A8B0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Energy and non-air quality health or environmental impacts; and </w:t>
      </w:r>
    </w:p>
    <w:p w14:paraId="4284BFB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Economic impacts, including the costs of changing existing processes or equipment or adding equipment or controls to existing processes and equipment. Such limitation may be based on a design, equipment, work practice or other operational standard, or combination thereof.</w:t>
      </w:r>
    </w:p>
    <w:p w14:paraId="79BCD64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[Publications: Publications referenced are available from the agency.]</w:t>
      </w:r>
    </w:p>
    <w:p w14:paraId="5C7658F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433F9B20"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340-246-0050</w:t>
      </w:r>
    </w:p>
    <w:p w14:paraId="7A2EF89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Pollution Prevention</w:t>
      </w:r>
    </w:p>
    <w:p w14:paraId="770363C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The Environmental Quality Commission encourages the use of pollution prevention for all sources of air toxics statewide. The Commission encourages use of the following hierarchy to reduce air toxics: </w:t>
      </w:r>
    </w:p>
    <w:p w14:paraId="5818195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Modify the process, raw materials, or product to reduce the quantity and toxicity of air contaminants generated; </w:t>
      </w:r>
    </w:p>
    <w:p w14:paraId="2F92150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Capture and reuse air contaminants; </w:t>
      </w:r>
    </w:p>
    <w:p w14:paraId="123D53E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Treat to reduce the quantity and toxicity of air contaminants released; or </w:t>
      </w:r>
    </w:p>
    <w:p w14:paraId="55C8C51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Otherwise control air toxics emissions. </w:t>
      </w:r>
    </w:p>
    <w:p w14:paraId="123F07F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17203537"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340-246-0070</w:t>
      </w:r>
    </w:p>
    <w:p w14:paraId="49A64D3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Air Toxics Science Advisory Committee </w:t>
      </w:r>
    </w:p>
    <w:p w14:paraId="0BECB60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Purpose. The Commission recognizes the many scientific uncertainties associated with the effects of air toxics, and the continuing development of new information in this field. An Air Toxics Science Advisory Committee (ATSAC), will advise the Department, and in its jurisdiction, the Lane Regional Air Pollution Authority, on technical issues and evaluation of the state air toxics program. The ATSAC will provide advice on the technical aspects of risk assessment. It will not provide risk management or policy recommendations. The ATSAC will perform the following functions:</w:t>
      </w:r>
    </w:p>
    <w:p w14:paraId="130F36B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Review ambient benchmarks for the state air toxics program;</w:t>
      </w:r>
    </w:p>
    <w:p w14:paraId="49B2784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Advise the Department on developing a risk assessment methodology to be used in the Safety Net Program in OAR 340-246-0190 (5) and (6);</w:t>
      </w:r>
    </w:p>
    <w:p w14:paraId="5EBCE9F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Advise the Department on selecting sources for the Safety Net program. The ATSAC will evaluate potential Safety Net sources identified by the Department to determine whether they qualify for the Safety Net Program, as specified in OAR 340-246-0190 through 0230;</w:t>
      </w:r>
    </w:p>
    <w:p w14:paraId="1067E4E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(d) Evaluate overall progress in reducing emissions of and exposure to air toxics by considering trends in emissions and ambient concentrations of air toxics. The ATSAC will periodically advise the Department on air toxics program effectiveness and make technical recommendations for program development concerning the possible adverse environmental effects of air toxics and risk from exposure to multiple air toxics; and</w:t>
      </w:r>
    </w:p>
    <w:p w14:paraId="7CC5FCC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Provide advisory opinions on questions requiring scientific expertise, as requested by the Department.</w:t>
      </w:r>
    </w:p>
    <w:p w14:paraId="5280918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Membership. The ATSAC will be composed of highly qualified members with experience relevant to air toxics. There will be at least five but no more than seven members. The following disciplines will be represented on the ATSAC:</w:t>
      </w:r>
    </w:p>
    <w:p w14:paraId="295CADE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Toxicology;</w:t>
      </w:r>
    </w:p>
    <w:p w14:paraId="6388756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Environmental Science or Environmental Engineering;</w:t>
      </w:r>
    </w:p>
    <w:p w14:paraId="050C94E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Risk Assessment;</w:t>
      </w:r>
    </w:p>
    <w:p w14:paraId="4EB973B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Epidemiology/Biostatistics;</w:t>
      </w:r>
    </w:p>
    <w:p w14:paraId="3B99928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Medicine (Physician) with training or experience in Public Health; and</w:t>
      </w:r>
    </w:p>
    <w:p w14:paraId="0D97AE8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Air Pollution Modeling, Monitoring, Meteorology or Engineering.</w:t>
      </w:r>
    </w:p>
    <w:p w14:paraId="0F0EFDD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Appointment. The Department's Air Quality Division Administrator will nominate potential members to the Director. Before making these nominations, the Administrator will develop a list of candidates by consulting with government, public, and private organizations involved in work relevant to air toxics. The Director will appoint ATSAC members with concurrence by the Commission.</w:t>
      </w:r>
    </w:p>
    <w:p w14:paraId="4D2D96B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Term. Air Toxics Science Advisory Committee members will serve a three-year term. Initial terms will be staggered for continuity and transfer of work so that members of the first ATSAC may serve more or less than three years.</w:t>
      </w:r>
    </w:p>
    <w:p w14:paraId="68FBFAB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Operation. </w:t>
      </w:r>
    </w:p>
    <w:p w14:paraId="25CE319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No member may have an actual or potential conflict of interest, as those terms are defined by ORS 244.020. </w:t>
      </w:r>
    </w:p>
    <w:p w14:paraId="725087E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ATSAC will meet as necessary. </w:t>
      </w:r>
    </w:p>
    <w:p w14:paraId="1679946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(6) Procedures, Bylaws, and Decision-making Process. At a minimum, the ATSAC will observe the procedures specified below. The ATSAC will develop other necessary procedures and bylaws in consultation with the Department.</w:t>
      </w:r>
    </w:p>
    <w:p w14:paraId="513F59A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(a) Final decisions must be made by a quorum of members, based on consensus when possible. If consensus is not possible, decisions will be made by majority vote with a quorum present. </w:t>
      </w:r>
    </w:p>
    <w:p w14:paraId="06606AB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If necessary, the Department may obtain a facilitator to assist the ATSAC.</w:t>
      </w:r>
    </w:p>
    <w:p w14:paraId="3BEB982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The bylaws will include provisions for removing a member for cause, with concurrence by the Commission.</w:t>
      </w:r>
    </w:p>
    <w:p w14:paraId="58399CB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353DCBF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340-246-0090 </w:t>
      </w:r>
    </w:p>
    <w:p w14:paraId="1EC647AE"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Ambient Benchmarks for Air Toxics</w:t>
      </w:r>
    </w:p>
    <w:p w14:paraId="37B8913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Ambient benchmarks are concentrations of air toxics that serve as goals in the Oregon Air Toxics Program. They are based on human health risk and hazard levels considering sensitive populations. Ambient benchmarks are not regulatory standards, but reference values by which air toxics problems can be identified, addressed and evaluated. The Department will use ambient benchmarks as indicated in these rules, to implement the Geographic, Source Category, and Safety Net Programs. Ambient benchmarks set by the procedures described in this rule apply throughout Oregon, including that area within the jurisdiction of the Lane Regional Air Protection Agency. Ambient benchmarks are subject to public notice and comment before adoption by the Commission as administrative rules. </w:t>
      </w:r>
    </w:p>
    <w:p w14:paraId="3EA89F6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Establishing Ambient Benchmarks </w:t>
      </w:r>
    </w:p>
    <w:p w14:paraId="65F764B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Department will consult with the ATSAC to prioritize air toxics for ambient benchmark development. Highest priority air toxics are those that pose the greatest risk to public health. </w:t>
      </w:r>
    </w:p>
    <w:p w14:paraId="5EDFB2D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To prioritize air toxics, the Department will apply the criteria described in OAR 340-246-0090(2</w:t>
      </w:r>
      <w:proofErr w:type="gramStart"/>
      <w:r w:rsidRPr="00040BCF">
        <w:rPr>
          <w:color w:val="000000"/>
        </w:rPr>
        <w:t>)(</w:t>
      </w:r>
      <w:proofErr w:type="gramEnd"/>
      <w:r w:rsidRPr="00040BCF">
        <w:rPr>
          <w:color w:val="000000"/>
        </w:rPr>
        <w:t xml:space="preserve">c) to modeling, monitoring, and emissions inventory data. </w:t>
      </w:r>
    </w:p>
    <w:p w14:paraId="46DC032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Ambient benchmark prioritization criteria will include at least the following: </w:t>
      </w:r>
    </w:p>
    <w:p w14:paraId="0172838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Toxicity or potency of a pollutant; </w:t>
      </w:r>
    </w:p>
    <w:p w14:paraId="212BC18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Exposure and number of people at risk; </w:t>
      </w:r>
    </w:p>
    <w:p w14:paraId="26AB634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Impact on sensitive human populations; </w:t>
      </w:r>
    </w:p>
    <w:p w14:paraId="180D8CD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number and degree of predicted ambient benchmark exceedances; and </w:t>
      </w:r>
    </w:p>
    <w:p w14:paraId="5AE068E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Potential to cause harm through persistence and bio-accumulation. </w:t>
      </w:r>
    </w:p>
    <w:p w14:paraId="6E25843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(d) The Department will develop ambient benchmarks for proposal to the ATSAC based upon a protocol that uses reasonable estimates of plausible upper-bound exposures that neither grossly underestimate nor grossly overestimate risks. </w:t>
      </w:r>
    </w:p>
    <w:p w14:paraId="304DA10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Within three months of the first meeting of the ATSAC, the Department will propose ambient benchmark concentrations for the highest priority air toxics for review by the ATSAC. The Department will propose additional and revised air toxics ambient benchmarks for review by the ATSAC based on the prioritization criteria in OAR 340-246-0090(2)(c). Once the ATSAC has completed review of each set of proposed ambient benchmarks, the Department will, within 60 days, begin the process to propose ambient benchmarks as administrative rules for adoption by the Environmental Quality Commission. </w:t>
      </w:r>
    </w:p>
    <w:p w14:paraId="2D28216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If the Department is unable to propose ambient benchmarks to the ATSAC by the deadlines specified in OAR 340-246-0090(2</w:t>
      </w:r>
      <w:proofErr w:type="gramStart"/>
      <w:r w:rsidRPr="00040BCF">
        <w:rPr>
          <w:color w:val="000000"/>
        </w:rPr>
        <w:t>)(</w:t>
      </w:r>
      <w:proofErr w:type="gramEnd"/>
      <w:r w:rsidRPr="00040BCF">
        <w:rPr>
          <w:color w:val="000000"/>
        </w:rPr>
        <w:t xml:space="preserve">e), the ATSAC will review the most current EPA ambient benchmarks. If EPA ambient benchmarks are not available, the ATSAC will review the best available information from other states and local air authorities. </w:t>
      </w:r>
    </w:p>
    <w:p w14:paraId="7796304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(g) The ATSAC will consider proposed ambient benchmarks and evaluate their adequacy for meeting risk and hazard levels, considering human health, including sensitive human populations, scientific uncertainties, persistence, bio-accumulation, and, to the extent possible, multiple exposure pathways. The ATSAC will conduct this review consistent with the criteria in OAR 340-246-0090(2</w:t>
      </w:r>
      <w:proofErr w:type="gramStart"/>
      <w:r w:rsidRPr="00040BCF">
        <w:rPr>
          <w:color w:val="000000"/>
        </w:rPr>
        <w:t>)(</w:t>
      </w:r>
      <w:proofErr w:type="gramEnd"/>
      <w:r w:rsidRPr="00040BCF">
        <w:rPr>
          <w:color w:val="000000"/>
        </w:rPr>
        <w:t xml:space="preserve">c) and (d). The ATSAC will report these findings to the Department. If the ATSAC unanimously disagrees with the Department's recommendation, the Department will re-consider and re-submit its recommendation at a later date. </w:t>
      </w:r>
    </w:p>
    <w:p w14:paraId="57C7E98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(h) The ATSAC will complete review of and report findings on each set of ambient benchmarks as expeditiously as possible, </w:t>
      </w:r>
      <w:proofErr w:type="gramStart"/>
      <w:r w:rsidRPr="00040BCF">
        <w:rPr>
          <w:color w:val="000000"/>
        </w:rPr>
        <w:t>but</w:t>
      </w:r>
      <w:proofErr w:type="gramEnd"/>
      <w:r w:rsidRPr="00040BCF">
        <w:rPr>
          <w:color w:val="000000"/>
        </w:rPr>
        <w:t xml:space="preserve"> no later than 12 months after the Department has proposed them. If the ATSAC is unable to complete review of ambient benchmarks within 12 months after the Department's proposal, the Department will initiate rulemaking to propose ambient benchmarks. </w:t>
      </w:r>
    </w:p>
    <w:p w14:paraId="2B573EC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The Department will review all ambient benchmarks at least every five years and, if necessary, propose revised or additional ambient benchmarks to the ATSAC. At its discretion, the Department may review and propose a benchmark for review by the ATSAC at any time when new information is available. </w:t>
      </w:r>
    </w:p>
    <w:p w14:paraId="4D113F5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Ambient Benchmarks. Benchmark concentrations are in units of micrograms of air toxic per cubic meter of ambient air, on an average annual basis. The Chemical Abstract Service Registry Number (CASRN) is shown in parentheses. </w:t>
      </w:r>
    </w:p>
    <w:p w14:paraId="29B8235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ambient benchmark for acetaldehyde (75-07-0) is 0.45 micrograms per cubic meter. </w:t>
      </w:r>
    </w:p>
    <w:p w14:paraId="183134B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ambient benchmark for </w:t>
      </w:r>
      <w:proofErr w:type="spellStart"/>
      <w:r w:rsidRPr="00040BCF">
        <w:rPr>
          <w:color w:val="000000"/>
        </w:rPr>
        <w:t>acrolein</w:t>
      </w:r>
      <w:proofErr w:type="spellEnd"/>
      <w:r w:rsidRPr="00040BCF">
        <w:rPr>
          <w:color w:val="000000"/>
        </w:rPr>
        <w:t xml:space="preserve"> (107-02-8) is 0.02 micrograms per cubic meter. </w:t>
      </w:r>
    </w:p>
    <w:p w14:paraId="32C06EC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ambient benchmark for acrylonitrile (107-13-1) is 0.01 micrograms per cubic meter. </w:t>
      </w:r>
    </w:p>
    <w:p w14:paraId="1B67A74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(d) The ambient benchmark for ammonia (7664-41-7) is 200 micrograms per cubic meter. </w:t>
      </w:r>
    </w:p>
    <w:p w14:paraId="7288615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ambient benchmark for arsenic (7440-38-2) is 0.0002 micrograms per cubic meter. </w:t>
      </w:r>
    </w:p>
    <w:p w14:paraId="750A788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The ambient benchmark for benzene (71-43-2) is 0.13 micrograms per cubic meter. </w:t>
      </w:r>
    </w:p>
    <w:p w14:paraId="2DBEC90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The ambient benchmark for beryllium (7440-41-7) is 0.0004 micrograms per cubic meter. </w:t>
      </w:r>
    </w:p>
    <w:p w14:paraId="0B33FB3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(h) The ambient benchmark for 1</w:t>
      </w:r>
      <w:proofErr w:type="gramStart"/>
      <w:r w:rsidRPr="00040BCF">
        <w:rPr>
          <w:color w:val="000000"/>
        </w:rPr>
        <w:t>,3</w:t>
      </w:r>
      <w:proofErr w:type="gramEnd"/>
      <w:r w:rsidRPr="00040BCF">
        <w:rPr>
          <w:color w:val="000000"/>
        </w:rPr>
        <w:t xml:space="preserve">-butadiene (106-99-0) is 0.03 micrograms per cubic meter. </w:t>
      </w:r>
    </w:p>
    <w:p w14:paraId="64398B1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The ambient benchmark for cadmium and cadmium compounds (7440-43-9) is 0.0006 micrograms per cubic meter. </w:t>
      </w:r>
    </w:p>
    <w:p w14:paraId="0E99622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(j) The ambient benchmark for carbon disulfide (75-15-0) is 800 micrograms per cubic meter. </w:t>
      </w:r>
    </w:p>
    <w:p w14:paraId="2D57042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The ambient benchmark for carbon tetrachloride (56-23-5) is 0.07 micrograms per cubic meter. </w:t>
      </w:r>
    </w:p>
    <w:p w14:paraId="7E47166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The ambient benchmark for chlorine (7782-50-5) is 0.2 micrograms per cubic meter. </w:t>
      </w:r>
    </w:p>
    <w:p w14:paraId="0834074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 The ambient benchmark for chloroform (67-66-3) is 98 micrograms per cubic meter. </w:t>
      </w:r>
    </w:p>
    <w:p w14:paraId="4F08D55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(n) The ambient benchmark for chromium, hexavalent (18540-29-9) is 0.00008 micrograms per cubic meter. </w:t>
      </w:r>
    </w:p>
    <w:p w14:paraId="20ED1F3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(o) The ambient benchmark for cobalt and cobalt compounds (7440-48-4) is 0.1 micrograms per cubic meter. </w:t>
      </w:r>
    </w:p>
    <w:p w14:paraId="43D2FB5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(p) The ambient benchmark for 1</w:t>
      </w:r>
      <w:proofErr w:type="gramStart"/>
      <w:r w:rsidRPr="00040BCF">
        <w:rPr>
          <w:color w:val="000000"/>
        </w:rPr>
        <w:t>,4</w:t>
      </w:r>
      <w:proofErr w:type="gramEnd"/>
      <w:r w:rsidRPr="00040BCF">
        <w:rPr>
          <w:color w:val="000000"/>
        </w:rPr>
        <w:t xml:space="preserve">-dichlorobenzene (106-46-7) is 0.09 micrograms per cubic meter. </w:t>
      </w:r>
    </w:p>
    <w:p w14:paraId="1001E0B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(q) The ambient benchmark for 1</w:t>
      </w:r>
      <w:proofErr w:type="gramStart"/>
      <w:r w:rsidRPr="00040BCF">
        <w:rPr>
          <w:color w:val="000000"/>
        </w:rPr>
        <w:t>,3</w:t>
      </w:r>
      <w:proofErr w:type="gramEnd"/>
      <w:r w:rsidRPr="00040BCF">
        <w:rPr>
          <w:color w:val="000000"/>
        </w:rPr>
        <w:t xml:space="preserve">-dichloropropene (542-75-6) is 0.25 micrograms per cubic meter. </w:t>
      </w:r>
    </w:p>
    <w:p w14:paraId="3316ED0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(r) The ambient benchmark for diesel particulate matter (none) is 0.1 micrograms per cubic meter. The benchmark for diesel particulate matter applies only to such material from diesel-fueled internal combustion sources. </w:t>
      </w:r>
    </w:p>
    <w:p w14:paraId="1190EF6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 The ambient benchmark for dioxins and furans (1746-01-6) is 0.00000003 micrograms per cubic meter. The benchmark for dioxin is for total chlorinated dioxins and furans expressed as 2</w:t>
      </w:r>
      <w:proofErr w:type="gramStart"/>
      <w:r w:rsidRPr="00040BCF">
        <w:rPr>
          <w:color w:val="000000"/>
        </w:rPr>
        <w:t>,3,7,8</w:t>
      </w:r>
      <w:proofErr w:type="gramEnd"/>
      <w:r w:rsidRPr="00040BCF">
        <w:rPr>
          <w:color w:val="000000"/>
        </w:rPr>
        <w:t xml:space="preserve">-TCDD toxicity equivalents. </w:t>
      </w:r>
    </w:p>
    <w:p w14:paraId="003C260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 The ambient benchmark for ethyl benzene (100-41-4) is 0.4 micrograms per cubic meter. </w:t>
      </w:r>
    </w:p>
    <w:p w14:paraId="1E8C4A9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(u) The ambient benchmark for ethylene dibromide (106-93-4) is 0.002 micrograms per cubic meter. </w:t>
      </w:r>
    </w:p>
    <w:p w14:paraId="071741F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(v) The ambient benchmark for ethylene dichloride (107-06-2) is 0.04 micrograms per cubic meter. </w:t>
      </w:r>
    </w:p>
    <w:p w14:paraId="224AECF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(w) The ambient benchmark for ethylene oxide (75-21-8) is 0.01 micrograms per cubic meter. </w:t>
      </w:r>
    </w:p>
    <w:p w14:paraId="2F725F3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(x) The ambient benchmark for formaldehyde (50-00-0) is 3 micrograms per cubic meter.</w:t>
      </w:r>
    </w:p>
    <w:p w14:paraId="51BC328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(y) The ambient benchmark for n-hexane (110-54-3) is 7000 micrograms per cubic meter. </w:t>
      </w:r>
    </w:p>
    <w:p w14:paraId="3BEC161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(z) The ambient benchmark for hydrogen chloride (7647-01-0) is 20 micrograms per cubic meter. </w:t>
      </w:r>
    </w:p>
    <w:p w14:paraId="6B17C25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aa</w:t>
      </w:r>
      <w:proofErr w:type="gramEnd"/>
      <w:r w:rsidRPr="00040BCF">
        <w:rPr>
          <w:color w:val="000000"/>
        </w:rPr>
        <w:t xml:space="preserve">) The ambient benchmark for hydrogen cyanide (74-90-8) is 9 micrograms per cubic meter. </w:t>
      </w:r>
    </w:p>
    <w:p w14:paraId="0987BC4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bb</w:t>
      </w:r>
      <w:proofErr w:type="gramEnd"/>
      <w:r w:rsidRPr="00040BCF">
        <w:rPr>
          <w:color w:val="000000"/>
        </w:rPr>
        <w:t xml:space="preserve">) The ambient benchmark for hydrogen fluoride (7664-39-3) is 14 micrograms per cubic meter. </w:t>
      </w:r>
    </w:p>
    <w:p w14:paraId="374FCC6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(cc) </w:t>
      </w:r>
      <w:proofErr w:type="gramStart"/>
      <w:r w:rsidRPr="00040BCF">
        <w:rPr>
          <w:color w:val="000000"/>
        </w:rPr>
        <w:t>The</w:t>
      </w:r>
      <w:proofErr w:type="gramEnd"/>
      <w:r w:rsidRPr="00040BCF">
        <w:rPr>
          <w:color w:val="000000"/>
        </w:rPr>
        <w:t xml:space="preserve"> ambient benchmark for lead and lead compounds (7439-92-1) is 0.15 micrograms per cubic meter. </w:t>
      </w:r>
    </w:p>
    <w:p w14:paraId="0B629ED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dd</w:t>
      </w:r>
      <w:proofErr w:type="spellEnd"/>
      <w:proofErr w:type="gramEnd"/>
      <w:r w:rsidRPr="00040BCF">
        <w:rPr>
          <w:color w:val="000000"/>
        </w:rPr>
        <w:t xml:space="preserve">) The ambient benchmark for manganese and manganese compounds (7439-96-5) is 0.09 micrograms per cubic meter. </w:t>
      </w:r>
    </w:p>
    <w:p w14:paraId="6174296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ee</w:t>
      </w:r>
      <w:proofErr w:type="spellEnd"/>
      <w:proofErr w:type="gramEnd"/>
      <w:r w:rsidRPr="00040BCF">
        <w:rPr>
          <w:color w:val="000000"/>
        </w:rPr>
        <w:t xml:space="preserve">) The ambient benchmark for elemental mercury (7439-97-6) is 0.3 micrograms per cubic meter. </w:t>
      </w:r>
    </w:p>
    <w:p w14:paraId="4065D81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ff</w:t>
      </w:r>
      <w:proofErr w:type="spellEnd"/>
      <w:proofErr w:type="gramEnd"/>
      <w:r w:rsidRPr="00040BCF">
        <w:rPr>
          <w:color w:val="000000"/>
        </w:rPr>
        <w:t xml:space="preserve">) The ambient benchmark for methyl bromide (74-83-9) is 5 micrograms per cubic meter. </w:t>
      </w:r>
    </w:p>
    <w:p w14:paraId="1E20E67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gg</w:t>
      </w:r>
      <w:proofErr w:type="gramEnd"/>
      <w:r w:rsidRPr="00040BCF">
        <w:rPr>
          <w:color w:val="000000"/>
        </w:rPr>
        <w:t xml:space="preserve">) The ambient benchmark for methyl chloride (74-87-3) is 90 micrograms per cubic meter. </w:t>
      </w:r>
    </w:p>
    <w:p w14:paraId="6F364ED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hh</w:t>
      </w:r>
      <w:proofErr w:type="spellEnd"/>
      <w:proofErr w:type="gramEnd"/>
      <w:r w:rsidRPr="00040BCF">
        <w:rPr>
          <w:color w:val="000000"/>
        </w:rPr>
        <w:t xml:space="preserve">) The ambient benchmark for methyl chloroform (71-55-6) is 1000 micrograms per cubic meter. </w:t>
      </w:r>
    </w:p>
    <w:p w14:paraId="117AEE9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(ii) The ambient benchmark for methylene chloride (75-09-2) is 2.1 micrograms per cubic meter. </w:t>
      </w:r>
    </w:p>
    <w:p w14:paraId="341ED22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jj</w:t>
      </w:r>
      <w:proofErr w:type="spellEnd"/>
      <w:proofErr w:type="gramEnd"/>
      <w:r w:rsidRPr="00040BCF">
        <w:rPr>
          <w:color w:val="000000"/>
        </w:rPr>
        <w:t xml:space="preserve">) The ambient benchmark for naphthalene (91-20-3) is 0.03 micrograms per cubic meter. </w:t>
      </w:r>
    </w:p>
    <w:p w14:paraId="1D719CE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kk</w:t>
      </w:r>
      <w:proofErr w:type="spellEnd"/>
      <w:proofErr w:type="gramEnd"/>
      <w:r w:rsidRPr="00040BCF">
        <w:rPr>
          <w:color w:val="000000"/>
        </w:rPr>
        <w:t xml:space="preserve">) The ambient benchmark for nickel refinery dust (7440-02-0) is 0.004 micrograms per cubic meter. </w:t>
      </w:r>
    </w:p>
    <w:p w14:paraId="2A9C34B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ll</w:t>
      </w:r>
      <w:proofErr w:type="spellEnd"/>
      <w:proofErr w:type="gramEnd"/>
      <w:r w:rsidRPr="00040BCF">
        <w:rPr>
          <w:color w:val="000000"/>
        </w:rPr>
        <w:t xml:space="preserve">) The ambient benchmark for nickel </w:t>
      </w:r>
      <w:proofErr w:type="spellStart"/>
      <w:r w:rsidRPr="00040BCF">
        <w:rPr>
          <w:color w:val="000000"/>
        </w:rPr>
        <w:t>subsulfide</w:t>
      </w:r>
      <w:proofErr w:type="spellEnd"/>
      <w:r w:rsidRPr="00040BCF">
        <w:rPr>
          <w:color w:val="000000"/>
        </w:rPr>
        <w:t xml:space="preserve"> (12035-72-2) is 0.002 micrograms per cubic meter. </w:t>
      </w:r>
    </w:p>
    <w:p w14:paraId="459FF7B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(mm) The ambient benchmark for soluble nickel compounds (various) is 0.05 micrograms per cubic meter, where soluble nickel compounds may include any or all of the following: nickel acetate (373-02-4), nickel chloride (7718-54-9), nickel carbonate (3333-39-3), nickel carbonyl </w:t>
      </w:r>
      <w:r w:rsidRPr="00040BCF">
        <w:rPr>
          <w:color w:val="000000"/>
        </w:rPr>
        <w:lastRenderedPageBreak/>
        <w:t xml:space="preserve">(13463-39-3), nickel hydroxide (12054-48-7), </w:t>
      </w:r>
      <w:proofErr w:type="spellStart"/>
      <w:r w:rsidRPr="00040BCF">
        <w:rPr>
          <w:color w:val="000000"/>
        </w:rPr>
        <w:t>nickelocene</w:t>
      </w:r>
      <w:proofErr w:type="spellEnd"/>
      <w:r w:rsidRPr="00040BCF">
        <w:rPr>
          <w:color w:val="000000"/>
        </w:rPr>
        <w:t xml:space="preserve"> (1271-28-9), and nickel sulfate (7786-81-4). </w:t>
      </w:r>
    </w:p>
    <w:p w14:paraId="24EE5AF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nn</w:t>
      </w:r>
      <w:proofErr w:type="spellEnd"/>
      <w:proofErr w:type="gramEnd"/>
      <w:r w:rsidRPr="00040BCF">
        <w:rPr>
          <w:color w:val="000000"/>
        </w:rPr>
        <w:t xml:space="preserve">) The ambient benchmark for phosphine (7803-51-2) is 0.3 micrograms per cubic meter. </w:t>
      </w:r>
    </w:p>
    <w:p w14:paraId="6725179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oo</w:t>
      </w:r>
      <w:proofErr w:type="spellEnd"/>
      <w:proofErr w:type="gramEnd"/>
      <w:r w:rsidRPr="00040BCF">
        <w:rPr>
          <w:color w:val="000000"/>
        </w:rPr>
        <w:t xml:space="preserve">) The ambient benchmark for phosphoric acid (7664-38-2) is 10 micrograms per cubic meter. </w:t>
      </w:r>
    </w:p>
    <w:p w14:paraId="1505DAF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(pp) The ambient benchmark for total (as the sum of congeners) polychlorinated biphenyls (1336-36-3) is 0.01 micrograms per cubic meter. </w:t>
      </w:r>
    </w:p>
    <w:p w14:paraId="1CAED01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qq</w:t>
      </w:r>
      <w:proofErr w:type="spellEnd"/>
      <w:proofErr w:type="gramEnd"/>
      <w:r w:rsidRPr="00040BCF">
        <w:rPr>
          <w:color w:val="000000"/>
        </w:rPr>
        <w:t>) The ambient benchmark for total polycyclic aromatic hydrocarbons (none) is 0.0009 micrograms per cubic meter, where total polycyclic aromatic hydrocarbons are the sum of the toxicity equivalency factor (with respect to benzo(a)</w:t>
      </w:r>
      <w:proofErr w:type="spellStart"/>
      <w:r w:rsidRPr="00040BCF">
        <w:rPr>
          <w:color w:val="000000"/>
        </w:rPr>
        <w:t>pyrene</w:t>
      </w:r>
      <w:proofErr w:type="spellEnd"/>
      <w:r w:rsidRPr="00040BCF">
        <w:rPr>
          <w:color w:val="000000"/>
        </w:rPr>
        <w:t xml:space="preserve"> (50-32-8)) adjusted concentrations for all of the following individual polycyclic aromatic hydrocarbons: benzo(a)anthracene (56-55-3), benzo(a)</w:t>
      </w:r>
      <w:proofErr w:type="spellStart"/>
      <w:r w:rsidRPr="00040BCF">
        <w:rPr>
          <w:color w:val="000000"/>
        </w:rPr>
        <w:t>pyrene</w:t>
      </w:r>
      <w:proofErr w:type="spellEnd"/>
      <w:r w:rsidRPr="00040BCF">
        <w:rPr>
          <w:color w:val="000000"/>
        </w:rPr>
        <w:t xml:space="preserve"> (50-32-8), benzo(b)</w:t>
      </w:r>
      <w:proofErr w:type="spellStart"/>
      <w:r w:rsidRPr="00040BCF">
        <w:rPr>
          <w:color w:val="000000"/>
        </w:rPr>
        <w:t>fluoranthene</w:t>
      </w:r>
      <w:proofErr w:type="spellEnd"/>
      <w:r w:rsidRPr="00040BCF">
        <w:rPr>
          <w:color w:val="000000"/>
        </w:rPr>
        <w:t xml:space="preserve"> (205-99-2), benzo(k)</w:t>
      </w:r>
      <w:proofErr w:type="spellStart"/>
      <w:r w:rsidRPr="00040BCF">
        <w:rPr>
          <w:color w:val="000000"/>
        </w:rPr>
        <w:t>fluoranthene</w:t>
      </w:r>
      <w:proofErr w:type="spellEnd"/>
      <w:r w:rsidRPr="00040BCF">
        <w:rPr>
          <w:color w:val="000000"/>
        </w:rPr>
        <w:t xml:space="preserve"> (207-08-9), </w:t>
      </w:r>
      <w:proofErr w:type="spellStart"/>
      <w:r w:rsidRPr="00040BCF">
        <w:rPr>
          <w:color w:val="000000"/>
        </w:rPr>
        <w:t>carbazole</w:t>
      </w:r>
      <w:proofErr w:type="spellEnd"/>
      <w:r w:rsidRPr="00040BCF">
        <w:rPr>
          <w:color w:val="000000"/>
        </w:rPr>
        <w:t xml:space="preserve"> (86-74-8), chrysene (218-01-9),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w:t>
      </w:r>
      <w:proofErr w:type="spellStart"/>
      <w:r w:rsidRPr="00040BCF">
        <w:rPr>
          <w:color w:val="000000"/>
        </w:rPr>
        <w:t>acridine</w:t>
      </w:r>
      <w:proofErr w:type="spellEnd"/>
      <w:r w:rsidRPr="00040BCF">
        <w:rPr>
          <w:color w:val="000000"/>
        </w:rPr>
        <w:t xml:space="preserve"> (226-36-8),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 xml:space="preserve">)anthracene (226-36-8), </w:t>
      </w:r>
      <w:proofErr w:type="spellStart"/>
      <w:r w:rsidRPr="00040BCF">
        <w:rPr>
          <w:color w:val="000000"/>
        </w:rPr>
        <w:t>dibenz</w:t>
      </w:r>
      <w:proofErr w:type="spellEnd"/>
      <w:r w:rsidRPr="00040BCF">
        <w:rPr>
          <w:color w:val="000000"/>
        </w:rPr>
        <w:t>(</w:t>
      </w:r>
      <w:proofErr w:type="spellStart"/>
      <w:r w:rsidRPr="00040BCF">
        <w:rPr>
          <w:color w:val="000000"/>
        </w:rPr>
        <w:t>a,j</w:t>
      </w:r>
      <w:proofErr w:type="spellEnd"/>
      <w:r w:rsidRPr="00040BCF">
        <w:rPr>
          <w:color w:val="000000"/>
        </w:rPr>
        <w:t>)</w:t>
      </w:r>
      <w:proofErr w:type="spellStart"/>
      <w:r w:rsidRPr="00040BCF">
        <w:rPr>
          <w:color w:val="000000"/>
        </w:rPr>
        <w:t>acridine</w:t>
      </w:r>
      <w:proofErr w:type="spellEnd"/>
      <w:r w:rsidRPr="00040BCF">
        <w:rPr>
          <w:color w:val="000000"/>
        </w:rPr>
        <w:t xml:space="preserve"> (224-42-0), 7H-dibenzo(</w:t>
      </w:r>
      <w:proofErr w:type="spellStart"/>
      <w:r w:rsidRPr="00040BCF">
        <w:rPr>
          <w:color w:val="000000"/>
        </w:rPr>
        <w:t>c,g</w:t>
      </w:r>
      <w:proofErr w:type="spellEnd"/>
      <w:r w:rsidRPr="00040BCF">
        <w:rPr>
          <w:color w:val="000000"/>
        </w:rPr>
        <w:t>)</w:t>
      </w:r>
      <w:proofErr w:type="spellStart"/>
      <w:r w:rsidRPr="00040BCF">
        <w:rPr>
          <w:color w:val="000000"/>
        </w:rPr>
        <w:t>carbazole</w:t>
      </w:r>
      <w:proofErr w:type="spellEnd"/>
      <w:r w:rsidRPr="00040BCF">
        <w:rPr>
          <w:color w:val="000000"/>
        </w:rPr>
        <w:t xml:space="preserve"> (194-59-2), </w:t>
      </w:r>
      <w:proofErr w:type="spellStart"/>
      <w:r w:rsidRPr="00040BCF">
        <w:rPr>
          <w:color w:val="000000"/>
        </w:rPr>
        <w:t>dibenzo</w:t>
      </w:r>
      <w:proofErr w:type="spellEnd"/>
      <w:r w:rsidRPr="00040BCF">
        <w:rPr>
          <w:color w:val="000000"/>
        </w:rPr>
        <w:t>(</w:t>
      </w:r>
      <w:proofErr w:type="spellStart"/>
      <w:r w:rsidRPr="00040BCF">
        <w:rPr>
          <w:color w:val="000000"/>
        </w:rPr>
        <w:t>a,e</w:t>
      </w:r>
      <w:proofErr w:type="spellEnd"/>
      <w:r w:rsidRPr="00040BCF">
        <w:rPr>
          <w:color w:val="000000"/>
        </w:rPr>
        <w:t>)</w:t>
      </w:r>
      <w:proofErr w:type="spellStart"/>
      <w:r w:rsidRPr="00040BCF">
        <w:rPr>
          <w:color w:val="000000"/>
        </w:rPr>
        <w:t>pyrene</w:t>
      </w:r>
      <w:proofErr w:type="spellEnd"/>
      <w:r w:rsidRPr="00040BCF">
        <w:rPr>
          <w:color w:val="000000"/>
        </w:rPr>
        <w:t xml:space="preserve"> (192-65-4), </w:t>
      </w:r>
      <w:proofErr w:type="spellStart"/>
      <w:r w:rsidRPr="00040BCF">
        <w:rPr>
          <w:color w:val="000000"/>
        </w:rPr>
        <w:t>dibenzo</w:t>
      </w:r>
      <w:proofErr w:type="spellEnd"/>
      <w:r w:rsidRPr="00040BCF">
        <w:rPr>
          <w:color w:val="000000"/>
        </w:rPr>
        <w:t>(</w:t>
      </w:r>
      <w:proofErr w:type="spellStart"/>
      <w:r w:rsidRPr="00040BCF">
        <w:rPr>
          <w:color w:val="000000"/>
        </w:rPr>
        <w:t>a,i</w:t>
      </w:r>
      <w:proofErr w:type="spellEnd"/>
      <w:r w:rsidRPr="00040BCF">
        <w:rPr>
          <w:color w:val="000000"/>
        </w:rPr>
        <w:t>)</w:t>
      </w:r>
      <w:proofErr w:type="spellStart"/>
      <w:r w:rsidRPr="00040BCF">
        <w:rPr>
          <w:color w:val="000000"/>
        </w:rPr>
        <w:t>pyrene</w:t>
      </w:r>
      <w:proofErr w:type="spellEnd"/>
      <w:r w:rsidRPr="00040BCF">
        <w:rPr>
          <w:color w:val="000000"/>
        </w:rPr>
        <w:t xml:space="preserve"> (189-55-9), </w:t>
      </w:r>
      <w:proofErr w:type="spellStart"/>
      <w:r w:rsidRPr="00040BCF">
        <w:rPr>
          <w:color w:val="000000"/>
        </w:rPr>
        <w:t>dibenzo</w:t>
      </w:r>
      <w:proofErr w:type="spellEnd"/>
      <w:r w:rsidRPr="00040BCF">
        <w:rPr>
          <w:color w:val="000000"/>
        </w:rPr>
        <w:t>(</w:t>
      </w:r>
      <w:proofErr w:type="spellStart"/>
      <w:r w:rsidRPr="00040BCF">
        <w:rPr>
          <w:color w:val="000000"/>
        </w:rPr>
        <w:t>a,l</w:t>
      </w:r>
      <w:proofErr w:type="spellEnd"/>
      <w:r w:rsidRPr="00040BCF">
        <w:rPr>
          <w:color w:val="000000"/>
        </w:rPr>
        <w:t>)</w:t>
      </w:r>
      <w:proofErr w:type="spellStart"/>
      <w:r w:rsidRPr="00040BCF">
        <w:rPr>
          <w:color w:val="000000"/>
        </w:rPr>
        <w:t>pyrene</w:t>
      </w:r>
      <w:proofErr w:type="spellEnd"/>
      <w:r w:rsidRPr="00040BCF">
        <w:rPr>
          <w:color w:val="000000"/>
        </w:rPr>
        <w:t xml:space="preserve"> (191-30-0), 7,12-dimethylbenz(a)anthracene (57-97-6), 1,6-dinitropyrene (42397-64-8), 1,8-dinitropyrene (42397-65-9), </w:t>
      </w:r>
      <w:proofErr w:type="spellStart"/>
      <w:r w:rsidRPr="00040BCF">
        <w:rPr>
          <w:color w:val="000000"/>
        </w:rPr>
        <w:t>indeno</w:t>
      </w:r>
      <w:proofErr w:type="spellEnd"/>
      <w:r w:rsidRPr="00040BCF">
        <w:rPr>
          <w:color w:val="000000"/>
        </w:rPr>
        <w:t>(1,2,3-c,d)</w:t>
      </w:r>
      <w:proofErr w:type="spellStart"/>
      <w:r w:rsidRPr="00040BCF">
        <w:rPr>
          <w:color w:val="000000"/>
        </w:rPr>
        <w:t>pyrene</w:t>
      </w:r>
      <w:proofErr w:type="spellEnd"/>
      <w:r w:rsidRPr="00040BCF">
        <w:rPr>
          <w:color w:val="000000"/>
        </w:rPr>
        <w:t xml:space="preserve"> (193-39-5), 3-methylcholanthrene (56-49-5), 5-methylchrysene (3697-24-3), 1-nitropyrene (5522-43-0), 2-nitrofluorene (607-57-8), 4-nitropyrene (59865-13-3), 5-nitroacenaphthene (607-87-9) 6-nitrochrysene (7496-02-8), </w:t>
      </w:r>
      <w:proofErr w:type="spellStart"/>
      <w:r w:rsidRPr="00040BCF">
        <w:rPr>
          <w:color w:val="000000"/>
        </w:rPr>
        <w:t>acenaphthene</w:t>
      </w:r>
      <w:proofErr w:type="spellEnd"/>
      <w:r w:rsidRPr="00040BCF">
        <w:rPr>
          <w:color w:val="000000"/>
        </w:rPr>
        <w:t xml:space="preserve"> (83-32-9), </w:t>
      </w:r>
      <w:proofErr w:type="spellStart"/>
      <w:r w:rsidRPr="00040BCF">
        <w:rPr>
          <w:color w:val="000000"/>
        </w:rPr>
        <w:t>acenaphthylene</w:t>
      </w:r>
      <w:proofErr w:type="spellEnd"/>
      <w:r w:rsidRPr="00040BCF">
        <w:rPr>
          <w:color w:val="000000"/>
        </w:rPr>
        <w:t xml:space="preserve"> (208-96-8), anthracene (120-12-7), benzo(</w:t>
      </w:r>
      <w:proofErr w:type="spellStart"/>
      <w:r w:rsidRPr="00040BCF">
        <w:rPr>
          <w:color w:val="000000"/>
        </w:rPr>
        <w:t>g,h,i</w:t>
      </w:r>
      <w:proofErr w:type="spellEnd"/>
      <w:r w:rsidRPr="00040BCF">
        <w:rPr>
          <w:color w:val="000000"/>
        </w:rPr>
        <w:t>)</w:t>
      </w:r>
      <w:proofErr w:type="spellStart"/>
      <w:r w:rsidRPr="00040BCF">
        <w:rPr>
          <w:color w:val="000000"/>
        </w:rPr>
        <w:t>perylene</w:t>
      </w:r>
      <w:proofErr w:type="spellEnd"/>
      <w:r w:rsidRPr="00040BCF">
        <w:rPr>
          <w:color w:val="000000"/>
        </w:rPr>
        <w:t xml:space="preserve"> (191-24-2), </w:t>
      </w:r>
      <w:proofErr w:type="spellStart"/>
      <w:r w:rsidRPr="00040BCF">
        <w:rPr>
          <w:color w:val="000000"/>
        </w:rPr>
        <w:t>fluoranthene</w:t>
      </w:r>
      <w:proofErr w:type="spellEnd"/>
      <w:r w:rsidRPr="00040BCF">
        <w:rPr>
          <w:color w:val="000000"/>
        </w:rPr>
        <w:t xml:space="preserve"> (206-44-0), </w:t>
      </w:r>
      <w:proofErr w:type="spellStart"/>
      <w:r w:rsidRPr="00040BCF">
        <w:rPr>
          <w:color w:val="000000"/>
        </w:rPr>
        <w:t>fluorene</w:t>
      </w:r>
      <w:proofErr w:type="spellEnd"/>
      <w:r w:rsidRPr="00040BCF">
        <w:rPr>
          <w:color w:val="000000"/>
        </w:rPr>
        <w:t xml:space="preserve"> (86-73-7), </w:t>
      </w:r>
      <w:proofErr w:type="spellStart"/>
      <w:r w:rsidRPr="00040BCF">
        <w:rPr>
          <w:color w:val="000000"/>
        </w:rPr>
        <w:t>phenanthrene</w:t>
      </w:r>
      <w:proofErr w:type="spellEnd"/>
      <w:r w:rsidRPr="00040BCF">
        <w:rPr>
          <w:color w:val="000000"/>
        </w:rPr>
        <w:t xml:space="preserve"> (85-01-8), and </w:t>
      </w:r>
      <w:proofErr w:type="spellStart"/>
      <w:r w:rsidRPr="00040BCF">
        <w:rPr>
          <w:color w:val="000000"/>
        </w:rPr>
        <w:t>pyrene</w:t>
      </w:r>
      <w:proofErr w:type="spellEnd"/>
      <w:r w:rsidRPr="00040BCF">
        <w:rPr>
          <w:color w:val="000000"/>
        </w:rPr>
        <w:t xml:space="preserve"> (129-00-0). </w:t>
      </w:r>
    </w:p>
    <w:p w14:paraId="7970B97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rr</w:t>
      </w:r>
      <w:proofErr w:type="spellEnd"/>
      <w:proofErr w:type="gramEnd"/>
      <w:r w:rsidRPr="00040BCF">
        <w:rPr>
          <w:color w:val="000000"/>
        </w:rPr>
        <w:t xml:space="preserve">) The ambient benchmark for tetrachloroethylene (127-18-4) is 35 micrograms per cubic meter. </w:t>
      </w:r>
    </w:p>
    <w:p w14:paraId="7488319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ss</w:t>
      </w:r>
      <w:proofErr w:type="spellEnd"/>
      <w:r w:rsidRPr="00040BCF">
        <w:rPr>
          <w:color w:val="000000"/>
        </w:rPr>
        <w:t xml:space="preserve">) The ambient benchmark for toluene (108-88-3) is 400 micrograms per cubic meter. </w:t>
      </w:r>
    </w:p>
    <w:p w14:paraId="27E4728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tt</w:t>
      </w:r>
      <w:proofErr w:type="spellEnd"/>
      <w:proofErr w:type="gramEnd"/>
      <w:r w:rsidRPr="00040BCF">
        <w:rPr>
          <w:color w:val="000000"/>
        </w:rPr>
        <w:t>) The ambient benchmark for 2</w:t>
      </w:r>
      <w:proofErr w:type="gramStart"/>
      <w:r w:rsidRPr="00040BCF">
        <w:rPr>
          <w:color w:val="000000"/>
        </w:rPr>
        <w:t>,4</w:t>
      </w:r>
      <w:proofErr w:type="gramEnd"/>
      <w:r w:rsidRPr="00040BCF">
        <w:rPr>
          <w:color w:val="000000"/>
        </w:rPr>
        <w:t xml:space="preserve">- &amp; 2,6 toluene </w:t>
      </w:r>
      <w:proofErr w:type="spellStart"/>
      <w:r w:rsidRPr="00040BCF">
        <w:rPr>
          <w:color w:val="000000"/>
        </w:rPr>
        <w:t>diisocyanate</w:t>
      </w:r>
      <w:proofErr w:type="spellEnd"/>
      <w:r w:rsidRPr="00040BCF">
        <w:rPr>
          <w:color w:val="000000"/>
        </w:rPr>
        <w:t xml:space="preserve">, mixture (26471-62-5) is 0.07 micrograms per cubic meter. </w:t>
      </w:r>
    </w:p>
    <w:p w14:paraId="0209C5A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uu</w:t>
      </w:r>
      <w:proofErr w:type="spellEnd"/>
      <w:proofErr w:type="gramEnd"/>
      <w:r w:rsidRPr="00040BCF">
        <w:rPr>
          <w:color w:val="000000"/>
        </w:rPr>
        <w:t xml:space="preserve">) The ambient benchmark for trichloroethylene (79-01-6) is 0.5 micrograms per cubic meter. </w:t>
      </w:r>
    </w:p>
    <w:p w14:paraId="4BF0B57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vv</w:t>
      </w:r>
      <w:proofErr w:type="spellEnd"/>
      <w:proofErr w:type="gramEnd"/>
      <w:r w:rsidRPr="00040BCF">
        <w:rPr>
          <w:color w:val="000000"/>
        </w:rPr>
        <w:t xml:space="preserve">) The ambient benchmark for vinyl chloride (75-01-4) is 0.1 micrograms per cubic meter. </w:t>
      </w:r>
    </w:p>
    <w:p w14:paraId="6C6E849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ww</w:t>
      </w:r>
      <w:proofErr w:type="spellEnd"/>
      <w:proofErr w:type="gramEnd"/>
      <w:r w:rsidRPr="00040BCF">
        <w:rPr>
          <w:color w:val="000000"/>
        </w:rPr>
        <w:t xml:space="preserve">) The ambient benchmark for white phosphorus (7723-14-0) is 0.07 micrograms per cubic meter. </w:t>
      </w:r>
    </w:p>
    <w:p w14:paraId="66E1E7C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(xx) The ambient benchmark for xylenes (1330-20-7) is 700 micrograms per cubic meter. </w:t>
      </w:r>
    </w:p>
    <w:p w14:paraId="0385A36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yy</w:t>
      </w:r>
      <w:proofErr w:type="spellEnd"/>
      <w:proofErr w:type="gramEnd"/>
      <w:r w:rsidRPr="00040BCF">
        <w:rPr>
          <w:color w:val="000000"/>
        </w:rPr>
        <w:t xml:space="preserve">) The ambient benchmark for hydrogen sulfide (7783-06-4) is 2.0 micrograms per cubic meter. </w:t>
      </w:r>
    </w:p>
    <w:p w14:paraId="38DB2FD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w:t>
      </w:r>
      <w:proofErr w:type="spellStart"/>
      <w:proofErr w:type="gramStart"/>
      <w:r w:rsidRPr="00040BCF">
        <w:rPr>
          <w:color w:val="000000"/>
        </w:rPr>
        <w:t>zz</w:t>
      </w:r>
      <w:proofErr w:type="spellEnd"/>
      <w:proofErr w:type="gramEnd"/>
      <w:r w:rsidRPr="00040BCF">
        <w:rPr>
          <w:color w:val="000000"/>
        </w:rPr>
        <w:t xml:space="preserve">) The ambient benchmark for methanol (67-56-1) is 4000 micrograms per cubic meter. </w:t>
      </w:r>
    </w:p>
    <w:p w14:paraId="4BC626A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&amp;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ef. 11-3-03; DEQ 12-2006, f. &amp; cert. ef. 8-15-06; DEQ 9-2010, f. &amp; cert. ef. 8-31-10; DEQ 11-2010, f. &amp; </w:t>
      </w:r>
      <w:proofErr w:type="spellStart"/>
      <w:r w:rsidRPr="00040BCF">
        <w:rPr>
          <w:color w:val="000000"/>
        </w:rPr>
        <w:t>dert</w:t>
      </w:r>
      <w:proofErr w:type="spellEnd"/>
      <w:r w:rsidRPr="00040BCF">
        <w:rPr>
          <w:color w:val="000000"/>
        </w:rPr>
        <w:t xml:space="preserve">. </w:t>
      </w:r>
      <w:proofErr w:type="gramStart"/>
      <w:r w:rsidRPr="00040BCF">
        <w:rPr>
          <w:color w:val="000000"/>
        </w:rPr>
        <w:t>ef</w:t>
      </w:r>
      <w:proofErr w:type="gramEnd"/>
      <w:r w:rsidRPr="00040BCF">
        <w:rPr>
          <w:color w:val="000000"/>
        </w:rPr>
        <w:t xml:space="preserve">. 10-19-10 </w:t>
      </w:r>
    </w:p>
    <w:p w14:paraId="0BC5208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340-246-0110</w:t>
      </w:r>
    </w:p>
    <w:p w14:paraId="247D57F9"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Source Category Rules and Strategies </w:t>
      </w:r>
    </w:p>
    <w:p w14:paraId="77A4B42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may identify the need for source category rules and strategies through the following methods:</w:t>
      </w:r>
    </w:p>
    <w:p w14:paraId="049F83E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The emissions inventory, modeling or monitoring, shows air toxics emissions from point, area, or mobile sources associated with public health risk at public receptors;</w:t>
      </w:r>
    </w:p>
    <w:p w14:paraId="7693D8A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Development of a local air toxics reduction plan provides source category controls that could be effectively applied to sources existing in other parts of the state; or</w:t>
      </w:r>
    </w:p>
    <w:p w14:paraId="20EB978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When implementing the Safety Net Program, the Department establishes air toxics emissions reductions for a source and determines that there are other similar sources in the state to which the reductions should apply.</w:t>
      </w:r>
    </w:p>
    <w:p w14:paraId="0920B82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in this rule, the Lane Regional Air Pollution Authority is designated by the Commission as the agency responsible for implementing Source Category Rules and Strategies within its area of jurisdiction. The requirements and procedures contained in this rule must be used by the Regional Authority to implement Source Category Rules and Strategies unless the Regional Authority adopts superseding rules that are at least as restrictive as the rules adopted by the Commission. </w:t>
      </w:r>
    </w:p>
    <w:p w14:paraId="4744E2F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The Department will consider the following criteria in determining whether to propose source category strategies under this division:</w:t>
      </w:r>
    </w:p>
    <w:p w14:paraId="38C500A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Whether air toxics emissions from the source category are not, or will not, be addressed by other regulations or strategies, including emissions reduction requirements under the Geographic Program (OAR 340-246-0130 through 340-246-0170), or the Safety Net Program (OAR 340-246-0190 through 340-246-0230);</w:t>
      </w:r>
    </w:p>
    <w:p w14:paraId="78B7642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Whether air toxic emissions from the source category can be effectively reduced through regulations or voluntary strategies; and</w:t>
      </w:r>
    </w:p>
    <w:p w14:paraId="2E8A29A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Whether the source category contributes to ambient benchmark exceedances at public receptors statewide, in multiple geographic areas, or in multiple counties</w:t>
      </w:r>
    </w:p>
    <w:p w14:paraId="056D8EE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5710824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340-246-0130</w:t>
      </w:r>
    </w:p>
    <w:p w14:paraId="2F62740C"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Geographic Program (0130 through 0170)</w:t>
      </w:r>
    </w:p>
    <w:p w14:paraId="6F0AC82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Purpose. The Geographic Program addresses emissions from multiple sources of air toxics. It requires prioritizing and selecting geographic areas of concern, forming a local advisory committee, developing a specific local plan to control air toxics, a public participation and comment process, EQC adoption or approval, implementing reduction strategies, and periodically evaluating the effectiveness by the Department.</w:t>
      </w:r>
    </w:p>
    <w:p w14:paraId="0BAE3BB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Subject to the requirements in OAR 340-246-0130 through 0170, the Lane Regional Air Pollution Authority is designated by the Commission as the agency to implement the Geographic Program within its area of jurisdiction. The requirements and procedures contained in this rule shall be used by the Regional Authority to implement the Geographic Program unless the Regional Authority adopts superseding rules which are at least as restrictive as state rules. The Regional Authority will address geographic areas as resources allow, considering the prioritization criteria in 340-246-0150.</w:t>
      </w:r>
    </w:p>
    <w:p w14:paraId="3634CAF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225A70FF"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340-246-0150</w:t>
      </w:r>
    </w:p>
    <w:p w14:paraId="02AD9A44"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Prioritizing and Selecting Geographic Areas</w:t>
      </w:r>
    </w:p>
    <w:p w14:paraId="5903DBF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will prioritize geographic areas by considering the total cancer and non-cancer risk from air toxics to the population in the area, as indicated by:</w:t>
      </w:r>
    </w:p>
    <w:p w14:paraId="0419CA6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number and degree of ambient benchmark exceedances; </w:t>
      </w:r>
    </w:p>
    <w:p w14:paraId="6C779D9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The toxicity or potency of air toxics exceeding ambient benchmarks;</w:t>
      </w:r>
    </w:p>
    <w:p w14:paraId="43E4F26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level of exposure and number of people at risk in areas of concern; </w:t>
      </w:r>
    </w:p>
    <w:p w14:paraId="4134701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presence of sensitive populations; </w:t>
      </w:r>
    </w:p>
    <w:p w14:paraId="13BD53A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The effectiveness of local control strategies; and</w:t>
      </w:r>
    </w:p>
    <w:p w14:paraId="613E64E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To the extent known, the risk posed by multiple pollutants and pollutant mixtures.</w:t>
      </w:r>
    </w:p>
    <w:p w14:paraId="31B2308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(2) Not later than 18 months after the first set of benchmarks is adopted, the Department will select the first geographic area for air toxics reduction planning. The Department will base selection on representative monitoring compared to the ambient benchmark concentrations at public receptors. To the extent possible, geographic areas will be identified using monitoring data generated following EPA monitoring guidelines. Subsequent geographic areas will be selected after completion of monitoring. A geographic area is formally selected upon publication of a notice in the Oregon Secretary of State's Bulletin. Once an area is selected for air toxics reduction planning, it will retain the status of a selected geographic area until the Department determines through an evaluation of data that a reduction plan is no longer necessary for the area to meet all air toxics ambient benchmarks. </w:t>
      </w:r>
    </w:p>
    <w:p w14:paraId="1BFCD53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The Department will first select for emissions reduction planning the high priority geographic areas, where concentrations of air toxics are more than ten times above the ambient benchmarks or above a hazard quotient of one with the potential for serious adverse health effects. The Department will select all other geographic areas, where air toxics concentrations are above benchmarks, after air toxics emissions reduction plans have been approved for the high priority geographic areas. </w:t>
      </w:r>
    </w:p>
    <w:p w14:paraId="4D8C192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Geographic Area Boundaries. The Department will establish general geographic area boundaries on a neighborhood or urban area scale. The Department will consider feasibility of administration when setting the boundaries of a geographic area. In setting geographic area boundaries, the Department will consider criteria including but not limited to the following:</w:t>
      </w:r>
    </w:p>
    <w:p w14:paraId="12AD271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Areas of impact (where people are exposed);</w:t>
      </w:r>
    </w:p>
    <w:p w14:paraId="17C23D6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Population density;</w:t>
      </w:r>
    </w:p>
    <w:p w14:paraId="11B994C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Areas of influence (where sources are located);</w:t>
      </w:r>
    </w:p>
    <w:p w14:paraId="178D1DF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Meteorology;</w:t>
      </w:r>
    </w:p>
    <w:p w14:paraId="1BC247E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Geography and topography;</w:t>
      </w:r>
    </w:p>
    <w:p w14:paraId="074CEF8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Including all air toxics exceeding ambient benchmarks; and</w:t>
      </w:r>
    </w:p>
    <w:p w14:paraId="2D8D4DD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g</w:t>
      </w:r>
      <w:proofErr w:type="gramEnd"/>
      <w:r w:rsidRPr="00040BCF">
        <w:rPr>
          <w:color w:val="000000"/>
        </w:rPr>
        <w:t>) Coordination with criteria pollutant boundaries for attainment of the National Ambient Air Quality Standards (NAAQS).</w:t>
      </w:r>
    </w:p>
    <w:p w14:paraId="20EFA4A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248D081E"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340-246-0170</w:t>
      </w:r>
    </w:p>
    <w:p w14:paraId="517D3220"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Local Air Toxics Emissions Reduction Planning</w:t>
      </w:r>
    </w:p>
    <w:p w14:paraId="4AF8DD8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(1) The Department will develop air toxics reduction plans for selected geographic areas with the advice of local advisory committees. The main role of a local advisory committee is to consider air toxics reduction options and to recommend a specific air toxics reduction plan for their geographic area. The Director will appoint a local air toxics advisory committee.</w:t>
      </w:r>
    </w:p>
    <w:p w14:paraId="4858419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Local advisory committees will generally be composed of a balanced representation of members from affected local government, local health departments, the public, small businesses (50 or fewer employees), larger businesses (if present in the area), and interest groups represented in the area.</w:t>
      </w:r>
    </w:p>
    <w:p w14:paraId="7CD90FC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Local Advisory Committee Tasks. </w:t>
      </w:r>
    </w:p>
    <w:p w14:paraId="2E3E270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Within 18 months of their first meeting, the committee will evaluate options for reducing emissions of air toxics that exceed ambient benchmarks, and recommend a local air toxics reduction plan to the Department.</w:t>
      </w:r>
    </w:p>
    <w:p w14:paraId="216CB93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The Department may grant an extension of time to the local committee if requested by the committee, if the Department believes the extension is technically justified and the committee is making reasonable progress in developing a local air toxics reduction plan.</w:t>
      </w:r>
    </w:p>
    <w:p w14:paraId="630A8C9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If the committee is unable to recommend a local air toxics reduction plan to the Department within 18 months, or the date of an extension, the Department will formulate a plan for the area within six months.</w:t>
      </w:r>
    </w:p>
    <w:p w14:paraId="26C017E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The Department and the local advisory committee will seek local government support for the proposed local air toxics emissions reduction plan.</w:t>
      </w:r>
    </w:p>
    <w:p w14:paraId="3261E8B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The local advisory committee will evaluate the plan's effectiveness as it is implemented and recommend changes to the Department.</w:t>
      </w:r>
    </w:p>
    <w:p w14:paraId="7129684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At the Department's request, the local advisory committee will reconvene to implement contingency planning and recommend contingency measures as specified by OAR 340-246-0170(4)(l).</w:t>
      </w:r>
    </w:p>
    <w:p w14:paraId="5C91732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(g) If the committee is unable to recommend contingency measures within 18 months, the Department will formulate contingency measures for the area within 6 months.</w:t>
      </w:r>
    </w:p>
    <w:p w14:paraId="52FBB4F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Public Notice, Comment, Approval and Adoption by the Environmental Quality Commission. The Department will provide an opportunity for public notice and comment on proposed local emissions reduction plans. After the public notice and comment process is complete, the Department will present local air toxics reduction plans to the Commission for approval, including adoption of appropriate administrative rules. The Environmental Quality Commission may delegate the approval of plans that do not contain administrative rules to the Director of the Department.</w:t>
      </w:r>
    </w:p>
    <w:p w14:paraId="1D59ABF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Elements of an Air Toxics Reduction Plan:</w:t>
      </w:r>
    </w:p>
    <w:p w14:paraId="1425F1F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(a) Local air toxics reduction plans must focus on the air toxic or air toxics measured or modeled above the ambient benchmarks.</w:t>
      </w:r>
    </w:p>
    <w:p w14:paraId="0EC0CAD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Local air toxics reduction plans must be based on sound data analysis. This includes developing enhanced emissions inventory information for the local area using source-specific information to the extent possible. This may also include enhanced modeling and monitoring to better characterize ambient concentrations. Plans also must rely on sound analysis of the effectiveness and cost of air toxics emissions reduction options. Where needed to fill specific information gaps, the Department may require air toxics emissions reporting for specific sources or source categories within the geographic area on a case-by-case basis. </w:t>
      </w:r>
    </w:p>
    <w:p w14:paraId="1532EE8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The emissions reduction goals for individual air toxics are ambient benchmarks in local air toxics reduction plans.</w:t>
      </w:r>
    </w:p>
    <w:p w14:paraId="5DF5890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Local air toxics reduction plans must be designed to reduce air toxics emissions in a timely manner.</w:t>
      </w:r>
    </w:p>
    <w:p w14:paraId="2F95F50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When feasible, local air toxics reduction plans will be designed to reach levels that are equal to or below ambient benchmark concentrations. Plans will be designed to achieve emissions reductions within ten years, beginning at the date the Commission approves the plan. Local plans must provide for the timeliest reductions possible for each air toxic exceeding ambient benchmarks.</w:t>
      </w:r>
    </w:p>
    <w:p w14:paraId="26E51B0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Local air toxics reduction plans must include specific three-year milestones that the Department and the local advisory committee will evaluate every three years, in coordination with the Department's air toxics emissions inventory update.</w:t>
      </w:r>
    </w:p>
    <w:p w14:paraId="3E4BACF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Every three years, the Department will assess the effectiveness of local plans and make recommendations for plan revision based on progress meeting milestones or new information. If the Department finds lack of progress at year three, it will work with the local advisory committee to provide corrective measures. If the Department finds lack of progress at year six and projects that ten-year goals in OAR 340-246-0170(4)(d)(A) will not be met, it will implement the contingency plan in 340-246-0170(4)(l). If at year nine the Department projects that ten year goals in 340-246-0170(4</w:t>
      </w:r>
      <w:proofErr w:type="gramStart"/>
      <w:r w:rsidRPr="00040BCF">
        <w:rPr>
          <w:color w:val="000000"/>
        </w:rPr>
        <w:t>)(</w:t>
      </w:r>
      <w:proofErr w:type="gramEnd"/>
      <w:r w:rsidRPr="00040BCF">
        <w:rPr>
          <w:color w:val="000000"/>
        </w:rPr>
        <w:t>d)(A) will not be met, it will work with the local advisory committee to propose and seek adoption of measures necessary to reach these goals.</w:t>
      </w:r>
    </w:p>
    <w:p w14:paraId="783696F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Local air toxics reduction plans must evaluate air toxics emissions from all types of sources, including point, area, and mobile sources. Plans must require emissions reductions from the most significant sources of air toxics. Mandatory emissions reduction strategies will be commensurate with source contributions, considering relative emissions, toxicity, technical feasibility, cost-effectiveness and equity.</w:t>
      </w:r>
    </w:p>
    <w:p w14:paraId="614AF79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Local air toxics reduction plans must include strategies to reduce high concentrations of air toxics that are limited to smaller portions of a geographic area as well as pollutants causing public health risk throughout the area. </w:t>
      </w:r>
    </w:p>
    <w:p w14:paraId="1408748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(h) Local air toxics reduction plans may include a variety of mandatory and voluntary approaches to reducing emissions of air toxics. Depending on the type of source, local air toxics reduction plans may include public education, pollution prevention alternatives, economic incentives and disincentives, technical assistance and regulatory requirements.</w:t>
      </w:r>
    </w:p>
    <w:p w14:paraId="236B4CB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The Department will ensure the opportunity for public involvement during the plan development process. This includes involving those affected by the air toxics emissions and those affected by the proposals to reduce air toxics emissions. Proposed local air toxics reduction plans must be available for public hearing and comment.</w:t>
      </w:r>
    </w:p>
    <w:p w14:paraId="666BC58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(j) Local air toxics reduction plans must be coordinated with other local, state, and federal requirements to the extent possible. This includes considerations of any ozone or particulate control requirements for the area, any federal standard applicable to sources in the area, any strategies that are federally pre-empted, and any impacts on water or land, such as water pollution or hazardous waste.</w:t>
      </w:r>
    </w:p>
    <w:p w14:paraId="4F84AD5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Local air toxics reduction plans will include specific recommendations for developing ongoing emissions inventory or ambient air monitoring to track local trends in air toxics. </w:t>
      </w:r>
    </w:p>
    <w:p w14:paraId="2FFAEDC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Local air toxics reduction plans must include a contingency plan that will be implemented if evaluation at year six shows that an area is not meeting milestones and will not achieve the ten year goals established under OAR 340-246-0170(4)(d)(A). The contingency plan, like the original plan, must require emissions reductions from the most significant sources of air toxics. Mandatory emissions reduction strategies will be commensurate with source contributions, considering relative emissions, toxicity, technical feasibility cost-effectiveness and equity. Contingency plans must include but are not limited to: </w:t>
      </w:r>
    </w:p>
    <w:p w14:paraId="487F9DF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Re-evaluation of planning assumptions, such as emissions factors, motor vehicle data and background pollutants; </w:t>
      </w:r>
    </w:p>
    <w:p w14:paraId="62DCD87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ii</w:t>
      </w:r>
      <w:proofErr w:type="gramEnd"/>
      <w:r w:rsidRPr="00040BCF">
        <w:rPr>
          <w:color w:val="000000"/>
        </w:rPr>
        <w:t>) Evaluation of existing conditions and effectiveness of emissions reduction strategies, including reasons for success or failure; and</w:t>
      </w:r>
    </w:p>
    <w:p w14:paraId="4D681F3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(iii) New or progressively more mandatory strategies that will be considered.</w:t>
      </w:r>
    </w:p>
    <w:p w14:paraId="2E83969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09341AFC"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340-246-0190</w:t>
      </w:r>
    </w:p>
    <w:p w14:paraId="2EFBF503"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Air Toxics Safety Net Program (0190 through 0230)</w:t>
      </w:r>
    </w:p>
    <w:p w14:paraId="12F3482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The purpose of the Air Toxics Safety Net Program is to address human exposures at public receptors to air toxics emissions from stationary sources that are not addressed by other </w:t>
      </w:r>
      <w:r w:rsidRPr="00040BCF">
        <w:rPr>
          <w:color w:val="000000"/>
        </w:rPr>
        <w:lastRenderedPageBreak/>
        <w:t>regulatory programs or the Geographic Program. It is the Commission's expectation that the Safety Net Program in OAR 340-246-0190 through 340-246-0230 will apply only rarely.</w:t>
      </w:r>
    </w:p>
    <w:p w14:paraId="1A241F1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contained in OAR 340-246-0190 through 340-246-0230, the Lane Regional Air Pollution Authority is designated by the Commission as the agency responsible for implementing the Air Toxics Safety Net Program within its area of jurisdiction. The requirements and procedures contained in this rule must be used by the Regional Authority to implement the Air Toxics Safety Net Program unless the Regional Authority adopts superseding rules, which are at least as restrictive as the rules adopted by the Commission. </w:t>
      </w:r>
    </w:p>
    <w:p w14:paraId="76C9992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Selection of Sources. The Department will select a source for the Air Toxics Safety Net Program if all of the following criteria are met:</w:t>
      </w:r>
    </w:p>
    <w:p w14:paraId="2F0591A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The Department has ambient monitoring information, gathered using appropriate EPA or other published international, national, or state standard methods that concentrations of air toxics have caused an exceedance of at least one ambient benchmark at a site representing expected human exposure to air toxics from the source at a public receptor in a location outside of the source's ownership or control.</w:t>
      </w:r>
    </w:p>
    <w:p w14:paraId="03B0E8A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The Department has information that the source's air toxics emissions alone have caused an exceedance of at least one ambient benchmark at a site representing expected human exposure to air toxics from the source at a public receptor, in a location outside of the source's ownership or control. This could be based on emissions inventory, modeling or other information.</w:t>
      </w:r>
    </w:p>
    <w:p w14:paraId="34DAA26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The source is not subject to or scheduled for a federal residual risk assessment under the federal Clean Air Act section 112(f</w:t>
      </w:r>
      <w:proofErr w:type="gramStart"/>
      <w:r w:rsidRPr="00040BCF">
        <w:rPr>
          <w:color w:val="000000"/>
        </w:rPr>
        <w:t>)(</w:t>
      </w:r>
      <w:proofErr w:type="gramEnd"/>
      <w:r w:rsidRPr="00040BCF">
        <w:rPr>
          <w:color w:val="000000"/>
        </w:rPr>
        <w:t>2) through (6).</w:t>
      </w:r>
    </w:p>
    <w:p w14:paraId="4295A27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source is not subject to an emissions limit or control requirement imposed as the result of modeling or a risk assessment performed or required by the Department prior to November 1, 2003 for the air toxics that exceed the ambient benchmarks. </w:t>
      </w:r>
    </w:p>
    <w:p w14:paraId="0187510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source is located outside of a selected geographic area, as designated in OAR 340-246-0130 through 0170. </w:t>
      </w:r>
    </w:p>
    <w:p w14:paraId="3F3D500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Air Toxics Science Advisory Committee Review. Before requiring a source to conduct a source-specific risk assessment, the Department will present its analysis to the ATSAC. Within 120 days, the ATSAC will review the analysis and make a finding. If the ATSAC concurs with the Department or takes no action, the Department may proceed pursuant to this rule. If the ATSAC objects, the Department will not proceed until it receives concurrence from the Commission.</w:t>
      </w:r>
    </w:p>
    <w:p w14:paraId="2E34743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Source-Specific Exposure Modeling and Risk Assessment. Upon written notification by the Department, a source must conduct a risk assessment including exposure modeling for the air toxics measured at levels above ambient benchmarks. The source must use a risk assessment methodology provided by the Department. This risk assessment will provide the basis for establishing air toxics emissions reductions or demonstrating that at public receptors in areas </w:t>
      </w:r>
      <w:r w:rsidRPr="00040BCF">
        <w:rPr>
          <w:color w:val="000000"/>
        </w:rPr>
        <w:lastRenderedPageBreak/>
        <w:t xml:space="preserve">outside of a source's ownership or control, people are not being exposed to air toxics at levels that exceed the ambient benchmarks. </w:t>
      </w:r>
    </w:p>
    <w:p w14:paraId="2D5A319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Risk Assessment Methodology </w:t>
      </w:r>
      <w:proofErr w:type="gramStart"/>
      <w:r w:rsidRPr="00040BCF">
        <w:rPr>
          <w:color w:val="000000"/>
        </w:rPr>
        <w:t>The</w:t>
      </w:r>
      <w:proofErr w:type="gramEnd"/>
      <w:r w:rsidRPr="00040BCF">
        <w:rPr>
          <w:color w:val="000000"/>
        </w:rPr>
        <w:t xml:space="preserve"> Department will provide guidance on the methods to be used. The risk assessment methodology will be developed in consultation with the ATSAC and will result in a protocol that:</w:t>
      </w:r>
    </w:p>
    <w:p w14:paraId="782DA47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Uses reasonable estimates of plausible upper-bound exposures that neither grossly underestimate nor grossly overestimate risks;</w:t>
      </w:r>
    </w:p>
    <w:p w14:paraId="0A0AE93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Considers the range of probabilities of risks actually occurring, the range of size of the populations likely to be exposed to the risk, and current and reasonably likely future land uses;</w:t>
      </w:r>
    </w:p>
    <w:p w14:paraId="5FA2564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c</w:t>
      </w:r>
      <w:proofErr w:type="gramEnd"/>
      <w:r w:rsidRPr="00040BCF">
        <w:rPr>
          <w:color w:val="000000"/>
        </w:rPr>
        <w:t>) Defines the use of high-end and central-tendency exposure cases and assumptions;</w:t>
      </w:r>
    </w:p>
    <w:p w14:paraId="71D48D1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Develops values associated with chronic exposure for carcinogens; and </w:t>
      </w:r>
    </w:p>
    <w:p w14:paraId="0235F7D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Addresses both carcinogenic and non-carcinogenic air toxics and allows for detailed exposure assessments to the extent possible.</w:t>
      </w:r>
    </w:p>
    <w:p w14:paraId="6B719B0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(7) Review and Acceptance by the Department </w:t>
      </w:r>
      <w:proofErr w:type="gramStart"/>
      <w:r w:rsidRPr="00040BCF">
        <w:rPr>
          <w:color w:val="000000"/>
        </w:rPr>
        <w:t>The</w:t>
      </w:r>
      <w:proofErr w:type="gramEnd"/>
      <w:r w:rsidRPr="00040BCF">
        <w:rPr>
          <w:color w:val="000000"/>
        </w:rPr>
        <w:t xml:space="preserve"> Department will evaluate the risk assessment for adequacy and completeness before accepting the results. If the results demonstrate that the source is not causing human exposures to air toxics at levels that exceed the ambient benchmarks at public receptors, in areas outside the source's ownership or control, and the Department has received concurrence from the ATSAC, the Department will notify the source that air toxics emissions reductions will not be required pursuant to this rule. </w:t>
      </w:r>
    </w:p>
    <w:p w14:paraId="0055C7B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75DBBCC6"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340-246-0210</w:t>
      </w:r>
    </w:p>
    <w:p w14:paraId="09E5FD7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Reductions</w:t>
      </w:r>
    </w:p>
    <w:p w14:paraId="5739273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Air Toxics Emissions Reduction Analysis:</w:t>
      </w:r>
    </w:p>
    <w:p w14:paraId="46A2BEF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If source-specific exposure modeling and risk assessment show that the source is causing exceedances of ambient benchmarks at public receptors in areas outside the source's ownership or control, the source must perform an analysis showing how air toxics could be reduced to meet ambient benchmarks. The Department and the safety net source will develop proposed air toxics emissions reduction measures based on modeling and, when available, monitoring information.</w:t>
      </w:r>
    </w:p>
    <w:p w14:paraId="6C854DA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As part of the air toxics emissions reduction analysis, the source will analyze pollution prevention options, and is encouraged to use the hierarchy stated in OAR 340-246-0050.</w:t>
      </w:r>
    </w:p>
    <w:p w14:paraId="5101729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(2) Air Toxics Emissions Reduction Requirements:</w:t>
      </w:r>
    </w:p>
    <w:p w14:paraId="3F95B9D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 safety net source emitting air toxics causing exposure resulting in excess lifetime cancer risk greater than one in a million (1x10-6) or a hazard quotient of one for non-carcinogens must, as soon as practicable but no later than three years after the effective date of the permit imposing such conditions, meet toxics best available retrofit technology (TBART) for each air toxic that exceeds an ambient benchmark.</w:t>
      </w:r>
    </w:p>
    <w:p w14:paraId="6E071C4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A safety net source may use a means of air toxics reduction, other than TBART, if it can demonstrate to the Department that it will achieve a risk level at or below one in a million, or a hazard quotient at or below one, within three years of using the other means of air toxics emissions reductions.</w:t>
      </w:r>
    </w:p>
    <w:p w14:paraId="21D5ED2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A safety net source emitting a carcinogenic air toxic causing excess lifetime cancer risk at or above one hundred in a million (1x10-4) must reduce its air toxic emissions to achieve a risk level below one hundred in a million as soon practicable but no later than one year after the effective date of the permit imposing such conditions.</w:t>
      </w:r>
    </w:p>
    <w:p w14:paraId="26F88F2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A safety net source emitting a non-carcinogenic air toxic at a level above a hazard quotient of one that the Department finds to have a potential for causing very serious or irreversible adverse health effects must reduce its air toxic emissions below this level as soon practicable, but no later than one year after the effective date of the permit imposing such conditions.</w:t>
      </w:r>
    </w:p>
    <w:p w14:paraId="28994AD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If a safety net source cannot reach a risk level at or below excess lifetime cancer risk of one in a million, or a hazard quotient at or below one in three years, even though it meets TBART, the TBART determination for the source will be subject to periodic review under this section until the source achieves a risk level at or below one in a million or a hazard quotient at or below one. Upon each renewal of the source's permit, TBART for the source must be reviewed, taking into consideration retrofit costs and the remaining useful life of controls installed or other measures taken to meet a prior TBART determination. Upon renewal of the source's permit, the Department must include conditions requiring the source to meet TBART as determined for that permit renewal. </w:t>
      </w:r>
    </w:p>
    <w:p w14:paraId="1BD8513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54AFF57B"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340-246-0230</w:t>
      </w:r>
    </w:p>
    <w:p w14:paraId="7D69555C"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 Measures in Permit</w:t>
      </w:r>
      <w:r w:rsidRPr="00040BCF">
        <w:rPr>
          <w:color w:val="000000"/>
        </w:rPr>
        <w:t xml:space="preserve"> </w:t>
      </w:r>
    </w:p>
    <w:p w14:paraId="4CFC96E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Public Participation. DEQ will hold public informational meetings to discuss proposed air toxics emissions reduction measures. After the informational meetings, DEQ will provide at least 40-</w:t>
      </w:r>
      <w:proofErr w:type="spellStart"/>
      <w:r w:rsidRPr="00040BCF">
        <w:rPr>
          <w:color w:val="000000"/>
        </w:rPr>
        <w:t>days notice</w:t>
      </w:r>
      <w:proofErr w:type="spellEnd"/>
      <w:r w:rsidRPr="00040BCF">
        <w:rPr>
          <w:color w:val="000000"/>
        </w:rPr>
        <w:t xml:space="preserve"> before holding a public hearing to collect official comments on the proposed air toxics emissions reduction measures. </w:t>
      </w:r>
    </w:p>
    <w:p w14:paraId="11368FD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lastRenderedPageBreak/>
        <w:t xml:space="preserve">(2) Permit or Permit Modification. After considering public comments, DEQ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340-216-0066. </w:t>
      </w:r>
    </w:p>
    <w:p w14:paraId="5E9641EC" w14:textId="7AE32B65" w:rsidR="0065051D"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468.020, 468A. 025, 468A.040&amp; 468A.310 </w:t>
      </w:r>
      <w:r w:rsidRPr="00040BCF">
        <w:rPr>
          <w:color w:val="000000"/>
        </w:rPr>
        <w:br/>
        <w:t xml:space="preserve">Stats. Implemented: ORS 468A.025, 468A.040 &amp; 468A.310 </w:t>
      </w:r>
      <w:r w:rsidRPr="00040BCF">
        <w:rPr>
          <w:color w:val="000000"/>
        </w:rPr>
        <w:br/>
        <w:t>Hist.: DEQ 15-2003, f. &amp; cert. ef. 11-3-03; DEQ 5-2011, f. 4-29-11, cert. ef. 5-1-11; DEQ 7-2015, f. &amp; cert. ef. 4-16-15</w:t>
      </w:r>
    </w:p>
    <w:sectPr w:rsidR="0065051D" w:rsidRPr="00040BCF"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70266"/>
    <w:rsid w:val="000768AD"/>
    <w:rsid w:val="000B7AB2"/>
    <w:rsid w:val="000C67E3"/>
    <w:rsid w:val="00164F3F"/>
    <w:rsid w:val="001C48C7"/>
    <w:rsid w:val="00236B03"/>
    <w:rsid w:val="00240F6F"/>
    <w:rsid w:val="0026221F"/>
    <w:rsid w:val="002631AD"/>
    <w:rsid w:val="002A254F"/>
    <w:rsid w:val="002A6515"/>
    <w:rsid w:val="002A7C30"/>
    <w:rsid w:val="002E0E8A"/>
    <w:rsid w:val="00315396"/>
    <w:rsid w:val="00347C64"/>
    <w:rsid w:val="0037121C"/>
    <w:rsid w:val="003A1272"/>
    <w:rsid w:val="003E3D72"/>
    <w:rsid w:val="00470DFF"/>
    <w:rsid w:val="004715A0"/>
    <w:rsid w:val="00482DCC"/>
    <w:rsid w:val="004A276F"/>
    <w:rsid w:val="004C1069"/>
    <w:rsid w:val="004E08A0"/>
    <w:rsid w:val="004F3B31"/>
    <w:rsid w:val="00524D11"/>
    <w:rsid w:val="00536F63"/>
    <w:rsid w:val="005374E6"/>
    <w:rsid w:val="00583DE4"/>
    <w:rsid w:val="005C433F"/>
    <w:rsid w:val="00600C9B"/>
    <w:rsid w:val="0065051D"/>
    <w:rsid w:val="00681E6E"/>
    <w:rsid w:val="006A6E50"/>
    <w:rsid w:val="006F355B"/>
    <w:rsid w:val="00716C66"/>
    <w:rsid w:val="007373CB"/>
    <w:rsid w:val="00743E45"/>
    <w:rsid w:val="00746073"/>
    <w:rsid w:val="007853E8"/>
    <w:rsid w:val="007F0160"/>
    <w:rsid w:val="007F75E4"/>
    <w:rsid w:val="0088009A"/>
    <w:rsid w:val="00890565"/>
    <w:rsid w:val="008B5943"/>
    <w:rsid w:val="008C206A"/>
    <w:rsid w:val="00937D56"/>
    <w:rsid w:val="0096070F"/>
    <w:rsid w:val="00981252"/>
    <w:rsid w:val="00993FB7"/>
    <w:rsid w:val="009A38ED"/>
    <w:rsid w:val="009C436B"/>
    <w:rsid w:val="009D30B7"/>
    <w:rsid w:val="009D7BC2"/>
    <w:rsid w:val="009E78F3"/>
    <w:rsid w:val="00B0682C"/>
    <w:rsid w:val="00B76E40"/>
    <w:rsid w:val="00BD72EF"/>
    <w:rsid w:val="00C15796"/>
    <w:rsid w:val="00C24A92"/>
    <w:rsid w:val="00C93395"/>
    <w:rsid w:val="00D03FF4"/>
    <w:rsid w:val="00D55F89"/>
    <w:rsid w:val="00D63627"/>
    <w:rsid w:val="00DD259A"/>
    <w:rsid w:val="00E969AD"/>
    <w:rsid w:val="00EB6375"/>
    <w:rsid w:val="00F84E9E"/>
    <w:rsid w:val="00F9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3F07"/>
  <w15:docId w15:val="{0D877C41-0AA5-4E45-8A0A-CA8F4E6C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16-8010_4-16-1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arcweb.sos.state.or.us/pages/rules/oars_300/oar_340/_340_tables/340-236-8010_4-16-15.pdf"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arcweb.sos.state.or.us/pages/rules/oars_300/oar_340/_340_tables/340-216-8020_4-1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FF141B8A-F187-4D97-A507-A50056C4622A}">
  <ds:schemaRefs>
    <ds:schemaRef ds:uri="http://www.w3.org/XML/1998/namespace"/>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ListId:docs;"/>
    <ds:schemaRef ds:uri="http://schemas.microsoft.com/office/2006/metadata/properties"/>
  </ds:schemaRefs>
</ds:datastoreItem>
</file>

<file path=customXml/itemProps3.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B1FE4-D515-465A-AC86-6AA13A9C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79</Pages>
  <Words>27102</Words>
  <Characters>154484</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Rules Division 12</vt:lpstr>
    </vt:vector>
  </TitlesOfParts>
  <Company>State of Oregon</Company>
  <LinksUpToDate>false</LinksUpToDate>
  <CharactersWithSpaces>181224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dcterms:created xsi:type="dcterms:W3CDTF">2016-02-24T17:45:00Z</dcterms:created>
  <dcterms:modified xsi:type="dcterms:W3CDTF">2016-02-24T18:06:00Z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