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E67CC1" w:rsidP="00E50FBD">
      <w:pPr>
        <w:pStyle w:val="Normal1"/>
      </w:pPr>
      <w:r w:rsidRPr="00E50FBD">
        <w:rPr>
          <w:noProof/>
        </w:rPr>
        <w:drawing>
          <wp:anchor distT="0" distB="0" distL="114300" distR="114300" simplePos="0" relativeHeight="251654656" behindDoc="0" locked="0" layoutInCell="1" allowOverlap="1">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E67CC1" w:rsidRPr="00E47EFB" w:rsidRDefault="00E67CC1" w:rsidP="00E90A5A">
      <w:pPr>
        <w:pStyle w:val="Normal1"/>
        <w:jc w:val="center"/>
        <w:rPr>
          <w:sz w:val="28"/>
          <w:szCs w:val="28"/>
        </w:rPr>
      </w:pPr>
      <w:r w:rsidRPr="00E47EFB">
        <w:rPr>
          <w:sz w:val="28"/>
          <w:szCs w:val="28"/>
        </w:rPr>
        <w:t>Oregon Department of Environmental Quality</w:t>
      </w:r>
    </w:p>
    <w:p w:rsidR="00E67CC1" w:rsidRPr="00E47EFB" w:rsidRDefault="00E67CC1" w:rsidP="00E90A5A">
      <w:pPr>
        <w:pStyle w:val="Normal1"/>
        <w:jc w:val="center"/>
        <w:rPr>
          <w:sz w:val="28"/>
          <w:szCs w:val="28"/>
        </w:rPr>
      </w:pPr>
    </w:p>
    <w:p w:rsidR="00E67CC1" w:rsidRPr="00E47EFB" w:rsidRDefault="00900DCA" w:rsidP="00E90A5A">
      <w:pPr>
        <w:pStyle w:val="Normal1"/>
        <w:jc w:val="center"/>
        <w:rPr>
          <w:sz w:val="28"/>
          <w:szCs w:val="28"/>
        </w:rPr>
      </w:pPr>
      <w:r>
        <w:rPr>
          <w:sz w:val="28"/>
          <w:szCs w:val="28"/>
        </w:rPr>
        <w:t>May 5</w:t>
      </w:r>
      <w:r w:rsidR="00E47EFB" w:rsidRPr="00E47EFB">
        <w:rPr>
          <w:sz w:val="28"/>
          <w:szCs w:val="28"/>
        </w:rPr>
        <w:t>, 2016</w:t>
      </w:r>
    </w:p>
    <w:p w:rsidR="00E67CC1" w:rsidRPr="00E47EFB" w:rsidRDefault="00E67CC1" w:rsidP="00E90A5A">
      <w:pPr>
        <w:pStyle w:val="Normal1"/>
        <w:jc w:val="center"/>
        <w:rPr>
          <w:sz w:val="28"/>
          <w:szCs w:val="28"/>
        </w:rPr>
      </w:pPr>
      <w:r w:rsidRPr="00E47EFB">
        <w:rPr>
          <w:sz w:val="28"/>
          <w:szCs w:val="28"/>
        </w:rPr>
        <w:t>Oregon Environmental Quality Commission Meeting</w:t>
      </w:r>
    </w:p>
    <w:p w:rsidR="00E67CC1" w:rsidRPr="00E47EFB" w:rsidRDefault="00E67CC1" w:rsidP="00E90A5A">
      <w:pPr>
        <w:pStyle w:val="Normal1"/>
        <w:jc w:val="center"/>
        <w:rPr>
          <w:sz w:val="28"/>
          <w:szCs w:val="28"/>
        </w:rPr>
      </w:pPr>
      <w:r w:rsidRPr="00E47EFB">
        <w:rPr>
          <w:sz w:val="28"/>
          <w:szCs w:val="28"/>
        </w:rPr>
        <w:t xml:space="preserve">Temporary Rulemaking Action Item: </w:t>
      </w:r>
      <w:r w:rsidR="00D40562" w:rsidRPr="00D40562">
        <w:rPr>
          <w:sz w:val="28"/>
          <w:szCs w:val="28"/>
        </w:rPr>
        <w:t>I</w:t>
      </w:r>
    </w:p>
    <w:p w:rsidR="00E67CC1" w:rsidRDefault="00081159" w:rsidP="00E90A5A">
      <w:pPr>
        <w:pStyle w:val="Normal1"/>
        <w:jc w:val="center"/>
        <w:rPr>
          <w:sz w:val="28"/>
          <w:szCs w:val="28"/>
        </w:rPr>
      </w:pPr>
      <w:r w:rsidRPr="00E47EFB">
        <w:rPr>
          <w:sz w:val="28"/>
          <w:szCs w:val="28"/>
        </w:rPr>
        <w:t>Air Quality 2016 Temporary Rules</w:t>
      </w:r>
    </w:p>
    <w:p w:rsidR="00514A16" w:rsidRPr="00514A16" w:rsidRDefault="00514A16" w:rsidP="00514A16">
      <w:pPr>
        <w:pStyle w:val="Normal1"/>
        <w:jc w:val="center"/>
        <w:rPr>
          <w:sz w:val="28"/>
          <w:szCs w:val="28"/>
        </w:rPr>
      </w:pPr>
      <w:r w:rsidRPr="00514A16">
        <w:rPr>
          <w:sz w:val="28"/>
          <w:szCs w:val="28"/>
        </w:rPr>
        <w:t>Colored Art Glass Manufacturing</w:t>
      </w:r>
    </w:p>
    <w:p w:rsidR="00514A16" w:rsidRPr="00E47EFB" w:rsidRDefault="00514A16" w:rsidP="00E90A5A">
      <w:pPr>
        <w:pStyle w:val="Normal1"/>
        <w:jc w:val="center"/>
        <w:rPr>
          <w:sz w:val="28"/>
          <w:szCs w:val="28"/>
        </w:rPr>
      </w:pPr>
    </w:p>
    <w:p w:rsidR="00900DCA" w:rsidRPr="00900DCA" w:rsidRDefault="00900DCA" w:rsidP="00900DCA">
      <w:pPr>
        <w:pStyle w:val="Normal1"/>
      </w:pPr>
    </w:p>
    <w:tbl>
      <w:tblPr>
        <w:tblW w:w="12330" w:type="dxa"/>
        <w:tblInd w:w="-702" w:type="dxa"/>
        <w:tblLook w:val="04A0"/>
      </w:tblPr>
      <w:tblGrid>
        <w:gridCol w:w="12330"/>
      </w:tblGrid>
      <w:tr w:rsidR="00900DCA" w:rsidRPr="00900DCA" w:rsidTr="00E17040">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900DCA" w:rsidRPr="00900DCA" w:rsidRDefault="00BC3504" w:rsidP="00900DCA">
            <w:pPr>
              <w:pStyle w:val="Normal1"/>
            </w:pPr>
            <w:r>
              <w:t>Explanation for current action</w:t>
            </w:r>
          </w:p>
        </w:tc>
      </w:tr>
    </w:tbl>
    <w:p w:rsidR="00900DCA" w:rsidRDefault="00900DCA" w:rsidP="00900DCA">
      <w:pPr>
        <w:pStyle w:val="Normal1"/>
      </w:pPr>
    </w:p>
    <w:p w:rsidR="00900DCA" w:rsidRPr="00900DCA" w:rsidRDefault="00900DCA" w:rsidP="00900DCA">
      <w:pPr>
        <w:pStyle w:val="Normal1"/>
      </w:pPr>
      <w:r w:rsidRPr="00900DCA">
        <w:t>In the E</w:t>
      </w:r>
      <w:r w:rsidR="00BC3504">
        <w:t xml:space="preserve">nvironmental Quality Commission’s </w:t>
      </w:r>
      <w:r w:rsidRPr="00900DCA">
        <w:t xml:space="preserve">regular meeting on April 21, 2016, under agenda item I, the EQC adopted proposed temporary rules </w:t>
      </w:r>
      <w:r w:rsidR="00BC3504">
        <w:t xml:space="preserve">regulating </w:t>
      </w:r>
      <w:r w:rsidRPr="00900DCA">
        <w:t xml:space="preserve">Colored </w:t>
      </w:r>
      <w:r w:rsidR="00BC3504">
        <w:t xml:space="preserve">Art Glass Manufacturers (CAGMs). </w:t>
      </w:r>
      <w:r w:rsidRPr="00900DCA">
        <w:t>OAR 340-244-9000 through 9090.</w:t>
      </w:r>
    </w:p>
    <w:p w:rsidR="00900DCA" w:rsidRPr="00900DCA" w:rsidRDefault="00BC3504" w:rsidP="00900DCA">
      <w:pPr>
        <w:pStyle w:val="Normal1"/>
      </w:pPr>
      <w:r>
        <w:t xml:space="preserve">After EQC adopted </w:t>
      </w:r>
      <w:r w:rsidR="00900DCA" w:rsidRPr="00900DCA">
        <w:t>the proposed rules, DEQ found that the rules included a substantive technical error. DEQ therefore proposes that EQC adopt a correction to the temporary rules. The proposed correction involves only revising the rule text</w:t>
      </w:r>
      <w:r>
        <w:t xml:space="preserve">. </w:t>
      </w:r>
      <w:r w:rsidR="00900DCA" w:rsidRPr="00900DCA">
        <w:t>DEQ does not propose to alter the effective date or the expiration date of the temporary rules.</w:t>
      </w:r>
    </w:p>
    <w:p w:rsidR="00900DCA" w:rsidRPr="00900DCA" w:rsidRDefault="00900DCA" w:rsidP="00900DCA">
      <w:pPr>
        <w:pStyle w:val="Normal1"/>
      </w:pPr>
      <w:r w:rsidRPr="00900DCA">
        <w:t>OAR 340-244-9000 through 9090 impose requirements on CAGMs</w:t>
      </w:r>
      <w:r w:rsidR="00BC3504">
        <w:t xml:space="preserve">. These requirements include </w:t>
      </w:r>
      <w:r w:rsidRPr="00900DCA">
        <w:t xml:space="preserve">requirements for Tier 2 CAGMs to install emission control devices, and requirements for Tier 1 CAGMs to either install emission control devices, demonstrate that the requirements for an exemption from installing emission control devices are met, or to request a permit condition prohibiting the use of certain metal Hazardous Air Pollutants (HAPs). When emission control devices are installed, the rules also require emission testing to demonstrate that the emission control devices meet 99.0 percent removal efficiency using a specified emission test method. The error is that </w:t>
      </w:r>
      <w:r w:rsidR="00BC3504">
        <w:t>OAR 340-244-9070 specifies</w:t>
      </w:r>
      <w:r w:rsidRPr="00900DCA">
        <w:t xml:space="preserve"> the wrong test method.</w:t>
      </w:r>
    </w:p>
    <w:p w:rsidR="00900DCA" w:rsidRPr="00900DCA" w:rsidRDefault="00BC3504" w:rsidP="00900DCA">
      <w:pPr>
        <w:pStyle w:val="Normal1"/>
      </w:pPr>
      <w:r>
        <w:t xml:space="preserve">As adopted, this </w:t>
      </w:r>
      <w:r w:rsidR="00900DCA" w:rsidRPr="00900DCA">
        <w:t>rule specif</w:t>
      </w:r>
      <w:r>
        <w:t xml:space="preserve">ies using </w:t>
      </w:r>
      <w:r w:rsidR="00900DCA" w:rsidRPr="00900DCA">
        <w:t>a test method referred to as DEQ Method 5 to demonstrate the removal efficiency. The rule should instead specify EPA Method 5. Both test methods are used to measure particulate matter emissions</w:t>
      </w:r>
      <w:r>
        <w:t>. B</w:t>
      </w:r>
      <w:r w:rsidR="00900DCA" w:rsidRPr="00900DCA">
        <w:t>ut EPA Method 5 tests only for filterable particulate matter while DEQ Method 5 tests for both filterable and condensable particulate matter. Why EPA Method 5 should be specified is explained in more detail below.</w:t>
      </w:r>
    </w:p>
    <w:p w:rsidR="00900DCA" w:rsidRDefault="00900DCA" w:rsidP="00900DCA">
      <w:pPr>
        <w:pStyle w:val="Normal1"/>
      </w:pPr>
      <w:r w:rsidRPr="00900DCA">
        <w:t xml:space="preserve">In an exhaust gas stream, some material is present in solid form and </w:t>
      </w:r>
      <w:r w:rsidR="00BC3504">
        <w:t>some is present in vapor form. A filter captures the solid particles that</w:t>
      </w:r>
      <w:r w:rsidRPr="00900DCA">
        <w:t xml:space="preserve"> are called filterable particulate matter. Gases and vapors pass through a filter without being captured but condense to form liquid droplets when cooled to ambient conditions. The term condensable particulate matter refers to the vapors that can condense to liquids but are not captured by a filter. </w:t>
      </w:r>
      <w:r w:rsidRPr="00900DCA">
        <w:rPr>
          <w:i/>
        </w:rPr>
        <w:t>Total</w:t>
      </w:r>
      <w:r w:rsidRPr="00900DCA">
        <w:t xml:space="preserve"> particulate matter includes both filterable and condensable particulate matter</w:t>
      </w:r>
      <w:r w:rsidR="00BC3504">
        <w:t>. B</w:t>
      </w:r>
      <w:r w:rsidRPr="00900DCA">
        <w:t>ut many emissions standards apply only to filterable particulate matter.</w:t>
      </w:r>
    </w:p>
    <w:p w:rsidR="00BC3504" w:rsidRDefault="00BC3504" w:rsidP="00900DCA">
      <w:pPr>
        <w:pStyle w:val="Normal1"/>
      </w:pPr>
      <w:r>
        <w:lastRenderedPageBreak/>
        <w:t>D</w:t>
      </w:r>
      <w:r w:rsidRPr="00900DCA">
        <w:t>EQ Method 5 measures total particulate matter</w:t>
      </w:r>
      <w:r>
        <w:t xml:space="preserve"> which includes </w:t>
      </w:r>
      <w:r w:rsidRPr="00900DCA">
        <w:t>both filterable and condensable particulate matter. EPA Method 5 measures only filterable particulate matter.</w:t>
      </w:r>
    </w:p>
    <w:p w:rsidR="00BC3504" w:rsidRPr="00900DCA" w:rsidRDefault="00BC3504" w:rsidP="00BC3504">
      <w:pPr>
        <w:pStyle w:val="Normal1"/>
      </w:pPr>
      <w:r w:rsidRPr="00900DCA">
        <w:t xml:space="preserve">The picture </w:t>
      </w:r>
      <w:r>
        <w:t>below</w:t>
      </w:r>
      <w:r w:rsidRPr="00900DCA">
        <w:t xml:space="preserve"> illustrates the emission sampling system (referred to as the sample train) for DEQ Method 5. At upper left is a glass filter holder, which holds a filter disk. The filter captures the filterable particulate matter. The filter is heated to prevent condensation on the filter. To the right of the filter are a number glass tubes known as impingers, which are placed in an ice bath. The cold impingers are used to condense and capture the condensable particulate matter. After sampling is completed, the amount of particulate matter on the filter and in the impingers is measured.</w:t>
      </w:r>
    </w:p>
    <w:p w:rsidR="00BC3504" w:rsidRDefault="00BC3504" w:rsidP="00900DCA">
      <w:pPr>
        <w:pStyle w:val="Normal1"/>
      </w:pPr>
    </w:p>
    <w:p w:rsidR="00BC3504" w:rsidRDefault="00BC3504" w:rsidP="00900DCA">
      <w:pPr>
        <w:pStyle w:val="Normal1"/>
      </w:pPr>
      <w:r w:rsidRPr="00900DCA">
        <w:rPr>
          <w:noProof/>
        </w:rPr>
        <w:drawing>
          <wp:anchor distT="0" distB="0" distL="114300" distR="114300" simplePos="0" relativeHeight="251658240" behindDoc="0" locked="0" layoutInCell="1" allowOverlap="1">
            <wp:simplePos x="0" y="0"/>
            <wp:positionH relativeFrom="column">
              <wp:posOffset>1387475</wp:posOffset>
            </wp:positionH>
            <wp:positionV relativeFrom="paragraph">
              <wp:posOffset>147320</wp:posOffset>
            </wp:positionV>
            <wp:extent cx="4288536" cy="2944368"/>
            <wp:effectExtent l="0" t="0" r="0" b="8890"/>
            <wp:wrapSquare wrapText="right"/>
            <wp:docPr id="3" name="Picture 1" descr="http://www.caslab.com/News/Images/Sampling-Train-Method-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slab.com/News/Images/Sampling-Train-Method-29.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8536" cy="2944368"/>
                    </a:xfrm>
                    <a:prstGeom prst="rect">
                      <a:avLst/>
                    </a:prstGeom>
                    <a:noFill/>
                    <a:ln>
                      <a:noFill/>
                    </a:ln>
                  </pic:spPr>
                </pic:pic>
              </a:graphicData>
            </a:graphic>
          </wp:anchor>
        </w:drawing>
      </w:r>
    </w:p>
    <w:p w:rsidR="00BC3504" w:rsidRDefault="00BC3504" w:rsidP="00900DCA">
      <w:pPr>
        <w:pStyle w:val="Normal1"/>
      </w:pPr>
    </w:p>
    <w:p w:rsidR="00900DCA" w:rsidRDefault="00900DCA" w:rsidP="00900DCA">
      <w:pPr>
        <w:pStyle w:val="Normal1"/>
      </w:pPr>
    </w:p>
    <w:p w:rsidR="00BC3504" w:rsidRDefault="00BC3504" w:rsidP="00900DCA">
      <w:pPr>
        <w:pStyle w:val="Normal1"/>
      </w:pPr>
    </w:p>
    <w:p w:rsidR="00BC3504" w:rsidRDefault="00BC3504" w:rsidP="00900DCA">
      <w:pPr>
        <w:pStyle w:val="Normal1"/>
      </w:pPr>
    </w:p>
    <w:p w:rsidR="00BC3504" w:rsidRDefault="00BC3504" w:rsidP="00900DCA">
      <w:pPr>
        <w:pStyle w:val="Normal1"/>
      </w:pPr>
    </w:p>
    <w:p w:rsidR="00BC3504" w:rsidRDefault="00BC3504" w:rsidP="00900DCA">
      <w:pPr>
        <w:pStyle w:val="Normal1"/>
      </w:pPr>
    </w:p>
    <w:p w:rsidR="00BC3504" w:rsidRDefault="00BC3504" w:rsidP="00900DCA">
      <w:pPr>
        <w:pStyle w:val="Normal1"/>
      </w:pPr>
    </w:p>
    <w:p w:rsidR="00BC3504" w:rsidRDefault="00BC3504" w:rsidP="00900DCA">
      <w:pPr>
        <w:pStyle w:val="Normal1"/>
      </w:pPr>
    </w:p>
    <w:p w:rsidR="00BC3504" w:rsidRDefault="00BC3504" w:rsidP="00900DCA">
      <w:pPr>
        <w:pStyle w:val="Normal1"/>
      </w:pPr>
    </w:p>
    <w:p w:rsidR="00BC3504" w:rsidRDefault="00BC3504" w:rsidP="00900DCA">
      <w:pPr>
        <w:pStyle w:val="Normal1"/>
      </w:pPr>
    </w:p>
    <w:p w:rsidR="00BC3504" w:rsidRDefault="00BC3504" w:rsidP="00900DCA">
      <w:pPr>
        <w:pStyle w:val="Normal1"/>
      </w:pPr>
    </w:p>
    <w:p w:rsidR="00BC3504" w:rsidRPr="00900DCA" w:rsidRDefault="00BC3504" w:rsidP="00900DCA">
      <w:pPr>
        <w:pStyle w:val="Normal1"/>
      </w:pPr>
    </w:p>
    <w:p w:rsidR="00900DCA" w:rsidRPr="00900DCA" w:rsidRDefault="00900DCA" w:rsidP="00900DCA">
      <w:pPr>
        <w:pStyle w:val="Normal1"/>
      </w:pPr>
      <w:r w:rsidRPr="00900DCA">
        <w:t>The sample train for EPA Method 5 is similar but does not include the impingers</w:t>
      </w:r>
      <w:r w:rsidR="00BD71AE">
        <w:t xml:space="preserve">. It </w:t>
      </w:r>
      <w:r w:rsidRPr="00900DCA">
        <w:t>therefore only measures the filterable particulate matter.</w:t>
      </w:r>
    </w:p>
    <w:p w:rsidR="00900DCA" w:rsidRPr="00900DCA" w:rsidRDefault="00900DCA" w:rsidP="00900DCA">
      <w:pPr>
        <w:pStyle w:val="Normal1"/>
      </w:pPr>
      <w:r w:rsidRPr="00900DCA">
        <w:t xml:space="preserve">One of the primary purposes of OAR 340-244-9000 through 9090 is </w:t>
      </w:r>
      <w:r w:rsidR="00BD71AE">
        <w:t xml:space="preserve">to control </w:t>
      </w:r>
      <w:r w:rsidRPr="00900DCA">
        <w:t>metal HAP emissions from CAGMs. DEQ expects the CAGMs to use baghouses to control metal HAP emissions. At the operating temperature of a baghouse the metal HAPs will be in the form of solid particulate matter.</w:t>
      </w:r>
    </w:p>
    <w:p w:rsidR="00900DCA" w:rsidRPr="00900DCA" w:rsidRDefault="00900DCA" w:rsidP="00900DCA">
      <w:pPr>
        <w:pStyle w:val="Normal1"/>
      </w:pPr>
      <w:r w:rsidRPr="00900DCA">
        <w:t xml:space="preserve">A baghouse is essentially a large air filter and is analogous to the filter in the sample train. Like the filter, a baghouse only captures filterable particulate matter. To properly measure the efficiency of the baghouse, it is appropriate to use a test method that measures only what the baghouse removes, which is filterable particulate matter. For this reason, the rule should specify EPA Method 5 as the test method associated with baghouse removal efficiency, not DEQ Method 5. DEQ therefore proposes to correct </w:t>
      </w:r>
      <w:r w:rsidR="00BD71AE">
        <w:t xml:space="preserve">OAR 340-244-9070 </w:t>
      </w:r>
      <w:r w:rsidRPr="00900DCA">
        <w:t>to specify that the 99.0 percent removal efficiency requirement is based on EPA Method 5. Th</w:t>
      </w:r>
      <w:r w:rsidR="00BD71AE">
        <w:t xml:space="preserve">e </w:t>
      </w:r>
      <w:r w:rsidRPr="00900DCA">
        <w:t xml:space="preserve">correction </w:t>
      </w:r>
      <w:r w:rsidR="00BD71AE">
        <w:t>r</w:t>
      </w:r>
      <w:r w:rsidRPr="00900DCA">
        <w:t>eplac</w:t>
      </w:r>
      <w:r w:rsidR="00BD71AE">
        <w:t>es</w:t>
      </w:r>
      <w:r w:rsidRPr="00900DCA">
        <w:t xml:space="preserve"> “DEQ Method 5” with “EPA Method 5</w:t>
      </w:r>
      <w:r w:rsidR="00BD71AE">
        <w:t>.</w:t>
      </w:r>
      <w:r w:rsidRPr="00900DCA">
        <w:t>”</w:t>
      </w:r>
    </w:p>
    <w:p w:rsidR="00900DCA" w:rsidRPr="00900DCA" w:rsidRDefault="00900DCA" w:rsidP="00900DCA">
      <w:pPr>
        <w:pStyle w:val="Normal1"/>
      </w:pPr>
      <w:r w:rsidRPr="00900DCA">
        <w:t xml:space="preserve">One of the other requirements in OAR 340-244-9000 through 9090 is that CAGMs must apply for an air permit. In air permits, DEQ establishes Plant Site Emission Limits (PSELs), which are limits on the total emissions of criteria pollutants from a facility. Criteria pollutants include </w:t>
      </w:r>
      <w:r w:rsidRPr="00900DCA">
        <w:lastRenderedPageBreak/>
        <w:t>particulate matter. For the purpose of PSELs, DEQ counts total (filterable plus condensable) particulate matter. DEQ therefore has an interest in determining the total particulate matter emissions from CAGMs. For this reason, the emission testing that is required for the emission control devices still specifies DEQ Method 5, but only the filterable particulate matter measured in the test will apply to the control device removal efficiency.</w:t>
      </w:r>
    </w:p>
    <w:p w:rsidR="00900DCA" w:rsidRPr="00900DCA" w:rsidRDefault="00900DCA" w:rsidP="00900DCA">
      <w:pPr>
        <w:pStyle w:val="Normal1"/>
      </w:pPr>
    </w:p>
    <w:p w:rsidR="00E67CC1" w:rsidRDefault="00E67CC1" w:rsidP="00514A16">
      <w:pPr>
        <w:pStyle w:val="Normal1"/>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E50FBD" w:rsidRDefault="00E34247" w:rsidP="00E50FBD">
            <w:pPr>
              <w:pStyle w:val="Normal1"/>
            </w:pPr>
            <w:r w:rsidRPr="00E50FBD">
              <w:t xml:space="preserve">DEQ recommendation to the EQC                      </w:t>
            </w:r>
          </w:p>
        </w:tc>
      </w:tr>
    </w:tbl>
    <w:p w:rsidR="00E34247" w:rsidRDefault="00E34247" w:rsidP="00E50FBD">
      <w:pPr>
        <w:pStyle w:val="Normal1"/>
      </w:pPr>
    </w:p>
    <w:p w:rsidR="00BD71AE" w:rsidRPr="004B5A38" w:rsidRDefault="00BD71AE" w:rsidP="00BD71AE">
      <w:pPr>
        <w:pStyle w:val="Normal1"/>
      </w:pPr>
      <w:r w:rsidRPr="004B5A38">
        <w:t>DEQ recommends that the Environmental Quality Commission:</w:t>
      </w:r>
    </w:p>
    <w:p w:rsidR="00BD71AE" w:rsidRPr="004B5A38" w:rsidRDefault="00BD71AE" w:rsidP="00BD71AE">
      <w:pPr>
        <w:pStyle w:val="Normal1"/>
      </w:pPr>
      <w:r w:rsidRPr="004B5A38">
        <w:t>Determine that failure to act promptly would result in serious prejudice to the public interest or the interests of the parties concerned as provided under the Justification section of this staff report.</w:t>
      </w:r>
    </w:p>
    <w:p w:rsidR="00BD71AE" w:rsidRPr="004B5A38" w:rsidRDefault="00BD71AE" w:rsidP="00BD71AE">
      <w:pPr>
        <w:pStyle w:val="Normal1"/>
      </w:pPr>
      <w:r w:rsidRPr="004B5A38">
        <w:t>Adopt TEMPORARY rules as proposed in Attachment A as part of chapter 340 of the Oregon Administrative Rules to be effective on filing with the Oregon Secretary of State.</w:t>
      </w:r>
    </w:p>
    <w:p w:rsidR="00BD71AE" w:rsidRDefault="00BD71AE" w:rsidP="009D7305">
      <w:pPr>
        <w:pStyle w:val="Normal1"/>
      </w:pPr>
    </w:p>
    <w:p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E50FBD" w:rsidRDefault="00734CD5" w:rsidP="00E50FBD">
            <w:pPr>
              <w:pStyle w:val="Normal1"/>
            </w:pPr>
            <w:r w:rsidRPr="00E50FBD">
              <w:t>Overview</w:t>
            </w:r>
          </w:p>
        </w:tc>
      </w:tr>
    </w:tbl>
    <w:p w:rsidR="00734CD5" w:rsidRPr="00E50FBD" w:rsidRDefault="00734CD5" w:rsidP="00E50FBD">
      <w:pPr>
        <w:pStyle w:val="Normal1"/>
      </w:pPr>
    </w:p>
    <w:p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w:t>
      </w:r>
      <w:r w:rsidR="00033C07">
        <w:t xml:space="preserve">the initial results of a study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w:t>
      </w:r>
      <w:r w:rsidR="00033C07">
        <w:t xml:space="preserve"> The study’s </w:t>
      </w:r>
      <w:r w:rsidR="00E86298" w:rsidRPr="00E86298">
        <w:t>results</w:t>
      </w:r>
      <w:r w:rsidR="001E6896">
        <w:t xml:space="preserve"> </w:t>
      </w:r>
      <w:r w:rsidR="00E86298" w:rsidRPr="00E86298">
        <w:t xml:space="preserve">showed </w:t>
      </w:r>
      <w:r w:rsidR="001E6896">
        <w:t xml:space="preserve">that the moss samples in the </w:t>
      </w:r>
      <w:r w:rsidR="00E86298" w:rsidRPr="00E86298">
        <w:t>areas</w:t>
      </w:r>
      <w:r w:rsidR="00033C07" w:rsidRPr="00E86298">
        <w:t xml:space="preserve"> </w:t>
      </w:r>
      <w:r w:rsidR="00E86298" w:rsidRPr="00E86298">
        <w:t xml:space="preserve">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w:t>
      </w:r>
      <w:r w:rsidR="004E6E66">
        <w:t>Portland and cadmium in</w:t>
      </w:r>
      <w:r w:rsidR="00436CB4">
        <w:t xml:space="preserve"> North </w:t>
      </w:r>
      <w:r w:rsidR="00E86298" w:rsidRPr="00E86298">
        <w:t>Portland.</w:t>
      </w:r>
      <w:r w:rsidR="00E86298">
        <w:t xml:space="preserve"> </w:t>
      </w:r>
    </w:p>
    <w:p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p>
    <w:p w:rsidR="00AC54CC" w:rsidRDefault="00033C07" w:rsidP="009C2551">
      <w:pPr>
        <w:pStyle w:val="Normal1"/>
      </w:pPr>
      <w:r w:rsidRPr="009C2551">
        <w:t>Benchmarks are Oregon’s protective “clean air” goals that DEQ developed to address toxic air pollutants. There are no direct regulatory requirements associated with benchmarks.</w:t>
      </w:r>
      <w:r>
        <w:t xml:space="preserve"> </w:t>
      </w:r>
      <w:r w:rsidR="009C2551" w:rsidRPr="009C2551">
        <w:t xml:space="preserve">In 2005, with EPA funding, DEQ measured concentrations of air toxics, including metals, at six locations in the </w:t>
      </w:r>
      <w:r w:rsidR="009C2551" w:rsidRPr="009C2551">
        <w:lastRenderedPageBreak/>
        <w:t xml:space="preserve">Portland area, finding levels of many pollutants above clean air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rsidR="009C2551" w:rsidRDefault="009C2551" w:rsidP="009C2551">
      <w:pPr>
        <w:pStyle w:val="Normal1"/>
      </w:pPr>
      <w:r w:rsidRPr="009C2551">
        <w:t xml:space="preserve">Air toxics emissions from certain types of industrial businesses like </w:t>
      </w:r>
      <w:r w:rsidR="00122501">
        <w:t xml:space="preserve">colored </w:t>
      </w:r>
      <w:r w:rsidRPr="009C2551">
        <w:t xml:space="preserve">art glass manufacturers are not </w:t>
      </w:r>
      <w:r w:rsidR="00122501">
        <w:t xml:space="preserve">fully </w:t>
      </w:r>
      <w:r w:rsidRPr="009C2551">
        <w:t>regulated under federal requirements.</w:t>
      </w:r>
      <w:r w:rsidR="00875B36">
        <w:t xml:space="preserve"> Based on sampling </w:t>
      </w:r>
      <w:r w:rsidR="00AC54CC">
        <w:t xml:space="preserve">DEQ undertook </w:t>
      </w:r>
      <w:r w:rsidR="00875B36">
        <w:t xml:space="preserve">last October, and in recent weeks, DEQ has concluded that uncontrolled furnaces used in such </w:t>
      </w:r>
      <w:r w:rsidR="00122501">
        <w:t xml:space="preserve">colored </w:t>
      </w:r>
      <w:r w:rsidR="00875B36">
        <w:t>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122501">
        <w:t xml:space="preserve">colored </w:t>
      </w:r>
      <w:r w:rsidR="009C289A">
        <w:t xml:space="preserve">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rsidR="00197050" w:rsidRPr="009C2551" w:rsidRDefault="00197050" w:rsidP="009C2551">
      <w:pPr>
        <w:pStyle w:val="Normal1"/>
      </w:pPr>
    </w:p>
    <w:p w:rsidR="004C2E54" w:rsidRPr="00E86298" w:rsidRDefault="004C2E54" w:rsidP="00E86298">
      <w:pPr>
        <w:pStyle w:val="Normal1"/>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E50FBD" w:rsidRDefault="00662A78" w:rsidP="00E50FBD">
            <w:pPr>
              <w:pStyle w:val="Normal1"/>
            </w:pPr>
            <w:r w:rsidRPr="00E50FBD">
              <w:t xml:space="preserve">Statement of need </w:t>
            </w:r>
          </w:p>
        </w:tc>
      </w:tr>
    </w:tbl>
    <w:p w:rsidR="003E149B" w:rsidRDefault="003E149B" w:rsidP="00E50FBD">
      <w:pPr>
        <w:pStyle w:val="Normal1"/>
      </w:pPr>
    </w:p>
    <w:p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rsidR="00C348DF" w:rsidRDefault="002F2E0A" w:rsidP="00295A20">
      <w:pPr>
        <w:pStyle w:val="Normal1"/>
        <w:ind w:left="1440"/>
      </w:pPr>
      <w:r>
        <w:t>As discussed above, the previously adopted temporary rule contains a technical error in specifying a test method.</w:t>
      </w:r>
    </w:p>
    <w:p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rsidR="00BE0BF8" w:rsidRDefault="002F2E0A" w:rsidP="002F2E0A">
      <w:pPr>
        <w:pStyle w:val="Normal1"/>
        <w:ind w:left="1440"/>
      </w:pPr>
      <w:r>
        <w:t xml:space="preserve">If EQC adopts the proposed rule correction, the </w:t>
      </w:r>
      <w:r w:rsidR="00F123EF">
        <w:t>colored art glass manufacturing</w:t>
      </w:r>
      <w:r>
        <w:t xml:space="preserve"> rules will prescribe the correct test method to be used under the circumstances described in OAR 340-244-9070.</w:t>
      </w:r>
      <w:bookmarkStart w:id="0" w:name="_GoBack"/>
      <w:bookmarkEnd w:id="0"/>
    </w:p>
    <w:p w:rsidR="00E25C77" w:rsidRDefault="00E25C77" w:rsidP="002F2E0A">
      <w:pPr>
        <w:pStyle w:val="Normal1"/>
        <w:ind w:left="1440"/>
      </w:pPr>
    </w:p>
    <w:p w:rsidR="004D33CB" w:rsidRDefault="004D33CB" w:rsidP="002F2E0A">
      <w:pPr>
        <w:pStyle w:val="Normal1"/>
        <w:ind w:left="1440"/>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662A78" w:rsidP="00E50FBD">
            <w:pPr>
              <w:pStyle w:val="Normal1"/>
            </w:pPr>
            <w:r w:rsidRPr="00E50FBD">
              <w:t>J</w:t>
            </w:r>
            <w:r w:rsidR="008778B7" w:rsidRPr="00E50FBD">
              <w:t>ustification</w:t>
            </w:r>
            <w:r w:rsidR="0039186E" w:rsidRPr="00E50FBD">
              <w:t xml:space="preserve"> ORS 183.335(5)</w:t>
            </w:r>
          </w:p>
        </w:tc>
      </w:tr>
    </w:tbl>
    <w:p w:rsidR="009D7305" w:rsidRDefault="009D7305" w:rsidP="009D7305">
      <w:pPr>
        <w:pStyle w:val="Normal1"/>
        <w:ind w:left="0"/>
      </w:pPr>
    </w:p>
    <w:p w:rsidR="00B60123" w:rsidRDefault="00B60123" w:rsidP="00F95D0F">
      <w:pPr>
        <w:pStyle w:val="Normal1"/>
        <w:rPr>
          <w:rFonts w:asciiTheme="majorHAnsi" w:hAnsiTheme="majorHAnsi" w:cstheme="majorHAnsi"/>
          <w:b/>
        </w:rPr>
      </w:pPr>
      <w:r>
        <w:rPr>
          <w:rFonts w:asciiTheme="majorHAnsi" w:hAnsiTheme="majorHAnsi" w:cstheme="majorHAnsi"/>
          <w:b/>
        </w:rPr>
        <w:t>What would the consequences be of not taking immediate action:</w:t>
      </w:r>
    </w:p>
    <w:p w:rsidR="004D33CB" w:rsidRPr="004D33CB" w:rsidRDefault="004D33CB" w:rsidP="004D33CB">
      <w:pPr>
        <w:pStyle w:val="Normal1"/>
        <w:ind w:left="1440"/>
      </w:pPr>
      <w:r w:rsidRPr="004D33CB">
        <w:t xml:space="preserve">The consequence of not taking immediate action is that the rule would continue to specify a test method that is inappropriate for the purpose of testing the removal efficiency of filterable particulate matter. To properly measure the efficiency of a baghouse, it is appropriate to use a test method that measures only what the baghouse removes, which is filterable particulate matter. Because DEQ Method 5 includes condensable particulate matter, DEQ Method 5 will give a biased result that is incompatible with the intent of the rule and which may make it impossible to demonstrate the required removal efficiency.  </w:t>
      </w:r>
    </w:p>
    <w:p w:rsidR="00A00461" w:rsidRPr="00A00461" w:rsidRDefault="00A00461" w:rsidP="00D961CE">
      <w:pPr>
        <w:pStyle w:val="Normal1"/>
        <w:ind w:left="1440"/>
      </w:pPr>
    </w:p>
    <w:p w:rsidR="00B60123" w:rsidRDefault="00B60123" w:rsidP="00F95D0F">
      <w:pPr>
        <w:pStyle w:val="Normal1"/>
        <w:rPr>
          <w:rFonts w:asciiTheme="majorHAnsi" w:hAnsiTheme="majorHAnsi" w:cstheme="majorHAnsi"/>
          <w:b/>
        </w:rPr>
      </w:pPr>
      <w:r>
        <w:rPr>
          <w:rFonts w:asciiTheme="majorHAnsi" w:hAnsiTheme="majorHAnsi" w:cstheme="majorHAnsi"/>
          <w:b/>
        </w:rPr>
        <w:t>Who are the affected parties:</w:t>
      </w:r>
    </w:p>
    <w:p w:rsidR="004D33CB" w:rsidRDefault="00B60123" w:rsidP="004D33CB">
      <w:pPr>
        <w:pStyle w:val="Normal1"/>
        <w:ind w:left="1440"/>
      </w:pPr>
      <w:r>
        <w:t>The affected parties are c</w:t>
      </w:r>
      <w:r w:rsidRPr="006A46B0">
        <w:t xml:space="preserve">olored </w:t>
      </w:r>
      <w:r>
        <w:t>a</w:t>
      </w:r>
      <w:r w:rsidRPr="006A46B0">
        <w:t xml:space="preserve">rt </w:t>
      </w:r>
      <w:r>
        <w:t>glass manufacturers</w:t>
      </w:r>
      <w:r w:rsidR="004D33CB">
        <w:t xml:space="preserve"> because they </w:t>
      </w:r>
      <w:r>
        <w:t xml:space="preserve">will </w:t>
      </w:r>
      <w:r w:rsidR="00A00461">
        <w:t>not be able to show compliance with the proposed rules</w:t>
      </w:r>
      <w:r>
        <w:t>.</w:t>
      </w:r>
    </w:p>
    <w:p w:rsidR="004D33CB" w:rsidRDefault="004D33CB" w:rsidP="004D33CB">
      <w:pPr>
        <w:pStyle w:val="Normal1"/>
        <w:ind w:left="1440"/>
      </w:pPr>
    </w:p>
    <w:p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rsidR="00A00461" w:rsidRDefault="00A00461" w:rsidP="00A00461">
      <w:pPr>
        <w:pStyle w:val="Normal1"/>
        <w:ind w:left="1440"/>
        <w:rPr>
          <w:rFonts w:asciiTheme="majorHAnsi" w:hAnsiTheme="majorHAnsi" w:cstheme="majorHAnsi"/>
          <w:b/>
        </w:rPr>
      </w:pPr>
      <w:r w:rsidRPr="004D33CB">
        <w:t xml:space="preserve">The temporary rule will avoid the consequences of not taking immediate action because it will correct the source test method so that colored art glass manufacturers can show compliance </w:t>
      </w:r>
      <w:r w:rsidR="00F123EF" w:rsidRPr="004D33CB">
        <w:t xml:space="preserve">and DEQ will be able to verify compliance </w:t>
      </w:r>
      <w:r w:rsidRPr="004D33CB">
        <w:t>with the proposed rules.</w:t>
      </w:r>
      <w:r>
        <w:t xml:space="preserve"> </w:t>
      </w:r>
    </w:p>
    <w:p w:rsidR="00343239" w:rsidRDefault="00343239" w:rsidP="00E50FBD">
      <w:pPr>
        <w:pStyle w:val="Normal1"/>
      </w:pPr>
    </w:p>
    <w:p w:rsidR="004D33CB" w:rsidRDefault="004D33CB" w:rsidP="00E50FBD">
      <w:pPr>
        <w:pStyle w:val="Normal1"/>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p>
          <w:p w:rsidR="00443859" w:rsidRPr="00E50FBD" w:rsidRDefault="00443859" w:rsidP="00E50FBD">
            <w:pPr>
              <w:pStyle w:val="Normal1"/>
            </w:pPr>
            <w:r w:rsidRPr="00E50FBD">
              <w:t>Rules affected, authorities, supporting documents</w:t>
            </w:r>
          </w:p>
        </w:tc>
      </w:tr>
    </w:tbl>
    <w:p w:rsidR="00443859" w:rsidRPr="00B15DF7" w:rsidRDefault="00443859" w:rsidP="00E50FBD">
      <w:pPr>
        <w:pStyle w:val="Normal1"/>
      </w:pPr>
    </w:p>
    <w:p w:rsidR="00443859" w:rsidRPr="00E50FBD" w:rsidRDefault="00443859" w:rsidP="00E50FBD">
      <w:pPr>
        <w:pStyle w:val="Normal1"/>
      </w:pPr>
      <w:r w:rsidRPr="00E50FBD">
        <w:t>Lead division</w:t>
      </w:r>
      <w:r w:rsidR="00732869">
        <w:t xml:space="preserve"> - Operations</w:t>
      </w:r>
    </w:p>
    <w:p w:rsidR="002D3FA5" w:rsidRPr="00E50FBD" w:rsidRDefault="002D3FA5" w:rsidP="00E50FBD">
      <w:pPr>
        <w:pStyle w:val="Normal1"/>
      </w:pPr>
    </w:p>
    <w:p w:rsidR="002D3FA5" w:rsidRPr="00E50FBD" w:rsidRDefault="002D3FA5" w:rsidP="00E50FBD">
      <w:pPr>
        <w:pStyle w:val="Normal1"/>
      </w:pPr>
      <w:r w:rsidRPr="00E50FBD">
        <w:t>Program or activity</w:t>
      </w:r>
      <w:r w:rsidR="00732869">
        <w:t xml:space="preserve"> – Program Operations</w:t>
      </w:r>
    </w:p>
    <w:p w:rsidR="00443859" w:rsidRPr="00E50FBD" w:rsidRDefault="00443859" w:rsidP="00E50FBD">
      <w:pPr>
        <w:pStyle w:val="Normal1"/>
      </w:pPr>
    </w:p>
    <w:p w:rsidR="00816DC0" w:rsidRPr="00E50FBD" w:rsidRDefault="00816DC0" w:rsidP="00E50FBD">
      <w:pPr>
        <w:pStyle w:val="Normal1"/>
      </w:pPr>
      <w:r w:rsidRPr="00E50FBD">
        <w:t>Chapter 340 action</w:t>
      </w:r>
    </w:p>
    <w:p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955BCA" w:rsidRDefault="00816DC0" w:rsidP="00E50FBD">
            <w:pPr>
              <w:pStyle w:val="Normal1"/>
            </w:pPr>
            <w:r w:rsidRPr="00955BCA">
              <w:t>Amend</w:t>
            </w:r>
          </w:p>
        </w:tc>
        <w:tc>
          <w:tcPr>
            <w:tcW w:w="6608" w:type="dxa"/>
          </w:tcPr>
          <w:p w:rsidR="00816DC0" w:rsidRPr="00955BCA" w:rsidRDefault="00C63639" w:rsidP="00BD71AE">
            <w:pPr>
              <w:pStyle w:val="Normal1"/>
              <w:ind w:left="0"/>
            </w:pPr>
            <w:r w:rsidRPr="00955BCA">
              <w:t>OAR</w:t>
            </w:r>
            <w:r w:rsidR="003F16D1" w:rsidRPr="00955BCA">
              <w:t xml:space="preserve"> 340-244-</w:t>
            </w:r>
            <w:r w:rsidR="00BD71AE">
              <w:t>9070</w:t>
            </w:r>
          </w:p>
        </w:tc>
      </w:tr>
    </w:tbl>
    <w:p w:rsidR="00443859" w:rsidRPr="00E50FBD" w:rsidRDefault="00443859" w:rsidP="00E50FBD">
      <w:pPr>
        <w:pStyle w:val="Normal1"/>
      </w:pPr>
    </w:p>
    <w:p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rsidR="00882643" w:rsidRDefault="00443859" w:rsidP="00E50FBD">
      <w:pPr>
        <w:pStyle w:val="Normal1"/>
      </w:pPr>
      <w:bookmarkStart w:id="1" w:name="SupportingDocuments"/>
      <w:r w:rsidRPr="00E50FBD">
        <w:t xml:space="preserve">Documents relied on for </w:t>
      </w:r>
      <w:bookmarkEnd w:id="1"/>
      <w:r w:rsidR="00346882" w:rsidRPr="00E50FBD">
        <w:t xml:space="preserve">rulemaking </w:t>
      </w:r>
      <w:r w:rsidR="00346882">
        <w:t>-</w:t>
      </w:r>
      <w:r w:rsidR="00CD52D2">
        <w:t xml:space="preserve"> None </w:t>
      </w:r>
    </w:p>
    <w:p w:rsidR="00053D00" w:rsidRPr="00E50FBD" w:rsidRDefault="00053D00" w:rsidP="00E50FBD">
      <w:pPr>
        <w:pStyle w:val="Normal1"/>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E50FBD" w:rsidRDefault="00CB5110" w:rsidP="00E50FBD">
            <w:pPr>
              <w:pStyle w:val="Normal1"/>
            </w:pPr>
            <w:bookmarkStart w:id="2" w:name="RequestForOtherOptions"/>
          </w:p>
          <w:p w:rsidR="00CB5110" w:rsidRPr="00E50FBD" w:rsidRDefault="00CB5110" w:rsidP="00E50FBD">
            <w:pPr>
              <w:pStyle w:val="Normal1"/>
            </w:pPr>
            <w:r w:rsidRPr="00E50FBD">
              <w:t xml:space="preserve">Housing costs - </w:t>
            </w:r>
            <w:hyperlink r:id="rId13" w:history="1">
              <w:r w:rsidRPr="00E50FBD">
                <w:t>ORS 183.534</w:t>
              </w:r>
            </w:hyperlink>
          </w:p>
        </w:tc>
      </w:tr>
    </w:tbl>
    <w:p w:rsidR="00594411" w:rsidRDefault="00594411" w:rsidP="00E50FBD">
      <w:pPr>
        <w:pStyle w:val="Normal1"/>
      </w:pPr>
    </w:p>
    <w:p w:rsidR="00594411" w:rsidRPr="00594411" w:rsidRDefault="00594411" w:rsidP="00594411">
      <w:pPr>
        <w:pStyle w:val="Normal1"/>
        <w:rPr>
          <w:bCs/>
          <w:vanish/>
        </w:rPr>
      </w:pPr>
      <w:r w:rsidRPr="00594411">
        <w:rPr>
          <w:bCs/>
          <w:vanish/>
        </w:rPr>
        <w:t>OPTION 1 – impact</w:t>
      </w:r>
    </w:p>
    <w:p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rsidR="00CB5110" w:rsidRPr="00E50FBD" w:rsidRDefault="00CB5110" w:rsidP="00E50FBD">
      <w:pPr>
        <w:pStyle w:val="Normal1"/>
      </w:pPr>
    </w:p>
    <w:bookmarkEnd w:id="2"/>
    <w:tbl>
      <w:tblPr>
        <w:tblW w:w="12240" w:type="dxa"/>
        <w:tblInd w:w="-702" w:type="dxa"/>
        <w:tblLook w:val="04A0"/>
      </w:tblPr>
      <w:tblGrid>
        <w:gridCol w:w="12240"/>
      </w:tblGrid>
      <w:tr w:rsidR="00677251"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677251" w:rsidRPr="00E50FBD" w:rsidRDefault="00882643" w:rsidP="00E50FBD">
            <w:pPr>
              <w:pStyle w:val="Normal1"/>
            </w:pPr>
            <w:r w:rsidRPr="00E50FBD">
              <w:lastRenderedPageBreak/>
              <w:br w:type="page"/>
            </w:r>
          </w:p>
          <w:p w:rsidR="00677251" w:rsidRPr="00E50FBD" w:rsidRDefault="00677251" w:rsidP="00E50FBD">
            <w:pPr>
              <w:pStyle w:val="Normal1"/>
            </w:pPr>
            <w:r w:rsidRPr="00E50FBD">
              <w:t xml:space="preserve">EQC Prior Involvement  </w:t>
            </w:r>
          </w:p>
        </w:tc>
      </w:tr>
    </w:tbl>
    <w:p w:rsidR="00295A20" w:rsidRDefault="00295A20" w:rsidP="00E036C1">
      <w:pPr>
        <w:pStyle w:val="Normal1"/>
      </w:pPr>
    </w:p>
    <w:p w:rsidR="00A74227" w:rsidRDefault="00BD71AE" w:rsidP="00E036C1">
      <w:pPr>
        <w:pStyle w:val="Normal1"/>
      </w:pPr>
      <w:r>
        <w:t>EQC considered all of the related temporary rules in this division at its meeting on April 21, 2016. At that time, EQC reviewed the technical issues and the justification and need for temporary rules.</w:t>
      </w:r>
    </w:p>
    <w:p w:rsidR="0086143C" w:rsidRPr="0086143C" w:rsidRDefault="0086143C" w:rsidP="0086143C">
      <w:pPr>
        <w:pStyle w:val="Normal1"/>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6143C" w:rsidRPr="0086143C" w:rsidTr="00955BCA">
        <w:trPr>
          <w:trHeight w:val="571"/>
        </w:trPr>
        <w:tc>
          <w:tcPr>
            <w:tcW w:w="12240" w:type="dxa"/>
            <w:shd w:val="clear" w:color="auto" w:fill="E2DDDB" w:themeFill="text2" w:themeFillTint="33"/>
            <w:noWrap/>
            <w:vAlign w:val="bottom"/>
            <w:hideMark/>
          </w:tcPr>
          <w:p w:rsidR="0086143C" w:rsidRDefault="0086143C" w:rsidP="0086143C">
            <w:pPr>
              <w:pStyle w:val="Normal1"/>
              <w:ind w:left="1440"/>
              <w:rPr>
                <w:b/>
                <w:bCs/>
                <w:lang w:bidi="en-US"/>
              </w:rPr>
            </w:pPr>
          </w:p>
          <w:p w:rsidR="009D7305" w:rsidRPr="009D7305" w:rsidRDefault="009D7305" w:rsidP="009D7305">
            <w:pPr>
              <w:pStyle w:val="Normal1"/>
            </w:pPr>
            <w:r w:rsidRPr="009D7305">
              <w:t>Stakeholder and public involvement</w:t>
            </w:r>
          </w:p>
        </w:tc>
      </w:tr>
    </w:tbl>
    <w:p w:rsidR="0086143C" w:rsidRDefault="0086143C" w:rsidP="0086143C">
      <w:pPr>
        <w:pStyle w:val="Normal1"/>
      </w:pPr>
    </w:p>
    <w:p w:rsidR="0086143C" w:rsidRDefault="0086143C" w:rsidP="0086143C">
      <w:pPr>
        <w:pStyle w:val="Normal1"/>
      </w:pPr>
      <w:r>
        <w:t xml:space="preserve">At the March 15, 2016 meeting, the EQC granted the public request for two weeks to review the proposed temporary rule. </w:t>
      </w:r>
      <w:r w:rsidRPr="0086143C">
        <w:rPr>
          <w:bCs/>
          <w:vanish/>
        </w:rPr>
        <w:t>Enter committee name here</w:t>
      </w:r>
      <w:r>
        <w:t xml:space="preserve">The comment period ended on March 30, 2016 at 5 p.m.  DEQ received approximately 1200 comments, about 520 from Oregonians and about 670 from people around the United States and the world.  </w:t>
      </w:r>
    </w:p>
    <w:p w:rsidR="0086143C" w:rsidRPr="0086143C" w:rsidRDefault="0086143C" w:rsidP="0086143C">
      <w:pPr>
        <w:pStyle w:val="Normal1"/>
      </w:pPr>
    </w:p>
    <w:tbl>
      <w:tblPr>
        <w:tblW w:w="12240" w:type="dxa"/>
        <w:tblInd w:w="-702" w:type="dxa"/>
        <w:tblLook w:val="04A0"/>
      </w:tblPr>
      <w:tblGrid>
        <w:gridCol w:w="12240"/>
      </w:tblGrid>
      <w:tr w:rsidR="0086143C" w:rsidRPr="0086143C" w:rsidTr="00955BCA">
        <w:trPr>
          <w:trHeight w:val="600"/>
        </w:trPr>
        <w:tc>
          <w:tcPr>
            <w:tcW w:w="12240" w:type="dxa"/>
            <w:tcBorders>
              <w:top w:val="nil"/>
              <w:left w:val="nil"/>
              <w:bottom w:val="double" w:sz="6" w:space="0" w:color="7F7F7F"/>
              <w:right w:val="nil"/>
            </w:tcBorders>
            <w:shd w:val="clear" w:color="auto" w:fill="E2DDDB" w:themeFill="text2" w:themeFillTint="33"/>
            <w:noWrap/>
            <w:vAlign w:val="bottom"/>
            <w:hideMark/>
          </w:tcPr>
          <w:p w:rsidR="0086143C" w:rsidRDefault="0086143C" w:rsidP="0086143C">
            <w:pPr>
              <w:pStyle w:val="Normal1"/>
              <w:ind w:left="1440"/>
              <w:rPr>
                <w:b/>
                <w:bCs/>
                <w:lang w:bidi="en-US"/>
              </w:rPr>
            </w:pPr>
          </w:p>
          <w:p w:rsidR="009D7305" w:rsidRPr="009D7305" w:rsidRDefault="009D7305" w:rsidP="009D7305">
            <w:pPr>
              <w:pStyle w:val="Normal1"/>
            </w:pPr>
            <w:r w:rsidRPr="009D7305">
              <w:t>Summary of comments and DEQ responses</w:t>
            </w:r>
          </w:p>
        </w:tc>
      </w:tr>
    </w:tbl>
    <w:p w:rsidR="0086143C" w:rsidRDefault="0086143C" w:rsidP="0086143C">
      <w:pPr>
        <w:pStyle w:val="Normal1"/>
      </w:pPr>
    </w:p>
    <w:p w:rsidR="0086143C" w:rsidRPr="0086143C" w:rsidRDefault="00955BCA" w:rsidP="0086143C">
      <w:pPr>
        <w:pStyle w:val="Normal1"/>
      </w:pPr>
      <w:r>
        <w:t xml:space="preserve">DEQ accepted public comments on the proposed rules. DEQ summarized the comments and created a general summary response to the comments. Those summaries and responses are included in a separate document titled “Summary of Comments and DEQ Summary Responses.” </w:t>
      </w:r>
    </w:p>
    <w:p w:rsidR="00295A20" w:rsidRDefault="00295A20" w:rsidP="00E036C1">
      <w:pPr>
        <w:pStyle w:val="Normal1"/>
      </w:pPr>
    </w:p>
    <w:tbl>
      <w:tblPr>
        <w:tblW w:w="12240" w:type="dxa"/>
        <w:tblInd w:w="-702" w:type="dxa"/>
        <w:tblLook w:val="04A0"/>
      </w:tblPr>
      <w:tblGrid>
        <w:gridCol w:w="12240"/>
      </w:tblGrid>
      <w:tr w:rsidR="00D454A6"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D454A6" w:rsidRPr="00E50FBD" w:rsidRDefault="00D454A6" w:rsidP="00E50FBD">
            <w:pPr>
              <w:pStyle w:val="Normal1"/>
            </w:pPr>
          </w:p>
          <w:p w:rsidR="00D454A6" w:rsidRPr="00E50FBD" w:rsidRDefault="00D454A6" w:rsidP="00E50FBD">
            <w:pPr>
              <w:pStyle w:val="Normal1"/>
            </w:pPr>
            <w:r w:rsidRPr="00E50FBD">
              <w:tab/>
              <w:t xml:space="preserve">Implementation </w:t>
            </w:r>
          </w:p>
        </w:tc>
      </w:tr>
    </w:tbl>
    <w:p w:rsidR="00D454A6" w:rsidRDefault="00D454A6" w:rsidP="00E50FBD">
      <w:pPr>
        <w:pStyle w:val="Normal1"/>
      </w:pPr>
      <w:r w:rsidRPr="00E50FBD">
        <w:t>  </w:t>
      </w:r>
    </w:p>
    <w:p w:rsidR="00BD71AE" w:rsidRPr="00E50FBD" w:rsidRDefault="00BD71AE" w:rsidP="00BD71AE">
      <w:pPr>
        <w:pStyle w:val="Normal1"/>
      </w:pPr>
      <w:r>
        <w:t>If EQC adopts this proposed rule correction, DEQ will integrate the correct test method into its requirements and procedures.</w:t>
      </w:r>
    </w:p>
    <w:sectPr w:rsidR="00BD71AE" w:rsidRPr="00E50FBD" w:rsidSect="00790FEF">
      <w:footerReference w:type="default" r:id="rId14"/>
      <w:pgSz w:w="12240" w:h="15840"/>
      <w:pgMar w:top="1080" w:right="90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CB076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EA3" w:rsidRDefault="00193EA3" w:rsidP="00324CB5">
      <w:r>
        <w:separator/>
      </w:r>
    </w:p>
  </w:endnote>
  <w:endnote w:type="continuationSeparator" w:id="0">
    <w:p w:rsidR="00193EA3" w:rsidRDefault="00193EA3" w:rsidP="00324CB5">
      <w:r>
        <w:continuationSeparator/>
      </w:r>
    </w:p>
  </w:endnote>
  <w:endnote w:type="continuationNotice" w:id="1">
    <w:p w:rsidR="00193EA3" w:rsidRDefault="00193EA3"/>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28688"/>
      <w:docPartObj>
        <w:docPartGallery w:val="Page Numbers (Bottom of Page)"/>
        <w:docPartUnique/>
      </w:docPartObj>
    </w:sdtPr>
    <w:sdtContent>
      <w:p w:rsidR="00193EA3" w:rsidRDefault="00193EA3">
        <w:pPr>
          <w:pStyle w:val="Footer"/>
          <w:jc w:val="right"/>
        </w:pPr>
        <w:fldSimple w:instr=" PAGE   \* MERGEFORMAT ">
          <w:r w:rsidR="0072489C">
            <w:rPr>
              <w:noProof/>
            </w:rPr>
            <w:t>4</w:t>
          </w:r>
        </w:fldSimple>
      </w:p>
    </w:sdtContent>
  </w:sdt>
  <w:p w:rsidR="00193EA3" w:rsidRDefault="00193E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EA3" w:rsidRDefault="00193EA3" w:rsidP="00324CB5">
      <w:r>
        <w:separator/>
      </w:r>
    </w:p>
  </w:footnote>
  <w:footnote w:type="continuationSeparator" w:id="0">
    <w:p w:rsidR="00193EA3" w:rsidRDefault="00193EA3" w:rsidP="00324CB5">
      <w:r>
        <w:continuationSeparator/>
      </w:r>
    </w:p>
  </w:footnote>
  <w:footnote w:type="continuationNotice" w:id="1">
    <w:p w:rsidR="00193EA3" w:rsidRDefault="00193EA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36F414D"/>
    <w:multiLevelType w:val="hybridMultilevel"/>
    <w:tmpl w:val="1232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9">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34"/>
  </w:num>
  <w:num w:numId="4">
    <w:abstractNumId w:val="15"/>
  </w:num>
  <w:num w:numId="5">
    <w:abstractNumId w:val="9"/>
  </w:num>
  <w:num w:numId="6">
    <w:abstractNumId w:val="39"/>
  </w:num>
  <w:num w:numId="7">
    <w:abstractNumId w:val="4"/>
  </w:num>
  <w:num w:numId="8">
    <w:abstractNumId w:val="44"/>
  </w:num>
  <w:num w:numId="9">
    <w:abstractNumId w:val="23"/>
  </w:num>
  <w:num w:numId="10">
    <w:abstractNumId w:val="5"/>
  </w:num>
  <w:num w:numId="11">
    <w:abstractNumId w:val="42"/>
  </w:num>
  <w:num w:numId="12">
    <w:abstractNumId w:val="1"/>
  </w:num>
  <w:num w:numId="13">
    <w:abstractNumId w:val="26"/>
  </w:num>
  <w:num w:numId="14">
    <w:abstractNumId w:val="19"/>
  </w:num>
  <w:num w:numId="15">
    <w:abstractNumId w:val="16"/>
  </w:num>
  <w:num w:numId="16">
    <w:abstractNumId w:val="25"/>
  </w:num>
  <w:num w:numId="17">
    <w:abstractNumId w:val="11"/>
  </w:num>
  <w:num w:numId="18">
    <w:abstractNumId w:val="33"/>
  </w:num>
  <w:num w:numId="19">
    <w:abstractNumId w:val="31"/>
  </w:num>
  <w:num w:numId="20">
    <w:abstractNumId w:val="45"/>
  </w:num>
  <w:num w:numId="21">
    <w:abstractNumId w:val="24"/>
  </w:num>
  <w:num w:numId="22">
    <w:abstractNumId w:val="38"/>
  </w:num>
  <w:num w:numId="23">
    <w:abstractNumId w:val="43"/>
  </w:num>
  <w:num w:numId="24">
    <w:abstractNumId w:val="40"/>
  </w:num>
  <w:num w:numId="25">
    <w:abstractNumId w:val="20"/>
  </w:num>
  <w:num w:numId="26">
    <w:abstractNumId w:val="13"/>
  </w:num>
  <w:num w:numId="27">
    <w:abstractNumId w:val="6"/>
  </w:num>
  <w:num w:numId="28">
    <w:abstractNumId w:val="18"/>
  </w:num>
  <w:num w:numId="29">
    <w:abstractNumId w:val="22"/>
  </w:num>
  <w:num w:numId="30">
    <w:abstractNumId w:val="10"/>
  </w:num>
  <w:num w:numId="31">
    <w:abstractNumId w:val="27"/>
  </w:num>
  <w:num w:numId="32">
    <w:abstractNumId w:val="32"/>
  </w:num>
  <w:num w:numId="33">
    <w:abstractNumId w:val="7"/>
  </w:num>
  <w:num w:numId="34">
    <w:abstractNumId w:val="14"/>
  </w:num>
  <w:num w:numId="35">
    <w:abstractNumId w:val="21"/>
  </w:num>
  <w:num w:numId="36">
    <w:abstractNumId w:val="37"/>
  </w:num>
  <w:num w:numId="37">
    <w:abstractNumId w:val="30"/>
  </w:num>
  <w:num w:numId="38">
    <w:abstractNumId w:val="17"/>
  </w:num>
  <w:num w:numId="39">
    <w:abstractNumId w:val="35"/>
  </w:num>
  <w:num w:numId="40">
    <w:abstractNumId w:val="36"/>
  </w:num>
  <w:num w:numId="41">
    <w:abstractNumId w:val="29"/>
  </w:num>
  <w:num w:numId="42">
    <w:abstractNumId w:val="12"/>
  </w:num>
  <w:num w:numId="43">
    <w:abstractNumId w:val="41"/>
  </w:num>
  <w:num w:numId="44">
    <w:abstractNumId w:val="3"/>
  </w:num>
  <w:num w:numId="45">
    <w:abstractNumId w:val="28"/>
  </w:num>
  <w:num w:numId="46">
    <w:abstractNumId w:val="46"/>
  </w:num>
  <w:num w:numId="47">
    <w:abstractNumId w:val="2"/>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hideGrammaticalErrors/>
  <w:proofState w:spelling="clean" w:grammar="clean"/>
  <w:stylePaneFormatFilter w:val="1724"/>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3C07"/>
    <w:rsid w:val="00035352"/>
    <w:rsid w:val="000418FA"/>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42B4"/>
    <w:rsid w:val="000E5208"/>
    <w:rsid w:val="000E5ECC"/>
    <w:rsid w:val="000E60A5"/>
    <w:rsid w:val="000F2916"/>
    <w:rsid w:val="001040D7"/>
    <w:rsid w:val="00107189"/>
    <w:rsid w:val="0011396A"/>
    <w:rsid w:val="001140A1"/>
    <w:rsid w:val="00116A4C"/>
    <w:rsid w:val="00122501"/>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15F1"/>
    <w:rsid w:val="00172958"/>
    <w:rsid w:val="00172B20"/>
    <w:rsid w:val="00174AD3"/>
    <w:rsid w:val="00174C57"/>
    <w:rsid w:val="00176D61"/>
    <w:rsid w:val="0018159F"/>
    <w:rsid w:val="00182C5A"/>
    <w:rsid w:val="00184DD2"/>
    <w:rsid w:val="00186295"/>
    <w:rsid w:val="00187781"/>
    <w:rsid w:val="0019133B"/>
    <w:rsid w:val="0019385F"/>
    <w:rsid w:val="00193EA3"/>
    <w:rsid w:val="00194084"/>
    <w:rsid w:val="00195282"/>
    <w:rsid w:val="001963DF"/>
    <w:rsid w:val="00197050"/>
    <w:rsid w:val="001A08D0"/>
    <w:rsid w:val="001A229E"/>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25E7"/>
    <w:rsid w:val="002F2E0A"/>
    <w:rsid w:val="002F5550"/>
    <w:rsid w:val="002F7660"/>
    <w:rsid w:val="00304756"/>
    <w:rsid w:val="00304A23"/>
    <w:rsid w:val="00305328"/>
    <w:rsid w:val="0031008D"/>
    <w:rsid w:val="00324289"/>
    <w:rsid w:val="003248CA"/>
    <w:rsid w:val="00324CB5"/>
    <w:rsid w:val="00326A81"/>
    <w:rsid w:val="003359FB"/>
    <w:rsid w:val="00342EC9"/>
    <w:rsid w:val="00343239"/>
    <w:rsid w:val="00346882"/>
    <w:rsid w:val="00347349"/>
    <w:rsid w:val="003538E0"/>
    <w:rsid w:val="00356795"/>
    <w:rsid w:val="00361065"/>
    <w:rsid w:val="00361872"/>
    <w:rsid w:val="0036342C"/>
    <w:rsid w:val="00363901"/>
    <w:rsid w:val="00365C19"/>
    <w:rsid w:val="00370109"/>
    <w:rsid w:val="00370B6C"/>
    <w:rsid w:val="00370EDA"/>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1D42"/>
    <w:rsid w:val="0045326E"/>
    <w:rsid w:val="0045366E"/>
    <w:rsid w:val="004536FD"/>
    <w:rsid w:val="004577C0"/>
    <w:rsid w:val="00463EF1"/>
    <w:rsid w:val="0046534A"/>
    <w:rsid w:val="00470AD8"/>
    <w:rsid w:val="00475AE4"/>
    <w:rsid w:val="00482D67"/>
    <w:rsid w:val="0048508F"/>
    <w:rsid w:val="004905F1"/>
    <w:rsid w:val="004925FB"/>
    <w:rsid w:val="00496A70"/>
    <w:rsid w:val="00497709"/>
    <w:rsid w:val="00497B59"/>
    <w:rsid w:val="004A5282"/>
    <w:rsid w:val="004A5AB9"/>
    <w:rsid w:val="004B020E"/>
    <w:rsid w:val="004B18D2"/>
    <w:rsid w:val="004B22BC"/>
    <w:rsid w:val="004B5A38"/>
    <w:rsid w:val="004B692D"/>
    <w:rsid w:val="004C0440"/>
    <w:rsid w:val="004C0860"/>
    <w:rsid w:val="004C1BAD"/>
    <w:rsid w:val="004C2C58"/>
    <w:rsid w:val="004C2E54"/>
    <w:rsid w:val="004C5246"/>
    <w:rsid w:val="004C5F43"/>
    <w:rsid w:val="004C6F60"/>
    <w:rsid w:val="004D056A"/>
    <w:rsid w:val="004D33CB"/>
    <w:rsid w:val="004D3893"/>
    <w:rsid w:val="004D5553"/>
    <w:rsid w:val="004E14ED"/>
    <w:rsid w:val="004E1B02"/>
    <w:rsid w:val="004E5EE0"/>
    <w:rsid w:val="004E6E66"/>
    <w:rsid w:val="004F0485"/>
    <w:rsid w:val="004F4B6D"/>
    <w:rsid w:val="004F673A"/>
    <w:rsid w:val="0050337F"/>
    <w:rsid w:val="005102CA"/>
    <w:rsid w:val="005115F8"/>
    <w:rsid w:val="0051405A"/>
    <w:rsid w:val="00514A16"/>
    <w:rsid w:val="00516FBC"/>
    <w:rsid w:val="005211E9"/>
    <w:rsid w:val="00521D5D"/>
    <w:rsid w:val="0052233E"/>
    <w:rsid w:val="00526006"/>
    <w:rsid w:val="005309F1"/>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03D23"/>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197F"/>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45F7"/>
    <w:rsid w:val="00715E48"/>
    <w:rsid w:val="0072191D"/>
    <w:rsid w:val="00721D94"/>
    <w:rsid w:val="00723DD6"/>
    <w:rsid w:val="0072489C"/>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4C2C"/>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7F7FC6"/>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0DC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55BCA"/>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5"/>
    <w:rsid w:val="009D2976"/>
    <w:rsid w:val="009D3EBB"/>
    <w:rsid w:val="009D6A91"/>
    <w:rsid w:val="009D7305"/>
    <w:rsid w:val="009E0E6A"/>
    <w:rsid w:val="009E148C"/>
    <w:rsid w:val="009E1691"/>
    <w:rsid w:val="009F03FE"/>
    <w:rsid w:val="009F669D"/>
    <w:rsid w:val="009F7639"/>
    <w:rsid w:val="00A00404"/>
    <w:rsid w:val="00A00461"/>
    <w:rsid w:val="00A019B4"/>
    <w:rsid w:val="00A01BB8"/>
    <w:rsid w:val="00A02ADB"/>
    <w:rsid w:val="00A04AFA"/>
    <w:rsid w:val="00A04DD4"/>
    <w:rsid w:val="00A1268D"/>
    <w:rsid w:val="00A16894"/>
    <w:rsid w:val="00A17802"/>
    <w:rsid w:val="00A23B90"/>
    <w:rsid w:val="00A26B17"/>
    <w:rsid w:val="00A323FD"/>
    <w:rsid w:val="00A3244F"/>
    <w:rsid w:val="00A401AA"/>
    <w:rsid w:val="00A46142"/>
    <w:rsid w:val="00A46F33"/>
    <w:rsid w:val="00A50464"/>
    <w:rsid w:val="00A51303"/>
    <w:rsid w:val="00A61B18"/>
    <w:rsid w:val="00A6328A"/>
    <w:rsid w:val="00A63E91"/>
    <w:rsid w:val="00A6504A"/>
    <w:rsid w:val="00A67416"/>
    <w:rsid w:val="00A70D48"/>
    <w:rsid w:val="00A725A7"/>
    <w:rsid w:val="00A72727"/>
    <w:rsid w:val="00A74227"/>
    <w:rsid w:val="00A75BE2"/>
    <w:rsid w:val="00A77477"/>
    <w:rsid w:val="00A77657"/>
    <w:rsid w:val="00A812D7"/>
    <w:rsid w:val="00A82470"/>
    <w:rsid w:val="00A85C01"/>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AF39DA"/>
    <w:rsid w:val="00B0210D"/>
    <w:rsid w:val="00B02E0F"/>
    <w:rsid w:val="00B041EC"/>
    <w:rsid w:val="00B1210C"/>
    <w:rsid w:val="00B1450F"/>
    <w:rsid w:val="00B15DF7"/>
    <w:rsid w:val="00B22430"/>
    <w:rsid w:val="00B328C9"/>
    <w:rsid w:val="00B32C3A"/>
    <w:rsid w:val="00B33CBF"/>
    <w:rsid w:val="00B34183"/>
    <w:rsid w:val="00B356CF"/>
    <w:rsid w:val="00B35715"/>
    <w:rsid w:val="00B378D1"/>
    <w:rsid w:val="00B416EB"/>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3504"/>
    <w:rsid w:val="00BC40BD"/>
    <w:rsid w:val="00BC6D4E"/>
    <w:rsid w:val="00BD0DC2"/>
    <w:rsid w:val="00BD3CBE"/>
    <w:rsid w:val="00BD4232"/>
    <w:rsid w:val="00BD464F"/>
    <w:rsid w:val="00BD6173"/>
    <w:rsid w:val="00BD71AE"/>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48DF"/>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0DE1"/>
    <w:rsid w:val="00CD2E4D"/>
    <w:rsid w:val="00CD52D2"/>
    <w:rsid w:val="00CD5EB5"/>
    <w:rsid w:val="00CD7BA4"/>
    <w:rsid w:val="00CE2298"/>
    <w:rsid w:val="00CE2F50"/>
    <w:rsid w:val="00CE3D82"/>
    <w:rsid w:val="00CE5FA2"/>
    <w:rsid w:val="00CF09F7"/>
    <w:rsid w:val="00CF3191"/>
    <w:rsid w:val="00CF4361"/>
    <w:rsid w:val="00D0141A"/>
    <w:rsid w:val="00D024C5"/>
    <w:rsid w:val="00D05FE7"/>
    <w:rsid w:val="00D07AAD"/>
    <w:rsid w:val="00D109F3"/>
    <w:rsid w:val="00D128BB"/>
    <w:rsid w:val="00D1692D"/>
    <w:rsid w:val="00D17CDB"/>
    <w:rsid w:val="00D20E39"/>
    <w:rsid w:val="00D21BE1"/>
    <w:rsid w:val="00D2694D"/>
    <w:rsid w:val="00D3083F"/>
    <w:rsid w:val="00D31338"/>
    <w:rsid w:val="00D34D18"/>
    <w:rsid w:val="00D35CD2"/>
    <w:rsid w:val="00D40562"/>
    <w:rsid w:val="00D454A6"/>
    <w:rsid w:val="00D4783A"/>
    <w:rsid w:val="00D47FDF"/>
    <w:rsid w:val="00D537F4"/>
    <w:rsid w:val="00D574D7"/>
    <w:rsid w:val="00D57C32"/>
    <w:rsid w:val="00D61DA4"/>
    <w:rsid w:val="00D63F11"/>
    <w:rsid w:val="00D66696"/>
    <w:rsid w:val="00D718ED"/>
    <w:rsid w:val="00D75711"/>
    <w:rsid w:val="00D82C0F"/>
    <w:rsid w:val="00D84651"/>
    <w:rsid w:val="00D876AB"/>
    <w:rsid w:val="00D879D1"/>
    <w:rsid w:val="00D90062"/>
    <w:rsid w:val="00D9108B"/>
    <w:rsid w:val="00D95090"/>
    <w:rsid w:val="00D952C0"/>
    <w:rsid w:val="00D961CE"/>
    <w:rsid w:val="00DA4224"/>
    <w:rsid w:val="00DB6D3B"/>
    <w:rsid w:val="00DC04D1"/>
    <w:rsid w:val="00DC148E"/>
    <w:rsid w:val="00DC22F2"/>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5876"/>
    <w:rsid w:val="00E07FE1"/>
    <w:rsid w:val="00E1177E"/>
    <w:rsid w:val="00E12A90"/>
    <w:rsid w:val="00E13C70"/>
    <w:rsid w:val="00E17040"/>
    <w:rsid w:val="00E17DC5"/>
    <w:rsid w:val="00E221D5"/>
    <w:rsid w:val="00E25C77"/>
    <w:rsid w:val="00E27250"/>
    <w:rsid w:val="00E278B9"/>
    <w:rsid w:val="00E308EB"/>
    <w:rsid w:val="00E313B0"/>
    <w:rsid w:val="00E33649"/>
    <w:rsid w:val="00E33BD7"/>
    <w:rsid w:val="00E34247"/>
    <w:rsid w:val="00E364BC"/>
    <w:rsid w:val="00E36575"/>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3EF"/>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048"/>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6373275">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18571792">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 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4475B7A-4A97-4F40-B537-265E4D9A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17</cp:revision>
  <cp:lastPrinted>2016-03-14T19:43:00Z</cp:lastPrinted>
  <dcterms:created xsi:type="dcterms:W3CDTF">2016-05-03T16:38:00Z</dcterms:created>
  <dcterms:modified xsi:type="dcterms:W3CDTF">2016-05-03T23:55:00Z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