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07" w:rsidRPr="00664553" w:rsidRDefault="00E10F07" w:rsidP="00E10F07">
      <w:pPr>
        <w:ind w:left="1080"/>
        <w:jc w:val="both"/>
        <w:rPr>
          <w:rStyle w:val="Emphasis"/>
        </w:rPr>
      </w:pPr>
      <w:r w:rsidRPr="00664553">
        <w:rPr>
          <w:rStyle w:val="Emphasis"/>
          <w:b/>
        </w:rPr>
        <w:t>OPTION 2</w:t>
      </w:r>
      <w:r w:rsidRPr="00664553">
        <w:rPr>
          <w:rStyle w:val="Emphasis"/>
        </w:rPr>
        <w:t xml:space="preserve"> – no impact </w:t>
      </w:r>
    </w:p>
    <w:p w:rsidR="00E372D7" w:rsidRPr="00E10F07" w:rsidRDefault="00E10F07" w:rsidP="00E10F07">
      <w:pPr>
        <w:ind w:left="360" w:hanging="360"/>
        <w:jc w:val="both"/>
        <w:rPr>
          <w:rFonts w:asciiTheme="minorHAnsi" w:hAnsiTheme="minorHAnsi" w:cstheme="minorHAnsi"/>
          <w:b/>
          <w:iCs/>
        </w:rPr>
      </w:pPr>
      <w:r w:rsidRPr="00664553">
        <w:t xml:space="preserve">To comply with </w:t>
      </w:r>
      <w:hyperlink r:id="rId4" w:history="1">
        <w:r w:rsidRPr="00664553">
          <w:rPr>
            <w:rStyle w:val="Hyperlink"/>
            <w:bCs/>
            <w:color w:val="auto"/>
          </w:rPr>
          <w:t>ORS 183.534</w:t>
        </w:r>
      </w:hyperlink>
      <w:r w:rsidRPr="00664553">
        <w:t xml:space="preserve">, DEQ determined the proposed rules would have no effect on the development cost of a 6,000-square-foot parcel and construction of a 1,200-square-foot detached, single-family dwelling on that parcel. </w:t>
      </w:r>
      <w:bookmarkStart w:id="0" w:name="_GoBack"/>
      <w:bookmarkEnd w:id="0"/>
      <w:r w:rsidRPr="00664553">
        <w:rPr>
          <w:rStyle w:val="Emphasis"/>
        </w:rPr>
        <w:t xml:space="preserve">Enter reason why these parcels are not involved here – be brief. </w:t>
      </w:r>
      <w:r w:rsidRPr="00664553">
        <w:rPr>
          <w:rStyle w:val="IntenseEmphasis"/>
        </w:rPr>
        <w:t>EXAMPLE: The proposed rules only affect manufacturers of electronic devices sold in or into Oregon.</w:t>
      </w:r>
    </w:p>
    <w:sectPr w:rsidR="00E372D7" w:rsidRPr="00E1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02"/>
    <w:rsid w:val="00BA2D02"/>
    <w:rsid w:val="00E10F07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027C3-F362-4760-9B4E-3B9D0F22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07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F07"/>
    <w:rPr>
      <w:rFonts w:ascii="Times New Roman" w:hAnsi="Times New Roman"/>
      <w:color w:val="0563C1" w:themeColor="hyperlink"/>
      <w:sz w:val="24"/>
      <w:u w:val="single"/>
    </w:rPr>
  </w:style>
  <w:style w:type="character" w:styleId="Emphasis">
    <w:name w:val="Emphasis"/>
    <w:aliases w:val="Hidden"/>
    <w:basedOn w:val="DefaultParagraphFont"/>
    <w:uiPriority w:val="20"/>
    <w:qFormat/>
    <w:rsid w:val="00E10F07"/>
    <w:rPr>
      <w:rFonts w:ascii="Times New Roman" w:hAnsi="Times New Roman"/>
      <w:bCs/>
      <w:vanish/>
      <w:color w:val="3238B8"/>
      <w:sz w:val="28"/>
    </w:rPr>
  </w:style>
  <w:style w:type="character" w:styleId="IntenseEmphasis">
    <w:name w:val="Intense Emphasis"/>
    <w:aliases w:val="Example"/>
    <w:basedOn w:val="DefaultParagraphFont"/>
    <w:uiPriority w:val="21"/>
    <w:qFormat/>
    <w:rsid w:val="00E10F07"/>
    <w:rPr>
      <w:rFonts w:ascii="Times New Roman" w:hAnsi="Times New Roman"/>
      <w:bCs/>
      <w:i/>
      <w:iCs/>
      <w:vanish/>
      <w:color w:val="993D2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gonlaws.org/ors/183.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DEQ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2</cp:revision>
  <dcterms:created xsi:type="dcterms:W3CDTF">2015-06-10T16:50:00Z</dcterms:created>
  <dcterms:modified xsi:type="dcterms:W3CDTF">2015-06-10T16:51:00Z</dcterms:modified>
</cp:coreProperties>
</file>