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3674C"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05585" w:rsidRPr="00C74D58" w:rsidRDefault="0060558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05585" w:rsidRPr="00C74D58" w:rsidRDefault="00605585" w:rsidP="00250E7E">
                  <w:pPr>
                    <w:tabs>
                      <w:tab w:val="left" w:pos="908"/>
                      <w:tab w:val="left" w:pos="16582"/>
                    </w:tabs>
                    <w:ind w:left="108"/>
                    <w:jc w:val="center"/>
                    <w:rPr>
                      <w:rFonts w:ascii="Times New Roman" w:eastAsia="Times New Roman" w:hAnsi="Times New Roman"/>
                      <w:b/>
                      <w:color w:val="000000"/>
                    </w:rPr>
                  </w:pPr>
                </w:p>
                <w:p w:rsidR="00605585" w:rsidRPr="00A019B4" w:rsidRDefault="0060558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05585" w:rsidRPr="00A019B4" w:rsidRDefault="0060558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05585" w:rsidRPr="00A019B4" w:rsidRDefault="0060558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53674C"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347EB8" w:rsidRPr="00D776FE" w:rsidRDefault="00347EB8" w:rsidP="00D776FE">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and the delegation request </w:t>
      </w:r>
      <w:r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and direct DEQ to submit them to EPA for approval.</w:t>
      </w:r>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53674C"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53674C"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53674C"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53674C"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53674C"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53674C"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53674C"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53674C"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E15FAF" w:rsidP="0060558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605585" w:rsidRDefault="00605585"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605585" w:rsidRDefault="00605585" w:rsidP="00605585">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5A495F"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240304" w:rsidP="00122B34">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 xml:space="preserve">DEQ is requesting EPA to grant authority to implement the </w:t>
      </w:r>
      <w:r w:rsidR="00122B34">
        <w:rPr>
          <w:rFonts w:asciiTheme="minorHAnsi" w:eastAsia="Times New Roman" w:hAnsiTheme="minorHAnsi" w:cstheme="minorHAnsi"/>
          <w:color w:val="70481C" w:themeColor="accent6" w:themeShade="80"/>
        </w:rPr>
        <w:t xml:space="preserve">federal </w:t>
      </w:r>
      <w:r w:rsidR="00122B34" w:rsidRPr="00605585">
        <w:rPr>
          <w:rFonts w:asciiTheme="minorHAnsi" w:eastAsia="Times New Roman" w:hAnsiTheme="minorHAnsi" w:cstheme="minorHAnsi"/>
          <w:color w:val="70481C" w:themeColor="accent6" w:themeShade="80"/>
        </w:rPr>
        <w:t>plan to DEQ statewide, excluding Lane County, and to LRAPA in Lane County (implemented by LRAPA in Lane County and by DEQ in the rest of the state).</w:t>
      </w:r>
    </w:p>
    <w:p w:rsidR="00122B34" w:rsidRDefault="00122B34"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122B34" w:rsidRDefault="00122B34" w:rsidP="00122B34">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122B34"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3 through 2</w:t>
      </w:r>
      <w:r w:rsidR="00EF6502">
        <w:rPr>
          <w:rFonts w:asciiTheme="minorHAnsi" w:eastAsia="Times New Roman" w:hAnsiTheme="minorHAnsi" w:cstheme="minorHAnsi"/>
          <w:bCs/>
          <w:color w:val="000000" w:themeColor="text1"/>
        </w:rPr>
        <w:t>5</w:t>
      </w:r>
      <w:r w:rsidR="007D706A">
        <w:rPr>
          <w:rFonts w:asciiTheme="minorHAnsi" w:eastAsia="Times New Roman" w:hAnsiTheme="minorHAnsi" w:cstheme="minorHAnsi"/>
          <w:bCs/>
          <w:color w:val="000000" w:themeColor="text1"/>
        </w:rPr>
        <w:t xml:space="preserve">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585" w:rsidRDefault="00605585" w:rsidP="00E15FAF">
      <w:r>
        <w:separator/>
      </w:r>
    </w:p>
  </w:endnote>
  <w:endnote w:type="continuationSeparator" w:id="0">
    <w:p w:rsidR="00605585" w:rsidRDefault="00605585"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585" w:rsidRDefault="00605585" w:rsidP="00E15FAF">
      <w:r>
        <w:separator/>
      </w:r>
    </w:p>
  </w:footnote>
  <w:footnote w:type="continuationSeparator" w:id="0">
    <w:p w:rsidR="00605585" w:rsidRDefault="00605585"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1433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569F1-A374-47FB-92DE-AC37C45E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9796</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2014-06-09T20:30:00Z</dcterms:created>
  <dcterms:modified xsi:type="dcterms:W3CDTF">2014-06-09T20:30:00Z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