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52165C"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B43F09" w:rsidRPr="00C74D58" w:rsidRDefault="00B43F0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43F09" w:rsidRPr="00C74D58" w:rsidRDefault="00B43F09" w:rsidP="00250E7E">
                  <w:pPr>
                    <w:tabs>
                      <w:tab w:val="left" w:pos="908"/>
                      <w:tab w:val="left" w:pos="16582"/>
                    </w:tabs>
                    <w:ind w:left="108"/>
                    <w:jc w:val="center"/>
                    <w:rPr>
                      <w:rFonts w:ascii="Times New Roman" w:eastAsia="Times New Roman" w:hAnsi="Times New Roman"/>
                      <w:b/>
                      <w:color w:val="000000"/>
                    </w:rPr>
                  </w:pPr>
                </w:p>
                <w:p w:rsidR="00B43F09" w:rsidRPr="00A019B4" w:rsidRDefault="00B43F0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15-16, 2015</w:t>
                  </w:r>
                </w:p>
                <w:p w:rsidR="00B43F09" w:rsidRPr="00A019B4" w:rsidRDefault="00B43F0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43F09" w:rsidRPr="00A019B4" w:rsidRDefault="00B43F0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191579">
            <w:pPr>
              <w:ind w:left="702"/>
              <w:rPr>
                <w:rFonts w:eastAsia="Times New Roman"/>
                <w:b/>
                <w:bCs/>
                <w:color w:val="00494F"/>
                <w:sz w:val="28"/>
                <w:szCs w:val="28"/>
              </w:rPr>
            </w:pPr>
            <w:r w:rsidRPr="00CB5339">
              <w:rPr>
                <w:rFonts w:eastAsia="Times New Roman"/>
                <w:b/>
                <w:bCs/>
                <w:color w:val="00494F"/>
                <w:sz w:val="28"/>
                <w:szCs w:val="28"/>
              </w:rPr>
              <w:t>DEQ recommendation to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52165C"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lastRenderedPageBreak/>
        <w:t>Brief history</w:t>
      </w:r>
    </w:p>
    <w:p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rsidR="007A1F3E" w:rsidRDefault="007A1F3E" w:rsidP="001D36AD">
      <w:pPr>
        <w:ind w:left="1080" w:right="720"/>
        <w:rPr>
          <w:rFonts w:ascii="Times New Roman" w:hAnsi="Times New Roman" w:cs="Times New Roman"/>
          <w:color w:val="000000" w:themeColor="text1"/>
        </w:rPr>
      </w:pPr>
    </w:p>
    <w:p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rFonts w:eastAsia="Times New Roman"/>
          <w:bCs/>
          <w:color w:val="000000" w:themeColor="text1"/>
          <w:sz w:val="22"/>
          <w:szCs w:val="22"/>
        </w:rPr>
      </w:pPr>
    </w:p>
    <w:p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0" w:name="RANGE!C33"/>
      <w:r w:rsidRPr="00285C1A">
        <w:rPr>
          <w:rFonts w:asciiTheme="majorHAnsi" w:eastAsia="Times New Roman" w:hAnsiTheme="majorHAnsi" w:cstheme="majorHAnsi"/>
          <w:bCs/>
          <w:color w:val="000000" w:themeColor="text1"/>
          <w:sz w:val="22"/>
          <w:szCs w:val="22"/>
        </w:rPr>
        <w:t>How will DEQ know the need has been addressed?</w:t>
      </w:r>
      <w:bookmarkEnd w:id="0"/>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52165C"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1"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1"/>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52165C"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52165C"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52165C"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52165C"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2" w:name="RANGE!A226:B243"/>
      <w:bookmarkEnd w:id="2"/>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w:t>
            </w:r>
            <w:proofErr w:type="spellStart"/>
            <w:r w:rsidRPr="00956756">
              <w:rPr>
                <w:rFonts w:ascii="Times New Roman" w:eastAsia="Times New Roman" w:hAnsi="Times New Roman" w:cs="Times New Roman"/>
                <w:color w:val="000000" w:themeColor="text1"/>
                <w:sz w:val="24"/>
                <w:szCs w:val="24"/>
              </w:rPr>
              <w:t>portland</w:t>
            </w:r>
            <w:proofErr w:type="spellEnd"/>
            <w:r w:rsidRPr="00956756">
              <w:rPr>
                <w:rFonts w:ascii="Times New Roman" w:eastAsia="Times New Roman" w:hAnsi="Times New Roman" w:cs="Times New Roman"/>
                <w:color w:val="000000" w:themeColor="text1"/>
                <w:sz w:val="24"/>
                <w:szCs w:val="24"/>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52165C"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52165C"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3" w:name="AlternativesConsidered"/>
      <w:bookmarkStart w:id="4" w:name="RANGE!C35"/>
      <w:r w:rsidRPr="00285C1A">
        <w:rPr>
          <w:rFonts w:asciiTheme="majorHAnsi" w:eastAsia="Times New Roman" w:hAnsiTheme="majorHAnsi" w:cstheme="majorHAnsi"/>
          <w:bCs/>
          <w:color w:val="000000" w:themeColor="text1"/>
          <w:sz w:val="22"/>
          <w:szCs w:val="22"/>
        </w:rPr>
        <w:t>What alternatives did DEQ consider</w:t>
      </w:r>
      <w:bookmarkEnd w:id="3"/>
      <w:r w:rsidRPr="00285C1A">
        <w:rPr>
          <w:rFonts w:asciiTheme="majorHAnsi" w:eastAsia="Times New Roman" w:hAnsiTheme="majorHAnsi" w:cstheme="majorHAnsi"/>
          <w:bCs/>
          <w:color w:val="000000" w:themeColor="text1"/>
          <w:sz w:val="22"/>
          <w:szCs w:val="22"/>
        </w:rPr>
        <w:t>, if any?</w:t>
      </w:r>
      <w:bookmarkEnd w:id="4"/>
      <w:r w:rsidRPr="00285C1A">
        <w:rPr>
          <w:rFonts w:asciiTheme="majorHAnsi" w:eastAsia="Times New Roman" w:hAnsiTheme="majorHAnsi" w:cstheme="majorHAnsi"/>
          <w:bCs/>
          <w:color w:val="000000" w:themeColor="text1"/>
          <w:sz w:val="22"/>
          <w:szCs w:val="22"/>
        </w:rPr>
        <w:t xml:space="preserve"> </w:t>
      </w:r>
    </w:p>
    <w:p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52165C"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380115">
        <w:rPr>
          <w:rFonts w:ascii="Times New Roman" w:eastAsia="Times New Roman" w:hAnsi="Times New Roman" w:cs="Times New Roman"/>
          <w:color w:val="000000"/>
        </w:rPr>
        <w:t>would</w:t>
      </w:r>
      <w:bookmarkStart w:id="5" w:name="_GoBack"/>
      <w:bookmarkEnd w:id="5"/>
      <w:r w:rsidRPr="00220DF7">
        <w:rPr>
          <w:rFonts w:ascii="Times New Roman" w:eastAsia="Times New Roman" w:hAnsi="Times New Roman" w:cs="Times New Roman"/>
          <w:color w:val="000000"/>
        </w:rPr>
        <w:t xml:space="preserve">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 xml:space="preserve">Gregg </w:t>
      </w:r>
      <w:proofErr w:type="spellStart"/>
      <w:r w:rsidR="00285C1A">
        <w:rPr>
          <w:rFonts w:asciiTheme="minorHAnsi" w:hAnsiTheme="minorHAnsi" w:cstheme="minorHAnsi"/>
          <w:bCs/>
          <w:color w:val="000000" w:themeColor="text1"/>
        </w:rPr>
        <w:t>Dahmen</w:t>
      </w:r>
      <w:proofErr w:type="spellEnd"/>
    </w:p>
    <w:p w:rsidR="00285C1A" w:rsidRDefault="00285C1A" w:rsidP="009C3BFF">
      <w:pPr>
        <w:ind w:left="720" w:right="1008"/>
        <w:outlineLvl w:val="0"/>
        <w:rPr>
          <w:rFonts w:asciiTheme="minorHAnsi" w:eastAsia="Times New Roman" w:hAnsiTheme="minorHAnsi" w:cstheme="minorHAnsi"/>
          <w:bCs/>
          <w:color w:val="000000" w:themeColor="text1"/>
        </w:rPr>
      </w:pPr>
    </w:p>
    <w:p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Gregg </w:t>
      </w:r>
      <w:proofErr w:type="spellStart"/>
      <w:r>
        <w:rPr>
          <w:rFonts w:ascii="Times New Roman" w:hAnsi="Times New Roman" w:cs="Times New Roman"/>
        </w:rPr>
        <w:t>Dahmen</w:t>
      </w:r>
      <w:proofErr w:type="spellEnd"/>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 xml:space="preserve">Mr. </w:t>
      </w:r>
      <w:proofErr w:type="spellStart"/>
      <w:r w:rsidR="00956756">
        <w:rPr>
          <w:rFonts w:ascii="Times New Roman" w:hAnsi="Times New Roman" w:cs="Times New Roman"/>
        </w:rPr>
        <w:t>Dahmen</w:t>
      </w:r>
      <w:proofErr w:type="spellEnd"/>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w:t>
      </w:r>
      <w:r w:rsidR="00191579">
        <w:rPr>
          <w:rFonts w:asciiTheme="minorHAnsi" w:eastAsia="Times New Roman" w:hAnsiTheme="minorHAnsi" w:cstheme="minorHAnsi"/>
          <w:color w:val="000000" w:themeColor="text1"/>
        </w:rPr>
        <w:t xml:space="preserve">the </w:t>
      </w:r>
      <w:r w:rsidR="007255C6" w:rsidRPr="00285C1A">
        <w:rPr>
          <w:rFonts w:asciiTheme="minorHAnsi" w:eastAsia="Times New Roman" w:hAnsiTheme="minorHAnsi" w:cstheme="minorHAnsi"/>
          <w:color w:val="000000" w:themeColor="text1"/>
        </w:rPr>
        <w:t xml:space="preserve">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rsidR="00A042EB" w:rsidRDefault="00A042EB" w:rsidP="00A042EB">
      <w:pPr>
        <w:spacing w:after="120"/>
        <w:ind w:left="2430" w:right="63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w:t>
      </w:r>
      <w:proofErr w:type="gramStart"/>
      <w:r w:rsidR="00254934" w:rsidRPr="00254934">
        <w:rPr>
          <w:rFonts w:asciiTheme="minorHAnsi" w:eastAsia="Times New Roman" w:hAnsiTheme="minorHAnsi" w:cstheme="minorHAnsi"/>
          <w:color w:val="000000" w:themeColor="text1"/>
        </w:rPr>
        <w:t>)(</w:t>
      </w:r>
      <w:proofErr w:type="gramEnd"/>
      <w:r w:rsidR="00254934" w:rsidRPr="00254934">
        <w:rPr>
          <w:rFonts w:asciiTheme="minorHAnsi" w:eastAsia="Times New Roman" w:hAnsiTheme="minorHAnsi" w:cstheme="minorHAnsi"/>
          <w:color w:val="000000" w:themeColor="text1"/>
        </w:rPr>
        <w:t>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proofErr w:type="spellStart"/>
            <w:r>
              <w:rPr>
                <w:rFonts w:eastAsia="Times New Roman"/>
                <w:bCs/>
                <w:color w:val="32525C"/>
                <w:sz w:val="28"/>
                <w:szCs w:val="28"/>
              </w:rPr>
              <w:t>Commenters</w:t>
            </w:r>
            <w:proofErr w:type="spellEnd"/>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191579">
        <w:rPr>
          <w:rFonts w:ascii="Times New Roman" w:hAnsi="Times New Roman" w:cs="Times New Roman"/>
          <w:color w:val="000000" w:themeColor="text1"/>
        </w:rPr>
        <w:t>Federal law</w:t>
      </w:r>
      <w:r w:rsidR="00BB1058" w:rsidRPr="00285C1A">
        <w:rPr>
          <w:rFonts w:ascii="Times New Roman" w:hAnsi="Times New Roman" w:cs="Times New Roman"/>
          <w:color w:val="000000" w:themeColor="text1"/>
        </w:rPr>
        <w:t xml:space="preserve"> require</w:t>
      </w:r>
      <w:r w:rsidR="00191579">
        <w:rPr>
          <w:rFonts w:ascii="Times New Roman" w:hAnsi="Times New Roman" w:cs="Times New Roman"/>
          <w:color w:val="000000" w:themeColor="text1"/>
        </w:rPr>
        <w:t>s</w:t>
      </w:r>
      <w:r w:rsidR="00BB1058" w:rsidRPr="00285C1A">
        <w:rPr>
          <w:rFonts w:ascii="Times New Roman" w:hAnsi="Times New Roman" w:cs="Times New Roman"/>
          <w:color w:val="000000" w:themeColor="text1"/>
        </w:rPr>
        <w:t xml:space="preserve"> DEQ </w:t>
      </w:r>
      <w:r w:rsidR="00191579">
        <w:rPr>
          <w:rFonts w:ascii="Times New Roman" w:hAnsi="Times New Roman" w:cs="Times New Roman"/>
          <w:color w:val="000000" w:themeColor="text1"/>
        </w:rPr>
        <w:t xml:space="preserve">to </w:t>
      </w:r>
      <w:r w:rsidR="00BB1058" w:rsidRPr="00285C1A">
        <w:rPr>
          <w:rFonts w:ascii="Times New Roman" w:hAnsi="Times New Roman" w:cs="Times New Roman"/>
          <w:color w:val="000000" w:themeColor="text1"/>
        </w:rPr>
        <w:t>place new and amended federal standards into Title V</w:t>
      </w:r>
      <w:r w:rsidR="00191579">
        <w:rPr>
          <w:rFonts w:ascii="Times New Roman" w:hAnsi="Times New Roman" w:cs="Times New Roman"/>
          <w:color w:val="000000" w:themeColor="text1"/>
        </w:rPr>
        <w:t xml:space="preserve"> permits between 18 months and 3 years after their adoption by EPA. Oregon law does not allow DEQ to place </w:t>
      </w:r>
      <w:r w:rsidR="00191579" w:rsidRPr="00285C1A">
        <w:rPr>
          <w:rFonts w:ascii="Times New Roman" w:hAnsi="Times New Roman" w:cs="Times New Roman"/>
          <w:color w:val="000000" w:themeColor="text1"/>
        </w:rPr>
        <w:t>new and amended federal standards</w:t>
      </w:r>
      <w:r w:rsidR="00BB1058" w:rsidRPr="00285C1A">
        <w:rPr>
          <w:rFonts w:ascii="Times New Roman" w:hAnsi="Times New Roman" w:cs="Times New Roman"/>
          <w:color w:val="000000" w:themeColor="text1"/>
        </w:rPr>
        <w:t xml:space="preserve"> </w:t>
      </w:r>
      <w:r w:rsidR="00191579">
        <w:rPr>
          <w:rFonts w:ascii="Times New Roman" w:hAnsi="Times New Roman" w:cs="Times New Roman"/>
          <w:color w:val="000000" w:themeColor="text1"/>
        </w:rPr>
        <w:t>into</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Air Contaminant Discharge Permits</w:t>
      </w:r>
      <w:r w:rsidR="00191579">
        <w:rPr>
          <w:rFonts w:ascii="Times New Roman" w:hAnsi="Times New Roman" w:cs="Times New Roman"/>
          <w:color w:val="000000" w:themeColor="text1"/>
        </w:rPr>
        <w:t xml:space="preserve"> until their adoption by EQC</w:t>
      </w:r>
      <w:r w:rsidR="00BB1058" w:rsidRPr="00285C1A">
        <w:rPr>
          <w:rFonts w:ascii="Times New Roman" w:hAnsi="Times New Roman" w:cs="Times New Roman"/>
          <w:color w:val="000000" w:themeColor="text1"/>
        </w:rPr>
        <w:t xml:space="preserve">.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w:t>
      </w:r>
      <w:r w:rsidR="00B43F09">
        <w:rPr>
          <w:rFonts w:ascii="Times New Roman" w:hAnsi="Times New Roman" w:cs="Times New Roman"/>
          <w:color w:val="000000" w:themeColor="text1"/>
        </w:rPr>
        <w:t>C</w:t>
      </w:r>
      <w:r w:rsidR="00BB1058" w:rsidRPr="00285C1A">
        <w:rPr>
          <w:rFonts w:ascii="Times New Roman" w:hAnsi="Times New Roman" w:cs="Times New Roman"/>
          <w:color w:val="000000" w:themeColor="text1"/>
        </w:rPr>
        <w:t xml:space="preserve">lean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ir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rsidR="00E410C2" w:rsidRDefault="00E410C2">
      <w:pPr>
        <w:spacing w:after="120"/>
        <w:rPr>
          <w:rFonts w:ascii="Times New Roman" w:hAnsi="Times New Roman" w:cs="Times New Roman"/>
        </w:rPr>
      </w:pPr>
      <w:r>
        <w:rPr>
          <w:rFonts w:ascii="Times New Roman" w:hAnsi="Times New Roman" w:cs="Times New Roman"/>
        </w:rPr>
        <w:br w:type="page"/>
      </w:r>
    </w:p>
    <w:p w:rsidR="00BB1058" w:rsidRPr="00BB1058" w:rsidRDefault="00BB1058" w:rsidP="00F35DE4">
      <w:pPr>
        <w:ind w:left="720"/>
        <w:rPr>
          <w:rFonts w:ascii="Times" w:hAnsi="Times" w:cs="Times New Roman"/>
          <w:sz w:val="20"/>
          <w:szCs w:val="20"/>
        </w:rPr>
      </w:pP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05</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sectPr w:rsidR="00D454A6" w:rsidRPr="00732601"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F09" w:rsidRDefault="00B43F09" w:rsidP="00E15FAF">
      <w:r>
        <w:separator/>
      </w:r>
    </w:p>
  </w:endnote>
  <w:endnote w:type="continuationSeparator" w:id="0">
    <w:p w:rsidR="00B43F09" w:rsidRDefault="00B43F09"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09" w:rsidRDefault="00B43F09">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F09" w:rsidRDefault="00B43F09" w:rsidP="00E15FAF">
      <w:r>
        <w:separator/>
      </w:r>
    </w:p>
  </w:footnote>
  <w:footnote w:type="continuationSeparator" w:id="0">
    <w:p w:rsidR="00B43F09" w:rsidRDefault="00B43F09"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09" w:rsidRDefault="00B43F09">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34817"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274EB4E5-B159-45AC-B75D-9809D5A973F8}"/>
    <w:docVar w:name="dgnword-eventsink" w:val="246880344"/>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1579"/>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0115"/>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091C"/>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165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3F09"/>
    <w:rsid w:val="00B454BB"/>
    <w:rsid w:val="00B4779D"/>
    <w:rsid w:val="00B51723"/>
    <w:rsid w:val="00B52430"/>
    <w:rsid w:val="00B54125"/>
    <w:rsid w:val="00B54BEA"/>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810BF"/>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D2090-882B-426D-A722-7937EB9D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9937</Words>
  <Characters>57537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2015-01-26T17:44:00Z</dcterms:created>
  <dcterms:modified xsi:type="dcterms:W3CDTF">2015-01-26T17:44:00Z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